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747B9" w14:textId="2D96241A" w:rsidR="001276B9" w:rsidRPr="001276B9" w:rsidRDefault="003242FC" w:rsidP="001276B9">
      <w:pPr>
        <w:pStyle w:val="Heading1"/>
      </w:pPr>
      <w:r w:rsidRPr="00022CA4">
        <w:t>Title:</w:t>
      </w:r>
    </w:p>
    <w:p w14:paraId="4AB130A8" w14:textId="77777777" w:rsidR="001276B9" w:rsidRPr="001276B9" w:rsidRDefault="001276B9" w:rsidP="001276B9">
      <w:pPr>
        <w:spacing w:before="195" w:line="360" w:lineRule="auto"/>
        <w:jc w:val="center"/>
        <w:rPr>
          <w:rFonts w:ascii="Times New Roman" w:hAnsi="Times New Roman" w:cs="Times New Roman"/>
          <w:b/>
          <w:bCs/>
          <w:sz w:val="36"/>
          <w:szCs w:val="36"/>
        </w:rPr>
      </w:pPr>
      <w:bookmarkStart w:id="0" w:name="_GoBack"/>
      <w:r w:rsidRPr="001276B9">
        <w:rPr>
          <w:rFonts w:ascii="Times New Roman" w:hAnsi="Times New Roman" w:cs="Times New Roman"/>
          <w:b/>
          <w:bCs/>
          <w:sz w:val="36"/>
          <w:szCs w:val="36"/>
        </w:rPr>
        <w:t>Hydro-climatic Variability and Trend in Ethiopia: Implications for Public Health and Climate Sensitive Disease Dynamics</w:t>
      </w:r>
    </w:p>
    <w:bookmarkEnd w:id="0"/>
    <w:p w14:paraId="53627E50" w14:textId="68846ABB" w:rsidR="002F341B" w:rsidRPr="00022CA4" w:rsidRDefault="00837248" w:rsidP="00367055">
      <w:pPr>
        <w:spacing w:before="195" w:after="240" w:line="360" w:lineRule="auto"/>
        <w:jc w:val="center"/>
        <w:rPr>
          <w:rFonts w:ascii="Times New Roman" w:hAnsi="Times New Roman" w:cs="Times New Roman"/>
          <w:sz w:val="24"/>
          <w:szCs w:val="24"/>
          <w:vertAlign w:val="superscript"/>
        </w:rPr>
      </w:pPr>
      <w:proofErr w:type="spellStart"/>
      <w:r w:rsidRPr="00022CA4">
        <w:rPr>
          <w:rFonts w:ascii="Times New Roman" w:hAnsi="Times New Roman" w:cs="Times New Roman"/>
          <w:sz w:val="24"/>
          <w:szCs w:val="24"/>
        </w:rPr>
        <w:t/>
      </w:r>
      <w:proofErr w:type="spellEnd"/>
      <w:r w:rsidRPr="00022CA4">
        <w:rPr>
          <w:rFonts w:ascii="Times New Roman" w:hAnsi="Times New Roman" w:cs="Times New Roman"/>
          <w:sz w:val="24"/>
          <w:szCs w:val="24"/>
        </w:rPr>
        <w:t xml:space="preserve"/>
      </w:r>
      <w:r w:rsidR="00DD3806" w:rsidRPr="00022CA4">
        <w:rPr>
          <w:rFonts w:ascii="Times New Roman" w:hAnsi="Times New Roman" w:cs="Times New Roman"/>
          <w:sz w:val="24"/>
          <w:szCs w:val="24"/>
          <w:vertAlign w:val="superscript"/>
        </w:rPr>
        <w:t/>
      </w:r>
      <w:r w:rsidR="00963394" w:rsidRPr="00022CA4">
        <w:rPr>
          <w:rFonts w:ascii="Times New Roman" w:hAnsi="Times New Roman" w:cs="Times New Roman"/>
          <w:sz w:val="24"/>
          <w:szCs w:val="24"/>
          <w:vertAlign w:val="superscript"/>
        </w:rPr>
        <w:t/>
      </w:r>
      <w:r w:rsidRPr="00022CA4">
        <w:rPr>
          <w:rFonts w:ascii="Times New Roman" w:hAnsi="Times New Roman" w:cs="Times New Roman"/>
          <w:sz w:val="24"/>
          <w:szCs w:val="24"/>
          <w:vertAlign w:val="superscript"/>
        </w:rPr>
        <w:t/>
      </w:r>
      <w:r w:rsidR="00B54AB4" w:rsidRPr="00022CA4">
        <w:rPr>
          <w:rFonts w:ascii="Times New Roman" w:hAnsi="Times New Roman" w:cs="Times New Roman"/>
          <w:sz w:val="24"/>
          <w:szCs w:val="24"/>
        </w:rPr>
        <w:t xml:space="preserve"/>
      </w:r>
      <w:proofErr w:type="spellStart"/>
      <w:r w:rsidRPr="00022CA4">
        <w:rPr>
          <w:rFonts w:ascii="Times New Roman" w:hAnsi="Times New Roman" w:cs="Times New Roman"/>
          <w:sz w:val="24"/>
          <w:szCs w:val="24"/>
        </w:rPr>
        <w:t/>
      </w:r>
      <w:proofErr w:type="spellEnd"/>
      <w:r w:rsidRPr="00022CA4">
        <w:rPr>
          <w:rFonts w:ascii="Times New Roman" w:hAnsi="Times New Roman" w:cs="Times New Roman"/>
          <w:sz w:val="24"/>
          <w:szCs w:val="24"/>
        </w:rPr>
        <w:t xml:space="preserve"/>
      </w:r>
      <w:r w:rsidR="00B54AB4" w:rsidRPr="00022CA4">
        <w:rPr>
          <w:rFonts w:ascii="Times New Roman" w:hAnsi="Times New Roman" w:cs="Times New Roman"/>
          <w:sz w:val="24"/>
          <w:szCs w:val="24"/>
          <w:vertAlign w:val="superscript"/>
        </w:rPr>
        <w:t/>
      </w:r>
      <w:r w:rsidR="00173596" w:rsidRPr="00022CA4">
        <w:rPr>
          <w:rFonts w:ascii="Times New Roman" w:hAnsi="Times New Roman" w:cs="Times New Roman"/>
          <w:sz w:val="24"/>
          <w:szCs w:val="24"/>
          <w:vertAlign w:val="superscript"/>
        </w:rPr>
        <w:t/>
      </w:r>
      <w:r w:rsidR="001276B9">
        <w:rPr>
          <w:rFonts w:ascii="Times New Roman" w:hAnsi="Times New Roman" w:cs="Times New Roman"/>
          <w:sz w:val="24"/>
          <w:szCs w:val="24"/>
        </w:rPr>
        <w:t xml:space="preserve"/>
      </w:r>
    </w:p>
    <w:p w14:paraId="48090F25" w14:textId="0EB310A1" w:rsidR="00963394" w:rsidRPr="00022CA4" w:rsidRDefault="00B54AB4" w:rsidP="00367055">
      <w:pPr>
        <w:spacing w:line="360" w:lineRule="auto"/>
        <w:jc w:val="center"/>
        <w:rPr>
          <w:rFonts w:ascii="Times New Roman" w:eastAsia="Times New Roman" w:hAnsi="Times New Roman" w:cs="Times New Roman"/>
          <w:szCs w:val="21"/>
        </w:rPr>
      </w:pPr>
      <w:r w:rsidRPr="00022CA4">
        <w:rPr>
          <w:rFonts w:ascii="Times New Roman" w:eastAsia="Times New Roman" w:hAnsi="Times New Roman" w:cs="Times New Roman"/>
          <w:szCs w:val="21"/>
          <w:vertAlign w:val="superscript"/>
        </w:rPr>
        <w:t/>
      </w:r>
      <w:r w:rsidR="00963394" w:rsidRPr="00022CA4">
        <w:rPr>
          <w:rFonts w:ascii="Times New Roman" w:eastAsia="Times New Roman" w:hAnsi="Times New Roman" w:cs="Times New Roman"/>
          <w:szCs w:val="21"/>
          <w:vertAlign w:val="superscript"/>
        </w:rPr>
        <w:t xml:space="preserve"/>
      </w:r>
      <w:r w:rsidR="00963394" w:rsidRPr="00022CA4">
        <w:rPr>
          <w:rFonts w:ascii="Times New Roman" w:eastAsia="Times New Roman" w:hAnsi="Times New Roman" w:cs="Times New Roman"/>
          <w:szCs w:val="21"/>
        </w:rPr>
        <w:t/>
      </w:r>
      <w:r w:rsidR="00963394" w:rsidRPr="00022CA4">
        <w:rPr>
          <w:rFonts w:ascii="Times New Roman" w:hAnsi="Times New Roman" w:cs="Times New Roman"/>
          <w:szCs w:val="21"/>
        </w:rPr>
        <w:t xml:space="preserve"/>
      </w:r>
      <w:r w:rsidR="00572DB9">
        <w:rPr>
          <w:rFonts w:ascii="Times New Roman" w:hAnsi="Times New Roman" w:cs="Times New Roman"/>
          <w:szCs w:val="21"/>
        </w:rPr>
        <w:t xml:space="preserve"/>
      </w:r>
      <w:proofErr w:type="spellStart"/>
      <w:r w:rsidR="00572DB9">
        <w:rPr>
          <w:rFonts w:ascii="Times New Roman" w:hAnsi="Times New Roman" w:cs="Times New Roman"/>
          <w:szCs w:val="21"/>
        </w:rPr>
        <w:t/>
      </w:r>
      <w:proofErr w:type="spellEnd"/>
      <w:r w:rsidR="00572DB9">
        <w:rPr>
          <w:rFonts w:ascii="Times New Roman" w:hAnsi="Times New Roman" w:cs="Times New Roman"/>
          <w:szCs w:val="21"/>
        </w:rPr>
        <w:t xml:space="preserve"/>
      </w:r>
      <w:r w:rsidR="00383A1E">
        <w:rPr>
          <w:rFonts w:ascii="Times New Roman" w:hAnsi="Times New Roman" w:cs="Times New Roman"/>
          <w:szCs w:val="21"/>
        </w:rPr>
        <w:t xml:space="preserve"/>
      </w:r>
      <w:proofErr w:type="spellStart"/>
      <w:r w:rsidR="00383A1E">
        <w:rPr>
          <w:rFonts w:ascii="Times New Roman" w:hAnsi="Times New Roman" w:cs="Times New Roman"/>
          <w:szCs w:val="21"/>
        </w:rPr>
        <w:t/>
      </w:r>
      <w:r w:rsidR="00572DB9">
        <w:rPr>
          <w:rFonts w:ascii="Times New Roman" w:hAnsi="Times New Roman" w:cs="Times New Roman"/>
          <w:szCs w:val="21"/>
        </w:rPr>
        <w:t/>
      </w:r>
      <w:proofErr w:type="spellEnd"/>
      <w:r w:rsidR="00572DB9">
        <w:rPr>
          <w:rFonts w:ascii="Times New Roman" w:hAnsi="Times New Roman" w:cs="Times New Roman"/>
          <w:szCs w:val="21"/>
        </w:rPr>
        <w:t xml:space="preserve"/>
      </w:r>
      <w:r w:rsidR="00963394" w:rsidRPr="00022CA4">
        <w:rPr>
          <w:rFonts w:ascii="Times New Roman" w:eastAsia="Times New Roman" w:hAnsi="Times New Roman" w:cs="Times New Roman"/>
          <w:szCs w:val="21"/>
        </w:rPr>
        <w:t/>
      </w:r>
      <w:r w:rsidR="001601D1" w:rsidRPr="00022CA4">
        <w:rPr>
          <w:rFonts w:ascii="Times New Roman" w:eastAsia="Times New Roman" w:hAnsi="Times New Roman" w:cs="Times New Roman"/>
          <w:szCs w:val="21"/>
        </w:rPr>
        <w:t xml:space="preserve"/>
      </w:r>
      <w:hyperlink r:id="rId9" w:history="1">
        <w:r w:rsidR="001601D1" w:rsidRPr="00022CA4">
          <w:rPr>
            <w:rStyle w:val="Hyperlink"/>
          </w:rPr>
          <w:t/>
        </w:r>
      </w:hyperlink>
      <w:r w:rsidR="001601D1" w:rsidRPr="00022CA4">
        <w:rPr>
          <w:rFonts w:ascii="Times New Roman" w:eastAsia="Times New Roman" w:hAnsi="Times New Roman" w:cs="Times New Roman"/>
          <w:szCs w:val="21"/>
        </w:rPr>
        <w:t/>
      </w:r>
    </w:p>
    <w:p w14:paraId="1771CFDE" w14:textId="77777777" w:rsidR="00173596" w:rsidRPr="00022CA4" w:rsidRDefault="00173596" w:rsidP="00173596">
      <w:pPr>
        <w:spacing w:line="360" w:lineRule="auto"/>
        <w:jc w:val="center"/>
        <w:rPr>
          <w:rFonts w:ascii="Times New Roman" w:eastAsia="Times New Roman" w:hAnsi="Times New Roman" w:cs="Times New Roman"/>
          <w:szCs w:val="21"/>
        </w:rPr>
      </w:pPr>
      <w:r w:rsidRPr="00022CA4">
        <w:rPr>
          <w:rFonts w:ascii="Times New Roman" w:eastAsia="Times New Roman" w:hAnsi="Times New Roman" w:cs="Times New Roman"/>
          <w:szCs w:val="21"/>
          <w:vertAlign w:val="superscript"/>
        </w:rPr>
        <w:t/>
      </w:r>
      <w:r w:rsidR="00963394" w:rsidRPr="00022CA4">
        <w:rPr>
          <w:rFonts w:ascii="Times New Roman" w:eastAsia="Times New Roman" w:hAnsi="Times New Roman" w:cs="Times New Roman"/>
          <w:szCs w:val="21"/>
          <w:vertAlign w:val="superscript"/>
        </w:rPr>
        <w:t xml:space="preserve"/>
      </w:r>
      <w:r w:rsidR="00963394" w:rsidRPr="00022CA4">
        <w:rPr>
          <w:rFonts w:ascii="Times New Roman" w:eastAsia="Times New Roman" w:hAnsi="Times New Roman" w:cs="Times New Roman"/>
          <w:szCs w:val="21"/>
        </w:rPr>
        <w:t/>
      </w:r>
      <w:r w:rsidR="00963394" w:rsidRPr="00022CA4">
        <w:rPr>
          <w:rFonts w:ascii="Times New Roman" w:hAnsi="Times New Roman" w:cs="Times New Roman"/>
          <w:szCs w:val="21"/>
        </w:rPr>
        <w:t/>
      </w:r>
      <w:r w:rsidR="00963394" w:rsidRPr="00022CA4">
        <w:rPr>
          <w:rFonts w:ascii="Times New Roman" w:eastAsia="Times New Roman" w:hAnsi="Times New Roman" w:cs="Times New Roman"/>
          <w:szCs w:val="21"/>
        </w:rPr>
        <w:t xml:space="preserve"/>
      </w:r>
      <w:r w:rsidR="00AB25D5" w:rsidRPr="00022CA4">
        <w:rPr>
          <w:rFonts w:ascii="Times New Roman" w:eastAsia="Times New Roman" w:hAnsi="Times New Roman" w:cs="Times New Roman"/>
          <w:szCs w:val="21"/>
        </w:rPr>
        <w:t/>
      </w:r>
      <w:r w:rsidR="00963394" w:rsidRPr="00022CA4">
        <w:rPr>
          <w:rFonts w:ascii="Times New Roman" w:hAnsi="Times New Roman" w:cs="Times New Roman"/>
          <w:szCs w:val="21"/>
        </w:rPr>
        <w:t xml:space="preserve"/>
      </w:r>
      <w:proofErr w:type="spellStart"/>
      <w:r w:rsidR="00963394" w:rsidRPr="00022CA4">
        <w:rPr>
          <w:rFonts w:ascii="Times New Roman" w:hAnsi="Times New Roman" w:cs="Times New Roman"/>
          <w:szCs w:val="21"/>
        </w:rPr>
        <w:t/>
      </w:r>
      <w:proofErr w:type="spellEnd"/>
      <w:r w:rsidR="00963394" w:rsidRPr="00022CA4">
        <w:rPr>
          <w:rFonts w:ascii="Times New Roman" w:hAnsi="Times New Roman" w:cs="Times New Roman"/>
          <w:szCs w:val="21"/>
        </w:rPr>
        <w:t xml:space="preserve"/>
      </w:r>
      <w:r w:rsidR="00963394" w:rsidRPr="00022CA4">
        <w:rPr>
          <w:rFonts w:ascii="Times New Roman" w:eastAsia="Times New Roman" w:hAnsi="Times New Roman" w:cs="Times New Roman"/>
          <w:szCs w:val="21"/>
        </w:rPr>
        <w:t/>
      </w:r>
      <w:r w:rsidR="001601D1" w:rsidRPr="00022CA4">
        <w:rPr>
          <w:rFonts w:ascii="Times New Roman" w:eastAsia="Times New Roman" w:hAnsi="Times New Roman" w:cs="Times New Roman"/>
          <w:szCs w:val="21"/>
        </w:rPr>
        <w:t xml:space="preserve"/>
      </w:r>
      <w:hyperlink r:id="rId10" w:history="1">
        <w:r w:rsidR="001601D1" w:rsidRPr="00022CA4">
          <w:rPr>
            <w:rStyle w:val="Hyperlink"/>
            <w:rFonts w:ascii="Times New Roman" w:eastAsia="Times New Roman" w:hAnsi="Times New Roman" w:cs="Times New Roman"/>
            <w:szCs w:val="21"/>
          </w:rPr>
          <w:t/>
        </w:r>
      </w:hyperlink>
      <w:r w:rsidR="001601D1" w:rsidRPr="00022CA4">
        <w:rPr>
          <w:rFonts w:ascii="Times New Roman" w:eastAsia="Times New Roman" w:hAnsi="Times New Roman" w:cs="Times New Roman"/>
          <w:szCs w:val="21"/>
        </w:rPr>
        <w:t xml:space="preserve"/>
      </w:r>
    </w:p>
    <w:p w14:paraId="5FEEAC03" w14:textId="15561064" w:rsidR="00837248" w:rsidRPr="00022CA4" w:rsidRDefault="00963394" w:rsidP="00367055">
      <w:pPr>
        <w:spacing w:line="360" w:lineRule="auto"/>
        <w:jc w:val="center"/>
        <w:rPr>
          <w:rFonts w:eastAsia="Times New Roman"/>
          <w:color w:val="0000FF" w:themeColor="hyperlink"/>
          <w:u w:val="single"/>
        </w:rPr>
      </w:pPr>
      <w:r w:rsidRPr="00022CA4">
        <w:rPr>
          <w:rFonts w:ascii="Times New Roman" w:eastAsia="Times New Roman" w:hAnsi="Times New Roman" w:cs="Times New Roman"/>
          <w:b/>
          <w:sz w:val="24"/>
          <w:szCs w:val="24"/>
        </w:rPr>
        <w:t/>
      </w:r>
      <w:r w:rsidR="001601D1" w:rsidRPr="00022CA4">
        <w:rPr>
          <w:rFonts w:ascii="Times New Roman" w:eastAsia="Times New Roman" w:hAnsi="Times New Roman" w:cs="Times New Roman"/>
          <w:b/>
          <w:sz w:val="24"/>
          <w:szCs w:val="24"/>
        </w:rPr>
        <w:t xml:space="preserve"/>
      </w:r>
      <w:r w:rsidR="001601D1" w:rsidRPr="00022CA4">
        <w:rPr>
          <w:rStyle w:val="Hyperlink"/>
          <w:u w:val="none"/>
        </w:rPr>
        <w:t/>
      </w:r>
      <w:r w:rsidR="001601D1" w:rsidRPr="00022CA4">
        <w:rPr>
          <w:rFonts w:ascii="Times New Roman" w:eastAsia="Times New Roman" w:hAnsi="Times New Roman" w:cs="Times New Roman"/>
          <w:b/>
          <w:sz w:val="24"/>
          <w:szCs w:val="24"/>
        </w:rPr>
        <w:t xml:space="preserve"/>
      </w:r>
      <w:proofErr w:type="spellStart"/>
      <w:r w:rsidR="001601D1" w:rsidRPr="00022CA4">
        <w:rPr>
          <w:rFonts w:ascii="Times New Roman" w:eastAsia="Times New Roman" w:hAnsi="Times New Roman" w:cs="Times New Roman"/>
          <w:b/>
          <w:color w:val="92D050"/>
          <w:sz w:val="24"/>
          <w:szCs w:val="24"/>
        </w:rPr>
        <w:t/>
      </w:r>
      <w:proofErr w:type="spellEnd"/>
      <w:r w:rsidRPr="00022CA4">
        <w:rPr>
          <w:rFonts w:ascii="Times New Roman" w:eastAsia="Times New Roman" w:hAnsi="Times New Roman" w:cs="Times New Roman"/>
          <w:b/>
          <w:sz w:val="24"/>
          <w:szCs w:val="24"/>
        </w:rPr>
        <w:t/>
      </w:r>
      <w:r w:rsidRPr="00022CA4">
        <w:rPr>
          <w:rFonts w:ascii="Times New Roman" w:eastAsia="Times New Roman" w:hAnsi="Times New Roman" w:cs="Times New Roman"/>
          <w:sz w:val="24"/>
          <w:szCs w:val="24"/>
        </w:rPr>
        <w:t xml:space="preserve"/>
      </w:r>
      <w:hyperlink r:id="rId11" w:history="1">
        <w:hyperlink r:id="rId12" w:history="1">
          <w:r w:rsidR="001276B9" w:rsidRPr="00022CA4">
            <w:rPr>
              <w:rStyle w:val="Hyperlink"/>
            </w:rPr>
            <w:t/>
          </w:r>
        </w:hyperlink>
        <w:r w:rsidR="001601D1" w:rsidRPr="00022CA4">
          <w:rPr>
            <w:rFonts w:ascii="Times New Roman" w:eastAsia="Times New Roman" w:hAnsi="Times New Roman" w:cs="Times New Roman"/>
            <w:szCs w:val="21"/>
          </w:rPr>
          <w:t/>
        </w:r>
      </w:hyperlink>
      <w:r w:rsidR="001601D1" w:rsidRPr="00022CA4">
        <w:rPr>
          <w:rFonts w:ascii="Times New Roman" w:eastAsia="Times New Roman" w:hAnsi="Times New Roman" w:cs="Times New Roman"/>
          <w:szCs w:val="21"/>
        </w:rPr>
        <w:t xml:space="preserve"/>
      </w:r>
      <w:r w:rsidR="001276B9">
        <w:rPr>
          <w:rFonts w:ascii="Times New Roman" w:eastAsia="Times New Roman" w:hAnsi="Times New Roman" w:cs="Times New Roman"/>
          <w:color w:val="92D050"/>
          <w:szCs w:val="21"/>
        </w:rPr>
        <w:t/>
      </w:r>
      <w:r w:rsidR="00F77835">
        <w:rPr>
          <w:rFonts w:ascii="Times New Roman" w:eastAsia="Times New Roman" w:hAnsi="Times New Roman" w:cs="Times New Roman"/>
          <w:color w:val="92D050"/>
          <w:szCs w:val="21"/>
        </w:rPr>
        <w:t/>
      </w:r>
    </w:p>
    <w:p w14:paraId="31460177" w14:textId="03DDA66D" w:rsidR="009431D5" w:rsidRPr="00022CA4" w:rsidRDefault="009431D5" w:rsidP="009431D5">
      <w:pPr>
        <w:pStyle w:val="BodyText"/>
        <w:spacing w:before="240" w:after="240" w:line="360" w:lineRule="auto"/>
        <w:rPr>
          <w:rFonts w:ascii="Times New Roman" w:hAnsi="Times New Roman" w:cs="Times New Roman"/>
          <w:b/>
          <w:bCs/>
          <w:sz w:val="32"/>
          <w:szCs w:val="32"/>
        </w:rPr>
      </w:pPr>
      <w:r w:rsidRPr="00022CA4">
        <w:rPr>
          <w:rFonts w:ascii="Times New Roman" w:hAnsi="Times New Roman" w:cs="Times New Roman"/>
          <w:b/>
          <w:bCs/>
          <w:sz w:val="32"/>
          <w:szCs w:val="32"/>
        </w:rPr>
        <w:t>Abstract</w:t>
      </w:r>
    </w:p>
    <w:p w14:paraId="538D61BA" w14:textId="5B70E37B" w:rsidR="00EE22E6" w:rsidRDefault="00EE22E6" w:rsidP="00EE22E6">
      <w:pPr>
        <w:pStyle w:val="NormalWeb"/>
        <w:jc w:val="both"/>
      </w:pPr>
      <w:r>
        <w:t>This study examined the climatology, long-term trends, and variability of rainfall, reference evapotranspiration (</w:t>
      </w:r>
      <w:proofErr w:type="spellStart"/>
      <w:proofErr w:type="gramStart"/>
      <w:r>
        <w:t>ET</w:t>
      </w:r>
      <w:r w:rsidRPr="008F0EFE">
        <w:rPr>
          <w:vertAlign w:val="subscript"/>
        </w:rPr>
        <w:t>o</w:t>
      </w:r>
      <w:proofErr w:type="spellEnd"/>
      <w:proofErr w:type="gramEnd"/>
      <w:r>
        <w:t xml:space="preserve">), and climatic water balance (CWB) across Ethiopia and its twelve basins from 1980 to 2021. Mean annual rainfall was 773 mm, showing strong spatial contrasts, while mean annual </w:t>
      </w:r>
      <w:proofErr w:type="spellStart"/>
      <w:proofErr w:type="gramStart"/>
      <w:r w:rsidR="008F0EFE">
        <w:t>ET</w:t>
      </w:r>
      <w:r w:rsidR="008F0EFE" w:rsidRPr="008F0EFE">
        <w:rPr>
          <w:vertAlign w:val="subscript"/>
        </w:rPr>
        <w:t>o</w:t>
      </w:r>
      <w:proofErr w:type="spellEnd"/>
      <w:proofErr w:type="gramEnd"/>
      <w:r>
        <w:t xml:space="preserve"> reached 958 mm. The </w:t>
      </w:r>
      <w:proofErr w:type="spellStart"/>
      <w:r>
        <w:t>Kiremt</w:t>
      </w:r>
      <w:proofErr w:type="spellEnd"/>
      <w:r>
        <w:t xml:space="preserve"> season (June–September) contributed the highest rainfall (1303 mm), whereas </w:t>
      </w:r>
      <w:proofErr w:type="spellStart"/>
      <w:r>
        <w:t>Belg</w:t>
      </w:r>
      <w:proofErr w:type="spellEnd"/>
      <w:r>
        <w:t xml:space="preserve"> (February–May) exhibited the highest </w:t>
      </w:r>
      <w:proofErr w:type="spellStart"/>
      <w:proofErr w:type="gramStart"/>
      <w:r w:rsidR="008F0EFE">
        <w:t>ET</w:t>
      </w:r>
      <w:r w:rsidR="008F0EFE" w:rsidRPr="008F0EFE">
        <w:rPr>
          <w:vertAlign w:val="subscript"/>
        </w:rPr>
        <w:t>o</w:t>
      </w:r>
      <w:proofErr w:type="spellEnd"/>
      <w:proofErr w:type="gramEnd"/>
      <w:r>
        <w:t xml:space="preserve">. The national mean annual CWB was −185 mm, with only four basins displaying a positive balance. Spatial patterns showed wetter conditions in western Ethiopia and elevated </w:t>
      </w:r>
      <w:proofErr w:type="spellStart"/>
      <w:proofErr w:type="gramStart"/>
      <w:r w:rsidR="008F0EFE">
        <w:t>ET</w:t>
      </w:r>
      <w:r w:rsidR="008F0EFE" w:rsidRPr="008F0EFE">
        <w:rPr>
          <w:vertAlign w:val="subscript"/>
        </w:rPr>
        <w:t>o</w:t>
      </w:r>
      <w:proofErr w:type="spellEnd"/>
      <w:proofErr w:type="gramEnd"/>
      <w:r>
        <w:t xml:space="preserve"> in the northeast. Trend analysis revealed significant national increases in both rainfall (2.01 mm yr⁻¹) and </w:t>
      </w:r>
      <w:proofErr w:type="spellStart"/>
      <w:proofErr w:type="gramStart"/>
      <w:r w:rsidR="009528F8">
        <w:t>ET</w:t>
      </w:r>
      <w:r w:rsidR="009528F8" w:rsidRPr="008F0EFE">
        <w:rPr>
          <w:vertAlign w:val="subscript"/>
        </w:rPr>
        <w:t>o</w:t>
      </w:r>
      <w:proofErr w:type="spellEnd"/>
      <w:proofErr w:type="gramEnd"/>
      <w:r>
        <w:t xml:space="preserve"> (0.40 mm yr⁻¹), though with marked regional differences. Rainfall variability peaked during the </w:t>
      </w:r>
      <w:proofErr w:type="spellStart"/>
      <w:r>
        <w:t>Bega</w:t>
      </w:r>
      <w:proofErr w:type="spellEnd"/>
      <w:r>
        <w:t xml:space="preserve"> season (CV = 45.5%) and was lowest in </w:t>
      </w:r>
      <w:proofErr w:type="spellStart"/>
      <w:r>
        <w:t>Kiremt</w:t>
      </w:r>
      <w:proofErr w:type="spellEnd"/>
      <w:r>
        <w:t xml:space="preserve"> (CV = 21.9%), while CWB exhibited the greatest variability overall. Standardized anomaly assessments identified multiple years of moderate to extreme wet and dry conditions across basins.</w:t>
      </w:r>
    </w:p>
    <w:p w14:paraId="71EB0C5C" w14:textId="036CF8AD" w:rsidR="00EE22E6" w:rsidRDefault="00EE22E6" w:rsidP="00EE22E6">
      <w:pPr>
        <w:pStyle w:val="NormalWeb"/>
        <w:jc w:val="both"/>
      </w:pPr>
      <w:r>
        <w:t xml:space="preserve">These </w:t>
      </w:r>
      <w:proofErr w:type="spellStart"/>
      <w:r>
        <w:t>hydroclimatic</w:t>
      </w:r>
      <w:proofErr w:type="spellEnd"/>
      <w:r>
        <w:t xml:space="preserve"> changes have important implications for public health. Increased rainfall and humidity in basins such as </w:t>
      </w:r>
      <w:proofErr w:type="spellStart"/>
      <w:r>
        <w:t>Abbay</w:t>
      </w:r>
      <w:proofErr w:type="spellEnd"/>
      <w:r>
        <w:t xml:space="preserve">, </w:t>
      </w:r>
      <w:proofErr w:type="spellStart"/>
      <w:r>
        <w:t>Baro</w:t>
      </w:r>
      <w:proofErr w:type="spellEnd"/>
      <w:r>
        <w:t>–</w:t>
      </w:r>
      <w:proofErr w:type="spellStart"/>
      <w:r>
        <w:t>Akobo</w:t>
      </w:r>
      <w:proofErr w:type="spellEnd"/>
      <w:r>
        <w:t xml:space="preserve">, </w:t>
      </w:r>
      <w:proofErr w:type="spellStart"/>
      <w:r>
        <w:t>Omo</w:t>
      </w:r>
      <w:proofErr w:type="spellEnd"/>
      <w:r>
        <w:t xml:space="preserve">–Gibe, and the Rift Valley are expanding habitats for malaria, dengue, and </w:t>
      </w:r>
      <w:proofErr w:type="spellStart"/>
      <w:r>
        <w:t>schistosomiasis</w:t>
      </w:r>
      <w:proofErr w:type="spellEnd"/>
      <w:r>
        <w:t xml:space="preserve"> vectors and elevating risks of water-borne disease outbreaks during intense rainfall. In contrast, declining rainfall and worsening water deficits in arid basins including </w:t>
      </w:r>
      <w:proofErr w:type="spellStart"/>
      <w:r>
        <w:t>Denakil</w:t>
      </w:r>
      <w:proofErr w:type="spellEnd"/>
      <w:r>
        <w:t xml:space="preserve">, </w:t>
      </w:r>
      <w:proofErr w:type="spellStart"/>
      <w:r>
        <w:t>Mereb</w:t>
      </w:r>
      <w:proofErr w:type="spellEnd"/>
      <w:r>
        <w:t xml:space="preserve">–Gash, and </w:t>
      </w:r>
      <w:proofErr w:type="spellStart"/>
      <w:r>
        <w:t>Aysha</w:t>
      </w:r>
      <w:proofErr w:type="spellEnd"/>
      <w:r>
        <w:t xml:space="preserve"> heighten drought-related health burdens such as food insecurity, malnutrition, heat stress, and exposure to unsafe water sources. Reduced </w:t>
      </w:r>
      <w:proofErr w:type="spellStart"/>
      <w:r>
        <w:t>Belg</w:t>
      </w:r>
      <w:proofErr w:type="spellEnd"/>
      <w:r>
        <w:t xml:space="preserve"> rainfall threatens food security and alters disease seasonality in northern regions, while rising </w:t>
      </w:r>
      <w:proofErr w:type="spellStart"/>
      <w:proofErr w:type="gramStart"/>
      <w:r w:rsidR="009528F8">
        <w:t>ET</w:t>
      </w:r>
      <w:r w:rsidR="009528F8" w:rsidRPr="008F0EFE">
        <w:rPr>
          <w:vertAlign w:val="subscript"/>
        </w:rPr>
        <w:t>o</w:t>
      </w:r>
      <w:proofErr w:type="spellEnd"/>
      <w:proofErr w:type="gramEnd"/>
      <w:r>
        <w:t xml:space="preserve"> amplifies thermal stress and hygiene-related disease risks. High inter-annual rainfall variability further contributes to alternating epidemic events and drought-driven health crises. The findings highlight the need to integrate </w:t>
      </w:r>
      <w:proofErr w:type="spellStart"/>
      <w:r>
        <w:t>hydroclimatic</w:t>
      </w:r>
      <w:proofErr w:type="spellEnd"/>
      <w:r>
        <w:t xml:space="preserve"> information into public-health planning and to implement basin-specific adaptation strategies that strengthen water management, sanitation, nutrition support, vector control, and climate-resilient health systems.</w:t>
      </w:r>
    </w:p>
    <w:p w14:paraId="0DECEC29" w14:textId="6B182303" w:rsidR="002375AB" w:rsidRDefault="00837248" w:rsidP="00AC3258">
      <w:pPr>
        <w:spacing w:before="122" w:after="240" w:line="360" w:lineRule="auto"/>
        <w:jc w:val="both"/>
        <w:rPr>
          <w:rFonts w:ascii="Times New Roman" w:hAnsi="Times New Roman" w:cs="Times New Roman"/>
          <w:bCs/>
          <w:sz w:val="24"/>
          <w:szCs w:val="24"/>
        </w:rPr>
      </w:pPr>
      <w:r w:rsidRPr="00022CA4">
        <w:rPr>
          <w:rFonts w:ascii="Times New Roman" w:hAnsi="Times New Roman" w:cs="Times New Roman"/>
          <w:b/>
          <w:sz w:val="24"/>
          <w:szCs w:val="24"/>
        </w:rPr>
        <w:t>Keywords</w:t>
      </w:r>
      <w:r w:rsidR="006E00FE" w:rsidRPr="00022CA4">
        <w:rPr>
          <w:rFonts w:ascii="Times New Roman" w:hAnsi="Times New Roman" w:cs="Times New Roman"/>
          <w:b/>
          <w:sz w:val="24"/>
          <w:szCs w:val="24"/>
        </w:rPr>
        <w:t>:</w:t>
      </w:r>
      <w:r w:rsidR="00FB4E59">
        <w:rPr>
          <w:rFonts w:ascii="Times New Roman" w:hAnsi="Times New Roman" w:cs="Times New Roman"/>
          <w:b/>
          <w:spacing w:val="-7"/>
          <w:sz w:val="24"/>
          <w:szCs w:val="24"/>
        </w:rPr>
        <w:t xml:space="preserve"> </w:t>
      </w:r>
      <w:proofErr w:type="spellStart"/>
      <w:proofErr w:type="gramStart"/>
      <w:r w:rsidR="00327163" w:rsidRPr="00022CA4">
        <w:rPr>
          <w:rFonts w:ascii="Times New Roman" w:eastAsia="Times New Roman" w:hAnsi="Times New Roman" w:cs="Times New Roman"/>
          <w:sz w:val="24"/>
          <w:szCs w:val="24"/>
          <w:lang w:val="en-GB" w:eastAsia="en-GB"/>
        </w:rPr>
        <w:t>ET</w:t>
      </w:r>
      <w:r w:rsidR="00327163" w:rsidRPr="00022CA4">
        <w:rPr>
          <w:rFonts w:ascii="Times New Roman" w:eastAsia="Times New Roman" w:hAnsi="Times New Roman" w:cs="Times New Roman"/>
          <w:sz w:val="24"/>
          <w:szCs w:val="24"/>
          <w:vertAlign w:val="subscript"/>
          <w:lang w:val="en-GB" w:eastAsia="en-GB"/>
        </w:rPr>
        <w:t>o</w:t>
      </w:r>
      <w:proofErr w:type="spellEnd"/>
      <w:proofErr w:type="gramEnd"/>
      <w:r w:rsidR="003242FC" w:rsidRPr="00022CA4">
        <w:rPr>
          <w:rFonts w:ascii="Times New Roman" w:hAnsi="Times New Roman" w:cs="Times New Roman"/>
          <w:bCs/>
          <w:sz w:val="24"/>
          <w:szCs w:val="24"/>
        </w:rPr>
        <w:t>;</w:t>
      </w:r>
      <w:r w:rsidR="007F1716" w:rsidRPr="00022CA4">
        <w:rPr>
          <w:rFonts w:ascii="Times New Roman" w:hAnsi="Times New Roman" w:cs="Times New Roman"/>
          <w:bCs/>
          <w:sz w:val="24"/>
          <w:szCs w:val="24"/>
        </w:rPr>
        <w:t xml:space="preserve"> </w:t>
      </w:r>
      <w:r w:rsidR="00943FDF" w:rsidRPr="00022CA4">
        <w:rPr>
          <w:rFonts w:ascii="Times New Roman" w:hAnsi="Times New Roman" w:cs="Times New Roman"/>
          <w:bCs/>
          <w:spacing w:val="-6"/>
          <w:sz w:val="24"/>
          <w:szCs w:val="24"/>
        </w:rPr>
        <w:t xml:space="preserve">climatology; </w:t>
      </w:r>
      <w:r w:rsidR="00943FDF" w:rsidRPr="00022CA4">
        <w:rPr>
          <w:rFonts w:ascii="Times New Roman" w:hAnsi="Times New Roman" w:cs="Times New Roman"/>
          <w:bCs/>
          <w:sz w:val="24"/>
          <w:szCs w:val="24"/>
        </w:rPr>
        <w:t xml:space="preserve">coefficient of variation (CV); standardized rainfall anomaly (SRA); </w:t>
      </w:r>
      <w:r w:rsidR="00FB4E59">
        <w:rPr>
          <w:rFonts w:ascii="Times New Roman" w:hAnsi="Times New Roman" w:cs="Times New Roman"/>
          <w:bCs/>
          <w:sz w:val="24"/>
          <w:szCs w:val="24"/>
        </w:rPr>
        <w:t>trend;</w:t>
      </w:r>
      <w:r w:rsidR="009239F9" w:rsidRPr="00022CA4">
        <w:rPr>
          <w:rFonts w:ascii="Times New Roman" w:hAnsi="Times New Roman" w:cs="Times New Roman"/>
          <w:bCs/>
          <w:sz w:val="24"/>
          <w:szCs w:val="24"/>
        </w:rPr>
        <w:t xml:space="preserve"> </w:t>
      </w:r>
      <w:r w:rsidR="00FA4095" w:rsidRPr="00FA4095">
        <w:rPr>
          <w:rFonts w:ascii="Times New Roman" w:hAnsi="Times New Roman" w:cs="Times New Roman"/>
          <w:bCs/>
          <w:sz w:val="24"/>
          <w:szCs w:val="24"/>
        </w:rPr>
        <w:t>Climate Sensitive Disease</w:t>
      </w:r>
    </w:p>
    <w:p w14:paraId="17AAEBF4" w14:textId="77777777" w:rsidR="00D9415E" w:rsidRDefault="00D9415E" w:rsidP="00AC3258">
      <w:pPr>
        <w:spacing w:before="122" w:after="240" w:line="360" w:lineRule="auto"/>
        <w:jc w:val="both"/>
        <w:rPr>
          <w:rFonts w:ascii="Times New Roman" w:hAnsi="Times New Roman" w:cs="Times New Roman"/>
          <w:b/>
          <w:bCs/>
          <w:color w:val="0070C0"/>
          <w:sz w:val="24"/>
          <w:szCs w:val="24"/>
        </w:rPr>
      </w:pPr>
    </w:p>
    <w:p w14:paraId="225C59C7" w14:textId="77777777" w:rsidR="00EE22E6" w:rsidRPr="00022CA4" w:rsidRDefault="00EE22E6" w:rsidP="00AC3258">
      <w:pPr>
        <w:spacing w:before="122" w:after="240" w:line="360" w:lineRule="auto"/>
        <w:jc w:val="both"/>
        <w:rPr>
          <w:rFonts w:ascii="Times New Roman" w:hAnsi="Times New Roman" w:cs="Times New Roman"/>
          <w:b/>
          <w:bCs/>
          <w:color w:val="0070C0"/>
          <w:sz w:val="24"/>
          <w:szCs w:val="24"/>
        </w:rPr>
      </w:pPr>
    </w:p>
    <w:p w14:paraId="6A260FEC" w14:textId="6DFAC4A5" w:rsidR="00AC3258" w:rsidRPr="00022CA4" w:rsidRDefault="00837248" w:rsidP="00AC3258">
      <w:pPr>
        <w:pStyle w:val="Heading1"/>
        <w:numPr>
          <w:ilvl w:val="0"/>
          <w:numId w:val="13"/>
        </w:numPr>
        <w:tabs>
          <w:tab w:val="left" w:pos="1116"/>
        </w:tabs>
        <w:spacing w:line="360" w:lineRule="auto"/>
        <w:rPr>
          <w:sz w:val="32"/>
          <w:szCs w:val="32"/>
        </w:rPr>
      </w:pPr>
      <w:r w:rsidRPr="00022CA4">
        <w:rPr>
          <w:spacing w:val="-2"/>
          <w:sz w:val="32"/>
          <w:szCs w:val="32"/>
        </w:rPr>
        <w:lastRenderedPageBreak/>
        <w:t>Introduction</w:t>
      </w:r>
    </w:p>
    <w:p w14:paraId="6AA6EF41" w14:textId="18EFF009" w:rsidR="00AC3258" w:rsidRPr="00022CA4" w:rsidRDefault="00AC3258" w:rsidP="00AC3258">
      <w:pPr>
        <w:pStyle w:val="Heading2"/>
        <w:spacing w:after="240"/>
        <w:rPr>
          <w:rFonts w:ascii="Times New Roman" w:hAnsi="Times New Roman" w:cs="Times New Roman"/>
          <w:color w:val="auto"/>
          <w:sz w:val="28"/>
          <w:szCs w:val="28"/>
        </w:rPr>
      </w:pPr>
      <w:r w:rsidRPr="00022CA4">
        <w:rPr>
          <w:rFonts w:ascii="Times New Roman" w:hAnsi="Times New Roman" w:cs="Times New Roman"/>
          <w:color w:val="auto"/>
          <w:sz w:val="28"/>
          <w:szCs w:val="28"/>
        </w:rPr>
        <w:t xml:space="preserve">1.1 Background </w:t>
      </w:r>
    </w:p>
    <w:p w14:paraId="7CD04D60" w14:textId="68C5338E" w:rsidR="00077A90" w:rsidRDefault="00077A90" w:rsidP="00077A90">
      <w:pPr>
        <w:pStyle w:val="NormalWeb"/>
        <w:spacing w:line="360" w:lineRule="auto"/>
        <w:jc w:val="both"/>
      </w:pPr>
      <w:r w:rsidRPr="00BB600F">
        <w:t>R</w:t>
      </w:r>
      <w:r>
        <w:t xml:space="preserve">ainfall and evapotranspiration are fundamental climatic indicators used to evaluate the impacts of climate change and the associated environmental responses at basin and regional scales </w:t>
      </w:r>
      <w:r w:rsidRPr="00BB600F">
        <w:t>(</w:t>
      </w:r>
      <w:r w:rsidRPr="00BB600F">
        <w:rPr>
          <w:color w:val="000000" w:themeColor="text1"/>
        </w:rPr>
        <w:t xml:space="preserve">Liu et al., 2021; </w:t>
      </w:r>
      <w:proofErr w:type="spellStart"/>
      <w:r w:rsidRPr="00BB600F">
        <w:rPr>
          <w:color w:val="000000" w:themeColor="text1"/>
        </w:rPr>
        <w:t>Ajjur</w:t>
      </w:r>
      <w:proofErr w:type="spellEnd"/>
      <w:r w:rsidRPr="00BB600F">
        <w:rPr>
          <w:color w:val="000000" w:themeColor="text1"/>
        </w:rPr>
        <w:t xml:space="preserve"> &amp; Al-</w:t>
      </w:r>
      <w:proofErr w:type="spellStart"/>
      <w:r w:rsidRPr="00BB600F">
        <w:rPr>
          <w:color w:val="000000" w:themeColor="text1"/>
        </w:rPr>
        <w:t>Ghamdi</w:t>
      </w:r>
      <w:proofErr w:type="spellEnd"/>
      <w:r w:rsidRPr="00BB600F">
        <w:rPr>
          <w:color w:val="000000" w:themeColor="text1"/>
        </w:rPr>
        <w:t>, 2021</w:t>
      </w:r>
      <w:r w:rsidRPr="00BB600F">
        <w:t>). Together</w:t>
      </w:r>
      <w:r>
        <w:t xml:space="preserve">, they express the hydrological balance between water gains and losses, signaling periods of water sufficiency or scarcity across different locations and seasons. Climate-driven shifts in these components create significant challenges for water-resource management, rain-fed agriculture, food production, forestry, poverty alleviation efforts, and the incidence of climate-sensitive diseases, particularly in developing regions. By 2020, yields in predominantly rain-fed farming systems were already projected to drop by as much as half, severely weakening food access across sub-Saharan Africa (IPCC, 2021; </w:t>
      </w:r>
      <w:proofErr w:type="spellStart"/>
      <w:r>
        <w:t>Bouteska</w:t>
      </w:r>
      <w:proofErr w:type="spellEnd"/>
      <w:r>
        <w:t xml:space="preserve"> et al., 2024; World Bank, 2021; </w:t>
      </w:r>
      <w:proofErr w:type="spellStart"/>
      <w:r>
        <w:t>Mera</w:t>
      </w:r>
      <w:proofErr w:type="spellEnd"/>
      <w:r>
        <w:t>, 2018). In Ethiopia, fluctuations and extremes</w:t>
      </w:r>
      <w:r w:rsidR="000D4F5F">
        <w:t xml:space="preserve"> in rainfall </w:t>
      </w:r>
      <w:r>
        <w:t>especially during th</w:t>
      </w:r>
      <w:r w:rsidR="000D4F5F">
        <w:t xml:space="preserve">e major and short rainy seasons </w:t>
      </w:r>
      <w:r>
        <w:t>have intensified food insecurity in a sector that relies heavily on natural precipitation.</w:t>
      </w:r>
    </w:p>
    <w:p w14:paraId="5E354DFD" w14:textId="1AF5D8FD" w:rsidR="00077A90" w:rsidRDefault="00077A90" w:rsidP="00077A90">
      <w:pPr>
        <w:pStyle w:val="NormalWeb"/>
        <w:spacing w:line="360" w:lineRule="auto"/>
        <w:jc w:val="both"/>
      </w:pPr>
      <w:r>
        <w:t>Climate variability and change also exert major influences on public health by reshaping environmental conditions that sustain disease vectors, altering water and food availability, and increasing exposure to thermal and hyd</w:t>
      </w:r>
      <w:r w:rsidR="000D4F5F">
        <w:t xml:space="preserve">rological extremes. In Ethiopia </w:t>
      </w:r>
      <w:r>
        <w:t xml:space="preserve">a country marked by diverse climates and </w:t>
      </w:r>
      <w:r w:rsidR="000D4F5F">
        <w:t xml:space="preserve">a strong dependence on rainfall </w:t>
      </w:r>
      <w:r>
        <w:t xml:space="preserve">the behavior of </w:t>
      </w:r>
      <w:proofErr w:type="spellStart"/>
      <w:r>
        <w:t>hydroclimatic</w:t>
      </w:r>
      <w:proofErr w:type="spellEnd"/>
      <w:r>
        <w:t xml:space="preserve"> variables such as rainfall, potential evapotranspiration (</w:t>
      </w:r>
      <w:proofErr w:type="spellStart"/>
      <w:proofErr w:type="gramStart"/>
      <w:r w:rsidR="009528F8">
        <w:t>ET</w:t>
      </w:r>
      <w:r w:rsidR="009528F8" w:rsidRPr="008F0EFE">
        <w:rPr>
          <w:vertAlign w:val="subscript"/>
        </w:rPr>
        <w:t>o</w:t>
      </w:r>
      <w:proofErr w:type="spellEnd"/>
      <w:proofErr w:type="gramEnd"/>
      <w:r>
        <w:t>), and climatic water balance (CWB) plays a key role in determining the occurrence and severity of climate-sensitive diseases. Understanding these interactions is essential for guiding health-focused climate-adaptation strategies tailored to different regions.</w:t>
      </w:r>
    </w:p>
    <w:p w14:paraId="3DFDD553" w14:textId="77777777" w:rsidR="00077A90" w:rsidRDefault="00077A90" w:rsidP="00077A90">
      <w:pPr>
        <w:pStyle w:val="NormalWeb"/>
        <w:spacing w:line="360" w:lineRule="auto"/>
        <w:jc w:val="both"/>
      </w:pPr>
      <w:r>
        <w:t xml:space="preserve">Recent analyses highlight pronounced spatial differences in rainfall, evapotranspiration, and climatic water balance across Ethiopia. Increasing annual and </w:t>
      </w:r>
      <w:proofErr w:type="spellStart"/>
      <w:r>
        <w:t>Kiremt</w:t>
      </w:r>
      <w:proofErr w:type="spellEnd"/>
      <w:r>
        <w:t xml:space="preserve"> rainfall in the </w:t>
      </w:r>
      <w:proofErr w:type="spellStart"/>
      <w:r>
        <w:t>Abbay</w:t>
      </w:r>
      <w:proofErr w:type="spellEnd"/>
      <w:r>
        <w:t xml:space="preserve">, </w:t>
      </w:r>
      <w:proofErr w:type="spellStart"/>
      <w:r>
        <w:t>Baro</w:t>
      </w:r>
      <w:proofErr w:type="spellEnd"/>
      <w:r>
        <w:t>–</w:t>
      </w:r>
      <w:proofErr w:type="spellStart"/>
      <w:r>
        <w:t>Akobo</w:t>
      </w:r>
      <w:proofErr w:type="spellEnd"/>
      <w:r>
        <w:t xml:space="preserve">, </w:t>
      </w:r>
      <w:proofErr w:type="spellStart"/>
      <w:r>
        <w:t>Omo</w:t>
      </w:r>
      <w:proofErr w:type="spellEnd"/>
      <w:r>
        <w:t xml:space="preserve">–Gibe, and Rift Valley basins is likely to intensify the risk of climate-sensitive diseases. Enhanced rainfall and humidity expand favorable habitats for mosquito and snail vectors, contributing to higher transmission of malaria, dengue, and </w:t>
      </w:r>
      <w:proofErr w:type="spellStart"/>
      <w:r>
        <w:t>schistosomiasis</w:t>
      </w:r>
      <w:proofErr w:type="spellEnd"/>
      <w:r>
        <w:t>. Numerous studies underscore these relationships: rising rainfall has been linked to increased malaria incidence in southern Ethiopia (</w:t>
      </w:r>
      <w:proofErr w:type="spellStart"/>
      <w:r>
        <w:t>Dabaro</w:t>
      </w:r>
      <w:proofErr w:type="spellEnd"/>
      <w:r>
        <w:t xml:space="preserve"> et al., 2021), while long-term observations in </w:t>
      </w:r>
      <w:proofErr w:type="spellStart"/>
      <w:r>
        <w:t>Gambella</w:t>
      </w:r>
      <w:proofErr w:type="spellEnd"/>
      <w:r>
        <w:t xml:space="preserve"> show concurrent increases in rainfall, humidity, and malaria cases. National-level analyses further reveal that malaria transmission peaks during the wet and humid season, and diseases such as cholera and dysentery escalate with rainfall fluctuations (</w:t>
      </w:r>
      <w:proofErr w:type="spellStart"/>
      <w:r>
        <w:t>Simegn</w:t>
      </w:r>
      <w:proofErr w:type="spellEnd"/>
      <w:r>
        <w:t xml:space="preserve"> et al., 2024). Moreover, heavy </w:t>
      </w:r>
      <w:proofErr w:type="spellStart"/>
      <w:r>
        <w:t>Kiremt</w:t>
      </w:r>
      <w:proofErr w:type="spellEnd"/>
      <w:r>
        <w:t xml:space="preserve"> rains promote surface-water contamination, a major contributor to cholera outbreaks identified through Bayesian analyses and early-warning studies (</w:t>
      </w:r>
      <w:proofErr w:type="spellStart"/>
      <w:r>
        <w:t>Letta</w:t>
      </w:r>
      <w:proofErr w:type="spellEnd"/>
      <w:r>
        <w:t xml:space="preserve"> et al., 2022</w:t>
      </w:r>
      <w:r w:rsidRPr="00BB600F">
        <w:t>).</w:t>
      </w:r>
    </w:p>
    <w:p w14:paraId="322E1E1C" w14:textId="5E54173E" w:rsidR="00CE1D91" w:rsidRPr="00022CA4" w:rsidRDefault="00CE1D91" w:rsidP="00AC3258">
      <w:pPr>
        <w:spacing w:after="240" w:line="360" w:lineRule="auto"/>
        <w:jc w:val="both"/>
        <w:rPr>
          <w:rFonts w:ascii="Times New Roman" w:hAnsi="Times New Roman" w:cs="Times New Roman"/>
          <w:sz w:val="24"/>
          <w:szCs w:val="24"/>
        </w:rPr>
      </w:pPr>
      <w:r w:rsidRPr="00CE1D91">
        <w:rPr>
          <w:rFonts w:ascii="Times New Roman" w:hAnsi="Times New Roman" w:cs="Times New Roman"/>
          <w:sz w:val="24"/>
          <w:szCs w:val="24"/>
        </w:rPr>
        <w:t xml:space="preserve">According to the Ethiopian Meteorology Institute (EMI) and related studies (e.g., </w:t>
      </w:r>
      <w:r w:rsidRPr="00022CA4">
        <w:rPr>
          <w:rFonts w:ascii="Times New Roman" w:hAnsi="Times New Roman" w:cs="Times New Roman"/>
          <w:sz w:val="24"/>
          <w:szCs w:val="24"/>
        </w:rPr>
        <w:fldChar w:fldCharType="begin" w:fldLock="1"/>
      </w:r>
      <w:r w:rsidRPr="00022CA4">
        <w:rPr>
          <w:rFonts w:ascii="Times New Roman" w:hAnsi="Times New Roman" w:cs="Times New Roman"/>
          <w:sz w:val="24"/>
          <w:szCs w:val="24"/>
        </w:rPr>
        <w:instrText>ADDIN CSL_CITATION {"citationItems":[{"id":"ITEM-1","itemData":{"DOI":"10.1007/978-94-017-8026-1_3","ISBN":"9789401780261","ISSN":"22132104","abstract":"Several papers have been published on different issues regarding the climate of Ethiopia or of some specific region. This presentation attempts to revise the knowledge of the climate of Ethiopia by means of updated, longer time series and including a larger number of meteo-stations than previous studies. Basic climatic parameters such as temperature, rainfall, relative humidity, wind, evapotranspiration, and aridity are considered and their spatial distribution is analyzed. The main results of such elaborations have been regionalized to obtain climatic maps by means of geostatistical interpolation, also taking into account topogeographic variables. These parameters were also used to update the Köppen classification of the Ethiopian territory. Climate change is a very important issue with worrying repercussions on agriculture and hence the social and economic development of the country. Trends of temperature and annual, spring, and summer rains were interpolated for the last 3–5 decades. Temperature shows a markedly increasing trend especially as regards the minimum values, whereas annual rainfalls tend to decrease with the spring, ‘small rains’ decreasing at faster rate.","author":[{"dropping-particle":"","family":"Fazzini","given":"Massimiliano","non-dropping-particle":"","parse-names":false,"suffix":""},{"dropping-particle":"","family":"Bisci","given":"Carlo","non-dropping-particle":"","parse-names":false,"suffix":""},{"dropping-particle":"","family":"Billi","given":"Paolo","non-dropping-particle":"","parse-names":false,"suffix":""}],"container-title":"World Geomorphological Landscapes","id":"ITEM-1","issue":"February 2016","issued":{"date-parts":[["2015"]]},"page":"65-87","title":"The Climate of Ethiopia","type":"article-journal"},"uris":["http://www.mendeley.com/documents/?uuid=8b374c5e-1372-4b09-b9bd-46906a533da1"]}],"mendeley":{"formattedCitation":"(Fazzini et al., 2015)","manualFormatting":"Fazzini et al. (2015)","plainTextFormattedCitation":"(Fazzini et al., 2015)","previouslyFormattedCitation":"(Fazzini et al., 2015)"},"properties":{"noteIndex":0},"schema":"https://github.com/citation-style-language/schema/raw/master/csl-citation.json"}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sz w:val="24"/>
          <w:szCs w:val="24"/>
        </w:rPr>
        <w:t>Fazzini et al. (2015)</w:t>
      </w:r>
      <w:r w:rsidRPr="00022CA4">
        <w:rPr>
          <w:rFonts w:ascii="Times New Roman" w:hAnsi="Times New Roman" w:cs="Times New Roman"/>
          <w:sz w:val="24"/>
          <w:szCs w:val="24"/>
        </w:rPr>
        <w:fldChar w:fldCharType="end"/>
      </w:r>
      <w:r w:rsidRPr="00CE1D91">
        <w:rPr>
          <w:rFonts w:ascii="Times New Roman" w:hAnsi="Times New Roman" w:cs="Times New Roman"/>
          <w:sz w:val="24"/>
          <w:szCs w:val="24"/>
        </w:rPr>
        <w:t xml:space="preserve">, Ethiopia </w:t>
      </w:r>
      <w:r w:rsidRPr="00CE1D91">
        <w:rPr>
          <w:rFonts w:ascii="Times New Roman" w:hAnsi="Times New Roman" w:cs="Times New Roman"/>
          <w:sz w:val="24"/>
          <w:szCs w:val="24"/>
        </w:rPr>
        <w:lastRenderedPageBreak/>
        <w:t xml:space="preserve">has three major seasons: </w:t>
      </w:r>
      <w:proofErr w:type="spellStart"/>
      <w:r w:rsidRPr="005E5BFA">
        <w:rPr>
          <w:rFonts w:ascii="Times New Roman" w:hAnsi="Times New Roman" w:cs="Times New Roman"/>
          <w:sz w:val="24"/>
          <w:szCs w:val="24"/>
        </w:rPr>
        <w:t>Kiremt</w:t>
      </w:r>
      <w:proofErr w:type="spellEnd"/>
      <w:r w:rsidRPr="00CE1D91">
        <w:rPr>
          <w:rFonts w:ascii="Times New Roman" w:hAnsi="Times New Roman" w:cs="Times New Roman"/>
          <w:sz w:val="24"/>
          <w:szCs w:val="24"/>
        </w:rPr>
        <w:t xml:space="preserve"> (June–September), the main rainy season; </w:t>
      </w:r>
      <w:proofErr w:type="spellStart"/>
      <w:r w:rsidRPr="005E5BFA">
        <w:rPr>
          <w:rFonts w:ascii="Times New Roman" w:hAnsi="Times New Roman" w:cs="Times New Roman"/>
          <w:sz w:val="24"/>
          <w:szCs w:val="24"/>
        </w:rPr>
        <w:t>Belg</w:t>
      </w:r>
      <w:proofErr w:type="spellEnd"/>
      <w:r w:rsidRPr="00CE1D91">
        <w:rPr>
          <w:rFonts w:ascii="Times New Roman" w:hAnsi="Times New Roman" w:cs="Times New Roman"/>
          <w:sz w:val="24"/>
          <w:szCs w:val="24"/>
        </w:rPr>
        <w:t xml:space="preserve"> (March–May), the shorter rainy season; and </w:t>
      </w:r>
      <w:proofErr w:type="spellStart"/>
      <w:r w:rsidRPr="005E5BFA">
        <w:rPr>
          <w:rFonts w:ascii="Times New Roman" w:hAnsi="Times New Roman" w:cs="Times New Roman"/>
          <w:sz w:val="24"/>
          <w:szCs w:val="24"/>
        </w:rPr>
        <w:t>Bega</w:t>
      </w:r>
      <w:proofErr w:type="spellEnd"/>
      <w:r w:rsidRPr="00CE1D91">
        <w:rPr>
          <w:rFonts w:ascii="Times New Roman" w:hAnsi="Times New Roman" w:cs="Times New Roman"/>
          <w:sz w:val="24"/>
          <w:szCs w:val="24"/>
        </w:rPr>
        <w:t xml:space="preserve"> (October–February), the dry, sunny, and cool season. These seasons vary slightly across regions, particularly between highlands and lowlands. Evapotranspiration, combining evaporation and transpiration, plays a vital role in the water cycle by influencing runoff, soil moisture, and vegetation dynamics. Although essential for evaluating water balance, direct measurement of evapotranspiration is often limited by cost, time, and equipment constraints, prompting widespread reliance on potential or reference evapotranspiration. When the soil is at field capacity, evapotranspiration equals potential evapotranspiration; surplus rainfall over evapotranspiration indicates water surplus, whereas the reverse denotes water deficit </w:t>
      </w:r>
      <w:r w:rsidR="005E5BFA" w:rsidRPr="00022CA4">
        <w:rPr>
          <w:rFonts w:ascii="Times New Roman" w:hAnsi="Times New Roman" w:cs="Times New Roman"/>
          <w:sz w:val="24"/>
          <w:szCs w:val="24"/>
        </w:rPr>
        <w:fldChar w:fldCharType="begin" w:fldLock="1"/>
      </w:r>
      <w:r w:rsidR="005E5BFA" w:rsidRPr="00022CA4">
        <w:rPr>
          <w:rFonts w:ascii="Times New Roman" w:hAnsi="Times New Roman" w:cs="Times New Roman"/>
          <w:sz w:val="24"/>
          <w:szCs w:val="24"/>
        </w:rPr>
        <w:instrText>ADDIN CSL_CITATION {"citationItems":[{"id":"ITEM-1","itemData":{"author":[{"dropping-particle":"","family":"Egwuonwu","given":"Chukwudi Celestine","non-dropping-particle":"","parse-names":false,"suffix":""},{"dropping-particle":"","family":"Okafor","given":"V C","non-dropping-particle":"","parse-names":false,"suffix":""},{"dropping-particle":"","family":"Ezeanya","given":"Nnaemeka Charles","non-dropping-particle":"","parse-names":false,"suffix":""},{"dropping-particle":"","family":"Nzediegwu","given":"Christopher","non-dropping-particle":"","parse-names":false,"suffix":""},{"dropping-particle":"","family":"Okorafor","given":"Kore","non-dropping-particle":"","parse-names":false,"suffix":""}],"container-title":"Greener Journal of Physical Sciences","id":"ITEM-1","issue":"4","issued":{"date-parts":[["2012"]]},"page":"64-69","title":"A Comparison of the Reliability of Six Evapotranspiration Computing Models for Abeokuta in South Western Nigeria","type":"article-journal","volume":"2"},"uris":["http://www.mendeley.com/documents/?uuid=6f31d8d7-24f1-4a78-b6b6-b4106dadf466"]}],"mendeley":{"formattedCitation":"(Egwuonwu et al., 2012)","manualFormatting":"(Egwuonwu et al., 2012","plainTextFormattedCitation":"(Egwuonwu et al., 2012)","previouslyFormattedCitation":"(Egwuonwu et al., 2012)"},"properties":{"noteIndex":0},"schema":"https://github.com/citation-style-language/schema/raw/master/csl-citation.json"}</w:instrText>
      </w:r>
      <w:r w:rsidR="005E5BFA" w:rsidRPr="00022CA4">
        <w:rPr>
          <w:rFonts w:ascii="Times New Roman" w:hAnsi="Times New Roman" w:cs="Times New Roman"/>
          <w:sz w:val="24"/>
          <w:szCs w:val="24"/>
        </w:rPr>
        <w:fldChar w:fldCharType="separate"/>
      </w:r>
      <w:r w:rsidR="005E5BFA" w:rsidRPr="00022CA4">
        <w:rPr>
          <w:rFonts w:ascii="Times New Roman" w:hAnsi="Times New Roman" w:cs="Times New Roman"/>
          <w:noProof/>
          <w:sz w:val="24"/>
          <w:szCs w:val="24"/>
        </w:rPr>
        <w:t>(Egwuonwu et al., 2012</w:t>
      </w:r>
      <w:r w:rsidR="005E5BFA" w:rsidRPr="00022CA4">
        <w:rPr>
          <w:rFonts w:ascii="Times New Roman" w:hAnsi="Times New Roman" w:cs="Times New Roman"/>
          <w:sz w:val="24"/>
          <w:szCs w:val="24"/>
        </w:rPr>
        <w:fldChar w:fldCharType="end"/>
      </w:r>
      <w:r w:rsidR="005E5BFA" w:rsidRPr="00022CA4">
        <w:rPr>
          <w:rFonts w:ascii="Times New Roman" w:hAnsi="Times New Roman" w:cs="Times New Roman"/>
          <w:sz w:val="24"/>
          <w:szCs w:val="24"/>
        </w:rPr>
        <w:t xml:space="preserve">; </w:t>
      </w:r>
      <w:r w:rsidR="005E5BFA" w:rsidRPr="00022CA4">
        <w:rPr>
          <w:rFonts w:ascii="Times New Roman" w:hAnsi="Times New Roman" w:cs="Times New Roman"/>
          <w:sz w:val="24"/>
          <w:szCs w:val="24"/>
        </w:rPr>
        <w:fldChar w:fldCharType="begin" w:fldLock="1"/>
      </w:r>
      <w:r w:rsidR="005E5BFA" w:rsidRPr="00022CA4">
        <w:rPr>
          <w:rFonts w:ascii="Times New Roman" w:hAnsi="Times New Roman" w:cs="Times New Roman"/>
          <w:sz w:val="24"/>
          <w:szCs w:val="24"/>
        </w:rPr>
        <w:instrText>ADDIN CSL_CITATION {"citationItems":[{"id":"ITEM-1","itemData":{"DOI":"http://doi.org/10.4038/rjs.v9i2.45","ISBN":"2013206534","abstract":"This study examined the climatic water balance and aridity in the Western Lithoral hydrological zone of Nigeria. Monthly climatic data from 1976-2015collected from six Nigeria Metrological Agency (NIMET) stations located in Ikeja, Ibadan, Akure, Abeokuta, Osogbo and Ilorin were used. The climatic variables are rainfall amount, temperature, sunshine hour, relative humidity and wind speed. The FAO Penman-Monteith method was adopted in estimating the potential evapotranspiration (PET). Water balance wasdetermined from PET and rainfall amount. The spatial and temporal pattern of rainfall amount and PET were evaluated using universal kriging interpolation method, Mann-Kendall and regression trend analysis. The results of the Mann-Kendall and regression trend analysis revealeda statistically significant (Z= 2.74, P= 0.005) upward trend in rainfall amount between 1976 and 2015. Similarly,a statistically significant (Z= 4.40, p= 0.001) increasing trend was observed in PET during the same period. Six months of water surplus (May-October) and six months of water deficit (November-April) were identified. Overall, 27 years of water deficit wasdiscovered over the 40 yearsperiod. Water balance pattern revealed the highest annual mean water surplus (324.51mm) in the hinterland of Idanre, Akure, and Owo rather than the coastal city of Ikeja which can be attributed to orographic effect in the hinterland. The study area with a mean Aridity index (AI)of 0.94 can still be regarded as humid environment, although the spatial variability of AI indicates that the northern part is tending towards a dry sub-humid condition (AI= 0.76). This study recommends conservation of water surplus in the wet months for the augmentation of deficit in the dry months; this will not only boost agricultural production, but also alleviate water supply problem in the study area.Keywords.Aridity index, potential evapotranspiration, water balance.","author":[{"dropping-particle":"","family":"Ashaolu","given":"E.D.","non-dropping-particle":"","parse-names":false,"suffix":""},{"dropping-particle":"","family":"Iroye","given":"K.A.","non-dropping-particle":"","parse-names":false,"suffix":""}],"container-title":"Faculty of Science, University of Ruhuna","id":"ITEM-1","issued":{"date-parts":[["2018"]]},"page":"1-23","title":"Rainfall and potential evapotranspiration patterns and their effects on climatic water balance in the Western Lithoral Hydrological Zone of Nigeria","type":"article-journal"},"uris":["http://www.mendeley.com/documents/?uuid=96b69ea8-a6f2-40a1-a6d7-456c19e001dc"]}],"mendeley":{"formattedCitation":"(Ashaolu &amp; Iroye, 2018)","manualFormatting":"Ashaolu &amp; Iroye, 2018","plainTextFormattedCitation":"(Ashaolu &amp; Iroye, 2018)","previouslyFormattedCitation":"(Ashaolu &amp; Iroye, 2018)"},"properties":{"noteIndex":0},"schema":"https://github.com/citation-style-language/schema/raw/master/csl-citation.json"}</w:instrText>
      </w:r>
      <w:r w:rsidR="005E5BFA" w:rsidRPr="00022CA4">
        <w:rPr>
          <w:rFonts w:ascii="Times New Roman" w:hAnsi="Times New Roman" w:cs="Times New Roman"/>
          <w:sz w:val="24"/>
          <w:szCs w:val="24"/>
        </w:rPr>
        <w:fldChar w:fldCharType="separate"/>
      </w:r>
      <w:r w:rsidR="005E5BFA" w:rsidRPr="00022CA4">
        <w:rPr>
          <w:rFonts w:ascii="Times New Roman" w:hAnsi="Times New Roman" w:cs="Times New Roman"/>
          <w:noProof/>
          <w:sz w:val="24"/>
          <w:szCs w:val="24"/>
        </w:rPr>
        <w:t>Ashaolu &amp; Iroye, 2018</w:t>
      </w:r>
      <w:r w:rsidR="005E5BFA" w:rsidRPr="00022CA4">
        <w:rPr>
          <w:rFonts w:ascii="Times New Roman" w:hAnsi="Times New Roman" w:cs="Times New Roman"/>
          <w:sz w:val="24"/>
          <w:szCs w:val="24"/>
        </w:rPr>
        <w:fldChar w:fldCharType="end"/>
      </w:r>
      <w:r w:rsidR="005E5BFA" w:rsidRPr="00022CA4">
        <w:rPr>
          <w:rFonts w:ascii="Times New Roman" w:hAnsi="Times New Roman" w:cs="Times New Roman"/>
          <w:sz w:val="24"/>
          <w:szCs w:val="24"/>
        </w:rPr>
        <w:t xml:space="preserve">; </w:t>
      </w:r>
      <w:r w:rsidR="005E5BFA" w:rsidRPr="00022CA4">
        <w:rPr>
          <w:rFonts w:ascii="Times New Roman" w:hAnsi="Times New Roman" w:cs="Times New Roman"/>
          <w:sz w:val="24"/>
          <w:szCs w:val="24"/>
        </w:rPr>
        <w:fldChar w:fldCharType="begin" w:fldLock="1"/>
      </w:r>
      <w:r w:rsidR="005E5BFA" w:rsidRPr="00022CA4">
        <w:rPr>
          <w:rFonts w:ascii="Times New Roman" w:hAnsi="Times New Roman" w:cs="Times New Roman"/>
          <w:sz w:val="24"/>
          <w:szCs w:val="24"/>
        </w:rPr>
        <w:instrText>ADDIN CSL_CITATION {"citationItems":[{"id":"ITEM-1","itemData":{"ISSN":"16821130","abstract":"An existing solar radiation model developed at Ilorin which was found to be more reliable than Angstrom-type and Hargreaves solar radiation equations was used in the FAO Penman-Monteith reference evapotranspiration model (FAOPM) to obtain daily reference crop evapotranspiration (ET0) for a 32-year (1970 to 2001) period. The number of days having all the required input meteorological data was 9335. The sky conditions of the days were classified as clear, partially cloudy or cloudy depending on the cloudiness index, i.e. the ratio of diffuse solar radiation to total solar radiation. The ET0 values obtained with FAOPM were compared with predictions of three simpler empirical ET0 models, namely, the Hargreaves (HGRV), Jensen and Haise (JHSE) and Blaney-Morin-Nigeria (BMN) models. When the more reliable solar radiation model was used in HGRV and JHSE, their performances were better than when the solar radiation equation of Hargreaves was used. Generally the three simpler models overpredicted ET0. The bias, root mean square difference (RSMD) and absolute error of prediction deteriorated with sky cloudiness when the solar radiation equation of Hargreaves was used. Linear regression equations with zero intercepts were developed for the estimation of FAOPM predictions from those of the simpler ET0 models. The regression equations relating the predictions of FAOPM to those of HGRV generally yielded the highest coefficients of determination and the lowest standard errors of regression. The predictions of HGRV were also the closest to the corresponding FAOPM predictions under the various sky conditions. Based on the outcome of the regression analysis and the ease of application of HGRV, the FAOPM-versus-HGRV regression equations were recommended for the estimation of FAOPM predictions of daily ET0 when the use of FAOPM is necessary but not feasible because of incomplete input data.","author":[{"dropping-particle":"","family":"Ejieji","given":"Chukwuemeka Joachin","non-dropping-particle":"","parse-names":false,"suffix":""}],"container-title":"Agricultural Engineering International: CIGR Journal","id":"ITEM-1","issue":"3","issued":{"date-parts":[["2011"]]},"title":"Performance of three empirical reference evapotranspiration models under three sky conditions using two solar radiation estimation methods at Ilorin, Nigeria","type":"article-journal","volume":"13"},"uris":["http://www.mendeley.com/documents/?uuid=d4f591a8-4f9d-477f-baa7-1ae7515d1b7a"]}],"mendeley":{"formattedCitation":"(Ejieji, 2011)","manualFormatting":"Ejieji, 2011)","plainTextFormattedCitation":"(Ejieji, 2011)","previouslyFormattedCitation":"(Ejieji, 2011)"},"properties":{"noteIndex":0},"schema":"https://github.com/citation-style-language/schema/raw/master/csl-citation.json"}</w:instrText>
      </w:r>
      <w:r w:rsidR="005E5BFA" w:rsidRPr="00022CA4">
        <w:rPr>
          <w:rFonts w:ascii="Times New Roman" w:hAnsi="Times New Roman" w:cs="Times New Roman"/>
          <w:sz w:val="24"/>
          <w:szCs w:val="24"/>
        </w:rPr>
        <w:fldChar w:fldCharType="separate"/>
      </w:r>
      <w:r w:rsidR="005E5BFA" w:rsidRPr="00022CA4">
        <w:rPr>
          <w:rFonts w:ascii="Times New Roman" w:hAnsi="Times New Roman" w:cs="Times New Roman"/>
          <w:noProof/>
          <w:sz w:val="24"/>
          <w:szCs w:val="24"/>
        </w:rPr>
        <w:t>Ejieji, 2011)</w:t>
      </w:r>
      <w:r w:rsidR="005E5BFA" w:rsidRPr="00022CA4">
        <w:rPr>
          <w:rFonts w:ascii="Times New Roman" w:hAnsi="Times New Roman" w:cs="Times New Roman"/>
          <w:sz w:val="24"/>
          <w:szCs w:val="24"/>
        </w:rPr>
        <w:fldChar w:fldCharType="end"/>
      </w:r>
      <w:r w:rsidRPr="00CE1D91">
        <w:rPr>
          <w:rFonts w:ascii="Times New Roman" w:hAnsi="Times New Roman" w:cs="Times New Roman"/>
          <w:sz w:val="24"/>
          <w:szCs w:val="24"/>
        </w:rPr>
        <w:t>. Accordingly, this study assumes potential (reference) evapotranspiration approximates actual evapotranspiration.</w:t>
      </w:r>
    </w:p>
    <w:p w14:paraId="0214EDDE" w14:textId="28D31126" w:rsidR="00AC3258" w:rsidRPr="00022CA4" w:rsidRDefault="00AC3258" w:rsidP="00AC3258">
      <w:pPr>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According to the Food and Agricu</w:t>
      </w:r>
      <w:r w:rsidR="00327163" w:rsidRPr="00022CA4">
        <w:rPr>
          <w:rFonts w:ascii="Times New Roman" w:hAnsi="Times New Roman" w:cs="Times New Roman"/>
          <w:sz w:val="24"/>
          <w:szCs w:val="24"/>
        </w:rPr>
        <w:t xml:space="preserve">lture Organization </w:t>
      </w:r>
      <w:r w:rsidRPr="00022CA4">
        <w:rPr>
          <w:rFonts w:ascii="Times New Roman" w:hAnsi="Times New Roman" w:cs="Times New Roman"/>
          <w:sz w:val="24"/>
          <w:szCs w:val="24"/>
        </w:rPr>
        <w:t>of the United Nations report in 1998 document number 56 (FAO56), the reference</w:t>
      </w:r>
      <w:r w:rsidRPr="00022CA4">
        <w:rPr>
          <w:rFonts w:ascii="Times New Roman" w:hAnsi="Times New Roman" w:cs="Times New Roman"/>
          <w:spacing w:val="-3"/>
          <w:sz w:val="24"/>
          <w:szCs w:val="24"/>
        </w:rPr>
        <w:t xml:space="preserve"> </w:t>
      </w:r>
      <w:r w:rsidRPr="00022CA4">
        <w:rPr>
          <w:rFonts w:ascii="Times New Roman" w:hAnsi="Times New Roman" w:cs="Times New Roman"/>
          <w:sz w:val="24"/>
          <w:szCs w:val="24"/>
        </w:rPr>
        <w:t>evapotranspiration (</w:t>
      </w:r>
      <w:proofErr w:type="spellStart"/>
      <w:r w:rsidRPr="00022CA4">
        <w:rPr>
          <w:rFonts w:ascii="Times New Roman" w:hAnsi="Times New Roman" w:cs="Times New Roman"/>
          <w:sz w:val="24"/>
          <w:szCs w:val="24"/>
        </w:rPr>
        <w:t>ET</w:t>
      </w:r>
      <w:r w:rsidRPr="00022CA4">
        <w:rPr>
          <w:rFonts w:ascii="Times New Roman" w:hAnsi="Times New Roman" w:cs="Times New Roman"/>
          <w:sz w:val="24"/>
          <w:szCs w:val="24"/>
          <w:vertAlign w:val="subscript"/>
        </w:rPr>
        <w:t>o</w:t>
      </w:r>
      <w:proofErr w:type="spellEnd"/>
      <w:r w:rsidRPr="00022CA4">
        <w:rPr>
          <w:rFonts w:ascii="Times New Roman" w:hAnsi="Times New Roman" w:cs="Times New Roman"/>
          <w:sz w:val="24"/>
          <w:szCs w:val="24"/>
        </w:rPr>
        <w:t>)</w:t>
      </w:r>
      <w:r w:rsidRPr="00022CA4">
        <w:rPr>
          <w:rFonts w:ascii="Times New Roman" w:hAnsi="Times New Roman" w:cs="Times New Roman"/>
          <w:spacing w:val="-6"/>
          <w:sz w:val="24"/>
          <w:szCs w:val="24"/>
        </w:rPr>
        <w:t xml:space="preserve"> </w:t>
      </w:r>
      <w:r w:rsidRPr="00022CA4">
        <w:rPr>
          <w:rFonts w:ascii="Times New Roman" w:hAnsi="Times New Roman" w:cs="Times New Roman"/>
          <w:sz w:val="24"/>
          <w:szCs w:val="24"/>
        </w:rPr>
        <w:t>is defined as “the rate of evapotranspiration from a hypothetical reference crop with an assumed crop height of 0.12 m, a fixed surface resistance of 70 sm</w:t>
      </w:r>
      <w:r w:rsidRPr="00022CA4">
        <w:rPr>
          <w:rFonts w:ascii="Times New Roman" w:hAnsi="Times New Roman" w:cs="Times New Roman"/>
          <w:sz w:val="24"/>
          <w:szCs w:val="24"/>
          <w:vertAlign w:val="superscript"/>
        </w:rPr>
        <w:t>-1</w:t>
      </w:r>
      <w:r w:rsidRPr="00022CA4">
        <w:rPr>
          <w:rFonts w:ascii="Times New Roman" w:hAnsi="Times New Roman" w:cs="Times New Roman"/>
          <w:sz w:val="24"/>
          <w:szCs w:val="24"/>
        </w:rPr>
        <w:t xml:space="preserve"> and an albedo of 0.23, closely resembling the evapotranspiration</w:t>
      </w:r>
      <w:r w:rsidRPr="00022CA4">
        <w:rPr>
          <w:rFonts w:ascii="Times New Roman" w:hAnsi="Times New Roman" w:cs="Times New Roman"/>
          <w:spacing w:val="-2"/>
          <w:sz w:val="24"/>
          <w:szCs w:val="24"/>
        </w:rPr>
        <w:t xml:space="preserve"> </w:t>
      </w:r>
      <w:r w:rsidRPr="00022CA4">
        <w:rPr>
          <w:rFonts w:ascii="Times New Roman" w:hAnsi="Times New Roman" w:cs="Times New Roman"/>
          <w:sz w:val="24"/>
          <w:szCs w:val="24"/>
        </w:rPr>
        <w:t>from</w:t>
      </w:r>
      <w:r w:rsidRPr="00022CA4">
        <w:rPr>
          <w:rFonts w:ascii="Times New Roman" w:hAnsi="Times New Roman" w:cs="Times New Roman"/>
          <w:spacing w:val="-6"/>
          <w:sz w:val="24"/>
          <w:szCs w:val="24"/>
        </w:rPr>
        <w:t xml:space="preserve"> </w:t>
      </w:r>
      <w:r w:rsidRPr="00022CA4">
        <w:rPr>
          <w:rFonts w:ascii="Times New Roman" w:hAnsi="Times New Roman" w:cs="Times New Roman"/>
          <w:sz w:val="24"/>
          <w:szCs w:val="24"/>
        </w:rPr>
        <w:t>an extensive</w:t>
      </w:r>
      <w:r w:rsidRPr="00022CA4">
        <w:rPr>
          <w:rFonts w:ascii="Times New Roman" w:hAnsi="Times New Roman" w:cs="Times New Roman"/>
          <w:spacing w:val="-2"/>
          <w:sz w:val="24"/>
          <w:szCs w:val="24"/>
        </w:rPr>
        <w:t xml:space="preserve"> </w:t>
      </w:r>
      <w:r w:rsidRPr="00022CA4">
        <w:rPr>
          <w:rFonts w:ascii="Times New Roman" w:hAnsi="Times New Roman" w:cs="Times New Roman"/>
          <w:sz w:val="24"/>
          <w:szCs w:val="24"/>
        </w:rPr>
        <w:t>surface</w:t>
      </w:r>
      <w:r w:rsidRPr="00022CA4">
        <w:rPr>
          <w:rFonts w:ascii="Times New Roman" w:hAnsi="Times New Roman" w:cs="Times New Roman"/>
          <w:spacing w:val="-2"/>
          <w:sz w:val="24"/>
          <w:szCs w:val="24"/>
        </w:rPr>
        <w:t xml:space="preserve"> </w:t>
      </w:r>
      <w:r w:rsidRPr="00022CA4">
        <w:rPr>
          <w:rFonts w:ascii="Times New Roman" w:hAnsi="Times New Roman" w:cs="Times New Roman"/>
          <w:sz w:val="24"/>
          <w:szCs w:val="24"/>
        </w:rPr>
        <w:t>of</w:t>
      </w:r>
      <w:r w:rsidRPr="00022CA4">
        <w:rPr>
          <w:rFonts w:ascii="Times New Roman" w:hAnsi="Times New Roman" w:cs="Times New Roman"/>
          <w:spacing w:val="-2"/>
          <w:sz w:val="24"/>
          <w:szCs w:val="24"/>
        </w:rPr>
        <w:t xml:space="preserve"> </w:t>
      </w:r>
      <w:r w:rsidRPr="00022CA4">
        <w:rPr>
          <w:rFonts w:ascii="Times New Roman" w:hAnsi="Times New Roman" w:cs="Times New Roman"/>
          <w:sz w:val="24"/>
          <w:szCs w:val="24"/>
        </w:rPr>
        <w:t>green</w:t>
      </w:r>
      <w:r w:rsidRPr="00022CA4">
        <w:rPr>
          <w:rFonts w:ascii="Times New Roman" w:hAnsi="Times New Roman" w:cs="Times New Roman"/>
          <w:spacing w:val="-2"/>
          <w:sz w:val="24"/>
          <w:szCs w:val="24"/>
        </w:rPr>
        <w:t xml:space="preserve"> </w:t>
      </w:r>
      <w:r w:rsidRPr="00022CA4">
        <w:rPr>
          <w:rFonts w:ascii="Times New Roman" w:hAnsi="Times New Roman" w:cs="Times New Roman"/>
          <w:sz w:val="24"/>
          <w:szCs w:val="24"/>
        </w:rPr>
        <w:t>grass</w:t>
      </w:r>
      <w:r w:rsidRPr="00022CA4">
        <w:rPr>
          <w:rFonts w:ascii="Times New Roman" w:hAnsi="Times New Roman" w:cs="Times New Roman"/>
          <w:spacing w:val="-2"/>
          <w:sz w:val="24"/>
          <w:szCs w:val="24"/>
        </w:rPr>
        <w:t xml:space="preserve"> </w:t>
      </w:r>
      <w:r w:rsidRPr="00022CA4">
        <w:rPr>
          <w:rFonts w:ascii="Times New Roman" w:hAnsi="Times New Roman" w:cs="Times New Roman"/>
          <w:sz w:val="24"/>
          <w:szCs w:val="24"/>
        </w:rPr>
        <w:t>of</w:t>
      </w:r>
      <w:r w:rsidRPr="00022CA4">
        <w:rPr>
          <w:rFonts w:ascii="Times New Roman" w:hAnsi="Times New Roman" w:cs="Times New Roman"/>
          <w:spacing w:val="-1"/>
          <w:sz w:val="24"/>
          <w:szCs w:val="24"/>
        </w:rPr>
        <w:t xml:space="preserve"> </w:t>
      </w:r>
      <w:r w:rsidRPr="00022CA4">
        <w:rPr>
          <w:rFonts w:ascii="Times New Roman" w:hAnsi="Times New Roman" w:cs="Times New Roman"/>
          <w:sz w:val="24"/>
          <w:szCs w:val="24"/>
        </w:rPr>
        <w:t>uniform</w:t>
      </w:r>
      <w:r w:rsidRPr="00022CA4">
        <w:rPr>
          <w:rFonts w:ascii="Times New Roman" w:hAnsi="Times New Roman" w:cs="Times New Roman"/>
          <w:spacing w:val="-6"/>
          <w:sz w:val="24"/>
          <w:szCs w:val="24"/>
        </w:rPr>
        <w:t xml:space="preserve"> </w:t>
      </w:r>
      <w:r w:rsidRPr="00022CA4">
        <w:rPr>
          <w:rFonts w:ascii="Times New Roman" w:hAnsi="Times New Roman" w:cs="Times New Roman"/>
          <w:sz w:val="24"/>
          <w:szCs w:val="24"/>
        </w:rPr>
        <w:t xml:space="preserve">height, actively growing, well-watered, and completely shading the ground” </w:t>
      </w:r>
      <w:r w:rsidRPr="00022CA4">
        <w:rPr>
          <w:rFonts w:ascii="Times New Roman" w:hAnsi="Times New Roman" w:cs="Times New Roman"/>
          <w:sz w:val="24"/>
          <w:szCs w:val="24"/>
        </w:rPr>
        <w:fldChar w:fldCharType="begin" w:fldLock="1"/>
      </w:r>
      <w:r w:rsidRPr="00022CA4">
        <w:rPr>
          <w:rFonts w:ascii="Times New Roman" w:hAnsi="Times New Roman" w:cs="Times New Roman"/>
          <w:sz w:val="24"/>
          <w:szCs w:val="24"/>
        </w:rPr>
        <w:instrText>ADDIN CSL_CITATION {"citationItems":[{"id":"ITEM-1","itemData":{"ISBN":"9251042195","ISSN":"92-5-104219-5","PMID":"19991908969","abstract":"This publication presents an updated procedure for calculating reference and crop evapotranspiration from meteorological data and crop coefficients. The procedure, first presented in the FAO Irrigation and Drainage Paper No. 24 'Crop Water Requirements', ETo' approach, whereby the effect of the climate on crop water requirements is given by the reference evapotranspiration ETo and the effect of the crop by the crop coefficient Kc. Other procedures developed in FAO Irrigation and Drainage Paper No. 24 such as the estimation of is termed the 'Kc dependable and effective rainfall, the calculation of irrigation requirements and the design of irrigation schedules are not presented in this publication but will be the subject of later papers in the series.","author":[{"dropping-particle":"","family":"Allen","given":"Richard G.","non-dropping-particle":"","parse-names":false,"suffix":""},{"dropping-particle":"","family":"PEREIRA","given":"Luis S.","non-dropping-particle":"","parse-names":false,"suffix":""},{"dropping-particle":"","family":"RAES","given":"Dirk","non-dropping-particle":"","parse-names":false,"suffix":""},{"dropping-particle":"","family":"Martin","given":"SMITH","non-dropping-particle":"","parse-names":false,"suffix":""}],"container-title":"Irrigation and Drainage","id":"ITEM-1","issue":"56","issued":{"date-parts":[["1998"]]},"page":"300","title":"FAO Irrigation and Drainage Paper Crop by","type":"article-journal","volume":"300"},"uris":["http://www.mendeley.com/documents/?uuid=01fecc28-329d-42d6-8066-1a75359961d6"]}],"mendeley":{"formattedCitation":"(Allen et al., 1998)","plainTextFormattedCitation":"(Allen et al., 1998)","previouslyFormattedCitation":"(Allen et al., 1998)"},"properties":{"noteIndex":0},"schema":"https://github.com/citation-style-language/schema/raw/master/csl-citation.json"}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(Allen et al., 1998)</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p>
    <w:p w14:paraId="77F62042" w14:textId="36F8BF2A" w:rsidR="00AC3258" w:rsidRPr="00022CA4" w:rsidRDefault="00AC3258" w:rsidP="00AC3258">
      <w:pPr>
        <w:spacing w:after="240" w:line="360" w:lineRule="auto"/>
        <w:jc w:val="both"/>
        <w:rPr>
          <w:rFonts w:ascii="Times New Roman" w:hAnsi="Times New Roman" w:cs="Times New Roman"/>
          <w:sz w:val="24"/>
          <w:szCs w:val="24"/>
        </w:rPr>
      </w:pPr>
      <w:proofErr w:type="spellStart"/>
      <w:r w:rsidRPr="00022CA4">
        <w:rPr>
          <w:rFonts w:ascii="Times New Roman" w:hAnsi="Times New Roman" w:cs="Times New Roman"/>
          <w:sz w:val="24"/>
          <w:szCs w:val="24"/>
        </w:rPr>
        <w:t>ET</w:t>
      </w:r>
      <w:r w:rsidRPr="00022CA4">
        <w:rPr>
          <w:rFonts w:ascii="Times New Roman" w:hAnsi="Times New Roman" w:cs="Times New Roman"/>
          <w:sz w:val="24"/>
          <w:szCs w:val="24"/>
          <w:vertAlign w:val="subscript"/>
        </w:rPr>
        <w:t>o</w:t>
      </w:r>
      <w:proofErr w:type="spellEnd"/>
      <w:r w:rsidRPr="00022CA4">
        <w:rPr>
          <w:rFonts w:ascii="Times New Roman" w:hAnsi="Times New Roman" w:cs="Times New Roman"/>
          <w:sz w:val="24"/>
          <w:szCs w:val="24"/>
        </w:rPr>
        <w:t xml:space="preserve"> is influenced by several factors amongst which include the net solar radiation, vapor pressure deficit, wind speed, size of surface water bodies, type and size of vegetative cover, availability of soil moisture, reflecti</w:t>
      </w:r>
      <w:r w:rsidR="00327163" w:rsidRPr="00022CA4">
        <w:rPr>
          <w:rFonts w:ascii="Times New Roman" w:hAnsi="Times New Roman" w:cs="Times New Roman"/>
          <w:sz w:val="24"/>
          <w:szCs w:val="24"/>
        </w:rPr>
        <w:t>on</w:t>
      </w:r>
      <w:r w:rsidRPr="00022CA4">
        <w:rPr>
          <w:rFonts w:ascii="Times New Roman" w:hAnsi="Times New Roman" w:cs="Times New Roman"/>
          <w:sz w:val="24"/>
          <w:szCs w:val="24"/>
        </w:rPr>
        <w:t xml:space="preserve"> of land surface, and change in land use/ land cover. For example, land surface characteristics ha</w:t>
      </w:r>
      <w:r w:rsidR="00327163" w:rsidRPr="00022CA4">
        <w:rPr>
          <w:rFonts w:ascii="Times New Roman" w:hAnsi="Times New Roman" w:cs="Times New Roman"/>
          <w:sz w:val="24"/>
          <w:szCs w:val="24"/>
        </w:rPr>
        <w:t>ve</w:t>
      </w:r>
      <w:r w:rsidRPr="00022CA4">
        <w:rPr>
          <w:rFonts w:ascii="Times New Roman" w:hAnsi="Times New Roman" w:cs="Times New Roman"/>
          <w:sz w:val="24"/>
          <w:szCs w:val="24"/>
        </w:rPr>
        <w:t xml:space="preserve"> been altered in most parts</w:t>
      </w:r>
      <w:r w:rsidRPr="00022CA4">
        <w:rPr>
          <w:rFonts w:ascii="Times New Roman" w:hAnsi="Times New Roman" w:cs="Times New Roman"/>
          <w:spacing w:val="69"/>
          <w:sz w:val="24"/>
          <w:szCs w:val="24"/>
        </w:rPr>
        <w:t xml:space="preserve"> </w:t>
      </w:r>
      <w:r w:rsidRPr="00022CA4">
        <w:rPr>
          <w:rFonts w:ascii="Times New Roman" w:hAnsi="Times New Roman" w:cs="Times New Roman"/>
          <w:sz w:val="24"/>
          <w:szCs w:val="24"/>
        </w:rPr>
        <w:t>of</w:t>
      </w:r>
      <w:r w:rsidRPr="00022CA4">
        <w:rPr>
          <w:rFonts w:ascii="Times New Roman" w:hAnsi="Times New Roman" w:cs="Times New Roman"/>
          <w:spacing w:val="67"/>
          <w:sz w:val="24"/>
          <w:szCs w:val="24"/>
        </w:rPr>
        <w:t xml:space="preserve"> </w:t>
      </w:r>
      <w:r w:rsidRPr="00022CA4">
        <w:rPr>
          <w:rFonts w:ascii="Times New Roman" w:hAnsi="Times New Roman" w:cs="Times New Roman"/>
          <w:sz w:val="24"/>
          <w:szCs w:val="24"/>
        </w:rPr>
        <w:t>the</w:t>
      </w:r>
      <w:r w:rsidRPr="00022CA4">
        <w:rPr>
          <w:rFonts w:ascii="Times New Roman" w:hAnsi="Times New Roman" w:cs="Times New Roman"/>
          <w:spacing w:val="70"/>
          <w:sz w:val="24"/>
          <w:szCs w:val="24"/>
        </w:rPr>
        <w:t xml:space="preserve"> </w:t>
      </w:r>
      <w:r w:rsidRPr="00022CA4">
        <w:rPr>
          <w:rFonts w:ascii="Times New Roman" w:hAnsi="Times New Roman" w:cs="Times New Roman"/>
          <w:sz w:val="24"/>
          <w:szCs w:val="24"/>
        </w:rPr>
        <w:t>world,</w:t>
      </w:r>
      <w:r w:rsidRPr="00022CA4">
        <w:rPr>
          <w:rFonts w:ascii="Times New Roman" w:hAnsi="Times New Roman" w:cs="Times New Roman"/>
          <w:spacing w:val="66"/>
          <w:sz w:val="24"/>
          <w:szCs w:val="24"/>
        </w:rPr>
        <w:t xml:space="preserve"> </w:t>
      </w:r>
      <w:r w:rsidRPr="00022CA4">
        <w:rPr>
          <w:rFonts w:ascii="Times New Roman" w:hAnsi="Times New Roman" w:cs="Times New Roman"/>
          <w:sz w:val="24"/>
          <w:szCs w:val="24"/>
        </w:rPr>
        <w:t>including</w:t>
      </w:r>
      <w:r w:rsidRPr="00022CA4">
        <w:rPr>
          <w:rFonts w:ascii="Times New Roman" w:hAnsi="Times New Roman" w:cs="Times New Roman"/>
          <w:spacing w:val="69"/>
          <w:sz w:val="24"/>
          <w:szCs w:val="24"/>
        </w:rPr>
        <w:t xml:space="preserve"> </w:t>
      </w:r>
      <w:r w:rsidRPr="00022CA4">
        <w:rPr>
          <w:rFonts w:ascii="Times New Roman" w:hAnsi="Times New Roman" w:cs="Times New Roman"/>
          <w:sz w:val="24"/>
          <w:szCs w:val="24"/>
        </w:rPr>
        <w:t>Africa.</w:t>
      </w:r>
      <w:r w:rsidRPr="00022CA4">
        <w:rPr>
          <w:rFonts w:ascii="Times New Roman" w:hAnsi="Times New Roman" w:cs="Times New Roman"/>
          <w:spacing w:val="69"/>
          <w:sz w:val="24"/>
          <w:szCs w:val="24"/>
        </w:rPr>
        <w:t xml:space="preserve"> </w:t>
      </w:r>
      <w:r w:rsidRPr="00022CA4">
        <w:rPr>
          <w:rFonts w:ascii="Times New Roman" w:hAnsi="Times New Roman" w:cs="Times New Roman"/>
          <w:sz w:val="24"/>
          <w:szCs w:val="24"/>
        </w:rPr>
        <w:t>It is important to note that the alteration of land cover by anthropogenic activities changes the land surface characteristics and influence</w:t>
      </w:r>
      <w:r w:rsidR="00327163" w:rsidRPr="00022CA4">
        <w:rPr>
          <w:rFonts w:ascii="Times New Roman" w:hAnsi="Times New Roman" w:cs="Times New Roman"/>
          <w:sz w:val="24"/>
          <w:szCs w:val="24"/>
        </w:rPr>
        <w:t>s</w:t>
      </w:r>
      <w:r w:rsidRPr="00022CA4">
        <w:rPr>
          <w:rFonts w:ascii="Times New Roman" w:hAnsi="Times New Roman" w:cs="Times New Roman"/>
          <w:sz w:val="24"/>
          <w:szCs w:val="24"/>
        </w:rPr>
        <w:t xml:space="preserve"> </w:t>
      </w:r>
      <w:r w:rsidR="00327163" w:rsidRPr="00022CA4">
        <w:rPr>
          <w:rFonts w:ascii="Times New Roman" w:hAnsi="Times New Roman" w:cs="Times New Roman"/>
          <w:sz w:val="24"/>
          <w:szCs w:val="24"/>
        </w:rPr>
        <w:t xml:space="preserve">the </w:t>
      </w:r>
      <w:r w:rsidRPr="00022CA4">
        <w:rPr>
          <w:rFonts w:ascii="Times New Roman" w:hAnsi="Times New Roman" w:cs="Times New Roman"/>
          <w:sz w:val="24"/>
          <w:szCs w:val="24"/>
        </w:rPr>
        <w:t xml:space="preserve">evapotranspiration process on </w:t>
      </w:r>
      <w:r w:rsidR="00327163" w:rsidRPr="00022CA4">
        <w:rPr>
          <w:rFonts w:ascii="Times New Roman" w:hAnsi="Times New Roman" w:cs="Times New Roman"/>
          <w:sz w:val="24"/>
          <w:szCs w:val="24"/>
        </w:rPr>
        <w:t xml:space="preserve">a </w:t>
      </w:r>
      <w:r w:rsidRPr="00022CA4">
        <w:rPr>
          <w:rFonts w:ascii="Times New Roman" w:hAnsi="Times New Roman" w:cs="Times New Roman"/>
          <w:sz w:val="24"/>
          <w:szCs w:val="24"/>
        </w:rPr>
        <w:t xml:space="preserve">regional scale (e.g. East Africa) or country scale (e.g. Ethiopia), thus altering the regional hydrological cycle. In addition to the surface and subsurface hydrology, the climatic water balance, which is the difference between </w:t>
      </w:r>
      <w:r w:rsidR="001C4477">
        <w:rPr>
          <w:rFonts w:ascii="Times New Roman" w:hAnsi="Times New Roman" w:cs="Times New Roman"/>
          <w:sz w:val="24"/>
          <w:szCs w:val="24"/>
        </w:rPr>
        <w:t>rainfall</w:t>
      </w:r>
      <w:r w:rsidRPr="00022CA4">
        <w:rPr>
          <w:rFonts w:ascii="Times New Roman" w:hAnsi="Times New Roman" w:cs="Times New Roman"/>
          <w:sz w:val="24"/>
          <w:szCs w:val="24"/>
        </w:rPr>
        <w:t xml:space="preserve"> and evapotran</w:t>
      </w:r>
      <w:r w:rsidR="00327163" w:rsidRPr="00022CA4">
        <w:rPr>
          <w:rFonts w:ascii="Times New Roman" w:hAnsi="Times New Roman" w:cs="Times New Roman"/>
          <w:sz w:val="24"/>
          <w:szCs w:val="24"/>
        </w:rPr>
        <w:t>s</w:t>
      </w:r>
      <w:r w:rsidRPr="00022CA4">
        <w:rPr>
          <w:rFonts w:ascii="Times New Roman" w:hAnsi="Times New Roman" w:cs="Times New Roman"/>
          <w:sz w:val="24"/>
          <w:szCs w:val="24"/>
        </w:rPr>
        <w:t>piration, is the main component of the hydrological system impacting the water and climate of a place.</w:t>
      </w:r>
    </w:p>
    <w:p w14:paraId="3840702D" w14:textId="75E4C4AD" w:rsidR="00AC3258" w:rsidRPr="00022CA4" w:rsidRDefault="00AC3258" w:rsidP="00AC3258">
      <w:pPr>
        <w:pStyle w:val="BodyText"/>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Ethiopia's climate is primarily influenced by the seasonal movement of the </w:t>
      </w:r>
      <w:proofErr w:type="spellStart"/>
      <w:r w:rsidRPr="00022CA4">
        <w:rPr>
          <w:rFonts w:ascii="Times New Roman" w:hAnsi="Times New Roman" w:cs="Times New Roman"/>
          <w:sz w:val="24"/>
          <w:szCs w:val="24"/>
        </w:rPr>
        <w:t>Intertropical</w:t>
      </w:r>
      <w:proofErr w:type="spellEnd"/>
      <w:r w:rsidRPr="00022CA4">
        <w:rPr>
          <w:rFonts w:ascii="Times New Roman" w:hAnsi="Times New Roman" w:cs="Times New Roman"/>
          <w:sz w:val="24"/>
          <w:szCs w:val="24"/>
        </w:rPr>
        <w:t xml:space="preserve"> Convergence Zone (ITCZ) and associated atmospheric patterns </w:t>
      </w:r>
      <w:r w:rsidRPr="00022CA4">
        <w:rPr>
          <w:rFonts w:ascii="Times New Roman" w:hAnsi="Times New Roman" w:cs="Times New Roman"/>
          <w:sz w:val="24"/>
          <w:szCs w:val="24"/>
        </w:rPr>
        <w:fldChar w:fldCharType="begin" w:fldLock="1"/>
      </w:r>
      <w:r w:rsidRPr="00022CA4">
        <w:rPr>
          <w:rFonts w:ascii="Times New Roman" w:hAnsi="Times New Roman" w:cs="Times New Roman"/>
          <w:sz w:val="24"/>
          <w:szCs w:val="24"/>
        </w:rPr>
        <w:instrText>ADDIN CSL_CITATION {"citationItems":[{"id":"ITEM-1","itemData":{"DOI":"10.1007/978-94-017-8026-1_3","ISBN":"9789401780261","ISSN":"22132104","abstract":"Several papers have been published on different issues regarding the climate of Ethiopia or of some specific region. This presentation attempts to revise the knowledge of the climate of Ethiopia by means of updated, longer time series and including a larger number of meteo-stations than previous studies. Basic climatic parameters such as temperature, rainfall, relative humidity, wind, evapotranspiration, and aridity are considered and their spatial distribution is analyzed. The main results of such elaborations have been regionalized to obtain climatic maps by means of geostatistical interpolation, also taking into account topogeographic variables. These parameters were also used to update the Köppen classification of the Ethiopian territory. Climate change is a very important issue with worrying repercussions on agriculture and hence the social and economic development of the country. Trends of temperature and annual, spring, and summer rains were interpolated for the last 3–5 decades. Temperature shows a markedly increasing trend especially as regards the minimum values, whereas annual rainfalls tend to decrease with the spring, ‘small rains’ decreasing at faster rate.","author":[{"dropping-particle":"","family":"Fazzini","given":"Massimiliano","non-dropping-particle":"","parse-names":false,"suffix":""},{"dropping-particle":"","family":"Bisci","given":"Carlo","non-dropping-particle":"","parse-names":false,"suffix":""},{"dropping-particle":"","family":"Billi","given":"Paolo","non-dropping-particle":"","parse-names":false,"suffix":""}],"container-title":"World Geomorphological Landscapes","id":"ITEM-1","issue":"February 2016","issued":{"date-parts":[["2015"]]},"page":"65-87","title":"The Climate of Ethiopia","type":"article-journal"},"uris":["http://www.mendeley.com/documents/?uuid=8b374c5e-1372-4b09-b9bd-46906a533da1"]}],"mendeley":{"formattedCitation":"(Fazzini et al., 2015)","manualFormatting":"(Fazzini et al., 2015","plainTextFormattedCitation":"(Fazzini et al., 2015)","previouslyFormattedCitation":"(Fazzini et al., 2015)"},"properties":{"noteIndex":0},"schema":"https://github.com/citation-style-language/schema/raw/master/csl-citation.json"}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(Fazzini et al., 2015</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Pr="00022CA4">
        <w:rPr>
          <w:rFonts w:ascii="Times New Roman" w:hAnsi="Times New Roman" w:cs="Times New Roman"/>
          <w:sz w:val="24"/>
          <w:szCs w:val="24"/>
        </w:rPr>
        <w:instrText>ADDIN CSL_CITATION {"citationItems":[{"id":"ITEM-1","itemData":{"DOI":"10.1007/s00382-016-3421-z","ISSN":"14320894","abstract":"While El Niño is known to cause failure of Kiremt (boreal summer) rainfall in Ethiopia, the mechanisms are not fully understood. Here we use the ECHAM5 Atmospheric General Circulation Model to investigate the physical link between Pacific sea surface temperature (SST) anomalies and Kiremt rainfall. We compare ECHAM5 simulations forced with reconstructed SST data, to gauge-based rainfall observations and atmospheric reanalysis for the time period of 1961–2009. We perform composite analysis and sensitivity experiments driven only with equatorial Pacific SST anomalies. Our results show warm SST anomalies in the equatorial Pacific drive a corresponding large-scale circulation anomaly with subsidence over Ethiopia in dry Kiremt seasons. Horizontal wind fields show a slow-down of the whole Indian monsoon system with a weaker Tropical Easterly Jet and a weaker East African Low-Level Jet in these summers. These changes can be seen as an anomalous circulation cell over northern Africa with westerlies at 100–200 hPa and easterlies below 500 hPa. Surface easterlies might reduce the moisture inflow from the Atlantic and Congo basin into Ethiopia. This and the general subsidence over the region could explain the reduction in Kiremt rainfall. Our results suggest up to 50% of the Kiremt rainfall anomalies is driven by equatorial Pacific SST variability.","author":[{"dropping-particle":"","family":"Gleixner","given":"Stephanie","non-dropping-particle":"","parse-names":false,"suffix":""},{"dropping-particle":"","family":"Keenlyside","given":"Noel","non-dropping-particle":"","parse-names":false,"suffix":""},{"dropping-particle":"","family":"Viste","given":"Ellen","non-dropping-particle":"","parse-names":false,"suffix":""},{"dropping-particle":"","family":"Korecha","given":"Diriba","non-dropping-particle":"","parse-names":false,"suffix":""}],"container-title":"Climate Dynamics","id":"ITEM-1","issue":"5-6","issued":{"date-parts":[["2017"]]},"page":"1865-1883","publisher":"Springer Berlin Heidelberg","title":"The El Niño effect on Ethiopian summer rainfall","type":"article-journal","volume":"49"},"uris":["http://www.mendeley.com/documents/?uuid=ea3e266a-9dd9-4f62-93c9-3576421f803a"]}],"mendeley":{"formattedCitation":"(Gleixner et al., 2017)","manualFormatting":"Gleixner et al., 2017)","plainTextFormattedCitation":"(Gleixner et al., 2017)","previouslyFormattedCitation":"(Gleixner et al., 2017)"},"properties":{"noteIndex":0},"schema":"https://github.com/citation-style-language/schema/raw/master/csl-citation.json"}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Gleixner et al., 2017)</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along with the country’s varied topography and distinct elevation differences across large regions. The shift between lowland and highland areas is often abrupt, creating a range of climates from very arid to very humid, characteristic of equatorial mountainous regions, with further local variations. Additionally, </w:t>
      </w:r>
      <w:r w:rsidR="001C4477">
        <w:rPr>
          <w:rFonts w:ascii="Times New Roman" w:hAnsi="Times New Roman" w:cs="Times New Roman"/>
          <w:sz w:val="24"/>
          <w:szCs w:val="24"/>
        </w:rPr>
        <w:t>rainfall</w:t>
      </w:r>
      <w:r w:rsidRPr="00022CA4">
        <w:rPr>
          <w:rFonts w:ascii="Times New Roman" w:hAnsi="Times New Roman" w:cs="Times New Roman"/>
          <w:sz w:val="24"/>
          <w:szCs w:val="24"/>
        </w:rPr>
        <w:t xml:space="preserve"> patterns change with latitude, generally decreasing from south to north </w:t>
      </w:r>
      <w:r w:rsidRPr="00022CA4">
        <w:rPr>
          <w:rFonts w:ascii="Times New Roman" w:hAnsi="Times New Roman" w:cs="Times New Roman"/>
          <w:sz w:val="24"/>
          <w:szCs w:val="24"/>
        </w:rPr>
        <w:fldChar w:fldCharType="begin" w:fldLock="1"/>
      </w:r>
      <w:r w:rsidRPr="00022CA4">
        <w:rPr>
          <w:rFonts w:ascii="Times New Roman" w:hAnsi="Times New Roman" w:cs="Times New Roman"/>
          <w:sz w:val="24"/>
          <w:szCs w:val="24"/>
        </w:rPr>
        <w:instrText>ADDIN CSL_CITATION {"citationItems":[{"id":"ITEM-1","itemData":{"DOI":"https://doi.org/10.1007/978-3-031-17012-6_3","author":[{"dropping-particle":"","family":"Tibebe","given":"Degefie","non-dropping-particle":"","parse-names":false,"suffix":""},{"dropping-particle":"","family":"Mamo","given":"Girma","non-dropping-particle":"","parse-names":false,"suffix":""},{"dropping-particle":"","family":"Zenebe","given":"Amanuel","non-dropping-particle":"","parse-names":false,"suffix":""},{"dropping-particle":"","family":"Ali","given":"Ashenafi","non-dropping-particle":"","parse-names":false,"suffix":""}],"container-title":"World Soils Book Series (WSBS)","id":"ITEM-1","issued":{"date-parts":[["2023"]]},"publisher":"Springer","title":"The Soils of Ethiopia: Climate","type":"chapter"},"uris":["http://www.mendeley.com/documents/?uuid=a7a48e57-b1b8-4cf8-af4b-6a343f422311"]}],"mendeley":{"formattedCitation":"(Tibebe et al., 2023)","plainTextFormattedCitation":"(Tibebe et al., 2023)","previouslyFormattedCitation":"(Tibebe et al., 2023)"},"properties":{"noteIndex":0},"schema":"https://github.com/citation-style-language/schema/raw/master/csl-citation.json"}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(Tibebe et al., 2023)</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and west to east, while elevation and landscape features play a significant role in shaping patterns of meteorological parameters such as </w:t>
      </w:r>
      <w:r w:rsidR="001C4477">
        <w:rPr>
          <w:rFonts w:ascii="Times New Roman" w:hAnsi="Times New Roman" w:cs="Times New Roman"/>
          <w:sz w:val="24"/>
          <w:szCs w:val="24"/>
        </w:rPr>
        <w:t>rainfall</w:t>
      </w:r>
      <w:r w:rsidRPr="00022CA4">
        <w:rPr>
          <w:rFonts w:ascii="Times New Roman" w:hAnsi="Times New Roman" w:cs="Times New Roman"/>
          <w:sz w:val="24"/>
          <w:szCs w:val="24"/>
        </w:rPr>
        <w:t xml:space="preserve">, </w:t>
      </w:r>
      <w:proofErr w:type="spellStart"/>
      <w:r w:rsidRPr="00022CA4">
        <w:rPr>
          <w:rFonts w:ascii="Times New Roman" w:hAnsi="Times New Roman" w:cs="Times New Roman"/>
          <w:sz w:val="24"/>
          <w:szCs w:val="24"/>
        </w:rPr>
        <w:t>evapotranapiration</w:t>
      </w:r>
      <w:proofErr w:type="spellEnd"/>
      <w:r w:rsidRPr="00022CA4">
        <w:rPr>
          <w:rFonts w:ascii="Times New Roman" w:hAnsi="Times New Roman" w:cs="Times New Roman"/>
          <w:sz w:val="24"/>
          <w:szCs w:val="24"/>
        </w:rPr>
        <w:t xml:space="preserve">, temperature, and wind across Ethiopian basins. </w:t>
      </w:r>
    </w:p>
    <w:p w14:paraId="748A5EA0" w14:textId="62149BFC" w:rsidR="007A1A78" w:rsidRPr="007A1A78" w:rsidRDefault="007A1A78" w:rsidP="00AC325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A1A78">
        <w:rPr>
          <w:rFonts w:ascii="Times New Roman" w:eastAsia="Times New Roman" w:hAnsi="Times New Roman" w:cs="Times New Roman"/>
          <w:sz w:val="24"/>
          <w:szCs w:val="24"/>
          <w:lang w:val="en-GB" w:eastAsia="en-GB"/>
        </w:rPr>
        <w:lastRenderedPageBreak/>
        <w:t>Ethio</w:t>
      </w:r>
      <w:r>
        <w:rPr>
          <w:rFonts w:ascii="Times New Roman" w:eastAsia="Times New Roman" w:hAnsi="Times New Roman" w:cs="Times New Roman"/>
          <w:sz w:val="24"/>
          <w:szCs w:val="24"/>
          <w:lang w:val="en-GB" w:eastAsia="en-GB"/>
        </w:rPr>
        <w:t xml:space="preserve">pia’s twelve major river basins </w:t>
      </w:r>
      <w:r w:rsidRPr="007A1A78">
        <w:rPr>
          <w:rFonts w:ascii="Times New Roman" w:eastAsia="Times New Roman" w:hAnsi="Times New Roman" w:cs="Times New Roman"/>
          <w:sz w:val="24"/>
          <w:szCs w:val="24"/>
          <w:lang w:val="en-GB" w:eastAsia="en-GB"/>
        </w:rPr>
        <w:t xml:space="preserve">from </w:t>
      </w:r>
      <w:proofErr w:type="spellStart"/>
      <w:r w:rsidRPr="007A1A78">
        <w:rPr>
          <w:rFonts w:ascii="Times New Roman" w:eastAsia="Times New Roman" w:hAnsi="Times New Roman" w:cs="Times New Roman"/>
          <w:sz w:val="24"/>
          <w:szCs w:val="24"/>
          <w:lang w:val="en-GB" w:eastAsia="en-GB"/>
        </w:rPr>
        <w:t>Wabe-Shebele</w:t>
      </w:r>
      <w:proofErr w:type="spellEnd"/>
      <w:r w:rsidRPr="007A1A78">
        <w:rPr>
          <w:rFonts w:ascii="Times New Roman" w:eastAsia="Times New Roman" w:hAnsi="Times New Roman" w:cs="Times New Roman"/>
          <w:sz w:val="24"/>
          <w:szCs w:val="24"/>
          <w:lang w:val="en-GB" w:eastAsia="en-GB"/>
        </w:rPr>
        <w:t xml:space="preserve"> and </w:t>
      </w:r>
      <w:proofErr w:type="spellStart"/>
      <w:r w:rsidRPr="007A1A78">
        <w:rPr>
          <w:rFonts w:ascii="Times New Roman" w:eastAsia="Times New Roman" w:hAnsi="Times New Roman" w:cs="Times New Roman"/>
          <w:sz w:val="24"/>
          <w:szCs w:val="24"/>
          <w:lang w:val="en-GB" w:eastAsia="en-GB"/>
        </w:rPr>
        <w:t>A</w:t>
      </w:r>
      <w:r>
        <w:rPr>
          <w:rFonts w:ascii="Times New Roman" w:eastAsia="Times New Roman" w:hAnsi="Times New Roman" w:cs="Times New Roman"/>
          <w:sz w:val="24"/>
          <w:szCs w:val="24"/>
          <w:lang w:val="en-GB" w:eastAsia="en-GB"/>
        </w:rPr>
        <w:t>bay</w:t>
      </w:r>
      <w:proofErr w:type="spellEnd"/>
      <w:r>
        <w:rPr>
          <w:rFonts w:ascii="Times New Roman" w:eastAsia="Times New Roman" w:hAnsi="Times New Roman" w:cs="Times New Roman"/>
          <w:sz w:val="24"/>
          <w:szCs w:val="24"/>
          <w:lang w:val="en-GB" w:eastAsia="en-GB"/>
        </w:rPr>
        <w:t xml:space="preserve"> to </w:t>
      </w:r>
      <w:proofErr w:type="spellStart"/>
      <w:r>
        <w:rPr>
          <w:rFonts w:ascii="Times New Roman" w:eastAsia="Times New Roman" w:hAnsi="Times New Roman" w:cs="Times New Roman"/>
          <w:sz w:val="24"/>
          <w:szCs w:val="24"/>
          <w:lang w:val="en-GB" w:eastAsia="en-GB"/>
        </w:rPr>
        <w:t>Ogaden</w:t>
      </w:r>
      <w:proofErr w:type="spellEnd"/>
      <w:r>
        <w:rPr>
          <w:rFonts w:ascii="Times New Roman" w:eastAsia="Times New Roman" w:hAnsi="Times New Roman" w:cs="Times New Roman"/>
          <w:sz w:val="24"/>
          <w:szCs w:val="24"/>
          <w:lang w:val="en-GB" w:eastAsia="en-GB"/>
        </w:rPr>
        <w:t xml:space="preserve">, </w:t>
      </w:r>
      <w:proofErr w:type="spellStart"/>
      <w:r>
        <w:rPr>
          <w:rFonts w:ascii="Times New Roman" w:eastAsia="Times New Roman" w:hAnsi="Times New Roman" w:cs="Times New Roman"/>
          <w:sz w:val="24"/>
          <w:szCs w:val="24"/>
          <w:lang w:val="en-GB" w:eastAsia="en-GB"/>
        </w:rPr>
        <w:t>Aysha</w:t>
      </w:r>
      <w:proofErr w:type="spellEnd"/>
      <w:r>
        <w:rPr>
          <w:rFonts w:ascii="Times New Roman" w:eastAsia="Times New Roman" w:hAnsi="Times New Roman" w:cs="Times New Roman"/>
          <w:sz w:val="24"/>
          <w:szCs w:val="24"/>
          <w:lang w:val="en-GB" w:eastAsia="en-GB"/>
        </w:rPr>
        <w:t xml:space="preserve">, and </w:t>
      </w:r>
      <w:proofErr w:type="spellStart"/>
      <w:r>
        <w:rPr>
          <w:rFonts w:ascii="Times New Roman" w:eastAsia="Times New Roman" w:hAnsi="Times New Roman" w:cs="Times New Roman"/>
          <w:sz w:val="24"/>
          <w:szCs w:val="24"/>
          <w:lang w:val="en-GB" w:eastAsia="en-GB"/>
        </w:rPr>
        <w:t>Mereb</w:t>
      </w:r>
      <w:proofErr w:type="spellEnd"/>
      <w:r>
        <w:rPr>
          <w:rFonts w:ascii="Times New Roman" w:eastAsia="Times New Roman" w:hAnsi="Times New Roman" w:cs="Times New Roman"/>
          <w:sz w:val="24"/>
          <w:szCs w:val="24"/>
          <w:lang w:val="en-GB" w:eastAsia="en-GB"/>
        </w:rPr>
        <w:t xml:space="preserve"> </w:t>
      </w:r>
      <w:r w:rsidRPr="007A1A78">
        <w:rPr>
          <w:rFonts w:ascii="Times New Roman" w:eastAsia="Times New Roman" w:hAnsi="Times New Roman" w:cs="Times New Roman"/>
          <w:sz w:val="24"/>
          <w:szCs w:val="24"/>
          <w:lang w:val="en-GB" w:eastAsia="en-GB"/>
        </w:rPr>
        <w:t xml:space="preserve">constitute a complex hydrological system vital for water security, ecosystem functioning, and human health. Some basins receive higher rainfall yet remain susceptible to public health challenges and climate-sensitive disease dynamics. In contrast, the dry basins of the eastern and southeastern lowlands experience arid conditions, irregular rainfall, limited surface water, and high evaporation, with communities relying on ephemeral streams. Frequent droughts and desertification exacerbate water scarcity and increase vulnerability to diseases associated with unsafe water, poor sanitation, shifting vector patterns, and extreme heat. Despite these difficulties, opportunities exist through groundwater exploitation, rainwater harvesting, and climate-resilient farming. Enhancing water management and climate-adaptation measures is crucial to mitigate health risks and strengthen resilience as climate change continues to reshape both hydrology and disease </w:t>
      </w:r>
      <w:r w:rsidRPr="006259F3">
        <w:rPr>
          <w:rFonts w:ascii="Times New Roman" w:eastAsia="Times New Roman" w:hAnsi="Times New Roman" w:cs="Times New Roman"/>
          <w:sz w:val="24"/>
          <w:szCs w:val="24"/>
          <w:lang w:val="en-GB" w:eastAsia="en-GB"/>
        </w:rPr>
        <w:t>patterns.</w:t>
      </w:r>
    </w:p>
    <w:p w14:paraId="1BDA7AFC" w14:textId="77777777" w:rsidR="006627F1" w:rsidRDefault="006627F1" w:rsidP="006627F1">
      <w:pPr>
        <w:pStyle w:val="NormalWeb"/>
        <w:spacing w:line="360" w:lineRule="auto"/>
        <w:jc w:val="both"/>
      </w:pPr>
      <w:r>
        <w:t>Rainfall in Ethiopia exhibits significant spatial and temporal variability, with some regions experiencing declining precipitation and more frequent droughts, while others face intensified rainfall and flooding (</w:t>
      </w:r>
      <w:proofErr w:type="spellStart"/>
      <w:r>
        <w:t>Bewket</w:t>
      </w:r>
      <w:proofErr w:type="spellEnd"/>
      <w:r>
        <w:t xml:space="preserve"> &amp; Conway, 2007; </w:t>
      </w:r>
      <w:proofErr w:type="spellStart"/>
      <w:r>
        <w:t>Seleshi</w:t>
      </w:r>
      <w:proofErr w:type="spellEnd"/>
      <w:r>
        <w:t xml:space="preserve"> &amp; </w:t>
      </w:r>
      <w:proofErr w:type="spellStart"/>
      <w:r>
        <w:t>Zanke</w:t>
      </w:r>
      <w:proofErr w:type="spellEnd"/>
      <w:r>
        <w:t>, 2004). Rising temperatures, a consistent trend across the country (IPCC, 2021; Lee et al., 2021), further increase evapotranspiration, straining water resources and heightening water stress, particularly in drier regions (</w:t>
      </w:r>
      <w:proofErr w:type="spellStart"/>
      <w:r>
        <w:t>Hirwa</w:t>
      </w:r>
      <w:proofErr w:type="spellEnd"/>
      <w:r>
        <w:t xml:space="preserve"> et al., 2022; </w:t>
      </w:r>
      <w:proofErr w:type="spellStart"/>
      <w:r>
        <w:t>Eshete</w:t>
      </w:r>
      <w:proofErr w:type="spellEnd"/>
      <w:r>
        <w:t xml:space="preserve"> et al., 2020). These changes in the climatic water balance have important implications for public health and climate-sensitive disease dynamics, as variations in temperature and humidity can favor pathogen proliferation and increase vulnerability to water- and vector-borne diseases (Moore &amp; Allard, 2008; </w:t>
      </w:r>
      <w:proofErr w:type="spellStart"/>
      <w:r>
        <w:t>Lahlali</w:t>
      </w:r>
      <w:proofErr w:type="spellEnd"/>
      <w:r>
        <w:t xml:space="preserve"> et al., 2024).</w:t>
      </w:r>
    </w:p>
    <w:p w14:paraId="27ACC474" w14:textId="63455A84" w:rsidR="006627F1" w:rsidRDefault="006627F1" w:rsidP="006627F1">
      <w:pPr>
        <w:pStyle w:val="NormalWeb"/>
        <w:spacing w:line="360" w:lineRule="auto"/>
        <w:jc w:val="both"/>
      </w:pPr>
      <w:r>
        <w:t>High inter-annual rainfall variability amplifies health risks: wet years promote outbreaks of vector- and water-borne diseases, while dry periods exacerbate malnutrition, hygiene-related illnesses, and mental stress. Rising evapotranspiration (</w:t>
      </w:r>
      <w:proofErr w:type="spellStart"/>
      <w:proofErr w:type="gramStart"/>
      <w:r w:rsidR="009528F8">
        <w:t>ET</w:t>
      </w:r>
      <w:r w:rsidR="009528F8" w:rsidRPr="008F0EFE">
        <w:rPr>
          <w:vertAlign w:val="subscript"/>
        </w:rPr>
        <w:t>o</w:t>
      </w:r>
      <w:proofErr w:type="spellEnd"/>
      <w:proofErr w:type="gramEnd"/>
      <w:r>
        <w:t xml:space="preserve">) increases heat stress, dehydration, and cardiovascular risks, particularly among outdoor workers and urban populations exposed to heat islands, while also reducing soil and surface water availability, indirectly compromising sanitation and pathogen exposure. Strengthening adaptive capacity through improved water management, green infrastructure, early warning systems, and climate-informed disease surveillance is essential to reduce vulnerabilities and enhance resilience to hydrological extremes and associated health risks (Allard et al., 2003; </w:t>
      </w:r>
      <w:proofErr w:type="spellStart"/>
      <w:r>
        <w:t>Jat</w:t>
      </w:r>
      <w:proofErr w:type="spellEnd"/>
      <w:r>
        <w:t xml:space="preserve"> et al., </w:t>
      </w:r>
      <w:r w:rsidRPr="00BB600F">
        <w:t>2025).</w:t>
      </w:r>
    </w:p>
    <w:p w14:paraId="48F6AC0B" w14:textId="43425E24" w:rsidR="00AC3258" w:rsidRPr="00022CA4" w:rsidRDefault="00AC3258" w:rsidP="00AC3258">
      <w:pPr>
        <w:pStyle w:val="Heading2"/>
        <w:spacing w:after="240"/>
        <w:rPr>
          <w:rFonts w:ascii="Times New Roman" w:hAnsi="Times New Roman" w:cs="Times New Roman"/>
          <w:color w:val="auto"/>
          <w:sz w:val="28"/>
          <w:szCs w:val="28"/>
        </w:rPr>
      </w:pPr>
      <w:r w:rsidRPr="00022CA4">
        <w:rPr>
          <w:rFonts w:ascii="Times New Roman" w:hAnsi="Times New Roman" w:cs="Times New Roman"/>
          <w:color w:val="auto"/>
          <w:sz w:val="28"/>
          <w:szCs w:val="28"/>
        </w:rPr>
        <w:t xml:space="preserve">1.2 Objective </w:t>
      </w:r>
    </w:p>
    <w:p w14:paraId="677C72E8" w14:textId="77777777" w:rsidR="005F5AAB" w:rsidRPr="005F5AAB" w:rsidRDefault="005F5AAB" w:rsidP="005F5AAB">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5F5AAB">
        <w:rPr>
          <w:rFonts w:ascii="Times New Roman" w:eastAsia="Times New Roman" w:hAnsi="Times New Roman" w:cs="Times New Roman"/>
          <w:sz w:val="24"/>
          <w:szCs w:val="24"/>
          <w:lang w:val="en-GB" w:eastAsia="en-GB"/>
        </w:rPr>
        <w:t>The aim of this research is to examine how annual, seasonal, and monthly rainfall, reference evapotranspiration, and climatic water balance have changed and varied across Ethiopia and its twelve major river basins from 1980 to 2021, and to explore what these patterns mean for public health and the dynamics of climate-sensitive diseases.</w:t>
      </w:r>
    </w:p>
    <w:p w14:paraId="76B64ABD" w14:textId="77777777" w:rsidR="00837248" w:rsidRPr="00022CA4" w:rsidRDefault="00837248" w:rsidP="00EE4D7D">
      <w:pPr>
        <w:pStyle w:val="Heading1"/>
        <w:numPr>
          <w:ilvl w:val="0"/>
          <w:numId w:val="6"/>
        </w:numPr>
        <w:tabs>
          <w:tab w:val="left" w:pos="996"/>
        </w:tabs>
        <w:spacing w:before="1" w:line="360" w:lineRule="auto"/>
        <w:jc w:val="both"/>
        <w:rPr>
          <w:sz w:val="32"/>
          <w:szCs w:val="32"/>
        </w:rPr>
      </w:pPr>
      <w:r w:rsidRPr="00022CA4">
        <w:rPr>
          <w:sz w:val="32"/>
          <w:szCs w:val="32"/>
        </w:rPr>
        <w:lastRenderedPageBreak/>
        <w:t>Material</w:t>
      </w:r>
      <w:r w:rsidRPr="00022CA4">
        <w:rPr>
          <w:spacing w:val="-2"/>
          <w:sz w:val="32"/>
          <w:szCs w:val="32"/>
        </w:rPr>
        <w:t xml:space="preserve"> </w:t>
      </w:r>
      <w:r w:rsidRPr="00022CA4">
        <w:rPr>
          <w:sz w:val="32"/>
          <w:szCs w:val="32"/>
        </w:rPr>
        <w:t xml:space="preserve">and </w:t>
      </w:r>
      <w:r w:rsidRPr="00022CA4">
        <w:rPr>
          <w:spacing w:val="-2"/>
          <w:sz w:val="32"/>
          <w:szCs w:val="32"/>
        </w:rPr>
        <w:t>Methods</w:t>
      </w:r>
    </w:p>
    <w:p w14:paraId="4A5E3CA8" w14:textId="3CE3E355" w:rsidR="00837248" w:rsidRPr="00022CA4" w:rsidRDefault="00056852" w:rsidP="00EE4D7D">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t>2.1</w:t>
      </w:r>
      <w:r w:rsidR="009B71DF" w:rsidRPr="00022CA4">
        <w:rPr>
          <w:rFonts w:ascii="Times New Roman" w:hAnsi="Times New Roman" w:cs="Times New Roman"/>
          <w:color w:val="auto"/>
          <w:sz w:val="28"/>
          <w:szCs w:val="28"/>
        </w:rPr>
        <w:t>.</w:t>
      </w:r>
      <w:r w:rsidRPr="00022CA4">
        <w:rPr>
          <w:rFonts w:ascii="Times New Roman" w:hAnsi="Times New Roman" w:cs="Times New Roman"/>
          <w:color w:val="auto"/>
          <w:sz w:val="28"/>
          <w:szCs w:val="28"/>
        </w:rPr>
        <w:t xml:space="preserve"> S</w:t>
      </w:r>
      <w:r w:rsidR="00837248" w:rsidRPr="00022CA4">
        <w:rPr>
          <w:rFonts w:ascii="Times New Roman" w:hAnsi="Times New Roman" w:cs="Times New Roman"/>
          <w:color w:val="auto"/>
          <w:sz w:val="28"/>
          <w:szCs w:val="28"/>
        </w:rPr>
        <w:t xml:space="preserve">tudy </w:t>
      </w:r>
      <w:r w:rsidR="000C2B0E" w:rsidRPr="00022CA4">
        <w:rPr>
          <w:rFonts w:ascii="Times New Roman" w:hAnsi="Times New Roman" w:cs="Times New Roman"/>
          <w:color w:val="auto"/>
          <w:spacing w:val="-4"/>
          <w:sz w:val="28"/>
          <w:szCs w:val="28"/>
        </w:rPr>
        <w:t>A</w:t>
      </w:r>
      <w:r w:rsidR="00837248" w:rsidRPr="00022CA4">
        <w:rPr>
          <w:rFonts w:ascii="Times New Roman" w:hAnsi="Times New Roman" w:cs="Times New Roman"/>
          <w:color w:val="auto"/>
          <w:spacing w:val="-4"/>
          <w:sz w:val="28"/>
          <w:szCs w:val="28"/>
        </w:rPr>
        <w:t>rea</w:t>
      </w:r>
    </w:p>
    <w:p w14:paraId="086E828D" w14:textId="6BCA76DB" w:rsidR="00C00FA5" w:rsidRDefault="00C57BB4" w:rsidP="00EE4D7D">
      <w:pPr>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Ethiopia</w:t>
      </w:r>
      <w:r w:rsidR="004F105B" w:rsidRPr="00022CA4">
        <w:rPr>
          <w:rFonts w:ascii="Times New Roman" w:hAnsi="Times New Roman" w:cs="Times New Roman"/>
          <w:sz w:val="24"/>
          <w:szCs w:val="24"/>
        </w:rPr>
        <w:t xml:space="preserve"> </w:t>
      </w:r>
      <w:r w:rsidR="00985436" w:rsidRPr="00022CA4">
        <w:rPr>
          <w:rFonts w:ascii="Times New Roman" w:hAnsi="Times New Roman" w:cs="Times New Roman"/>
          <w:sz w:val="24"/>
          <w:szCs w:val="24"/>
        </w:rPr>
        <w:t xml:space="preserve">having a total area of above 1.1 million km² is a large landlocked country </w:t>
      </w:r>
      <w:r w:rsidR="004F105B" w:rsidRPr="00022CA4">
        <w:rPr>
          <w:rFonts w:ascii="Times New Roman" w:hAnsi="Times New Roman" w:cs="Times New Roman"/>
          <w:sz w:val="24"/>
          <w:szCs w:val="24"/>
        </w:rPr>
        <w:t xml:space="preserve">located between 3-5° N latitude and 33-48° E longitude </w:t>
      </w:r>
      <w:r w:rsidR="00912C08" w:rsidRPr="00022CA4">
        <w:rPr>
          <w:rFonts w:ascii="Times New Roman" w:hAnsi="Times New Roman" w:cs="Times New Roman"/>
          <w:sz w:val="24"/>
          <w:szCs w:val="24"/>
        </w:rPr>
        <w:t xml:space="preserve">in East Africa </w:t>
      </w:r>
      <w:r w:rsidR="004F105B" w:rsidRPr="00022CA4">
        <w:rPr>
          <w:rFonts w:ascii="Times New Roman" w:hAnsi="Times New Roman" w:cs="Times New Roman"/>
          <w:sz w:val="24"/>
          <w:szCs w:val="24"/>
        </w:rPr>
        <w:t>(Fig. 1)</w:t>
      </w:r>
      <w:r w:rsidR="00FE3AEF" w:rsidRPr="00022CA4">
        <w:rPr>
          <w:rFonts w:ascii="Times New Roman" w:hAnsi="Times New Roman" w:cs="Times New Roman"/>
          <w:sz w:val="24"/>
          <w:szCs w:val="24"/>
        </w:rPr>
        <w:t xml:space="preserve"> </w:t>
      </w:r>
      <w:r w:rsidR="00FE3AEF" w:rsidRPr="00022CA4">
        <w:rPr>
          <w:rFonts w:ascii="Times New Roman" w:hAnsi="Times New Roman" w:cs="Times New Roman"/>
          <w:sz w:val="24"/>
          <w:szCs w:val="24"/>
        </w:rPr>
        <w:fldChar w:fldCharType="begin" w:fldLock="1"/>
      </w:r>
      <w:r w:rsidR="00800D69" w:rsidRPr="00022CA4">
        <w:rPr>
          <w:rFonts w:ascii="Times New Roman" w:hAnsi="Times New Roman" w:cs="Times New Roman"/>
          <w:sz w:val="24"/>
          <w:szCs w:val="24"/>
        </w:rPr>
        <w:instrText>ADDIN CSL_CITATION {"citationItems":[{"id":"ITEM-1","itemData":{"DOI":"10.3390/rs12060954","ISSN":"20724292","abstract":"Knowledge of land cover and land use nationally is a prerequisite of many studies on drivers of land change, impacts on climate, carbon storage and other ecosystem services, and allows for sucient planning and management. Despite this, many regions globally do not have accurate and consistent coverage at the national scale. This is certainly true for Ethiopia. Large-area land-cover characterization (LALCC), at a national scale is thus an essential first step in many studies of land-cover change, and yet is itself problematic. Such LALCC based on remote-sensing image classification is associated with a spectrum of technical challenges such as data availability, radiometric inconsistencies within/between images, and big data processing. Radiometric inconsistencies could be exacerbated for areas, such as Ethiopia, with a high frequency of cloud cover, diverse ecosystem and climate patterns, and large variations in elevation and topography. Obtaining explanatory variables that are more robust can improve classification accuracy. To create a base map for the future study of large-scale agricultural land transactions, we produced a recent land-cover map of Ethiopia. Of key importance was the creation of a methodology that was accurate and repeatable and, as such, could be used to create earlier, comparable land-cover classifications in the future for the same region. We examined the effects of band normalization and different time-series image compositing methods on classification accuracy. Both top of atmosphere and surface reflectance products from the Landsat 8 Operational Land Imager (OLI) were tested for single-time classification independently, where the latter resulted in 1.1% greater classification overall accuracy. Substitution of the original spectral bands with normalized difference spectral indices resulted in an additional improvement of 1.0% in overall accuracy. Three approaches for multi-temporal image compositing, using Landsat 8 OLI and Moderate Resolution Imaging Spectroradiometer (MODIS) data, were tested including sequential compositing, i.e., per-pixel summary measures based on predefined periods, probability density function compositing, i.e., per-pixel characterization of distribution of spectral values, and per-pixel sinusoidal models. Multi-temporal composites improved classification overall accuracy up to 4.1%, with respect to single-time classification with an advantage of the Landsat OLI-driven composites over MODIS-driven composit…","author":[{"dropping-particle":"","family":"Khatami","given":"Reza","non-dropping-particle":"","parse-names":false,"suffix":""},{"dropping-particle":"","family":"Southworth","given":"Jane","non-dropping-particle":"","parse-names":false,"suffix":""},{"dropping-particle":"","family":"Muir","given":"Carly","non-dropping-particle":"","parse-names":false,"suffix":""},{"dropping-particle":"","family":"Caughlin","given":"Trevor","non-dropping-particle":"","parse-names":false,"suffix":""},{"dropping-particle":"","family":"Ayana","given":"Alemayehu N.","non-dropping-particle":"","parse-names":false,"suffix":""},{"dropping-particle":"","family":"Brown","given":"Daniel G.","non-dropping-particle":"","parse-names":false,"suffix":""},{"dropping-particle":"","family":"Liao","given":"Chuan","non-dropping-particle":"","parse-names":false,"suffix":""},{"dropping-particle":"","family":"Agrawal","given":"Arun","non-dropping-particle":"","parse-names":false,"suffix":""}],"container-title":"Remote Sensing","id":"ITEM-1","issue":"6","issued":{"date-parts":[["2020"]]},"title":"Operational large-area land-cover mapping: An Ethiopia case study","type":"article-journal","volume":"12"},"uris":["http://www.mendeley.com/documents/?uuid=e0dcae73-d261-47f3-ba37-47231c64f146"]}],"mendeley":{"formattedCitation":"(Khatami et al., 2020)","plainTextFormattedCitation":"(Khatami et al., 2020)","previouslyFormattedCitation":"(Khatami et al., 2020)"},"properties":{"noteIndex":0},"schema":"https://github.com/citation-style-language/schema/raw/master/csl-citation.json"}</w:instrText>
      </w:r>
      <w:r w:rsidR="00FE3AEF" w:rsidRPr="00022CA4">
        <w:rPr>
          <w:rFonts w:ascii="Times New Roman" w:hAnsi="Times New Roman" w:cs="Times New Roman"/>
          <w:sz w:val="24"/>
          <w:szCs w:val="24"/>
        </w:rPr>
        <w:fldChar w:fldCharType="separate"/>
      </w:r>
      <w:r w:rsidR="00FE3AEF" w:rsidRPr="00022CA4">
        <w:rPr>
          <w:rFonts w:ascii="Times New Roman" w:hAnsi="Times New Roman" w:cs="Times New Roman"/>
          <w:noProof/>
          <w:sz w:val="24"/>
          <w:szCs w:val="24"/>
        </w:rPr>
        <w:t>(Khatami et al., 2020)</w:t>
      </w:r>
      <w:r w:rsidR="00FE3AEF" w:rsidRPr="00022CA4">
        <w:rPr>
          <w:rFonts w:ascii="Times New Roman" w:hAnsi="Times New Roman" w:cs="Times New Roman"/>
          <w:sz w:val="24"/>
          <w:szCs w:val="24"/>
        </w:rPr>
        <w:fldChar w:fldCharType="end"/>
      </w:r>
      <w:r w:rsidR="004F105B" w:rsidRPr="00022CA4">
        <w:rPr>
          <w:rFonts w:ascii="Times New Roman" w:hAnsi="Times New Roman" w:cs="Times New Roman"/>
          <w:sz w:val="24"/>
          <w:szCs w:val="24"/>
        </w:rPr>
        <w:t>.</w:t>
      </w:r>
      <w:r w:rsidR="00FE3AEF" w:rsidRPr="00022CA4">
        <w:rPr>
          <w:rFonts w:ascii="Times New Roman" w:hAnsi="Times New Roman" w:cs="Times New Roman"/>
          <w:sz w:val="24"/>
          <w:szCs w:val="24"/>
        </w:rPr>
        <w:t xml:space="preserve"> </w:t>
      </w:r>
      <w:r w:rsidRPr="00022CA4">
        <w:rPr>
          <w:rFonts w:ascii="Times New Roman" w:hAnsi="Times New Roman" w:cs="Times New Roman"/>
          <w:sz w:val="24"/>
          <w:szCs w:val="24"/>
        </w:rPr>
        <w:t>The country’s elevation spans from about -</w:t>
      </w:r>
      <w:r w:rsidR="00800D69" w:rsidRPr="00022CA4">
        <w:rPr>
          <w:rFonts w:ascii="Times New Roman" w:hAnsi="Times New Roman" w:cs="Times New Roman"/>
          <w:sz w:val="24"/>
          <w:szCs w:val="24"/>
        </w:rPr>
        <w:t xml:space="preserve">125 </w:t>
      </w:r>
      <w:r w:rsidRPr="00022CA4">
        <w:rPr>
          <w:rFonts w:ascii="Times New Roman" w:hAnsi="Times New Roman" w:cs="Times New Roman"/>
          <w:sz w:val="24"/>
          <w:szCs w:val="24"/>
        </w:rPr>
        <w:t>m to 4620 m above sea level (</w:t>
      </w:r>
      <w:proofErr w:type="spellStart"/>
      <w:r w:rsidRPr="00022CA4">
        <w:rPr>
          <w:rFonts w:ascii="Times New Roman" w:hAnsi="Times New Roman" w:cs="Times New Roman"/>
          <w:sz w:val="24"/>
          <w:szCs w:val="24"/>
        </w:rPr>
        <w:t>a.s.l</w:t>
      </w:r>
      <w:proofErr w:type="spellEnd"/>
      <w:r w:rsidRPr="00022CA4">
        <w:rPr>
          <w:rFonts w:ascii="Times New Roman" w:hAnsi="Times New Roman" w:cs="Times New Roman"/>
          <w:sz w:val="24"/>
          <w:szCs w:val="24"/>
        </w:rPr>
        <w:t>.)</w:t>
      </w:r>
      <w:r w:rsidR="00800D69" w:rsidRPr="00022CA4">
        <w:rPr>
          <w:rFonts w:ascii="Times New Roman" w:hAnsi="Times New Roman" w:cs="Times New Roman"/>
          <w:sz w:val="24"/>
          <w:szCs w:val="24"/>
        </w:rPr>
        <w:t xml:space="preserve"> </w:t>
      </w:r>
      <w:r w:rsidR="00800D69" w:rsidRPr="00022CA4">
        <w:rPr>
          <w:rFonts w:ascii="Times New Roman" w:hAnsi="Times New Roman" w:cs="Times New Roman"/>
          <w:sz w:val="24"/>
          <w:szCs w:val="24"/>
        </w:rPr>
        <w:fldChar w:fldCharType="begin" w:fldLock="1"/>
      </w:r>
      <w:r w:rsidR="00060BC0" w:rsidRPr="00022CA4">
        <w:rPr>
          <w:rFonts w:ascii="Times New Roman" w:hAnsi="Times New Roman" w:cs="Times New Roman"/>
          <w:sz w:val="24"/>
          <w:szCs w:val="24"/>
        </w:rPr>
        <w:instrText>ADDIN CSL_CITATION {"citationItems":[{"id":"ITEM-1","itemData":{"author":[{"dropping-particle":"","family":"Banda","given":"Lumbani Benedicto","non-dropping-particle":"","parse-names":false,"suffix":""},{"dropping-particle":"","family":"Tassie","given":"Nega","non-dropping-particle":"","parse-names":false,"suffix":""}],"container-title":"Ethiopian Journal of Biological Sciences","id":"ITEM-1","issue":"September","issued":{"date-parts":[["2018"]]},"page":"0-17","title":"Modeling the distribution of four-bird species under climate change in Ethipia","type":"article-journal"},"uris":["http://www.mendeley.com/documents/?uuid=68fc7107-5bb1-4c08-a257-1778489187df"]}],"mendeley":{"formattedCitation":"(Banda &amp; Tassie, 2018)","manualFormatting":"(Banda and Tassie, 2018)","plainTextFormattedCitation":"(Banda &amp; Tassie, 2018)","previouslyFormattedCitation":"(Banda &amp; Tassie, 2018)"},"properties":{"noteIndex":0},"schema":"https://github.com/citation-style-language/schema/raw/master/csl-citation.json"}</w:instrText>
      </w:r>
      <w:r w:rsidR="00800D69" w:rsidRPr="00022CA4">
        <w:rPr>
          <w:rFonts w:ascii="Times New Roman" w:hAnsi="Times New Roman" w:cs="Times New Roman"/>
          <w:sz w:val="24"/>
          <w:szCs w:val="24"/>
        </w:rPr>
        <w:fldChar w:fldCharType="separate"/>
      </w:r>
      <w:r w:rsidR="00800D69" w:rsidRPr="00022CA4">
        <w:rPr>
          <w:rFonts w:ascii="Times New Roman" w:hAnsi="Times New Roman" w:cs="Times New Roman"/>
          <w:noProof/>
          <w:sz w:val="24"/>
          <w:szCs w:val="24"/>
        </w:rPr>
        <w:t>(Banda and Tassie, 2018)</w:t>
      </w:r>
      <w:r w:rsidR="00800D69"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with highland areas (above 1500 m </w:t>
      </w:r>
      <w:proofErr w:type="spellStart"/>
      <w:r w:rsidRPr="00022CA4">
        <w:rPr>
          <w:rFonts w:ascii="Times New Roman" w:hAnsi="Times New Roman" w:cs="Times New Roman"/>
          <w:sz w:val="24"/>
          <w:szCs w:val="24"/>
        </w:rPr>
        <w:t>a.s.l</w:t>
      </w:r>
      <w:proofErr w:type="spellEnd"/>
      <w:r w:rsidRPr="00022CA4">
        <w:rPr>
          <w:rFonts w:ascii="Times New Roman" w:hAnsi="Times New Roman" w:cs="Times New Roman"/>
          <w:sz w:val="24"/>
          <w:szCs w:val="24"/>
        </w:rPr>
        <w:t xml:space="preserve">.) comprising 43% </w:t>
      </w:r>
      <w:r w:rsidR="00060BC0" w:rsidRPr="00022CA4">
        <w:rPr>
          <w:rFonts w:ascii="Times New Roman" w:hAnsi="Times New Roman" w:cs="Times New Roman"/>
          <w:sz w:val="24"/>
          <w:szCs w:val="24"/>
        </w:rPr>
        <w:t xml:space="preserve">(537,000 km²) </w:t>
      </w:r>
      <w:r w:rsidRPr="00022CA4">
        <w:rPr>
          <w:rFonts w:ascii="Times New Roman" w:hAnsi="Times New Roman" w:cs="Times New Roman"/>
          <w:sz w:val="24"/>
          <w:szCs w:val="24"/>
        </w:rPr>
        <w:t xml:space="preserve">of </w:t>
      </w:r>
      <w:r w:rsidR="004F105B" w:rsidRPr="00022CA4">
        <w:rPr>
          <w:rFonts w:ascii="Times New Roman" w:hAnsi="Times New Roman" w:cs="Times New Roman"/>
          <w:sz w:val="24"/>
          <w:szCs w:val="24"/>
        </w:rPr>
        <w:t>the country</w:t>
      </w:r>
      <w:r w:rsidR="00060BC0" w:rsidRPr="00022CA4">
        <w:rPr>
          <w:rFonts w:ascii="Times New Roman" w:hAnsi="Times New Roman" w:cs="Times New Roman"/>
          <w:sz w:val="24"/>
          <w:szCs w:val="24"/>
        </w:rPr>
        <w:t xml:space="preserve">, </w:t>
      </w:r>
      <w:r w:rsidR="00060BC0" w:rsidRPr="00022CA4">
        <w:rPr>
          <w:rFonts w:ascii="Times New Roman" w:hAnsi="Times New Roman" w:cs="Times New Roman"/>
          <w:sz w:val="24"/>
          <w:szCs w:val="24"/>
        </w:rPr>
        <w:fldChar w:fldCharType="begin" w:fldLock="1"/>
      </w:r>
      <w:r w:rsidR="003702CF" w:rsidRPr="00022CA4">
        <w:rPr>
          <w:rFonts w:ascii="Times New Roman" w:hAnsi="Times New Roman" w:cs="Times New Roman"/>
          <w:sz w:val="24"/>
          <w:szCs w:val="24"/>
        </w:rPr>
        <w:instrText>ADDIN CSL_CITATION {"citationItems":[{"id":"ITEM-1","itemData":{"DOI":"10.2307/3673438","ISSN":"02764741","abstract":"The extent and distribution of soil degradation in the highlands as a whole is outlined and shows significantly greater damage in the northern and eastern regions which were settled first. There, the poor soil quality today results in reduced crop productivity and greater vulnerability to famine. Actual rates of soil loss are estimated according to the USLE; the highest soil erosion rates occur in the western areas which clearly indicates that soils here are degrading more rapidly than soils in the north. -from Author","author":[{"dropping-particle":"","family":"Hurni","given":"H.","non-dropping-particle":"","parse-names":false,"suffix":""}],"container-title":"Mountain Research &amp; Development","id":"ITEM-1","issue":"2-3","issued":{"date-parts":[["1988"]]},"page":"123-130","title":"Degradation and conservation of the resources in the Ethiopian highlands","type":"article-journal","volume":"8"},"uris":["http://www.mendeley.com/documents/?uuid=b8f68c24-f8c6-4c99-81f4-f3e354e6711f"]}],"mendeley":{"formattedCitation":"(Hurni, 1988)","plainTextFormattedCitation":"(Hurni, 1988)","previouslyFormattedCitation":"(Hurni, 1988)"},"properties":{"noteIndex":0},"schema":"https://github.com/citation-style-language/schema/raw/master/csl-citation.json"}</w:instrText>
      </w:r>
      <w:r w:rsidR="00060BC0" w:rsidRPr="00022CA4">
        <w:rPr>
          <w:rFonts w:ascii="Times New Roman" w:hAnsi="Times New Roman" w:cs="Times New Roman"/>
          <w:sz w:val="24"/>
          <w:szCs w:val="24"/>
        </w:rPr>
        <w:fldChar w:fldCharType="separate"/>
      </w:r>
      <w:r w:rsidR="00060BC0" w:rsidRPr="00022CA4">
        <w:rPr>
          <w:rFonts w:ascii="Times New Roman" w:hAnsi="Times New Roman" w:cs="Times New Roman"/>
          <w:noProof/>
          <w:sz w:val="24"/>
          <w:szCs w:val="24"/>
        </w:rPr>
        <w:t>(Hurni, 1988)</w:t>
      </w:r>
      <w:r w:rsidR="00060BC0"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00A37E65" w:rsidRPr="00022CA4">
        <w:rPr>
          <w:rFonts w:ascii="Times New Roman" w:hAnsi="Times New Roman" w:cs="Times New Roman"/>
          <w:sz w:val="24"/>
          <w:szCs w:val="24"/>
        </w:rPr>
        <w:t xml:space="preserve">According to the FAO report, Ethiopia has the largest highland area in Africa, with almost 50% of the total African highland area, covering around 40% (490,000 km²) of Ethiopia </w:t>
      </w:r>
      <w:r w:rsidR="00A37E65" w:rsidRPr="00022CA4">
        <w:rPr>
          <w:rFonts w:ascii="Times New Roman" w:hAnsi="Times New Roman" w:cs="Times New Roman"/>
          <w:sz w:val="24"/>
          <w:szCs w:val="24"/>
        </w:rPr>
        <w:fldChar w:fldCharType="begin" w:fldLock="1"/>
      </w:r>
      <w:r w:rsidR="00C00FA5" w:rsidRPr="00022CA4">
        <w:rPr>
          <w:rFonts w:ascii="Times New Roman" w:hAnsi="Times New Roman" w:cs="Times New Roman"/>
          <w:sz w:val="24"/>
          <w:szCs w:val="24"/>
        </w:rPr>
        <w:instrText>ADDIN CSL_CITATION {"citationItems":[{"id":"ITEM-1","itemData":{"ISBN":"9290530448","abstract":"The Ethiopian highlands, which constitute about 40% of the area of the country, are briefly described, and their potential for improved agricultural production is assessed. Studies by the International Livestock Centre for Africa on the traditional smallholder production system of the highlands are reported. Some data on animal performance and crop yields are given, and the system's productivity is analyzed. The results of research on innovations, including an improved forage-dairy cows package, improved animal traction, and the cultivation of bottomland, are given.-from Field Crop Abstracts","author":[{"dropping-particle":"","family":"Gryseels","given":"G.","non-dropping-particle":"","parse-names":false,"suffix":""},{"dropping-particle":"","family":"Anderson","given":"F. M.","non-dropping-particle":"","parse-names":false,"suffix":""}],"container-title":"Research Report - International Livestock Centre for Africa","id":"ITEM-1","issue":"4","issued":{"date-parts":[["1983"]]},"number-of-pages":"1977-1980","title":"Research on farm and livestock productivity in the central Ethiopian highlands: initial results, 1977-1980.","type":"book","volume":"4"},"uris":["http://www.mendeley.com/documents/?uuid=b3ce67e2-7874-439a-83f2-a80c6f75436e"]}],"mendeley":{"formattedCitation":"(Gryseels &amp; Anderson, 1983)","plainTextFormattedCitation":"(Gryseels &amp; Anderson, 1983)","previouslyFormattedCitation":"(Gryseels &amp; Anderson, 1983)"},"properties":{"noteIndex":0},"schema":"https://github.com/citation-style-language/schema/raw/master/csl-citation.json"}</w:instrText>
      </w:r>
      <w:r w:rsidR="00A37E65" w:rsidRPr="00022CA4">
        <w:rPr>
          <w:rFonts w:ascii="Times New Roman" w:hAnsi="Times New Roman" w:cs="Times New Roman"/>
          <w:sz w:val="24"/>
          <w:szCs w:val="24"/>
        </w:rPr>
        <w:fldChar w:fldCharType="separate"/>
      </w:r>
      <w:r w:rsidR="00A37E65" w:rsidRPr="00022CA4">
        <w:rPr>
          <w:rFonts w:ascii="Times New Roman" w:hAnsi="Times New Roman" w:cs="Times New Roman"/>
          <w:noProof/>
          <w:sz w:val="24"/>
          <w:szCs w:val="24"/>
        </w:rPr>
        <w:t>(Gryseels &amp; Anderson, 1983)</w:t>
      </w:r>
      <w:r w:rsidR="00A37E65" w:rsidRPr="00022CA4">
        <w:rPr>
          <w:rFonts w:ascii="Times New Roman" w:hAnsi="Times New Roman" w:cs="Times New Roman"/>
          <w:sz w:val="24"/>
          <w:szCs w:val="24"/>
        </w:rPr>
        <w:fldChar w:fldCharType="end"/>
      </w:r>
      <w:r w:rsidR="00A37E65" w:rsidRPr="00022CA4">
        <w:rPr>
          <w:rFonts w:ascii="Times New Roman" w:hAnsi="Times New Roman" w:cs="Times New Roman"/>
          <w:sz w:val="24"/>
          <w:szCs w:val="24"/>
        </w:rPr>
        <w:t>.</w:t>
      </w:r>
      <w:r w:rsidRPr="00022CA4">
        <w:rPr>
          <w:rFonts w:ascii="Times New Roman" w:hAnsi="Times New Roman" w:cs="Times New Roman"/>
          <w:sz w:val="24"/>
          <w:szCs w:val="24"/>
        </w:rPr>
        <w:t xml:space="preserve"> </w:t>
      </w:r>
      <w:r w:rsidR="00912C08" w:rsidRPr="00022CA4">
        <w:rPr>
          <w:rFonts w:ascii="Times New Roman" w:hAnsi="Times New Roman" w:cs="Times New Roman"/>
          <w:noProof/>
          <w:sz w:val="24"/>
          <w:szCs w:val="24"/>
        </w:rPr>
        <w:t xml:space="preserve">Ethiopia’s mean annual air temeperature ranges from 15–20°C in highlands to 25–30°C in lowlands annually </w:t>
      </w:r>
      <w:r w:rsidR="00C00FA5" w:rsidRPr="00022CA4">
        <w:rPr>
          <w:rFonts w:ascii="Times New Roman" w:hAnsi="Times New Roman" w:cs="Times New Roman"/>
          <w:sz w:val="24"/>
          <w:szCs w:val="24"/>
        </w:rPr>
        <w:fldChar w:fldCharType="begin" w:fldLock="1"/>
      </w:r>
      <w:r w:rsidR="00EE4D7D" w:rsidRPr="00022CA4">
        <w:rPr>
          <w:rFonts w:ascii="Times New Roman" w:hAnsi="Times New Roman" w:cs="Times New Roman"/>
          <w:sz w:val="24"/>
          <w:szCs w:val="24"/>
        </w:rPr>
        <w:instrText>ADDIN CSL_CITATION {"citationItems":[{"id":"ITEM-1","itemData":{"DOI":"10.1007/978-94-017-8026-1_3","ISBN":"9789401780261","ISSN":"22132104","abstract":"Several papers have been published on different issues regarding the climate of Ethiopia or of some specific region. This presentation attempts to revise the knowledge of the climate of Ethiopia by means of updated, longer time series and including a larger number of meteo-stations than previous studies. Basic climatic parameters such as temperature, rainfall, relative humidity, wind, evapotranspiration, and aridity are considered and their spatial distribution is analyzed. The main results of such elaborations have been regionalized to obtain climatic maps by means of geostatistical interpolation, also taking into account topogeographic variables. These parameters were also used to update the Köppen classification of the Ethiopian territory. Climate change is a very important issue with worrying repercussions on agriculture and hence the social and economic development of the country. Trends of temperature and annual, spring, and summer rains were interpolated for the last 3–5 decades. Temperature shows a markedly increasing trend especially as regards the minimum values, whereas annual rainfalls tend to decrease with the spring, ‘small rains’ decreasing at faster rate.","author":[{"dropping-particle":"","family":"Fazzini","given":"Massimiliano","non-dropping-particle":"","parse-names":false,"suffix":""},{"dropping-particle":"","family":"Bisci","given":"Carlo","non-dropping-particle":"","parse-names":false,"suffix":""},{"dropping-particle":"","family":"Billi","given":"Paolo","non-dropping-particle":"","parse-names":false,"suffix":""}],"container-title":"World Geomorphological Landscapes","id":"ITEM-1","issue":"February 2016","issued":{"date-parts":[["2015"]]},"page":"65-87","title":"The Climate of Ethiopia","type":"article-journal"},"uris":["http://www.mendeley.com/documents/?uuid=8b374c5e-1372-4b09-b9bd-46906a533da1"]}],"mendeley":{"formattedCitation":"(Fazzini et al., 2015)","plainTextFormattedCitation":"(Fazzini et al., 2015)","previouslyFormattedCitation":"(Fazzini et al., 2015)"},"properties":{"noteIndex":0},"schema":"https://github.com/citation-style-language/schema/raw/master/csl-citation.json"}</w:instrText>
      </w:r>
      <w:r w:rsidR="00C00FA5" w:rsidRPr="00022CA4">
        <w:rPr>
          <w:rFonts w:ascii="Times New Roman" w:hAnsi="Times New Roman" w:cs="Times New Roman"/>
          <w:sz w:val="24"/>
          <w:szCs w:val="24"/>
        </w:rPr>
        <w:fldChar w:fldCharType="separate"/>
      </w:r>
      <w:r w:rsidR="00C00FA5" w:rsidRPr="00022CA4">
        <w:rPr>
          <w:rFonts w:ascii="Times New Roman" w:hAnsi="Times New Roman" w:cs="Times New Roman"/>
          <w:noProof/>
          <w:sz w:val="24"/>
          <w:szCs w:val="24"/>
        </w:rPr>
        <w:t>(Fazzini et al., 2015)</w:t>
      </w:r>
      <w:r w:rsidR="00C00FA5" w:rsidRPr="00022CA4">
        <w:rPr>
          <w:rFonts w:ascii="Times New Roman" w:hAnsi="Times New Roman" w:cs="Times New Roman"/>
          <w:sz w:val="24"/>
          <w:szCs w:val="24"/>
        </w:rPr>
        <w:fldChar w:fldCharType="end"/>
      </w:r>
      <w:r w:rsidRPr="00022CA4">
        <w:rPr>
          <w:rFonts w:ascii="Times New Roman" w:hAnsi="Times New Roman" w:cs="Times New Roman"/>
          <w:sz w:val="24"/>
          <w:szCs w:val="24"/>
        </w:rPr>
        <w:t>. The monsoonal climate brings annual rainfall of 800 to 3000 mm, while evapotranspiration ranges from 1400 to 1681 mm per year</w:t>
      </w:r>
      <w:r w:rsidR="00EE4D7D" w:rsidRPr="00022CA4">
        <w:rPr>
          <w:rFonts w:ascii="Times New Roman" w:hAnsi="Times New Roman" w:cs="Times New Roman"/>
          <w:sz w:val="24"/>
          <w:szCs w:val="24"/>
        </w:rPr>
        <w:t xml:space="preserve"> </w:t>
      </w:r>
      <w:r w:rsidR="00EE4D7D" w:rsidRPr="00022CA4">
        <w:rPr>
          <w:rFonts w:ascii="Times New Roman" w:hAnsi="Times New Roman" w:cs="Times New Roman"/>
          <w:sz w:val="24"/>
          <w:szCs w:val="24"/>
        </w:rPr>
        <w:fldChar w:fldCharType="begin" w:fldLock="1"/>
      </w:r>
      <w:r w:rsidR="00EE4D7D" w:rsidRPr="00022CA4">
        <w:rPr>
          <w:rFonts w:ascii="Times New Roman" w:hAnsi="Times New Roman" w:cs="Times New Roman"/>
          <w:sz w:val="24"/>
          <w:szCs w:val="24"/>
        </w:rPr>
        <w:instrText>ADDIN CSL_CITATION {"citationItems":[{"id":"ITEM-1","itemData":{"author":[{"dropping-particle":"","family":"Hawando","given":"T.","non-dropping-particle":"","parse-names":false,"suffix":""}],"container-title":"Rala Report","id":"ITEM-1","issue":"200","issued":{"date-parts":[["1997"]]},"page":"75-86","title":"Desertification in Ethiopian Highlands","type":"article-journal"},"uris":["http://www.mendeley.com/documents/?uuid=d2a69f77-d9e3-4462-8ebd-bbbe1bc5fbf8"]}],"mendeley":{"formattedCitation":"(Hawando, 1997)","plainTextFormattedCitation":"(Hawando, 1997)","previouslyFormattedCitation":"(Hawando, 1997)"},"properties":{"noteIndex":0},"schema":"https://github.com/citation-style-language/schema/raw/master/csl-citation.json"}</w:instrText>
      </w:r>
      <w:r w:rsidR="00EE4D7D" w:rsidRPr="00022CA4">
        <w:rPr>
          <w:rFonts w:ascii="Times New Roman" w:hAnsi="Times New Roman" w:cs="Times New Roman"/>
          <w:sz w:val="24"/>
          <w:szCs w:val="24"/>
        </w:rPr>
        <w:fldChar w:fldCharType="separate"/>
      </w:r>
      <w:r w:rsidR="00EE4D7D" w:rsidRPr="00022CA4">
        <w:rPr>
          <w:rFonts w:ascii="Times New Roman" w:hAnsi="Times New Roman" w:cs="Times New Roman"/>
          <w:noProof/>
          <w:sz w:val="24"/>
          <w:szCs w:val="24"/>
        </w:rPr>
        <w:t>(Hawando, 1997)</w:t>
      </w:r>
      <w:r w:rsidR="00EE4D7D"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p>
    <w:p w14:paraId="25DDD61D" w14:textId="53D10CEF" w:rsidR="006A3826" w:rsidRPr="00022CA4" w:rsidRDefault="00210C08" w:rsidP="00A854C0">
      <w:pPr>
        <w:spacing w:line="360" w:lineRule="auto"/>
        <w:jc w:val="center"/>
        <w:rPr>
          <w:rFonts w:ascii="Times New Roman" w:hAnsi="Times New Roman" w:cs="Times New Roman"/>
          <w:noProof/>
          <w:sz w:val="24"/>
          <w:szCs w:val="24"/>
        </w:rPr>
      </w:pPr>
      <w:r w:rsidRPr="00210C08">
        <w:rPr>
          <w:rFonts w:ascii="Times New Roman" w:hAnsi="Times New Roman" w:cs="Times New Roman"/>
          <w:noProof/>
          <w:sz w:val="24"/>
          <w:szCs w:val="24"/>
        </w:rPr>
        <w:drawing>
          <wp:inline distT="0" distB="0" distL="0" distR="0" wp14:anchorId="0942ECD3" wp14:editId="67841552">
            <wp:extent cx="5943600" cy="3173095"/>
            <wp:effectExtent l="0" t="0" r="0" b="8255"/>
            <wp:docPr id="4099" name="Picture 3" descr="D:\Part-I\2025\Pub_4\22-Jornal_springer NATURE\study are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Part-I\2025\Pub_4\22-Jornal_springer NATURE\study are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4" t="22076" r="12198" b="15847"/>
                    <a:stretch/>
                  </pic:blipFill>
                  <pic:spPr bwMode="auto">
                    <a:xfrm>
                      <a:off x="0" y="0"/>
                      <a:ext cx="5943600" cy="3173095"/>
                    </a:xfrm>
                    <a:prstGeom prst="rect">
                      <a:avLst/>
                    </a:prstGeom>
                    <a:noFill/>
                    <a:extLst/>
                  </pic:spPr>
                </pic:pic>
              </a:graphicData>
            </a:graphic>
          </wp:inline>
        </w:drawing>
      </w:r>
    </w:p>
    <w:p w14:paraId="6D2E45F8" w14:textId="75AEC7B4" w:rsidR="00210C08" w:rsidRDefault="0015296D" w:rsidP="00210C08">
      <w:pPr>
        <w:spacing w:after="240" w:line="360" w:lineRule="auto"/>
        <w:jc w:val="both"/>
      </w:pPr>
      <w:r w:rsidRPr="00022CA4">
        <w:rPr>
          <w:rFonts w:ascii="Times New Roman" w:eastAsiaTheme="majorEastAsia" w:hAnsi="Times New Roman" w:cs="Times New Roman"/>
          <w:b/>
          <w:bCs/>
          <w:sz w:val="24"/>
          <w:szCs w:val="24"/>
        </w:rPr>
        <w:t xml:space="preserve">Fig. 1 </w:t>
      </w:r>
      <w:r w:rsidR="00210C08" w:rsidRPr="00210C08">
        <w:rPr>
          <w:rFonts w:ascii="Times New Roman" w:hAnsi="Times New Roman" w:cs="Times New Roman"/>
          <w:sz w:val="24"/>
          <w:szCs w:val="24"/>
        </w:rPr>
        <w:t>Map depicting Ethiopia, its twelve major basins, the DEM</w:t>
      </w:r>
      <w:r w:rsidR="007D3521">
        <w:rPr>
          <w:rFonts w:ascii="Times New Roman" w:hAnsi="Times New Roman" w:cs="Times New Roman"/>
          <w:sz w:val="24"/>
          <w:szCs w:val="24"/>
        </w:rPr>
        <w:t xml:space="preserve">, and the </w:t>
      </w:r>
      <w:r w:rsidR="00210C08" w:rsidRPr="00210C08">
        <w:rPr>
          <w:rFonts w:ascii="Times New Roman" w:hAnsi="Times New Roman" w:cs="Times New Roman"/>
          <w:sz w:val="24"/>
          <w:szCs w:val="24"/>
        </w:rPr>
        <w:t>geographic context within Africa.</w:t>
      </w:r>
    </w:p>
    <w:p w14:paraId="559F14CC" w14:textId="233F20B3" w:rsidR="00183C8D" w:rsidRPr="00022CA4" w:rsidRDefault="00056852" w:rsidP="00210C08">
      <w:pPr>
        <w:spacing w:after="240" w:line="360" w:lineRule="auto"/>
        <w:jc w:val="both"/>
        <w:rPr>
          <w:rFonts w:ascii="Times New Roman" w:hAnsi="Times New Roman" w:cs="Times New Roman"/>
          <w:sz w:val="28"/>
          <w:szCs w:val="28"/>
        </w:rPr>
      </w:pPr>
      <w:r w:rsidRPr="00022CA4">
        <w:rPr>
          <w:rFonts w:ascii="Times New Roman" w:hAnsi="Times New Roman" w:cs="Times New Roman"/>
          <w:sz w:val="28"/>
          <w:szCs w:val="28"/>
        </w:rPr>
        <w:t>2.2</w:t>
      </w:r>
      <w:r w:rsidR="009B71DF" w:rsidRPr="00022CA4">
        <w:rPr>
          <w:rFonts w:ascii="Times New Roman" w:hAnsi="Times New Roman" w:cs="Times New Roman"/>
          <w:sz w:val="28"/>
          <w:szCs w:val="28"/>
        </w:rPr>
        <w:t>.</w:t>
      </w:r>
      <w:r w:rsidRPr="00022CA4">
        <w:rPr>
          <w:rFonts w:ascii="Times New Roman" w:hAnsi="Times New Roman" w:cs="Times New Roman"/>
          <w:sz w:val="28"/>
          <w:szCs w:val="28"/>
        </w:rPr>
        <w:t xml:space="preserve"> </w:t>
      </w:r>
      <w:r w:rsidR="002C633D" w:rsidRPr="00022CA4">
        <w:rPr>
          <w:rFonts w:ascii="Times New Roman" w:hAnsi="Times New Roman" w:cs="Times New Roman"/>
          <w:sz w:val="28"/>
          <w:szCs w:val="28"/>
        </w:rPr>
        <w:t>Data</w:t>
      </w:r>
    </w:p>
    <w:p w14:paraId="2F005923" w14:textId="4B9707F4" w:rsidR="0041714F" w:rsidRPr="00022CA4" w:rsidRDefault="00850851" w:rsidP="00EE4D7D">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7502D" w:rsidRPr="00022CA4">
        <w:rPr>
          <w:rFonts w:ascii="Times New Roman" w:hAnsi="Times New Roman" w:cs="Times New Roman"/>
          <w:sz w:val="24"/>
          <w:szCs w:val="24"/>
        </w:rPr>
        <w:t>verage</w:t>
      </w:r>
      <w:r w:rsidR="000C2B0E" w:rsidRPr="00022CA4">
        <w:rPr>
          <w:rFonts w:ascii="Times New Roman" w:hAnsi="Times New Roman" w:cs="Times New Roman"/>
          <w:sz w:val="24"/>
          <w:szCs w:val="24"/>
        </w:rPr>
        <w:t>s of</w:t>
      </w:r>
      <w:r w:rsidR="004013C6" w:rsidRPr="00022CA4">
        <w:rPr>
          <w:rFonts w:ascii="Times New Roman" w:hAnsi="Times New Roman" w:cs="Times New Roman"/>
          <w:sz w:val="24"/>
          <w:szCs w:val="24"/>
        </w:rPr>
        <w:t xml:space="preserve"> m</w:t>
      </w:r>
      <w:r w:rsidR="00CD7DA4" w:rsidRPr="00022CA4">
        <w:rPr>
          <w:rFonts w:ascii="Times New Roman" w:hAnsi="Times New Roman" w:cs="Times New Roman"/>
          <w:sz w:val="24"/>
          <w:szCs w:val="24"/>
        </w:rPr>
        <w:t>onth</w:t>
      </w:r>
      <w:r w:rsidR="009054F6" w:rsidRPr="00022CA4">
        <w:rPr>
          <w:rFonts w:ascii="Times New Roman" w:hAnsi="Times New Roman" w:cs="Times New Roman"/>
          <w:sz w:val="24"/>
          <w:szCs w:val="24"/>
        </w:rPr>
        <w:t xml:space="preserve">ly climate data, </w:t>
      </w:r>
      <w:r w:rsidR="004013C6" w:rsidRPr="00022CA4">
        <w:rPr>
          <w:rFonts w:ascii="Times New Roman" w:hAnsi="Times New Roman" w:cs="Times New Roman"/>
          <w:sz w:val="24"/>
          <w:szCs w:val="24"/>
        </w:rPr>
        <w:t xml:space="preserve">such as </w:t>
      </w:r>
      <w:r w:rsidR="009054F6" w:rsidRPr="00022CA4">
        <w:rPr>
          <w:rFonts w:ascii="Times New Roman" w:hAnsi="Times New Roman" w:cs="Times New Roman"/>
          <w:sz w:val="24"/>
          <w:szCs w:val="24"/>
        </w:rPr>
        <w:t>monthly</w:t>
      </w:r>
      <w:r w:rsidR="00CD7DA4" w:rsidRPr="00022CA4">
        <w:rPr>
          <w:rFonts w:ascii="Times New Roman" w:hAnsi="Times New Roman" w:cs="Times New Roman"/>
          <w:sz w:val="24"/>
          <w:szCs w:val="24"/>
        </w:rPr>
        <w:t xml:space="preserve"> maximum, minimum, and air temperatures (</w:t>
      </w:r>
      <w:proofErr w:type="spellStart"/>
      <w:r w:rsidR="00CD7DA4" w:rsidRPr="00022CA4">
        <w:rPr>
          <w:rFonts w:ascii="Times New Roman" w:hAnsi="Times New Roman" w:cs="Times New Roman"/>
          <w:sz w:val="24"/>
          <w:szCs w:val="24"/>
        </w:rPr>
        <w:t>Tmax</w:t>
      </w:r>
      <w:proofErr w:type="spellEnd"/>
      <w:r w:rsidR="00CD7DA4" w:rsidRPr="00022CA4">
        <w:rPr>
          <w:rFonts w:ascii="Times New Roman" w:hAnsi="Times New Roman" w:cs="Times New Roman"/>
          <w:sz w:val="24"/>
          <w:szCs w:val="24"/>
        </w:rPr>
        <w:t xml:space="preserve">, </w:t>
      </w:r>
      <w:proofErr w:type="spellStart"/>
      <w:r w:rsidR="00CD7DA4" w:rsidRPr="00022CA4">
        <w:rPr>
          <w:rFonts w:ascii="Times New Roman" w:hAnsi="Times New Roman" w:cs="Times New Roman"/>
          <w:sz w:val="24"/>
          <w:szCs w:val="24"/>
        </w:rPr>
        <w:t>Tmin</w:t>
      </w:r>
      <w:proofErr w:type="spellEnd"/>
      <w:r w:rsidR="00CD7DA4" w:rsidRPr="00022CA4">
        <w:rPr>
          <w:rFonts w:ascii="Times New Roman" w:hAnsi="Times New Roman" w:cs="Times New Roman"/>
          <w:sz w:val="24"/>
          <w:szCs w:val="24"/>
        </w:rPr>
        <w:t>, Ta)</w:t>
      </w:r>
      <w:r w:rsidR="004013C6" w:rsidRPr="00022CA4">
        <w:rPr>
          <w:rFonts w:ascii="Times New Roman" w:hAnsi="Times New Roman" w:cs="Times New Roman"/>
          <w:sz w:val="24"/>
          <w:szCs w:val="24"/>
        </w:rPr>
        <w:t>,</w:t>
      </w:r>
      <w:r w:rsidR="00CD7DA4" w:rsidRPr="00022CA4">
        <w:rPr>
          <w:rFonts w:ascii="Times New Roman" w:hAnsi="Times New Roman" w:cs="Times New Roman"/>
          <w:sz w:val="24"/>
          <w:szCs w:val="24"/>
        </w:rPr>
        <w:t xml:space="preserve"> </w:t>
      </w:r>
      <w:r w:rsidR="004013C6" w:rsidRPr="00022CA4">
        <w:rPr>
          <w:rFonts w:ascii="Times New Roman" w:hAnsi="Times New Roman" w:cs="Times New Roman"/>
          <w:sz w:val="24"/>
          <w:szCs w:val="24"/>
        </w:rPr>
        <w:t>relative air humidity</w:t>
      </w:r>
      <w:r w:rsidR="00C57463" w:rsidRPr="00022CA4">
        <w:rPr>
          <w:rFonts w:ascii="Times New Roman" w:hAnsi="Times New Roman" w:cs="Times New Roman"/>
          <w:sz w:val="24"/>
          <w:szCs w:val="24"/>
        </w:rPr>
        <w:t xml:space="preserve"> (RH)</w:t>
      </w:r>
      <w:r w:rsidR="004013C6" w:rsidRPr="00022CA4">
        <w:rPr>
          <w:rFonts w:ascii="Times New Roman" w:hAnsi="Times New Roman" w:cs="Times New Roman"/>
          <w:sz w:val="24"/>
          <w:szCs w:val="24"/>
        </w:rPr>
        <w:t xml:space="preserve">, </w:t>
      </w:r>
      <w:r w:rsidR="003601DA" w:rsidRPr="00022CA4">
        <w:rPr>
          <w:rFonts w:ascii="Times New Roman" w:hAnsi="Times New Roman" w:cs="Times New Roman"/>
          <w:sz w:val="24"/>
          <w:szCs w:val="24"/>
        </w:rPr>
        <w:t xml:space="preserve">rainfall or </w:t>
      </w:r>
      <w:r w:rsidR="001C4477">
        <w:rPr>
          <w:rFonts w:ascii="Times New Roman" w:hAnsi="Times New Roman" w:cs="Times New Roman"/>
          <w:sz w:val="24"/>
          <w:szCs w:val="24"/>
        </w:rPr>
        <w:t>rainfall</w:t>
      </w:r>
      <w:r w:rsidR="00C57463" w:rsidRPr="00022CA4">
        <w:rPr>
          <w:rFonts w:ascii="Times New Roman" w:hAnsi="Times New Roman" w:cs="Times New Roman"/>
          <w:sz w:val="24"/>
          <w:szCs w:val="24"/>
        </w:rPr>
        <w:t xml:space="preserve"> (P)</w:t>
      </w:r>
      <w:r w:rsidR="00CD7DA4" w:rsidRPr="00022CA4">
        <w:rPr>
          <w:rFonts w:ascii="Times New Roman" w:hAnsi="Times New Roman" w:cs="Times New Roman"/>
          <w:sz w:val="24"/>
          <w:szCs w:val="24"/>
        </w:rPr>
        <w:t>,</w:t>
      </w:r>
      <w:r w:rsidR="009054F6" w:rsidRPr="00022CA4">
        <w:rPr>
          <w:rFonts w:ascii="Times New Roman" w:hAnsi="Times New Roman" w:cs="Times New Roman"/>
          <w:sz w:val="24"/>
          <w:szCs w:val="24"/>
        </w:rPr>
        <w:t xml:space="preserve"> </w:t>
      </w:r>
      <w:r w:rsidR="00CD7DA4" w:rsidRPr="00022CA4">
        <w:rPr>
          <w:rFonts w:ascii="Times New Roman" w:hAnsi="Times New Roman" w:cs="Times New Roman"/>
          <w:sz w:val="24"/>
          <w:szCs w:val="24"/>
        </w:rPr>
        <w:t xml:space="preserve"> wind speed at 10 meters</w:t>
      </w:r>
      <w:r w:rsidR="004013C6" w:rsidRPr="00022CA4">
        <w:rPr>
          <w:rFonts w:ascii="Times New Roman" w:hAnsi="Times New Roman" w:cs="Times New Roman"/>
          <w:sz w:val="24"/>
          <w:szCs w:val="24"/>
        </w:rPr>
        <w:t xml:space="preserve"> above ground</w:t>
      </w:r>
      <w:r w:rsidR="00C57463" w:rsidRPr="00022CA4">
        <w:rPr>
          <w:rFonts w:ascii="Times New Roman" w:hAnsi="Times New Roman" w:cs="Times New Roman"/>
          <w:sz w:val="24"/>
          <w:szCs w:val="24"/>
        </w:rPr>
        <w:t xml:space="preserve"> (u</w:t>
      </w:r>
      <w:r w:rsidR="00C57463" w:rsidRPr="00022CA4">
        <w:rPr>
          <w:rFonts w:ascii="Times New Roman" w:hAnsi="Times New Roman" w:cs="Times New Roman"/>
          <w:sz w:val="24"/>
          <w:szCs w:val="24"/>
          <w:vertAlign w:val="subscript"/>
        </w:rPr>
        <w:t>10</w:t>
      </w:r>
      <w:r w:rsidR="00C57463" w:rsidRPr="00022CA4">
        <w:rPr>
          <w:rFonts w:ascii="Times New Roman" w:hAnsi="Times New Roman" w:cs="Times New Roman"/>
          <w:sz w:val="24"/>
          <w:szCs w:val="24"/>
        </w:rPr>
        <w:t>)</w:t>
      </w:r>
      <w:r w:rsidR="00CD7DA4" w:rsidRPr="00022CA4">
        <w:rPr>
          <w:rFonts w:ascii="Times New Roman" w:hAnsi="Times New Roman" w:cs="Times New Roman"/>
          <w:sz w:val="24"/>
          <w:szCs w:val="24"/>
        </w:rPr>
        <w:t xml:space="preserve">, and net radiation </w:t>
      </w:r>
      <w:r w:rsidR="00C57463" w:rsidRPr="00022CA4">
        <w:rPr>
          <w:rFonts w:ascii="Times New Roman" w:hAnsi="Times New Roman" w:cs="Times New Roman"/>
          <w:sz w:val="24"/>
          <w:szCs w:val="24"/>
        </w:rPr>
        <w:t>(</w:t>
      </w:r>
      <w:proofErr w:type="spellStart"/>
      <w:r w:rsidR="00C57463" w:rsidRPr="00022CA4">
        <w:rPr>
          <w:rFonts w:ascii="Times New Roman" w:hAnsi="Times New Roman" w:cs="Times New Roman"/>
          <w:sz w:val="24"/>
          <w:szCs w:val="24"/>
        </w:rPr>
        <w:t>R</w:t>
      </w:r>
      <w:r w:rsidR="00C57463" w:rsidRPr="00022CA4">
        <w:rPr>
          <w:rFonts w:ascii="Times New Roman" w:hAnsi="Times New Roman" w:cs="Times New Roman"/>
          <w:sz w:val="24"/>
          <w:szCs w:val="24"/>
          <w:vertAlign w:val="subscript"/>
        </w:rPr>
        <w:t>n</w:t>
      </w:r>
      <w:proofErr w:type="spellEnd"/>
      <w:r w:rsidR="00C57463" w:rsidRPr="00022CA4">
        <w:rPr>
          <w:rFonts w:ascii="Times New Roman" w:hAnsi="Times New Roman" w:cs="Times New Roman"/>
          <w:sz w:val="24"/>
          <w:szCs w:val="24"/>
        </w:rPr>
        <w:t xml:space="preserve">) </w:t>
      </w:r>
      <w:r w:rsidR="00CD7DA4" w:rsidRPr="00022CA4">
        <w:rPr>
          <w:rFonts w:ascii="Times New Roman" w:hAnsi="Times New Roman" w:cs="Times New Roman"/>
          <w:sz w:val="24"/>
          <w:szCs w:val="24"/>
        </w:rPr>
        <w:t>from 392 grid points</w:t>
      </w:r>
      <w:r w:rsidR="004013C6" w:rsidRPr="00022CA4">
        <w:rPr>
          <w:rFonts w:ascii="Times New Roman" w:hAnsi="Times New Roman" w:cs="Times New Roman"/>
          <w:sz w:val="24"/>
          <w:szCs w:val="24"/>
        </w:rPr>
        <w:t>,</w:t>
      </w:r>
      <w:r w:rsidR="00CD7DA4" w:rsidRPr="00022CA4">
        <w:rPr>
          <w:rFonts w:ascii="Times New Roman" w:hAnsi="Times New Roman" w:cs="Times New Roman"/>
          <w:sz w:val="24"/>
          <w:szCs w:val="24"/>
        </w:rPr>
        <w:t xml:space="preserve"> </w:t>
      </w:r>
      <w:r w:rsidR="004013C6" w:rsidRPr="00022CA4">
        <w:rPr>
          <w:rFonts w:ascii="Times New Roman" w:hAnsi="Times New Roman" w:cs="Times New Roman"/>
          <w:sz w:val="24"/>
          <w:szCs w:val="24"/>
        </w:rPr>
        <w:t>each separated by 0.5</w:t>
      </w:r>
      <w:r w:rsidR="004013C6" w:rsidRPr="00022CA4">
        <w:rPr>
          <w:rFonts w:ascii="Times New Roman" w:hAnsi="Times New Roman" w:cs="Times New Roman"/>
          <w:sz w:val="24"/>
          <w:szCs w:val="24"/>
          <w:vertAlign w:val="superscript"/>
        </w:rPr>
        <w:t>o</w:t>
      </w:r>
      <w:r w:rsidR="0097502D" w:rsidRPr="00022CA4">
        <w:rPr>
          <w:rFonts w:ascii="Times New Roman" w:hAnsi="Times New Roman" w:cs="Times New Roman"/>
          <w:sz w:val="24"/>
          <w:szCs w:val="24"/>
        </w:rPr>
        <w:t xml:space="preserve"> </w:t>
      </w:r>
      <w:r w:rsidR="0041714F" w:rsidRPr="00022CA4">
        <w:rPr>
          <w:rFonts w:ascii="Times New Roman" w:hAnsi="Times New Roman" w:cs="Times New Roman"/>
          <w:sz w:val="24"/>
          <w:szCs w:val="24"/>
        </w:rPr>
        <w:t>or 55.5 km,</w:t>
      </w:r>
      <w:r w:rsidR="004013C6" w:rsidRPr="00022CA4">
        <w:rPr>
          <w:rFonts w:ascii="Times New Roman" w:hAnsi="Times New Roman" w:cs="Times New Roman"/>
          <w:sz w:val="24"/>
          <w:szCs w:val="24"/>
        </w:rPr>
        <w:t xml:space="preserve"> </w:t>
      </w:r>
      <w:r w:rsidR="00CD7DA4" w:rsidRPr="00022CA4">
        <w:rPr>
          <w:rFonts w:ascii="Times New Roman" w:hAnsi="Times New Roman" w:cs="Times New Roman"/>
          <w:sz w:val="24"/>
          <w:szCs w:val="24"/>
        </w:rPr>
        <w:t>for the period 1980</w:t>
      </w:r>
      <w:r w:rsidR="0041714F" w:rsidRPr="00022CA4">
        <w:rPr>
          <w:rFonts w:ascii="Times New Roman" w:hAnsi="Times New Roman" w:cs="Times New Roman"/>
          <w:sz w:val="24"/>
          <w:szCs w:val="24"/>
        </w:rPr>
        <w:t>-</w:t>
      </w:r>
      <w:r w:rsidR="00CD7DA4" w:rsidRPr="00022CA4">
        <w:rPr>
          <w:rFonts w:ascii="Times New Roman" w:hAnsi="Times New Roman" w:cs="Times New Roman"/>
          <w:sz w:val="24"/>
          <w:szCs w:val="24"/>
        </w:rPr>
        <w:t>2021 were</w:t>
      </w:r>
      <w:r w:rsidR="004013C6" w:rsidRPr="00022CA4">
        <w:rPr>
          <w:rFonts w:ascii="Times New Roman" w:hAnsi="Times New Roman" w:cs="Times New Roman"/>
          <w:sz w:val="24"/>
          <w:szCs w:val="24"/>
        </w:rPr>
        <w:t xml:space="preserve"> the bas</w:t>
      </w:r>
      <w:r w:rsidR="00C57463" w:rsidRPr="00022CA4">
        <w:rPr>
          <w:rFonts w:ascii="Times New Roman" w:hAnsi="Times New Roman" w:cs="Times New Roman"/>
          <w:sz w:val="24"/>
          <w:szCs w:val="24"/>
        </w:rPr>
        <w:t>is</w:t>
      </w:r>
      <w:r w:rsidR="004013C6" w:rsidRPr="00022CA4">
        <w:rPr>
          <w:rFonts w:ascii="Times New Roman" w:hAnsi="Times New Roman" w:cs="Times New Roman"/>
          <w:sz w:val="24"/>
          <w:szCs w:val="24"/>
        </w:rPr>
        <w:t xml:space="preserve"> </w:t>
      </w:r>
      <w:r w:rsidR="00C57463" w:rsidRPr="00022CA4">
        <w:rPr>
          <w:rFonts w:ascii="Times New Roman" w:hAnsi="Times New Roman" w:cs="Times New Roman"/>
          <w:sz w:val="24"/>
          <w:szCs w:val="24"/>
        </w:rPr>
        <w:t xml:space="preserve">of </w:t>
      </w:r>
      <w:r w:rsidR="004013C6" w:rsidRPr="00022CA4">
        <w:rPr>
          <w:rFonts w:ascii="Times New Roman" w:hAnsi="Times New Roman" w:cs="Times New Roman"/>
          <w:sz w:val="24"/>
          <w:szCs w:val="24"/>
        </w:rPr>
        <w:t>t</w:t>
      </w:r>
      <w:r>
        <w:rPr>
          <w:rFonts w:ascii="Times New Roman" w:hAnsi="Times New Roman" w:cs="Times New Roman"/>
          <w:sz w:val="24"/>
          <w:szCs w:val="24"/>
        </w:rPr>
        <w:t xml:space="preserve">he climate dataset. </w:t>
      </w:r>
      <w:r w:rsidR="00480041">
        <w:rPr>
          <w:rFonts w:ascii="Times New Roman" w:hAnsi="Times New Roman" w:cs="Times New Roman"/>
          <w:sz w:val="24"/>
          <w:szCs w:val="24"/>
        </w:rPr>
        <w:t>A</w:t>
      </w:r>
      <w:r w:rsidR="00E839D9" w:rsidRPr="00E839D9">
        <w:rPr>
          <w:rFonts w:ascii="Times New Roman" w:hAnsi="Times New Roman" w:cs="Times New Roman"/>
          <w:sz w:val="24"/>
          <w:szCs w:val="24"/>
        </w:rPr>
        <w:t xml:space="preserve">nalyzing data derived from multiple models provides a more reliable and robust result compared to using a single model alone. By combining outputs from five different models and taking their </w:t>
      </w:r>
      <w:r w:rsidR="00E839D9" w:rsidRPr="00E839D9">
        <w:rPr>
          <w:rFonts w:ascii="Times New Roman" w:hAnsi="Times New Roman" w:cs="Times New Roman"/>
          <w:sz w:val="24"/>
          <w:szCs w:val="24"/>
        </w:rPr>
        <w:lastRenderedPageBreak/>
        <w:t xml:space="preserve">average, random errors and individual model biases can be minimized. This ensemble approach enhances the overall accuracy and stability of the analysis, as it captures a wider range of variability and reduces the influence of outliers or model-specific uncertainties. Therefore, multi-model averaging serves as a more dependable method for representing real-world conditions than relying solely on individual model </w:t>
      </w:r>
      <w:proofErr w:type="spellStart"/>
      <w:r w:rsidR="00E839D9" w:rsidRPr="00E839D9">
        <w:rPr>
          <w:rFonts w:ascii="Times New Roman" w:hAnsi="Times New Roman" w:cs="Times New Roman"/>
          <w:sz w:val="24"/>
          <w:szCs w:val="24"/>
        </w:rPr>
        <w:t>outputs.</w:t>
      </w:r>
      <w:r>
        <w:rPr>
          <w:rFonts w:ascii="Times New Roman" w:hAnsi="Times New Roman" w:cs="Times New Roman"/>
          <w:sz w:val="24"/>
          <w:szCs w:val="24"/>
        </w:rPr>
        <w:t>The</w:t>
      </w:r>
      <w:proofErr w:type="spellEnd"/>
      <w:r>
        <w:rPr>
          <w:rFonts w:ascii="Times New Roman" w:hAnsi="Times New Roman" w:cs="Times New Roman"/>
          <w:sz w:val="24"/>
          <w:szCs w:val="24"/>
        </w:rPr>
        <w:t xml:space="preserve"> average</w:t>
      </w:r>
      <w:r w:rsidR="004013C6" w:rsidRPr="00022CA4">
        <w:rPr>
          <w:rFonts w:ascii="Times New Roman" w:hAnsi="Times New Roman" w:cs="Times New Roman"/>
          <w:sz w:val="24"/>
          <w:szCs w:val="24"/>
        </w:rPr>
        <w:t xml:space="preserve"> was </w:t>
      </w:r>
      <w:r w:rsidR="0041714F" w:rsidRPr="00022CA4">
        <w:rPr>
          <w:rFonts w:ascii="Times New Roman" w:hAnsi="Times New Roman" w:cs="Times New Roman"/>
          <w:sz w:val="24"/>
          <w:szCs w:val="24"/>
        </w:rPr>
        <w:t xml:space="preserve">obtained </w:t>
      </w:r>
      <w:r w:rsidR="00CD7DA4" w:rsidRPr="00022CA4">
        <w:rPr>
          <w:rFonts w:ascii="Times New Roman" w:hAnsi="Times New Roman" w:cs="Times New Roman"/>
          <w:sz w:val="24"/>
          <w:szCs w:val="24"/>
        </w:rPr>
        <w:t xml:space="preserve">from </w:t>
      </w:r>
      <w:r w:rsidR="0041714F" w:rsidRPr="00022CA4">
        <w:rPr>
          <w:rFonts w:ascii="Times New Roman" w:hAnsi="Times New Roman" w:cs="Times New Roman"/>
          <w:sz w:val="24"/>
          <w:szCs w:val="24"/>
        </w:rPr>
        <w:t xml:space="preserve">the following </w:t>
      </w:r>
      <w:r w:rsidR="00CD7DA4" w:rsidRPr="00022CA4">
        <w:rPr>
          <w:rFonts w:ascii="Times New Roman" w:hAnsi="Times New Roman" w:cs="Times New Roman"/>
          <w:sz w:val="24"/>
          <w:szCs w:val="24"/>
        </w:rPr>
        <w:t>five climate data</w:t>
      </w:r>
      <w:r w:rsidR="0097502D" w:rsidRPr="00022CA4">
        <w:rPr>
          <w:rFonts w:ascii="Times New Roman" w:hAnsi="Times New Roman" w:cs="Times New Roman"/>
          <w:sz w:val="24"/>
          <w:szCs w:val="24"/>
        </w:rPr>
        <w:t xml:space="preserve"> sources</w:t>
      </w:r>
      <w:r w:rsidR="000C05E1" w:rsidRPr="00022CA4">
        <w:rPr>
          <w:rFonts w:ascii="Times New Roman" w:hAnsi="Times New Roman" w:cs="Times New Roman"/>
          <w:sz w:val="24"/>
          <w:szCs w:val="24"/>
        </w:rPr>
        <w:t>.</w:t>
      </w:r>
      <w:r w:rsidR="0097502D" w:rsidRPr="00022CA4">
        <w:rPr>
          <w:rFonts w:ascii="Times New Roman" w:hAnsi="Times New Roman" w:cs="Times New Roman"/>
          <w:sz w:val="24"/>
          <w:szCs w:val="24"/>
        </w:rPr>
        <w:t xml:space="preserve"> </w:t>
      </w:r>
    </w:p>
    <w:p w14:paraId="5F35044F" w14:textId="074E17E6" w:rsidR="0041714F" w:rsidRPr="00022CA4" w:rsidRDefault="0041714F" w:rsidP="00EE4D7D">
      <w:pPr>
        <w:pStyle w:val="BodyText"/>
        <w:spacing w:line="360" w:lineRule="auto"/>
        <w:jc w:val="both"/>
        <w:rPr>
          <w:rStyle w:val="Hyperlink"/>
          <w:rFonts w:ascii="Times New Roman" w:eastAsiaTheme="majorEastAsia" w:hAnsi="Times New Roman" w:cs="Times New Roman"/>
          <w:szCs w:val="21"/>
          <w:lang w:val="es-419"/>
        </w:rPr>
      </w:pPr>
      <w:r w:rsidRPr="00022CA4">
        <w:rPr>
          <w:rFonts w:ascii="Times New Roman" w:hAnsi="Times New Roman" w:cs="Times New Roman"/>
          <w:sz w:val="24"/>
          <w:szCs w:val="24"/>
        </w:rPr>
        <w:t xml:space="preserve">1) </w:t>
      </w:r>
      <w:r w:rsidR="00B35522" w:rsidRPr="00022CA4">
        <w:rPr>
          <w:rFonts w:ascii="Times New Roman" w:hAnsi="Times New Roman" w:cs="Times New Roman"/>
          <w:sz w:val="24"/>
          <w:szCs w:val="24"/>
        </w:rPr>
        <w:t>MSWX-Past (</w:t>
      </w:r>
      <w:hyperlink r:id="rId14" w:history="1">
        <w:r w:rsidR="00B35522" w:rsidRPr="00022CA4">
          <w:rPr>
            <w:rFonts w:ascii="Times New Roman" w:hAnsi="Times New Roman" w:cs="Times New Roman"/>
            <w:sz w:val="24"/>
            <w:szCs w:val="24"/>
          </w:rPr>
          <w:t>www.gloh2o.org/mswx/</w:t>
        </w:r>
      </w:hyperlink>
      <w:r w:rsidR="00B35522" w:rsidRPr="00022CA4">
        <w:rPr>
          <w:rFonts w:ascii="Times New Roman" w:hAnsi="Times New Roman" w:cs="Times New Roman"/>
          <w:sz w:val="24"/>
          <w:szCs w:val="24"/>
        </w:rPr>
        <w:t>),</w:t>
      </w:r>
      <w:r w:rsidR="00B35522" w:rsidRPr="00022CA4">
        <w:rPr>
          <w:rStyle w:val="Hyperlink"/>
          <w:rFonts w:ascii="Times New Roman" w:eastAsiaTheme="majorEastAsia" w:hAnsi="Times New Roman" w:cs="Times New Roman"/>
          <w:szCs w:val="21"/>
          <w:lang w:val="es-419"/>
        </w:rPr>
        <w:t xml:space="preserve"> </w:t>
      </w:r>
      <w:bookmarkStart w:id="1" w:name="_Hlk152279480"/>
    </w:p>
    <w:p w14:paraId="6AD4E62E" w14:textId="64F16CF7" w:rsidR="0041714F" w:rsidRPr="00022CA4" w:rsidRDefault="0041714F" w:rsidP="00EE4D7D">
      <w:pPr>
        <w:pStyle w:val="BodyText"/>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2) </w:t>
      </w:r>
      <w:r w:rsidR="00B35522" w:rsidRPr="00022CA4">
        <w:rPr>
          <w:rFonts w:ascii="Times New Roman" w:hAnsi="Times New Roman" w:cs="Times New Roman"/>
          <w:sz w:val="24"/>
          <w:szCs w:val="24"/>
        </w:rPr>
        <w:t>MERRA-2</w:t>
      </w:r>
      <w:bookmarkEnd w:id="1"/>
      <w:r w:rsidR="00B35522" w:rsidRPr="00022CA4">
        <w:rPr>
          <w:rFonts w:ascii="Times New Roman" w:hAnsi="Times New Roman" w:cs="Times New Roman"/>
          <w:sz w:val="24"/>
          <w:szCs w:val="24"/>
        </w:rPr>
        <w:t xml:space="preserve"> (</w:t>
      </w:r>
      <w:hyperlink r:id="rId15" w:history="1">
        <w:r w:rsidR="00B35522" w:rsidRPr="00022CA4">
          <w:rPr>
            <w:rFonts w:ascii="Times New Roman" w:hAnsi="Times New Roman" w:cs="Times New Roman"/>
            <w:sz w:val="24"/>
            <w:szCs w:val="24"/>
          </w:rPr>
          <w:t>https://esgf-node.llnl.gov/search/esgf-llnl</w:t>
        </w:r>
      </w:hyperlink>
      <w:r w:rsidR="00B35522" w:rsidRPr="00022CA4">
        <w:rPr>
          <w:rFonts w:ascii="Times New Roman" w:hAnsi="Times New Roman" w:cs="Times New Roman"/>
          <w:sz w:val="24"/>
          <w:szCs w:val="24"/>
        </w:rPr>
        <w:t xml:space="preserve">), </w:t>
      </w:r>
    </w:p>
    <w:p w14:paraId="738F34E8" w14:textId="77777777" w:rsidR="0041714F" w:rsidRPr="00022CA4" w:rsidRDefault="0041714F" w:rsidP="00EE4D7D">
      <w:pPr>
        <w:pStyle w:val="BodyText"/>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3) </w:t>
      </w:r>
      <w:r w:rsidR="00B35522" w:rsidRPr="00022CA4">
        <w:rPr>
          <w:rFonts w:ascii="Times New Roman" w:hAnsi="Times New Roman" w:cs="Times New Roman"/>
          <w:sz w:val="24"/>
          <w:szCs w:val="24"/>
        </w:rPr>
        <w:t>ERA-5</w:t>
      </w:r>
      <w:r w:rsidRPr="00022CA4">
        <w:rPr>
          <w:rFonts w:ascii="Times New Roman" w:hAnsi="Times New Roman" w:cs="Times New Roman"/>
          <w:sz w:val="24"/>
          <w:szCs w:val="24"/>
        </w:rPr>
        <w:t xml:space="preserve"> </w:t>
      </w:r>
      <w:r w:rsidR="00B35522" w:rsidRPr="00022CA4">
        <w:rPr>
          <w:rFonts w:ascii="Times New Roman" w:hAnsi="Times New Roman" w:cs="Times New Roman"/>
          <w:sz w:val="24"/>
          <w:szCs w:val="24"/>
        </w:rPr>
        <w:t>(</w:t>
      </w:r>
      <w:hyperlink r:id="rId16" w:anchor="!/dataset/reanalysis-era5-complete" w:history="1">
        <w:r w:rsidR="00B35522" w:rsidRPr="00022CA4">
          <w:rPr>
            <w:rFonts w:ascii="Times New Roman" w:hAnsi="Times New Roman" w:cs="Times New Roman"/>
            <w:sz w:val="24"/>
            <w:szCs w:val="24"/>
          </w:rPr>
          <w:t>https://cds.climate.copernicus.eu/cdsapp#!/dataset/reanalysis-era5-complete</w:t>
        </w:r>
      </w:hyperlink>
      <w:r w:rsidR="00B35522" w:rsidRPr="00022CA4">
        <w:rPr>
          <w:rFonts w:ascii="Times New Roman" w:hAnsi="Times New Roman" w:cs="Times New Roman"/>
          <w:sz w:val="24"/>
          <w:szCs w:val="24"/>
        </w:rPr>
        <w:t>),</w:t>
      </w:r>
      <w:bookmarkStart w:id="2" w:name="_Hlk152278103"/>
      <w:r w:rsidRPr="00022CA4">
        <w:rPr>
          <w:rFonts w:ascii="Times New Roman" w:hAnsi="Times New Roman" w:cs="Times New Roman"/>
          <w:sz w:val="24"/>
          <w:szCs w:val="24"/>
        </w:rPr>
        <w:t xml:space="preserve"> </w:t>
      </w:r>
    </w:p>
    <w:p w14:paraId="0BDA8B38" w14:textId="77777777" w:rsidR="0041714F" w:rsidRPr="00022CA4" w:rsidRDefault="0041714F" w:rsidP="00EE4D7D">
      <w:pPr>
        <w:pStyle w:val="BodyText"/>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4) </w:t>
      </w:r>
      <w:r w:rsidR="00B35522" w:rsidRPr="00022CA4">
        <w:rPr>
          <w:rFonts w:ascii="Times New Roman" w:hAnsi="Times New Roman" w:cs="Times New Roman"/>
          <w:sz w:val="24"/>
          <w:szCs w:val="24"/>
        </w:rPr>
        <w:t>CRUTS4.06</w:t>
      </w:r>
      <w:bookmarkEnd w:id="2"/>
      <w:r w:rsidR="00B35522" w:rsidRPr="00022CA4">
        <w:rPr>
          <w:rFonts w:ascii="Times New Roman" w:hAnsi="Times New Roman" w:cs="Times New Roman"/>
          <w:sz w:val="24"/>
          <w:szCs w:val="24"/>
        </w:rPr>
        <w:t xml:space="preserve"> (</w:t>
      </w:r>
      <w:hyperlink r:id="rId17" w:history="1">
        <w:r w:rsidR="00B35522" w:rsidRPr="00022CA4">
          <w:rPr>
            <w:rFonts w:ascii="Times New Roman" w:hAnsi="Times New Roman" w:cs="Times New Roman"/>
            <w:sz w:val="24"/>
            <w:szCs w:val="24"/>
          </w:rPr>
          <w:t>https://crudata.uea.ac.uk/cru/data/hrg/cru_ts_4.06/</w:t>
        </w:r>
      </w:hyperlink>
      <w:r w:rsidR="00B35522" w:rsidRPr="00022CA4">
        <w:rPr>
          <w:rFonts w:ascii="Times New Roman" w:hAnsi="Times New Roman" w:cs="Times New Roman"/>
          <w:sz w:val="24"/>
          <w:szCs w:val="24"/>
        </w:rPr>
        <w:t>),</w:t>
      </w:r>
      <w:r w:rsidRPr="00022CA4">
        <w:rPr>
          <w:rFonts w:ascii="Times New Roman" w:hAnsi="Times New Roman" w:cs="Times New Roman"/>
          <w:sz w:val="24"/>
          <w:szCs w:val="24"/>
        </w:rPr>
        <w:t xml:space="preserve"> </w:t>
      </w:r>
    </w:p>
    <w:p w14:paraId="55AB5D47" w14:textId="77777777" w:rsidR="0041714F" w:rsidRPr="00022CA4" w:rsidRDefault="0041714F" w:rsidP="00EE4D7D">
      <w:pPr>
        <w:pStyle w:val="BodyText"/>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5) </w:t>
      </w:r>
      <w:proofErr w:type="spellStart"/>
      <w:r w:rsidR="00B35522" w:rsidRPr="00022CA4">
        <w:rPr>
          <w:rFonts w:ascii="Times New Roman" w:hAnsi="Times New Roman" w:cs="Times New Roman"/>
          <w:sz w:val="24"/>
          <w:szCs w:val="24"/>
        </w:rPr>
        <w:t>TerraClimate</w:t>
      </w:r>
      <w:proofErr w:type="spellEnd"/>
      <w:r w:rsidR="00B35522" w:rsidRPr="00022CA4">
        <w:rPr>
          <w:rFonts w:ascii="Times New Roman" w:hAnsi="Times New Roman" w:cs="Times New Roman"/>
          <w:sz w:val="24"/>
          <w:szCs w:val="24"/>
        </w:rPr>
        <w:t xml:space="preserve"> (</w:t>
      </w:r>
      <w:hyperlink r:id="rId18" w:history="1">
        <w:r w:rsidR="00B35522" w:rsidRPr="00022CA4">
          <w:rPr>
            <w:sz w:val="24"/>
            <w:szCs w:val="24"/>
          </w:rPr>
          <w:t>https://www.climatologylab.org/terraclimate.html</w:t>
        </w:r>
      </w:hyperlink>
      <w:r w:rsidR="00B35522" w:rsidRPr="00022CA4">
        <w:rPr>
          <w:sz w:val="24"/>
          <w:szCs w:val="24"/>
        </w:rPr>
        <w:t>).</w:t>
      </w:r>
      <w:r w:rsidR="00CD7DA4" w:rsidRPr="00022CA4">
        <w:rPr>
          <w:rFonts w:ascii="Times New Roman" w:hAnsi="Times New Roman" w:cs="Times New Roman"/>
          <w:sz w:val="24"/>
          <w:szCs w:val="24"/>
        </w:rPr>
        <w:t xml:space="preserve"> </w:t>
      </w:r>
    </w:p>
    <w:p w14:paraId="04868350" w14:textId="16D737C4" w:rsidR="00837248" w:rsidRPr="00022CA4" w:rsidRDefault="00056852" w:rsidP="00EE4D7D">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t>2.3</w:t>
      </w:r>
      <w:r w:rsidR="009B71DF" w:rsidRPr="00022CA4">
        <w:rPr>
          <w:rFonts w:ascii="Times New Roman" w:hAnsi="Times New Roman" w:cs="Times New Roman"/>
          <w:color w:val="auto"/>
          <w:sz w:val="28"/>
          <w:szCs w:val="28"/>
        </w:rPr>
        <w:t>.</w:t>
      </w:r>
      <w:r w:rsidRPr="00022CA4">
        <w:rPr>
          <w:rFonts w:ascii="Times New Roman" w:hAnsi="Times New Roman" w:cs="Times New Roman"/>
          <w:color w:val="auto"/>
          <w:sz w:val="28"/>
          <w:szCs w:val="28"/>
        </w:rPr>
        <w:t xml:space="preserve"> </w:t>
      </w:r>
      <w:r w:rsidR="00837248" w:rsidRPr="00022CA4">
        <w:rPr>
          <w:rFonts w:ascii="Times New Roman" w:hAnsi="Times New Roman" w:cs="Times New Roman"/>
          <w:color w:val="auto"/>
          <w:sz w:val="28"/>
          <w:szCs w:val="28"/>
        </w:rPr>
        <w:t>Methods</w:t>
      </w:r>
    </w:p>
    <w:p w14:paraId="3864B599" w14:textId="7CD3AB66" w:rsidR="004812F2" w:rsidRPr="00022CA4" w:rsidRDefault="0097502D" w:rsidP="00EE4D7D">
      <w:pPr>
        <w:spacing w:line="360" w:lineRule="auto"/>
        <w:rPr>
          <w:rFonts w:ascii="Times New Roman" w:hAnsi="Times New Roman" w:cs="Times New Roman"/>
          <w:sz w:val="24"/>
          <w:szCs w:val="24"/>
          <w:vertAlign w:val="subscript"/>
        </w:rPr>
      </w:pPr>
      <w:r w:rsidRPr="00022CA4">
        <w:rPr>
          <w:rFonts w:ascii="Times New Roman" w:hAnsi="Times New Roman" w:cs="Times New Roman"/>
          <w:sz w:val="24"/>
          <w:szCs w:val="24"/>
        </w:rPr>
        <w:t>The Food and Agriculture Organization (FAO56) Penman-</w:t>
      </w:r>
      <w:proofErr w:type="spellStart"/>
      <w:r w:rsidRPr="00022CA4">
        <w:rPr>
          <w:rFonts w:ascii="Times New Roman" w:hAnsi="Times New Roman" w:cs="Times New Roman"/>
          <w:sz w:val="24"/>
          <w:szCs w:val="24"/>
        </w:rPr>
        <w:t>Monteith</w:t>
      </w:r>
      <w:proofErr w:type="spellEnd"/>
      <w:r w:rsidRPr="00022CA4">
        <w:rPr>
          <w:rFonts w:ascii="Times New Roman" w:hAnsi="Times New Roman" w:cs="Times New Roman"/>
          <w:sz w:val="24"/>
          <w:szCs w:val="24"/>
        </w:rPr>
        <w:t xml:space="preserve"> method by </w:t>
      </w:r>
      <w:r w:rsidRPr="00022CA4">
        <w:rPr>
          <w:rFonts w:ascii="Times New Roman" w:hAnsi="Times New Roman" w:cs="Times New Roman"/>
          <w:sz w:val="24"/>
          <w:szCs w:val="24"/>
        </w:rPr>
        <w:fldChar w:fldCharType="begin" w:fldLock="1"/>
      </w:r>
      <w:r w:rsidR="00591764" w:rsidRPr="00022CA4">
        <w:rPr>
          <w:rFonts w:ascii="Times New Roman" w:hAnsi="Times New Roman" w:cs="Times New Roman"/>
          <w:sz w:val="24"/>
          <w:szCs w:val="24"/>
        </w:rPr>
        <w:instrText>ADDIN CSL_CITATION {"citationItems":[{"id":"ITEM-1","itemData":{"ISBN":"9251042195","ISSN":"92-5-104219-5","PMID":"19991908969","abstract":"This publication presents an updated procedure for calculating reference and crop evapotranspiration from meteorological data and crop coefficients. The procedure, first presented in the FAO Irrigation and Drainage Paper No. 24 'Crop Water Requirements', ETo' approach, whereby the effect of the climate on crop water requirements is given by the reference evapotranspiration ETo and the effect of the crop by the crop coefficient Kc. Other procedures developed in FAO Irrigation and Drainage Paper No. 24 such as the estimation of is termed the 'Kc dependable and effective rainfall, the calculation of irrigation requirements and the design of irrigation schedules are not presented in this publication but will be the subject of later papers in the series.","author":[{"dropping-particle":"","family":"Allen","given":"Richard G.","non-dropping-particle":"","parse-names":false,"suffix":""},{"dropping-particle":"","family":"PEREIRA","given":"Luis S.","non-dropping-particle":"","parse-names":false,"suffix":""},{"dropping-particle":"","family":"RAES","given":"Dirk","non-dropping-particle":"","parse-names":false,"suffix":""},{"dropping-particle":"","family":"Martin","given":"SMITH","non-dropping-particle":"","parse-names":false,"suffix":""}],"container-title":"Irrigation and Drainage","id":"ITEM-1","issue":"56","issued":{"date-parts":[["1998"]]},"page":"300","title":"FAO Irrigation and Drainage Paper Crop by","type":"article-journal","volume":"300"},"uris":["http://www.mendeley.com/documents/?uuid=01fecc28-329d-42d6-8066-1a75359961d6"]}],"mendeley":{"formattedCitation":"(Allen et al., 1998)","manualFormatting":"Allen et al. (1998)","plainTextFormattedCitation":"(Allen et al., 1998)","previouslyFormattedCitation":"(Allen et al., 1998)"},"properties":{"noteIndex":0},"schema":"https://github.com/citation-style-language/schema/raw/master/csl-citation.json"}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Allen et al. (1998)</w:t>
      </w:r>
      <w:r w:rsidRPr="00022CA4">
        <w:rPr>
          <w:rFonts w:ascii="Times New Roman" w:hAnsi="Times New Roman" w:cs="Times New Roman"/>
          <w:sz w:val="24"/>
          <w:szCs w:val="24"/>
        </w:rPr>
        <w:fldChar w:fldCharType="end"/>
      </w:r>
      <w:r w:rsidR="004812F2" w:rsidRPr="00022CA4">
        <w:rPr>
          <w:rFonts w:ascii="Times New Roman" w:hAnsi="Times New Roman" w:cs="Times New Roman"/>
          <w:sz w:val="24"/>
          <w:szCs w:val="24"/>
        </w:rPr>
        <w:t xml:space="preserve"> </w:t>
      </w:r>
      <w:r w:rsidRPr="00022CA4">
        <w:rPr>
          <w:rFonts w:ascii="Times New Roman" w:hAnsi="Times New Roman" w:cs="Times New Roman"/>
          <w:sz w:val="24"/>
          <w:szCs w:val="24"/>
        </w:rPr>
        <w:t>was used to calculate the reference evapotranspiration (</w:t>
      </w:r>
      <w:proofErr w:type="spellStart"/>
      <w:r w:rsidRPr="00022CA4">
        <w:rPr>
          <w:rFonts w:ascii="Times New Roman" w:hAnsi="Times New Roman" w:cs="Times New Roman"/>
          <w:sz w:val="24"/>
          <w:szCs w:val="24"/>
        </w:rPr>
        <w:t>ET</w:t>
      </w:r>
      <w:r w:rsidRPr="00022CA4">
        <w:rPr>
          <w:rFonts w:ascii="Times New Roman" w:hAnsi="Times New Roman" w:cs="Times New Roman"/>
          <w:sz w:val="24"/>
          <w:szCs w:val="24"/>
          <w:vertAlign w:val="subscript"/>
        </w:rPr>
        <w:t>o</w:t>
      </w:r>
      <w:proofErr w:type="spellEnd"/>
      <w:r w:rsidRPr="00022CA4">
        <w:rPr>
          <w:rFonts w:ascii="Times New Roman" w:hAnsi="Times New Roman" w:cs="Times New Roman"/>
          <w:sz w:val="24"/>
          <w:szCs w:val="24"/>
        </w:rPr>
        <w:t xml:space="preserve">) </w:t>
      </w:r>
      <w:r w:rsidR="00256C7E" w:rsidRPr="00022CA4">
        <w:rPr>
          <w:rFonts w:ascii="Times New Roman" w:hAnsi="Times New Roman" w:cs="Times New Roman"/>
          <w:color w:val="000000"/>
          <w:sz w:val="24"/>
          <w:szCs w:val="24"/>
          <w:shd w:val="clear" w:color="auto" w:fill="FFFFFF"/>
        </w:rPr>
        <w:t>as given below:</w:t>
      </w:r>
    </w:p>
    <w:p w14:paraId="0A97704C" w14:textId="5AFC1F70" w:rsidR="00256C7E" w:rsidRPr="00022CA4" w:rsidRDefault="00B65AB8" w:rsidP="00EE4D7D">
      <w:pPr>
        <w:spacing w:line="360" w:lineRule="auto"/>
        <w:rPr>
          <w:rFonts w:ascii="Times New Roman" w:hAnsi="Times New Roman" w:cs="Times New Roman"/>
          <w:color w:val="000000"/>
          <w:sz w:val="24"/>
          <w:szCs w:val="24"/>
          <w:shd w:val="clear" w:color="auto" w:fill="FFFFFF"/>
        </w:rPr>
      </w:pPr>
      <w:proofErr w:type="spellStart"/>
      <w:proofErr w:type="gramStart"/>
      <w:r w:rsidRPr="00022CA4">
        <w:rPr>
          <w:rFonts w:ascii="Times New Roman" w:hAnsi="Times New Roman" w:cs="Times New Roman"/>
          <w:sz w:val="24"/>
          <w:szCs w:val="24"/>
        </w:rPr>
        <w:t>ET</w:t>
      </w:r>
      <w:r w:rsidRPr="00022CA4">
        <w:rPr>
          <w:rFonts w:ascii="Times New Roman" w:hAnsi="Times New Roman" w:cs="Times New Roman"/>
          <w:sz w:val="24"/>
          <w:szCs w:val="24"/>
          <w:vertAlign w:val="subscript"/>
        </w:rPr>
        <w:t>o</w:t>
      </w:r>
      <w:proofErr w:type="spellEnd"/>
      <w:r w:rsidR="00256C7E" w:rsidRPr="00022CA4">
        <w:rPr>
          <w:rFonts w:ascii="Times New Roman" w:hAnsi="Times New Roman" w:cs="Times New Roman"/>
          <w:color w:val="000000"/>
          <w:sz w:val="24"/>
          <w:szCs w:val="24"/>
          <w:shd w:val="clear" w:color="auto" w:fill="FFFFFF"/>
        </w:rPr>
        <w:t xml:space="preserve"> </w:t>
      </w:r>
      <w:proofErr w:type="gramEnd"/>
      <m:oMath>
        <m:r>
          <m:rPr>
            <m:sty m:val="p"/>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0.408∙Δ∙</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-G</m:t>
                </m:r>
              </m:e>
            </m:d>
            <m:r>
              <w:rPr>
                <w:rFonts w:ascii="Cambria Math" w:hAnsi="Cambria Math" w:cs="Times New Roman"/>
                <w:sz w:val="24"/>
                <w:szCs w:val="24"/>
              </w:rPr>
              <m:t>+γ∙</m:t>
            </m:r>
            <m:f>
              <m:fPr>
                <m:ctrlPr>
                  <w:rPr>
                    <w:rFonts w:ascii="Cambria Math" w:hAnsi="Cambria Math" w:cs="Times New Roman"/>
                    <w:i/>
                    <w:sz w:val="24"/>
                    <w:szCs w:val="24"/>
                  </w:rPr>
                </m:ctrlPr>
              </m:fPr>
              <m:num>
                <m:r>
                  <w:rPr>
                    <w:rFonts w:ascii="Cambria Math" w:hAnsi="Cambria Math" w:cs="Times New Roman"/>
                    <w:sz w:val="24"/>
                    <w:szCs w:val="24"/>
                  </w:rPr>
                  <m:t>900</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Cambria Math" w:cs="Times New Roman"/>
                    <w:sz w:val="24"/>
                    <w:szCs w:val="24"/>
                  </w:rPr>
                  <m:t>+273</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r>
              <w:rPr>
                <w:rFonts w:ascii="Cambria Math" w:hAnsi="Cambria Math" w:cs="Times New Roman"/>
                <w:sz w:val="24"/>
                <w:szCs w:val="24"/>
              </w:rPr>
              <m:t>∙(1-RH)</m:t>
            </m:r>
          </m:num>
          <m:den>
            <m:r>
              <w:rPr>
                <w:rFonts w:ascii="Cambria Math" w:hAnsi="Cambria Math" w:cs="Times New Roman"/>
                <w:sz w:val="24"/>
                <w:szCs w:val="24"/>
              </w:rPr>
              <m:t>Δ+γ∙(1+0.34</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rPr>
              <m:t>)</m:t>
            </m:r>
          </m:den>
        </m:f>
      </m:oMath>
      <w:r w:rsidR="00EE4D7D" w:rsidRPr="00022CA4">
        <w:rPr>
          <w:rFonts w:ascii="Times New Roman" w:hAnsi="Times New Roman" w:cs="Times New Roman"/>
          <w:sz w:val="24"/>
          <w:szCs w:val="24"/>
        </w:rPr>
        <w:t>, ……………………………………………</w:t>
      </w:r>
      <w:r w:rsidR="00C15743" w:rsidRPr="00022CA4">
        <w:rPr>
          <w:rFonts w:ascii="Times New Roman" w:hAnsi="Times New Roman" w:cs="Times New Roman"/>
          <w:sz w:val="24"/>
          <w:szCs w:val="24"/>
        </w:rPr>
        <w:t>….</w:t>
      </w:r>
      <w:r w:rsidR="00EE4D7D" w:rsidRPr="00022CA4">
        <w:rPr>
          <w:rFonts w:ascii="Times New Roman" w:hAnsi="Times New Roman" w:cs="Times New Roman"/>
          <w:sz w:val="24"/>
          <w:szCs w:val="24"/>
        </w:rPr>
        <w:t>……………………... (1)</w:t>
      </w:r>
    </w:p>
    <w:p w14:paraId="368934E1" w14:textId="3962BD19" w:rsidR="00970B89" w:rsidRPr="00022CA4" w:rsidRDefault="00256C7E" w:rsidP="00EE4D7D">
      <w:pPr>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where</w:t>
      </w:r>
      <w:r w:rsidRPr="00022CA4">
        <w:rPr>
          <w:rFonts w:ascii="Times New Roman" w:hAnsi="Times New Roman" w:cs="Times New Roman"/>
          <w:i/>
          <w:sz w:val="24"/>
          <w:szCs w:val="24"/>
        </w:rPr>
        <w:t xml:space="preserve"> </w:t>
      </w:r>
      <w:proofErr w:type="spellStart"/>
      <w:r w:rsidRPr="00022CA4">
        <w:rPr>
          <w:rFonts w:ascii="Times New Roman" w:hAnsi="Times New Roman" w:cs="Times New Roman"/>
          <w:i/>
          <w:sz w:val="24"/>
          <w:szCs w:val="24"/>
        </w:rPr>
        <w:t>R</w:t>
      </w:r>
      <w:r w:rsidRPr="00022CA4">
        <w:rPr>
          <w:rFonts w:ascii="Times New Roman" w:hAnsi="Times New Roman" w:cs="Times New Roman"/>
          <w:i/>
          <w:sz w:val="24"/>
          <w:szCs w:val="24"/>
          <w:vertAlign w:val="subscript"/>
        </w:rPr>
        <w:t>n</w:t>
      </w:r>
      <w:proofErr w:type="spellEnd"/>
      <w:r w:rsidRPr="00022CA4">
        <w:rPr>
          <w:rFonts w:ascii="Times New Roman" w:hAnsi="Times New Roman" w:cs="Times New Roman"/>
          <w:sz w:val="24"/>
          <w:szCs w:val="24"/>
        </w:rPr>
        <w:t xml:space="preserve"> </w:t>
      </w:r>
      <w:r w:rsidR="0041714F" w:rsidRPr="00022CA4">
        <w:rPr>
          <w:rFonts w:ascii="Times New Roman" w:hAnsi="Times New Roman" w:cs="Times New Roman"/>
          <w:iCs/>
          <w:sz w:val="24"/>
          <w:szCs w:val="24"/>
        </w:rPr>
        <w:t>is the net radiation</w:t>
      </w:r>
      <w:r w:rsidR="0041714F" w:rsidRPr="00022CA4">
        <w:rPr>
          <w:rFonts w:ascii="Times New Roman" w:hAnsi="Times New Roman" w:cs="Times New Roman"/>
          <w:sz w:val="24"/>
          <w:szCs w:val="24"/>
        </w:rPr>
        <w:t xml:space="preserve"> in </w:t>
      </w:r>
      <w:r w:rsidRPr="00022CA4">
        <w:rPr>
          <w:rFonts w:ascii="Times New Roman" w:hAnsi="Times New Roman" w:cs="Times New Roman"/>
          <w:sz w:val="24"/>
          <w:szCs w:val="24"/>
        </w:rPr>
        <w:t>MJ/(m</w:t>
      </w:r>
      <w:r w:rsidRPr="00022CA4">
        <w:rPr>
          <w:rFonts w:ascii="Times New Roman" w:hAnsi="Times New Roman" w:cs="Times New Roman"/>
          <w:sz w:val="24"/>
          <w:szCs w:val="24"/>
          <w:vertAlign w:val="superscript"/>
        </w:rPr>
        <w:t>2</w:t>
      </w:r>
      <w:r w:rsidRPr="00022CA4">
        <w:rPr>
          <w:rFonts w:ascii="Times New Roman" w:hAnsi="Times New Roman" w:cs="Times New Roman"/>
          <w:sz w:val="24"/>
          <w:szCs w:val="24"/>
        </w:rPr>
        <w:t xml:space="preserve"> month)</w:t>
      </w:r>
      <w:r w:rsidRPr="00022CA4">
        <w:rPr>
          <w:rFonts w:ascii="Times New Roman" w:hAnsi="Times New Roman" w:cs="Times New Roman"/>
          <w:iCs/>
          <w:sz w:val="24"/>
          <w:szCs w:val="24"/>
        </w:rPr>
        <w:t xml:space="preserve">, </w:t>
      </w:r>
      <w:r w:rsidRPr="00022CA4">
        <w:rPr>
          <w:rFonts w:ascii="Times New Roman" w:hAnsi="Times New Roman" w:cs="Times New Roman"/>
          <w:i/>
          <w:sz w:val="24"/>
          <w:szCs w:val="24"/>
        </w:rPr>
        <w:t>G</w:t>
      </w:r>
      <w:r w:rsidRPr="00022CA4">
        <w:rPr>
          <w:rFonts w:ascii="Times New Roman" w:hAnsi="Times New Roman" w:cs="Times New Roman"/>
          <w:sz w:val="24"/>
          <w:szCs w:val="24"/>
        </w:rPr>
        <w:t xml:space="preserve"> is the soil heat flux</w:t>
      </w:r>
      <w:r w:rsidR="0041714F" w:rsidRPr="00022CA4">
        <w:rPr>
          <w:rFonts w:ascii="Times New Roman" w:hAnsi="Times New Roman" w:cs="Times New Roman"/>
          <w:sz w:val="24"/>
          <w:szCs w:val="24"/>
        </w:rPr>
        <w:t xml:space="preserve"> in MJ/(m</w:t>
      </w:r>
      <w:r w:rsidR="0041714F" w:rsidRPr="00022CA4">
        <w:rPr>
          <w:rFonts w:ascii="Times New Roman" w:hAnsi="Times New Roman" w:cs="Times New Roman"/>
          <w:sz w:val="24"/>
          <w:szCs w:val="24"/>
          <w:vertAlign w:val="superscript"/>
        </w:rPr>
        <w:t>2</w:t>
      </w:r>
      <w:r w:rsidR="0041714F" w:rsidRPr="00022CA4">
        <w:rPr>
          <w:rFonts w:ascii="Times New Roman" w:hAnsi="Times New Roman" w:cs="Times New Roman"/>
          <w:sz w:val="24"/>
          <w:szCs w:val="24"/>
        </w:rPr>
        <w:t xml:space="preserve"> month)</w:t>
      </w:r>
      <w:r w:rsidRPr="00022CA4">
        <w:rPr>
          <w:rFonts w:ascii="Times New Roman" w:hAnsi="Times New Roman" w:cs="Times New Roman"/>
          <w:sz w:val="24"/>
          <w:szCs w:val="24"/>
        </w:rPr>
        <w:t xml:space="preserve">, </w:t>
      </w:r>
      <w:r w:rsidR="00985436" w:rsidRPr="00022CA4">
        <w:rPr>
          <w:rFonts w:ascii="Times New Roman" w:hAnsi="Times New Roman" w:cs="Times New Roman"/>
          <w:sz w:val="24"/>
          <w:szCs w:val="24"/>
        </w:rPr>
        <w:t>G</w:t>
      </w:r>
      <w:r w:rsidRPr="00022CA4">
        <w:rPr>
          <w:rFonts w:ascii="Times New Roman" w:hAnsi="Times New Roman" w:cs="Times New Roman"/>
          <w:sz w:val="24"/>
          <w:szCs w:val="24"/>
        </w:rPr>
        <w:t xml:space="preserve"> can be </w:t>
      </w:r>
      <w:r w:rsidR="00985436" w:rsidRPr="00022CA4">
        <w:rPr>
          <w:rFonts w:ascii="Times New Roman" w:hAnsi="Times New Roman" w:cs="Times New Roman"/>
          <w:sz w:val="24"/>
          <w:szCs w:val="24"/>
        </w:rPr>
        <w:t>neglected</w:t>
      </w:r>
      <w:r w:rsidRPr="00022CA4">
        <w:rPr>
          <w:rFonts w:ascii="Times New Roman" w:hAnsi="Times New Roman" w:cs="Times New Roman"/>
          <w:sz w:val="24"/>
          <w:szCs w:val="24"/>
        </w:rPr>
        <w:t xml:space="preserve"> on monthly or longer time scales;</w:t>
      </w:r>
      <w:r w:rsidR="0041714F" w:rsidRPr="00022CA4">
        <w:rPr>
          <w:rFonts w:ascii="Times New Roman" w:hAnsi="Times New Roman" w:cs="Times New Roman"/>
          <w:sz w:val="24"/>
          <w:szCs w:val="24"/>
        </w:rPr>
        <w:t xml:space="preserve"> </w:t>
      </w:r>
      <w:r w:rsidRPr="00022CA4">
        <w:rPr>
          <w:rFonts w:ascii="Times New Roman" w:hAnsi="Times New Roman" w:cs="Times New Roman"/>
          <w:i/>
          <w:sz w:val="24"/>
          <w:szCs w:val="24"/>
        </w:rPr>
        <w:t>γ</w:t>
      </w:r>
      <w:r w:rsidRPr="00022CA4">
        <w:rPr>
          <w:rFonts w:ascii="Times New Roman" w:hAnsi="Times New Roman" w:cs="Times New Roman"/>
          <w:sz w:val="24"/>
          <w:szCs w:val="24"/>
        </w:rPr>
        <w:t xml:space="preserve"> indicates the psychometric constant</w:t>
      </w:r>
      <w:r w:rsidR="0041714F" w:rsidRPr="00022CA4">
        <w:rPr>
          <w:rFonts w:ascii="Times New Roman" w:hAnsi="Times New Roman" w:cs="Times New Roman"/>
          <w:sz w:val="24"/>
          <w:szCs w:val="24"/>
        </w:rPr>
        <w:t xml:space="preserve"> in </w:t>
      </w:r>
      <w:proofErr w:type="spellStart"/>
      <w:r w:rsidR="0041714F" w:rsidRPr="00022CA4">
        <w:rPr>
          <w:rFonts w:ascii="Times New Roman" w:hAnsi="Times New Roman" w:cs="Times New Roman"/>
          <w:sz w:val="24"/>
          <w:szCs w:val="24"/>
        </w:rPr>
        <w:t>kPa</w:t>
      </w:r>
      <w:proofErr w:type="spellEnd"/>
      <w:r w:rsidR="0041714F" w:rsidRPr="00022CA4">
        <w:rPr>
          <w:rFonts w:ascii="Times New Roman" w:hAnsi="Times New Roman" w:cs="Times New Roman"/>
          <w:sz w:val="24"/>
          <w:szCs w:val="24"/>
        </w:rPr>
        <w:t>/</w:t>
      </w:r>
      <w:proofErr w:type="spellStart"/>
      <w:r w:rsidR="0041714F" w:rsidRPr="00022CA4">
        <w:rPr>
          <w:rFonts w:ascii="Times New Roman" w:hAnsi="Times New Roman" w:cs="Times New Roman"/>
          <w:sz w:val="24"/>
          <w:szCs w:val="24"/>
          <w:vertAlign w:val="superscript"/>
        </w:rPr>
        <w:t>o</w:t>
      </w:r>
      <w:r w:rsidR="0041714F" w:rsidRPr="00022CA4">
        <w:rPr>
          <w:rFonts w:ascii="Times New Roman" w:hAnsi="Times New Roman" w:cs="Times New Roman"/>
          <w:sz w:val="24"/>
          <w:szCs w:val="24"/>
        </w:rPr>
        <w:t>C</w:t>
      </w:r>
      <w:proofErr w:type="spellEnd"/>
      <w:r w:rsidRPr="00022CA4">
        <w:rPr>
          <w:rFonts w:ascii="Times New Roman" w:hAnsi="Times New Roman" w:cs="Times New Roman"/>
          <w:sz w:val="24"/>
          <w:szCs w:val="24"/>
        </w:rPr>
        <w:t xml:space="preserve">; </w:t>
      </w:r>
      <w:r w:rsidRPr="00022CA4">
        <w:rPr>
          <w:rFonts w:ascii="Times New Roman" w:hAnsi="Times New Roman" w:cs="Times New Roman"/>
          <w:i/>
          <w:iCs/>
          <w:sz w:val="24"/>
          <w:szCs w:val="24"/>
        </w:rPr>
        <w:t>T</w:t>
      </w:r>
      <w:r w:rsidRPr="00022CA4">
        <w:rPr>
          <w:rFonts w:ascii="Times New Roman" w:hAnsi="Times New Roman" w:cs="Times New Roman"/>
          <w:i/>
          <w:iCs/>
          <w:sz w:val="24"/>
          <w:szCs w:val="24"/>
          <w:vertAlign w:val="subscript"/>
        </w:rPr>
        <w:t>a</w:t>
      </w:r>
      <w:r w:rsidRPr="00022CA4">
        <w:rPr>
          <w:rFonts w:ascii="Times New Roman" w:hAnsi="Times New Roman" w:cs="Times New Roman"/>
          <w:sz w:val="24"/>
          <w:szCs w:val="24"/>
        </w:rPr>
        <w:t xml:space="preserve"> represents the </w:t>
      </w:r>
      <w:r w:rsidR="0041714F" w:rsidRPr="00022CA4">
        <w:rPr>
          <w:rFonts w:ascii="Times New Roman" w:hAnsi="Times New Roman" w:cs="Times New Roman"/>
          <w:sz w:val="24"/>
          <w:szCs w:val="24"/>
        </w:rPr>
        <w:t xml:space="preserve">air </w:t>
      </w:r>
      <w:r w:rsidRPr="00022CA4">
        <w:rPr>
          <w:rFonts w:ascii="Times New Roman" w:hAnsi="Times New Roman" w:cs="Times New Roman"/>
          <w:sz w:val="24"/>
          <w:szCs w:val="24"/>
        </w:rPr>
        <w:t>temperature</w:t>
      </w:r>
      <w:r w:rsidR="0041714F" w:rsidRPr="00022CA4">
        <w:rPr>
          <w:rFonts w:ascii="Times New Roman" w:hAnsi="Times New Roman" w:cs="Times New Roman"/>
          <w:sz w:val="24"/>
          <w:szCs w:val="24"/>
        </w:rPr>
        <w:t xml:space="preserve"> in </w:t>
      </w:r>
      <w:proofErr w:type="spellStart"/>
      <w:r w:rsidR="0041714F" w:rsidRPr="00022CA4">
        <w:rPr>
          <w:rFonts w:ascii="Times New Roman" w:hAnsi="Times New Roman" w:cs="Times New Roman"/>
          <w:sz w:val="24"/>
          <w:szCs w:val="24"/>
          <w:vertAlign w:val="superscript"/>
        </w:rPr>
        <w:t>o</w:t>
      </w:r>
      <w:r w:rsidR="0041714F" w:rsidRPr="00022CA4">
        <w:rPr>
          <w:rFonts w:ascii="Times New Roman" w:hAnsi="Times New Roman" w:cs="Times New Roman"/>
          <w:sz w:val="24"/>
          <w:szCs w:val="24"/>
        </w:rPr>
        <w:t>C</w:t>
      </w:r>
      <w:proofErr w:type="spellEnd"/>
      <w:r w:rsidRPr="00022CA4">
        <w:rPr>
          <w:rFonts w:ascii="Times New Roman" w:hAnsi="Times New Roman" w:cs="Times New Roman"/>
          <w:sz w:val="24"/>
          <w:szCs w:val="24"/>
        </w:rPr>
        <w:t xml:space="preserve">; </w:t>
      </w:r>
      <w:r w:rsidRPr="00022CA4">
        <w:rPr>
          <w:rFonts w:ascii="Times New Roman" w:hAnsi="Times New Roman" w:cs="Times New Roman"/>
          <w:i/>
          <w:iCs/>
          <w:sz w:val="24"/>
          <w:szCs w:val="24"/>
        </w:rPr>
        <w:t>u</w:t>
      </w:r>
      <w:r w:rsidRPr="00022CA4">
        <w:rPr>
          <w:rFonts w:ascii="Times New Roman" w:hAnsi="Times New Roman" w:cs="Times New Roman"/>
          <w:i/>
          <w:iCs/>
          <w:sz w:val="24"/>
          <w:szCs w:val="24"/>
          <w:vertAlign w:val="subscript"/>
        </w:rPr>
        <w:t>2</w:t>
      </w:r>
      <w:r w:rsidRPr="00022CA4">
        <w:rPr>
          <w:rFonts w:ascii="Times New Roman" w:hAnsi="Times New Roman" w:cs="Times New Roman"/>
          <w:sz w:val="24"/>
          <w:szCs w:val="24"/>
        </w:rPr>
        <w:t xml:space="preserve"> is the wind speed at a 2</w:t>
      </w:r>
      <w:r w:rsidR="00C57463" w:rsidRPr="00022CA4">
        <w:rPr>
          <w:rFonts w:ascii="Times New Roman" w:hAnsi="Times New Roman" w:cs="Times New Roman"/>
          <w:sz w:val="24"/>
          <w:szCs w:val="24"/>
        </w:rPr>
        <w:t xml:space="preserve"> </w:t>
      </w:r>
      <w:r w:rsidRPr="00022CA4">
        <w:rPr>
          <w:rFonts w:ascii="Times New Roman" w:hAnsi="Times New Roman" w:cs="Times New Roman"/>
          <w:sz w:val="24"/>
          <w:szCs w:val="24"/>
        </w:rPr>
        <w:t xml:space="preserve">m height </w:t>
      </w:r>
      <w:r w:rsidR="00C57463" w:rsidRPr="00022CA4">
        <w:rPr>
          <w:rFonts w:ascii="Times New Roman" w:hAnsi="Times New Roman" w:cs="Times New Roman"/>
          <w:sz w:val="24"/>
          <w:szCs w:val="24"/>
        </w:rPr>
        <w:t xml:space="preserve">in m/s </w:t>
      </w:r>
      <w:r w:rsidRPr="00022CA4">
        <w:rPr>
          <w:rFonts w:ascii="Times New Roman" w:hAnsi="Times New Roman" w:cs="Times New Roman"/>
          <w:sz w:val="24"/>
          <w:szCs w:val="24"/>
        </w:rPr>
        <w:t>and is converted from the wind speed at a 10</w:t>
      </w:r>
      <w:r w:rsidR="00C57463" w:rsidRPr="00022CA4">
        <w:rPr>
          <w:rFonts w:ascii="Times New Roman" w:hAnsi="Times New Roman" w:cs="Times New Roman"/>
          <w:sz w:val="24"/>
          <w:szCs w:val="24"/>
        </w:rPr>
        <w:t xml:space="preserve"> </w:t>
      </w:r>
      <w:r w:rsidRPr="00022CA4">
        <w:rPr>
          <w:rFonts w:ascii="Times New Roman" w:hAnsi="Times New Roman" w:cs="Times New Roman"/>
          <w:sz w:val="24"/>
          <w:szCs w:val="24"/>
        </w:rPr>
        <w:t>m height</w:t>
      </w:r>
      <w:r w:rsidR="00C57463" w:rsidRPr="00022CA4">
        <w:rPr>
          <w:rFonts w:ascii="Times New Roman" w:hAnsi="Times New Roman" w:cs="Times New Roman"/>
          <w:sz w:val="24"/>
          <w:szCs w:val="24"/>
        </w:rPr>
        <w:t xml:space="preserve"> using the formula </w:t>
      </w:r>
      <w:r w:rsidR="00C57463" w:rsidRPr="00022CA4">
        <w:rPr>
          <w:rFonts w:ascii="Times New Roman" w:hAnsi="Times New Roman" w:cs="Times New Roman"/>
          <w:i/>
          <w:sz w:val="24"/>
          <w:szCs w:val="24"/>
        </w:rPr>
        <w:t>u</w:t>
      </w:r>
      <w:r w:rsidR="00C57463" w:rsidRPr="00022CA4">
        <w:rPr>
          <w:rFonts w:ascii="Times New Roman" w:hAnsi="Times New Roman" w:cs="Times New Roman"/>
          <w:sz w:val="24"/>
          <w:szCs w:val="24"/>
          <w:vertAlign w:val="subscript"/>
        </w:rPr>
        <w:t>2</w:t>
      </w:r>
      <w:r w:rsidR="00C57463" w:rsidRPr="00022CA4">
        <w:rPr>
          <w:rFonts w:ascii="Times New Roman" w:hAnsi="Times New Roman" w:cs="Times New Roman"/>
          <w:sz w:val="24"/>
          <w:szCs w:val="24"/>
        </w:rPr>
        <w:t xml:space="preserve"> = 0.75 </w:t>
      </w:r>
      <w:r w:rsidR="00C57463" w:rsidRPr="00022CA4">
        <w:rPr>
          <w:rFonts w:ascii="Times New Roman" w:hAnsi="Times New Roman" w:cs="Times New Roman"/>
          <w:i/>
          <w:sz w:val="24"/>
          <w:szCs w:val="24"/>
        </w:rPr>
        <w:t>u</w:t>
      </w:r>
      <w:r w:rsidR="00C57463" w:rsidRPr="00022CA4">
        <w:rPr>
          <w:rFonts w:ascii="Times New Roman" w:hAnsi="Times New Roman" w:cs="Times New Roman"/>
          <w:sz w:val="24"/>
          <w:szCs w:val="24"/>
          <w:vertAlign w:val="subscript"/>
        </w:rPr>
        <w:t>10</w:t>
      </w:r>
      <w:r w:rsidR="00C57463" w:rsidRPr="00022CA4">
        <w:rPr>
          <w:rFonts w:ascii="Times New Roman" w:hAnsi="Times New Roman" w:cs="Times New Roman"/>
          <w:sz w:val="24"/>
          <w:szCs w:val="24"/>
        </w:rPr>
        <w:t xml:space="preserve"> where u</w:t>
      </w:r>
      <w:r w:rsidR="00C57463" w:rsidRPr="00022CA4">
        <w:rPr>
          <w:rFonts w:ascii="Times New Roman" w:hAnsi="Times New Roman" w:cs="Times New Roman"/>
          <w:sz w:val="24"/>
          <w:szCs w:val="24"/>
          <w:vertAlign w:val="subscript"/>
        </w:rPr>
        <w:t>10</w:t>
      </w:r>
      <w:r w:rsidR="00C57463" w:rsidRPr="00022CA4">
        <w:rPr>
          <w:rFonts w:ascii="Times New Roman" w:hAnsi="Times New Roman" w:cs="Times New Roman"/>
          <w:sz w:val="24"/>
          <w:szCs w:val="24"/>
        </w:rPr>
        <w:t xml:space="preserve"> is wind speed at a 10 m</w:t>
      </w:r>
      <w:r w:rsidR="00EE4D7D" w:rsidRPr="00022CA4">
        <w:rPr>
          <w:rFonts w:ascii="Times New Roman" w:hAnsi="Times New Roman" w:cs="Times New Roman"/>
          <w:sz w:val="24"/>
          <w:szCs w:val="24"/>
        </w:rPr>
        <w:t xml:space="preserve"> </w:t>
      </w:r>
      <w:r w:rsidR="00EE4D7D" w:rsidRPr="00022CA4">
        <w:rPr>
          <w:rFonts w:ascii="Times New Roman" w:hAnsi="Times New Roman" w:cs="Times New Roman"/>
          <w:sz w:val="24"/>
          <w:szCs w:val="24"/>
        </w:rPr>
        <w:fldChar w:fldCharType="begin" w:fldLock="1"/>
      </w:r>
      <w:r w:rsidR="003B5866" w:rsidRPr="00022CA4">
        <w:rPr>
          <w:rFonts w:ascii="Times New Roman" w:hAnsi="Times New Roman" w:cs="Times New Roman"/>
          <w:sz w:val="24"/>
          <w:szCs w:val="24"/>
        </w:rPr>
        <w:instrText>ADDIN CSL_CITATION {"citationItems":[{"id":"ITEM-1","itemData":{"ISBN":"9251042195","ISSN":"92-5-104219-5","PMID":"19991908969","abstract":"This publication presents an updated procedure for calculating reference and crop evapotranspiration from meteorological data and crop coefficients. The procedure, first presented in the FAO Irrigation and Drainage Paper No. 24 'Crop Water Requirements', ETo' approach, whereby the effect of the climate on crop water requirements is given by the reference evapotranspiration ETo and the effect of the crop by the crop coefficient Kc. Other procedures developed in FAO Irrigation and Drainage Paper No. 24 such as the estimation of is termed the 'Kc dependable and effective rainfall, the calculation of irrigation requirements and the design of irrigation schedules are not presented in this publication but will be the subject of later papers in the series.","author":[{"dropping-particle":"","family":"Allen","given":"Richard G.","non-dropping-particle":"","parse-names":false,"suffix":""},{"dropping-particle":"","family":"PEREIRA","given":"Luis S.","non-dropping-particle":"","parse-names":false,"suffix":""},{"dropping-particle":"","family":"RAES","given":"Dirk","non-dropping-particle":"","parse-names":false,"suffix":""},{"dropping-particle":"","family":"Martin","given":"SMITH","non-dropping-particle":"","parse-names":false,"suffix":""}],"container-title":"Irrigation and Drainage","id":"ITEM-1","issue":"56","issued":{"date-parts":[["1998"]]},"page":"300","title":"FAO Irrigation and Drainage Paper Crop by","type":"article-journal","volume":"300"},"uris":["http://www.mendeley.com/documents/?uuid=01fecc28-329d-42d6-8066-1a75359961d6"]}],"mendeley":{"formattedCitation":"(Allen et al., 1998)","plainTextFormattedCitation":"(Allen et al., 1998)","previouslyFormattedCitation":"(Allen et al., 1998)"},"properties":{"noteIndex":0},"schema":"https://github.com/citation-style-language/schema/raw/master/csl-citation.json"}</w:instrText>
      </w:r>
      <w:r w:rsidR="00EE4D7D" w:rsidRPr="00022CA4">
        <w:rPr>
          <w:rFonts w:ascii="Times New Roman" w:hAnsi="Times New Roman" w:cs="Times New Roman"/>
          <w:sz w:val="24"/>
          <w:szCs w:val="24"/>
        </w:rPr>
        <w:fldChar w:fldCharType="separate"/>
      </w:r>
      <w:r w:rsidR="00EE4D7D" w:rsidRPr="00022CA4">
        <w:rPr>
          <w:rFonts w:ascii="Times New Roman" w:hAnsi="Times New Roman" w:cs="Times New Roman"/>
          <w:noProof/>
          <w:sz w:val="24"/>
          <w:szCs w:val="24"/>
        </w:rPr>
        <w:t>(Allen et al., 1998)</w:t>
      </w:r>
      <w:r w:rsidR="00EE4D7D"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i/>
          <w:iCs/>
          <w:sz w:val="24"/>
          <w:szCs w:val="24"/>
        </w:rPr>
        <w:t>RH</w:t>
      </w:r>
      <w:r w:rsidRPr="00022CA4">
        <w:rPr>
          <w:rFonts w:ascii="Times New Roman" w:hAnsi="Times New Roman" w:cs="Times New Roman"/>
          <w:sz w:val="24"/>
          <w:szCs w:val="24"/>
        </w:rPr>
        <w:t xml:space="preserve">  is the relative humidity</w:t>
      </w:r>
      <w:r w:rsidR="00B65AB8" w:rsidRPr="00022CA4">
        <w:rPr>
          <w:rFonts w:ascii="Times New Roman" w:hAnsi="Times New Roman" w:cs="Times New Roman"/>
          <w:sz w:val="24"/>
          <w:szCs w:val="24"/>
        </w:rPr>
        <w:t xml:space="preserve"> in %</w:t>
      </w:r>
      <w:r w:rsidRPr="00022CA4">
        <w:rPr>
          <w:rFonts w:ascii="Times New Roman" w:hAnsi="Times New Roman" w:cs="Times New Roman"/>
          <w:sz w:val="24"/>
          <w:szCs w:val="24"/>
        </w:rPr>
        <w:t xml:space="preserve">; </w:t>
      </w:r>
      <w:proofErr w:type="spellStart"/>
      <w:r w:rsidRPr="00022CA4">
        <w:rPr>
          <w:rFonts w:ascii="Times New Roman" w:hAnsi="Times New Roman" w:cs="Times New Roman"/>
          <w:i/>
          <w:sz w:val="24"/>
          <w:szCs w:val="24"/>
        </w:rPr>
        <w:t>e</w:t>
      </w:r>
      <w:r w:rsidRPr="00022CA4">
        <w:rPr>
          <w:rFonts w:ascii="Times New Roman" w:hAnsi="Times New Roman" w:cs="Times New Roman"/>
          <w:i/>
          <w:sz w:val="24"/>
          <w:szCs w:val="24"/>
          <w:vertAlign w:val="subscript"/>
        </w:rPr>
        <w:t>s</w:t>
      </w:r>
      <w:proofErr w:type="spellEnd"/>
      <w:r w:rsidRPr="00022CA4">
        <w:rPr>
          <w:rFonts w:ascii="Times New Roman" w:hAnsi="Times New Roman" w:cs="Times New Roman"/>
          <w:sz w:val="24"/>
          <w:szCs w:val="24"/>
        </w:rPr>
        <w:t xml:space="preserve"> indicates saturation vapor pressure</w:t>
      </w:r>
      <w:r w:rsidR="00B65AB8" w:rsidRPr="00022CA4">
        <w:rPr>
          <w:rFonts w:ascii="Times New Roman" w:hAnsi="Times New Roman" w:cs="Times New Roman"/>
          <w:sz w:val="24"/>
          <w:szCs w:val="24"/>
        </w:rPr>
        <w:t xml:space="preserve"> in </w:t>
      </w:r>
      <w:proofErr w:type="spellStart"/>
      <w:r w:rsidR="00B65AB8" w:rsidRPr="00022CA4">
        <w:rPr>
          <w:rFonts w:ascii="Times New Roman" w:hAnsi="Times New Roman" w:cs="Times New Roman"/>
          <w:sz w:val="24"/>
          <w:szCs w:val="24"/>
        </w:rPr>
        <w:t>kPa</w:t>
      </w:r>
      <w:proofErr w:type="spellEnd"/>
      <w:r w:rsidRPr="00022CA4">
        <w:rPr>
          <w:rFonts w:ascii="Times New Roman" w:hAnsi="Times New Roman" w:cs="Times New Roman"/>
          <w:sz w:val="24"/>
          <w:szCs w:val="24"/>
        </w:rPr>
        <w:t xml:space="preserve">; and </w:t>
      </w:r>
      <w:r w:rsidRPr="00022CA4">
        <w:rPr>
          <w:rFonts w:ascii="Times New Roman" w:hAnsi="Times New Roman" w:cs="Times New Roman"/>
          <w:i/>
          <w:sz w:val="24"/>
          <w:szCs w:val="24"/>
        </w:rPr>
        <w:t>Δ</w:t>
      </w:r>
      <w:r w:rsidRPr="00022CA4">
        <w:rPr>
          <w:rFonts w:ascii="Times New Roman" w:hAnsi="Times New Roman" w:cs="Times New Roman"/>
          <w:sz w:val="24"/>
          <w:szCs w:val="24"/>
        </w:rPr>
        <w:t xml:space="preserve"> is slope vapor pressure curve</w:t>
      </w:r>
      <w:r w:rsidR="00B65AB8" w:rsidRPr="00022CA4">
        <w:rPr>
          <w:rFonts w:ascii="Times New Roman" w:hAnsi="Times New Roman" w:cs="Times New Roman"/>
          <w:sz w:val="24"/>
          <w:szCs w:val="24"/>
        </w:rPr>
        <w:t xml:space="preserve"> in </w:t>
      </w:r>
      <w:proofErr w:type="spellStart"/>
      <w:r w:rsidR="00B65AB8" w:rsidRPr="00022CA4">
        <w:rPr>
          <w:rFonts w:ascii="Times New Roman" w:hAnsi="Times New Roman" w:cs="Times New Roman"/>
          <w:sz w:val="24"/>
          <w:szCs w:val="24"/>
        </w:rPr>
        <w:t>kPa</w:t>
      </w:r>
      <w:proofErr w:type="spellEnd"/>
      <w:r w:rsidR="00B65AB8" w:rsidRPr="00022CA4">
        <w:rPr>
          <w:rFonts w:ascii="Times New Roman" w:hAnsi="Times New Roman" w:cs="Times New Roman"/>
          <w:sz w:val="24"/>
          <w:szCs w:val="24"/>
        </w:rPr>
        <w:t>/</w:t>
      </w:r>
      <w:proofErr w:type="spellStart"/>
      <w:r w:rsidR="00B65AB8" w:rsidRPr="00022CA4">
        <w:rPr>
          <w:rFonts w:ascii="Times New Roman" w:hAnsi="Times New Roman" w:cs="Times New Roman"/>
          <w:sz w:val="24"/>
          <w:szCs w:val="24"/>
          <w:vertAlign w:val="superscript"/>
        </w:rPr>
        <w:t>o</w:t>
      </w:r>
      <w:r w:rsidR="00B65AB8" w:rsidRPr="00022CA4">
        <w:rPr>
          <w:rFonts w:ascii="Times New Roman" w:hAnsi="Times New Roman" w:cs="Times New Roman"/>
          <w:sz w:val="24"/>
          <w:szCs w:val="24"/>
        </w:rPr>
        <w:t>C</w:t>
      </w:r>
      <w:r w:rsidRPr="00022CA4">
        <w:rPr>
          <w:rFonts w:ascii="Times New Roman" w:hAnsi="Times New Roman" w:cs="Times New Roman"/>
          <w:sz w:val="24"/>
          <w:szCs w:val="24"/>
        </w:rPr>
        <w:t>.</w:t>
      </w:r>
      <w:proofErr w:type="spellEnd"/>
      <w:r w:rsidRPr="00022CA4">
        <w:rPr>
          <w:rFonts w:ascii="Times New Roman" w:hAnsi="Times New Roman" w:cs="Times New Roman"/>
          <w:sz w:val="24"/>
          <w:szCs w:val="24"/>
        </w:rPr>
        <w:t xml:space="preserve"> All the computations</w:t>
      </w:r>
      <w:r w:rsidR="00B65AB8" w:rsidRPr="00022CA4">
        <w:rPr>
          <w:rFonts w:ascii="Times New Roman" w:hAnsi="Times New Roman" w:cs="Times New Roman"/>
          <w:sz w:val="24"/>
          <w:szCs w:val="24"/>
        </w:rPr>
        <w:t xml:space="preserve">, including </w:t>
      </w:r>
      <w:proofErr w:type="spellStart"/>
      <w:proofErr w:type="gramStart"/>
      <w:r w:rsidR="00B65AB8" w:rsidRPr="00022CA4">
        <w:rPr>
          <w:rFonts w:ascii="Times New Roman" w:hAnsi="Times New Roman" w:cs="Times New Roman"/>
          <w:sz w:val="24"/>
          <w:szCs w:val="24"/>
        </w:rPr>
        <w:t>ET</w:t>
      </w:r>
      <w:r w:rsidR="00B65AB8" w:rsidRPr="00022CA4">
        <w:rPr>
          <w:rFonts w:ascii="Times New Roman" w:hAnsi="Times New Roman" w:cs="Times New Roman"/>
          <w:sz w:val="24"/>
          <w:szCs w:val="24"/>
          <w:vertAlign w:val="subscript"/>
        </w:rPr>
        <w:t>o</w:t>
      </w:r>
      <w:proofErr w:type="spellEnd"/>
      <w:proofErr w:type="gramEnd"/>
      <w:r w:rsidRPr="00022CA4">
        <w:rPr>
          <w:rFonts w:ascii="Times New Roman" w:hAnsi="Times New Roman" w:cs="Times New Roman"/>
          <w:sz w:val="24"/>
          <w:szCs w:val="24"/>
        </w:rPr>
        <w:t xml:space="preserve"> performed on a monthly scale</w:t>
      </w:r>
      <w:r w:rsidR="00B65AB8" w:rsidRPr="00022CA4">
        <w:rPr>
          <w:rFonts w:ascii="Times New Roman" w:hAnsi="Times New Roman" w:cs="Times New Roman"/>
          <w:sz w:val="24"/>
          <w:szCs w:val="24"/>
        </w:rPr>
        <w:t>.</w:t>
      </w:r>
      <w:r w:rsidRPr="00022CA4">
        <w:rPr>
          <w:rFonts w:ascii="Times New Roman" w:hAnsi="Times New Roman" w:cs="Times New Roman"/>
          <w:sz w:val="24"/>
          <w:szCs w:val="24"/>
        </w:rPr>
        <w:t xml:space="preserve"> </w:t>
      </w:r>
      <w:r w:rsidR="00B65AB8" w:rsidRPr="00022CA4">
        <w:rPr>
          <w:rFonts w:ascii="Times New Roman" w:hAnsi="Times New Roman" w:cs="Times New Roman"/>
          <w:sz w:val="24"/>
          <w:szCs w:val="24"/>
        </w:rPr>
        <w:t>T</w:t>
      </w:r>
      <w:r w:rsidRPr="00022CA4">
        <w:rPr>
          <w:rFonts w:ascii="Times New Roman" w:hAnsi="Times New Roman" w:cs="Times New Roman"/>
          <w:sz w:val="24"/>
          <w:szCs w:val="24"/>
        </w:rPr>
        <w:t xml:space="preserve">he annual </w:t>
      </w:r>
      <w:r w:rsidR="0097502D" w:rsidRPr="00022CA4">
        <w:rPr>
          <w:rFonts w:ascii="Times New Roman" w:hAnsi="Times New Roman" w:cs="Times New Roman"/>
          <w:sz w:val="24"/>
          <w:szCs w:val="24"/>
        </w:rPr>
        <w:t xml:space="preserve">and seasonal </w:t>
      </w:r>
      <w:r w:rsidR="009A36B7" w:rsidRPr="00022CA4">
        <w:rPr>
          <w:rFonts w:ascii="Times New Roman" w:hAnsi="Times New Roman" w:cs="Times New Roman"/>
          <w:sz w:val="24"/>
          <w:szCs w:val="24"/>
        </w:rPr>
        <w:t>rainfall (P) and reference evapotranspiration (</w:t>
      </w:r>
      <w:proofErr w:type="spellStart"/>
      <w:proofErr w:type="gramStart"/>
      <w:r w:rsidR="009A36B7" w:rsidRPr="00022CA4">
        <w:rPr>
          <w:rFonts w:ascii="Times New Roman" w:hAnsi="Times New Roman" w:cs="Times New Roman"/>
          <w:sz w:val="24"/>
          <w:szCs w:val="24"/>
        </w:rPr>
        <w:t>ET</w:t>
      </w:r>
      <w:r w:rsidR="009A36B7" w:rsidRPr="00022CA4">
        <w:rPr>
          <w:rFonts w:ascii="Times New Roman" w:hAnsi="Times New Roman" w:cs="Times New Roman"/>
          <w:sz w:val="24"/>
          <w:szCs w:val="24"/>
          <w:vertAlign w:val="subscript"/>
        </w:rPr>
        <w:t>o</w:t>
      </w:r>
      <w:proofErr w:type="spellEnd"/>
      <w:proofErr w:type="gramEnd"/>
      <w:r w:rsidR="009A36B7" w:rsidRPr="00022CA4">
        <w:rPr>
          <w:rFonts w:ascii="Times New Roman" w:hAnsi="Times New Roman" w:cs="Times New Roman"/>
          <w:sz w:val="24"/>
          <w:szCs w:val="24"/>
        </w:rPr>
        <w:t>)</w:t>
      </w:r>
      <w:r w:rsidR="00985436" w:rsidRPr="00022CA4">
        <w:rPr>
          <w:rFonts w:ascii="Times New Roman" w:hAnsi="Times New Roman" w:cs="Times New Roman"/>
          <w:sz w:val="24"/>
          <w:szCs w:val="24"/>
        </w:rPr>
        <w:t xml:space="preserve"> </w:t>
      </w:r>
      <w:r w:rsidR="0097502D" w:rsidRPr="00022CA4">
        <w:rPr>
          <w:rFonts w:ascii="Times New Roman" w:hAnsi="Times New Roman" w:cs="Times New Roman"/>
          <w:sz w:val="24"/>
          <w:szCs w:val="24"/>
        </w:rPr>
        <w:t>we</w:t>
      </w:r>
      <w:r w:rsidR="009A36B7" w:rsidRPr="00022CA4">
        <w:rPr>
          <w:rFonts w:ascii="Times New Roman" w:hAnsi="Times New Roman" w:cs="Times New Roman"/>
          <w:sz w:val="24"/>
          <w:szCs w:val="24"/>
        </w:rPr>
        <w:t xml:space="preserve">re </w:t>
      </w:r>
      <w:r w:rsidRPr="00022CA4">
        <w:rPr>
          <w:rFonts w:ascii="Times New Roman" w:hAnsi="Times New Roman" w:cs="Times New Roman"/>
          <w:sz w:val="24"/>
          <w:szCs w:val="24"/>
        </w:rPr>
        <w:t xml:space="preserve">obtained </w:t>
      </w:r>
      <w:r w:rsidR="009A36B7" w:rsidRPr="00022CA4">
        <w:rPr>
          <w:rFonts w:ascii="Times New Roman" w:hAnsi="Times New Roman" w:cs="Times New Roman"/>
          <w:sz w:val="24"/>
          <w:szCs w:val="24"/>
        </w:rPr>
        <w:t xml:space="preserve">from monthly values </w:t>
      </w:r>
      <w:r w:rsidRPr="00022CA4">
        <w:rPr>
          <w:rFonts w:ascii="Times New Roman" w:hAnsi="Times New Roman" w:cs="Times New Roman"/>
          <w:sz w:val="24"/>
          <w:szCs w:val="24"/>
        </w:rPr>
        <w:t>by summ</w:t>
      </w:r>
      <w:r w:rsidR="009A36B7" w:rsidRPr="00022CA4">
        <w:rPr>
          <w:rFonts w:ascii="Times New Roman" w:hAnsi="Times New Roman" w:cs="Times New Roman"/>
          <w:sz w:val="24"/>
          <w:szCs w:val="24"/>
        </w:rPr>
        <w:t>ation</w:t>
      </w:r>
      <w:r w:rsidRPr="00022CA4">
        <w:rPr>
          <w:rFonts w:ascii="Times New Roman" w:hAnsi="Times New Roman" w:cs="Times New Roman"/>
          <w:sz w:val="24"/>
          <w:szCs w:val="24"/>
        </w:rPr>
        <w:t xml:space="preserve"> </w:t>
      </w:r>
      <w:r w:rsidR="009A36B7" w:rsidRPr="00022CA4">
        <w:rPr>
          <w:rFonts w:ascii="Times New Roman" w:hAnsi="Times New Roman" w:cs="Times New Roman"/>
          <w:sz w:val="24"/>
          <w:szCs w:val="24"/>
        </w:rPr>
        <w:t>while the other meteorological parameters</w:t>
      </w:r>
      <w:r w:rsidR="0097502D" w:rsidRPr="00022CA4">
        <w:rPr>
          <w:rFonts w:ascii="Times New Roman" w:hAnsi="Times New Roman" w:cs="Times New Roman"/>
          <w:sz w:val="24"/>
          <w:szCs w:val="24"/>
        </w:rPr>
        <w:t>, including net radiation (</w:t>
      </w:r>
      <w:proofErr w:type="spellStart"/>
      <w:r w:rsidR="0097502D" w:rsidRPr="00022CA4">
        <w:rPr>
          <w:rFonts w:ascii="Times New Roman" w:hAnsi="Times New Roman" w:cs="Times New Roman"/>
          <w:sz w:val="24"/>
          <w:szCs w:val="24"/>
        </w:rPr>
        <w:t>R</w:t>
      </w:r>
      <w:r w:rsidR="0097502D" w:rsidRPr="00022CA4">
        <w:rPr>
          <w:rFonts w:ascii="Times New Roman" w:hAnsi="Times New Roman" w:cs="Times New Roman"/>
          <w:sz w:val="24"/>
          <w:szCs w:val="24"/>
          <w:vertAlign w:val="subscript"/>
        </w:rPr>
        <w:t>n</w:t>
      </w:r>
      <w:proofErr w:type="spellEnd"/>
      <w:r w:rsidR="0097502D" w:rsidRPr="00022CA4">
        <w:rPr>
          <w:rFonts w:ascii="Times New Roman" w:hAnsi="Times New Roman" w:cs="Times New Roman"/>
          <w:sz w:val="24"/>
          <w:szCs w:val="24"/>
        </w:rPr>
        <w:t xml:space="preserve">) which was used for estimating </w:t>
      </w:r>
      <w:proofErr w:type="spellStart"/>
      <w:r w:rsidR="0097502D" w:rsidRPr="00022CA4">
        <w:rPr>
          <w:rFonts w:ascii="Times New Roman" w:hAnsi="Times New Roman" w:cs="Times New Roman"/>
          <w:sz w:val="24"/>
          <w:szCs w:val="24"/>
        </w:rPr>
        <w:t>ET</w:t>
      </w:r>
      <w:r w:rsidR="0097502D" w:rsidRPr="00022CA4">
        <w:rPr>
          <w:rFonts w:ascii="Times New Roman" w:hAnsi="Times New Roman" w:cs="Times New Roman"/>
          <w:sz w:val="24"/>
          <w:szCs w:val="24"/>
          <w:vertAlign w:val="subscript"/>
        </w:rPr>
        <w:t>o</w:t>
      </w:r>
      <w:proofErr w:type="spellEnd"/>
      <w:r w:rsidR="0097502D" w:rsidRPr="00022CA4">
        <w:rPr>
          <w:rFonts w:ascii="Times New Roman" w:hAnsi="Times New Roman" w:cs="Times New Roman"/>
          <w:sz w:val="24"/>
          <w:szCs w:val="24"/>
        </w:rPr>
        <w:t>,</w:t>
      </w:r>
      <w:r w:rsidR="009A36B7" w:rsidRPr="00022CA4">
        <w:rPr>
          <w:rFonts w:ascii="Times New Roman" w:hAnsi="Times New Roman" w:cs="Times New Roman"/>
          <w:sz w:val="24"/>
          <w:szCs w:val="24"/>
        </w:rPr>
        <w:t xml:space="preserve"> </w:t>
      </w:r>
      <w:r w:rsidR="0097502D" w:rsidRPr="00022CA4">
        <w:rPr>
          <w:rFonts w:ascii="Times New Roman" w:hAnsi="Times New Roman" w:cs="Times New Roman"/>
          <w:sz w:val="24"/>
          <w:szCs w:val="24"/>
        </w:rPr>
        <w:t>were</w:t>
      </w:r>
      <w:r w:rsidR="009A36B7" w:rsidRPr="00022CA4">
        <w:rPr>
          <w:rFonts w:ascii="Times New Roman" w:hAnsi="Times New Roman" w:cs="Times New Roman"/>
          <w:sz w:val="24"/>
          <w:szCs w:val="24"/>
        </w:rPr>
        <w:t xml:space="preserve"> calculated using averages. </w:t>
      </w:r>
      <w:r w:rsidR="00CD7DA4" w:rsidRPr="00022CA4">
        <w:rPr>
          <w:rFonts w:ascii="Times New Roman" w:hAnsi="Times New Roman" w:cs="Times New Roman"/>
          <w:sz w:val="24"/>
          <w:szCs w:val="24"/>
        </w:rPr>
        <w:t xml:space="preserve">The rainfall and </w:t>
      </w:r>
      <w:proofErr w:type="spellStart"/>
      <w:proofErr w:type="gramStart"/>
      <w:r w:rsidR="00215530" w:rsidRPr="00022CA4">
        <w:rPr>
          <w:rFonts w:ascii="Times New Roman" w:hAnsi="Times New Roman" w:cs="Times New Roman"/>
          <w:sz w:val="24"/>
          <w:szCs w:val="24"/>
        </w:rPr>
        <w:t>ET</w:t>
      </w:r>
      <w:r w:rsidR="00215530" w:rsidRPr="00022CA4">
        <w:rPr>
          <w:rFonts w:ascii="Times New Roman" w:hAnsi="Times New Roman" w:cs="Times New Roman"/>
          <w:sz w:val="24"/>
          <w:szCs w:val="24"/>
          <w:vertAlign w:val="subscript"/>
        </w:rPr>
        <w:t>o</w:t>
      </w:r>
      <w:proofErr w:type="spellEnd"/>
      <w:proofErr w:type="gramEnd"/>
      <w:r w:rsidR="00215530" w:rsidRPr="00022CA4">
        <w:rPr>
          <w:rFonts w:ascii="Times New Roman" w:hAnsi="Times New Roman" w:cs="Times New Roman"/>
          <w:sz w:val="24"/>
          <w:szCs w:val="24"/>
        </w:rPr>
        <w:t xml:space="preserve"> </w:t>
      </w:r>
      <w:r w:rsidR="00CD7DA4" w:rsidRPr="00022CA4">
        <w:rPr>
          <w:rFonts w:ascii="Times New Roman" w:hAnsi="Times New Roman" w:cs="Times New Roman"/>
          <w:sz w:val="24"/>
          <w:szCs w:val="24"/>
        </w:rPr>
        <w:t xml:space="preserve">data from 1980 to 2021 for each grid point were averaged to determine the mean annual </w:t>
      </w:r>
      <w:r w:rsidR="0097502D" w:rsidRPr="00022CA4">
        <w:rPr>
          <w:rFonts w:ascii="Times New Roman" w:hAnsi="Times New Roman" w:cs="Times New Roman"/>
          <w:sz w:val="24"/>
          <w:szCs w:val="24"/>
        </w:rPr>
        <w:t xml:space="preserve">and seasonal </w:t>
      </w:r>
      <w:r w:rsidR="00CD7DA4" w:rsidRPr="00022CA4">
        <w:rPr>
          <w:rFonts w:ascii="Times New Roman" w:hAnsi="Times New Roman" w:cs="Times New Roman"/>
          <w:sz w:val="24"/>
          <w:szCs w:val="24"/>
        </w:rPr>
        <w:t xml:space="preserve">rainfall </w:t>
      </w:r>
      <w:r w:rsidR="00215530" w:rsidRPr="00022CA4">
        <w:rPr>
          <w:rFonts w:ascii="Times New Roman" w:hAnsi="Times New Roman" w:cs="Times New Roman"/>
          <w:sz w:val="24"/>
          <w:szCs w:val="24"/>
        </w:rPr>
        <w:t xml:space="preserve">(P) </w:t>
      </w:r>
      <w:r w:rsidR="00CD7DA4" w:rsidRPr="00022CA4">
        <w:rPr>
          <w:rFonts w:ascii="Times New Roman" w:hAnsi="Times New Roman" w:cs="Times New Roman"/>
          <w:sz w:val="24"/>
          <w:szCs w:val="24"/>
        </w:rPr>
        <w:t xml:space="preserve">and </w:t>
      </w:r>
      <w:proofErr w:type="spellStart"/>
      <w:r w:rsidR="00254FB4" w:rsidRPr="00022CA4">
        <w:rPr>
          <w:rFonts w:ascii="Times New Roman" w:hAnsi="Times New Roman" w:cs="Times New Roman"/>
          <w:sz w:val="24"/>
          <w:szCs w:val="24"/>
        </w:rPr>
        <w:t>ET</w:t>
      </w:r>
      <w:r w:rsidR="00254FB4" w:rsidRPr="00022CA4">
        <w:rPr>
          <w:rFonts w:ascii="Times New Roman" w:hAnsi="Times New Roman" w:cs="Times New Roman"/>
          <w:sz w:val="24"/>
          <w:szCs w:val="24"/>
          <w:vertAlign w:val="subscript"/>
        </w:rPr>
        <w:t>o</w:t>
      </w:r>
      <w:proofErr w:type="spellEnd"/>
      <w:r w:rsidR="00CD7DA4" w:rsidRPr="00022CA4">
        <w:rPr>
          <w:rFonts w:ascii="Times New Roman" w:hAnsi="Times New Roman" w:cs="Times New Roman"/>
          <w:sz w:val="24"/>
          <w:szCs w:val="24"/>
        </w:rPr>
        <w:t xml:space="preserve"> for the study area. The annual and </w:t>
      </w:r>
      <w:r w:rsidR="0097502D" w:rsidRPr="00022CA4">
        <w:rPr>
          <w:rFonts w:ascii="Times New Roman" w:hAnsi="Times New Roman" w:cs="Times New Roman"/>
          <w:sz w:val="24"/>
          <w:szCs w:val="24"/>
        </w:rPr>
        <w:t xml:space="preserve">seasonal </w:t>
      </w:r>
      <w:proofErr w:type="spellStart"/>
      <w:r w:rsidR="00254FB4" w:rsidRPr="00022CA4">
        <w:rPr>
          <w:rFonts w:ascii="Times New Roman" w:hAnsi="Times New Roman" w:cs="Times New Roman"/>
          <w:sz w:val="24"/>
          <w:szCs w:val="24"/>
        </w:rPr>
        <w:t>ET</w:t>
      </w:r>
      <w:r w:rsidR="00254FB4" w:rsidRPr="00022CA4">
        <w:rPr>
          <w:rFonts w:ascii="Times New Roman" w:hAnsi="Times New Roman" w:cs="Times New Roman"/>
          <w:sz w:val="24"/>
          <w:szCs w:val="24"/>
          <w:vertAlign w:val="subscript"/>
        </w:rPr>
        <w:t>o</w:t>
      </w:r>
      <w:proofErr w:type="spellEnd"/>
      <w:r w:rsidR="00CD7DA4" w:rsidRPr="00022CA4">
        <w:rPr>
          <w:rFonts w:ascii="Times New Roman" w:hAnsi="Times New Roman" w:cs="Times New Roman"/>
          <w:sz w:val="24"/>
          <w:szCs w:val="24"/>
        </w:rPr>
        <w:t xml:space="preserve"> </w:t>
      </w:r>
      <w:r w:rsidR="003702CF" w:rsidRPr="00022CA4">
        <w:rPr>
          <w:rFonts w:ascii="Times New Roman" w:hAnsi="Times New Roman" w:cs="Times New Roman"/>
          <w:sz w:val="24"/>
          <w:szCs w:val="24"/>
        </w:rPr>
        <w:t xml:space="preserve">values </w:t>
      </w:r>
      <w:r w:rsidR="00CD7DA4" w:rsidRPr="00022CA4">
        <w:rPr>
          <w:rFonts w:ascii="Times New Roman" w:hAnsi="Times New Roman" w:cs="Times New Roman"/>
          <w:sz w:val="24"/>
          <w:szCs w:val="24"/>
        </w:rPr>
        <w:t>were then subtracted from the corresponding rainfall</w:t>
      </w:r>
      <w:r w:rsidR="003702CF" w:rsidRPr="00022CA4">
        <w:rPr>
          <w:rFonts w:ascii="Times New Roman" w:hAnsi="Times New Roman" w:cs="Times New Roman"/>
          <w:sz w:val="24"/>
          <w:szCs w:val="24"/>
        </w:rPr>
        <w:t xml:space="preserve"> (P)</w:t>
      </w:r>
      <w:r w:rsidR="00CD7DA4" w:rsidRPr="00022CA4">
        <w:rPr>
          <w:rFonts w:ascii="Times New Roman" w:hAnsi="Times New Roman" w:cs="Times New Roman"/>
          <w:sz w:val="24"/>
          <w:szCs w:val="24"/>
        </w:rPr>
        <w:t xml:space="preserve"> data to calculate the annual and monthly </w:t>
      </w:r>
      <w:r w:rsidR="003702CF" w:rsidRPr="00022CA4">
        <w:rPr>
          <w:rFonts w:ascii="Times New Roman" w:hAnsi="Times New Roman" w:cs="Times New Roman"/>
          <w:sz w:val="24"/>
          <w:szCs w:val="24"/>
        </w:rPr>
        <w:t xml:space="preserve">climatic </w:t>
      </w:r>
      <w:r w:rsidR="00CD7DA4" w:rsidRPr="00022CA4">
        <w:rPr>
          <w:rFonts w:ascii="Times New Roman" w:hAnsi="Times New Roman" w:cs="Times New Roman"/>
          <w:sz w:val="24"/>
          <w:szCs w:val="24"/>
        </w:rPr>
        <w:t xml:space="preserve">water balance </w:t>
      </w:r>
      <w:r w:rsidR="003702CF" w:rsidRPr="00022CA4">
        <w:rPr>
          <w:rFonts w:ascii="Times New Roman" w:hAnsi="Times New Roman" w:cs="Times New Roman"/>
          <w:sz w:val="24"/>
          <w:szCs w:val="24"/>
        </w:rPr>
        <w:t xml:space="preserve">(CWB) </w:t>
      </w:r>
      <w:r w:rsidR="003702CF" w:rsidRPr="00022CA4">
        <w:rPr>
          <w:rFonts w:ascii="Times New Roman" w:hAnsi="Times New Roman" w:cs="Times New Roman"/>
          <w:sz w:val="24"/>
          <w:szCs w:val="24"/>
        </w:rPr>
        <w:fldChar w:fldCharType="begin" w:fldLock="1"/>
      </w:r>
      <w:r w:rsidR="0097502D" w:rsidRPr="00022CA4">
        <w:rPr>
          <w:rFonts w:ascii="Times New Roman" w:hAnsi="Times New Roman" w:cs="Times New Roman"/>
          <w:sz w:val="24"/>
          <w:szCs w:val="24"/>
        </w:rPr>
        <w:instrText>ADDIN CSL_CITATION {"citationItems":[{"id":"ITEM-1","itemData":{"DOI":"10.3126/jhm.v8i1.15571","ISSN":"1818-2518","abstract":"For the protection of the environment, climatic water balance studies play key role. This study attempts to assess the potential water availability at the Annapurna, Langtang and Khumbu regions of Nepal Himalaya. Potential evapotranspitration (PET) is calculated by CROPWAT 8 with the help of maximum and minimum temperature, relative humidity, wind speed and sunshine hour. The climatic water balance of water bodies is calculated on the basis of Thornthwait procedure. These calculations help to examine annual water surplus (WS) and water deficit (WD) periods. Potential water surplus at three selected station is calculated by above techniques after averaging the data of time period from 1987 to 2008. The main aim of this study is to compare the obtained result from the climatic water balance for the selected sites of the Nepal Himalaya region. This study will provide climatic water balance information of the given area which will be useful for sustainable management of water resources in local and small area of the Nepal Himalaya.Journal of Hydrology and Meteorology, Vol. 8(1) p.47-57","author":[{"dropping-particle":"","family":"Adhikari","given":"Tirtha Raj","non-dropping-particle":"","parse-names":false,"suffix":""},{"dropping-particle":"","family":"Devkota","given":"Lochan Prasad","non-dropping-particle":"","parse-names":false,"suffix":""}],"container-title":"Journal of Hydrology and Meteorology","id":"ITEM-1","issue":"1","issued":{"date-parts":[["2012"]]},"page":"47-57","title":"Climatic Water Balance of Annapurna, Langtang and Khumbu regions of Nepal Himalaya","type":"article-journal","volume":"8"},"uris":["http://www.mendeley.com/documents/?uuid=d2767b97-3a2c-432d-90e4-c358391f19f8"]}],"mendeley":{"formattedCitation":"(Adhikari &amp; Devkota, 2012)","plainTextFormattedCitation":"(Adhikari &amp; Devkota, 2012)","previouslyFormattedCitation":"(Adhikari &amp; Devkota, 2012)"},"properties":{"noteIndex":0},"schema":"https://github.com/citation-style-language/schema/raw/master/csl-citation.json"}</w:instrText>
      </w:r>
      <w:r w:rsidR="003702CF" w:rsidRPr="00022CA4">
        <w:rPr>
          <w:rFonts w:ascii="Times New Roman" w:hAnsi="Times New Roman" w:cs="Times New Roman"/>
          <w:sz w:val="24"/>
          <w:szCs w:val="24"/>
        </w:rPr>
        <w:fldChar w:fldCharType="separate"/>
      </w:r>
      <w:r w:rsidR="003702CF" w:rsidRPr="00022CA4">
        <w:rPr>
          <w:rFonts w:ascii="Times New Roman" w:hAnsi="Times New Roman" w:cs="Times New Roman"/>
          <w:noProof/>
          <w:sz w:val="24"/>
          <w:szCs w:val="24"/>
        </w:rPr>
        <w:t>(Adhikari &amp; Devkota, 2012)</w:t>
      </w:r>
      <w:r w:rsidR="003702CF" w:rsidRPr="00022CA4">
        <w:rPr>
          <w:rFonts w:ascii="Times New Roman" w:hAnsi="Times New Roman" w:cs="Times New Roman"/>
          <w:sz w:val="24"/>
          <w:szCs w:val="24"/>
        </w:rPr>
        <w:fldChar w:fldCharType="end"/>
      </w:r>
      <w:r w:rsidR="00CD7DA4" w:rsidRPr="00022CA4">
        <w:rPr>
          <w:rFonts w:ascii="Times New Roman" w:hAnsi="Times New Roman" w:cs="Times New Roman"/>
          <w:sz w:val="24"/>
          <w:szCs w:val="24"/>
        </w:rPr>
        <w:t xml:space="preserve">. </w:t>
      </w:r>
      <w:r w:rsidR="008E7F67" w:rsidRPr="00022CA4">
        <w:rPr>
          <w:rFonts w:ascii="Times New Roman" w:hAnsi="Times New Roman" w:cs="Times New Roman"/>
          <w:sz w:val="24"/>
          <w:szCs w:val="24"/>
        </w:rPr>
        <w:t>The resulting</w:t>
      </w:r>
      <w:r w:rsidR="00CF2BCF" w:rsidRPr="00022CA4">
        <w:rPr>
          <w:rFonts w:ascii="Times New Roman" w:hAnsi="Times New Roman" w:cs="Times New Roman"/>
          <w:sz w:val="24"/>
          <w:szCs w:val="24"/>
        </w:rPr>
        <w:t xml:space="preserve"> rainfall (P), </w:t>
      </w:r>
      <w:proofErr w:type="spellStart"/>
      <w:proofErr w:type="gramStart"/>
      <w:r w:rsidR="00CF2BCF" w:rsidRPr="00022CA4">
        <w:rPr>
          <w:rFonts w:ascii="Times New Roman" w:hAnsi="Times New Roman" w:cs="Times New Roman"/>
          <w:sz w:val="24"/>
          <w:szCs w:val="24"/>
        </w:rPr>
        <w:t>ET</w:t>
      </w:r>
      <w:r w:rsidR="00CF2BCF" w:rsidRPr="00022CA4">
        <w:rPr>
          <w:rFonts w:ascii="Times New Roman" w:hAnsi="Times New Roman" w:cs="Times New Roman"/>
          <w:sz w:val="24"/>
          <w:szCs w:val="24"/>
          <w:vertAlign w:val="subscript"/>
        </w:rPr>
        <w:t>o</w:t>
      </w:r>
      <w:proofErr w:type="spellEnd"/>
      <w:proofErr w:type="gramEnd"/>
      <w:r w:rsidR="00CF2BCF" w:rsidRPr="00022CA4">
        <w:rPr>
          <w:rFonts w:ascii="Times New Roman" w:hAnsi="Times New Roman" w:cs="Times New Roman"/>
          <w:sz w:val="24"/>
          <w:szCs w:val="24"/>
        </w:rPr>
        <w:t>, and</w:t>
      </w:r>
      <w:r w:rsidR="008E7F67" w:rsidRPr="00022CA4">
        <w:rPr>
          <w:rFonts w:ascii="Times New Roman" w:hAnsi="Times New Roman" w:cs="Times New Roman"/>
          <w:sz w:val="24"/>
          <w:szCs w:val="24"/>
        </w:rPr>
        <w:t xml:space="preserve"> </w:t>
      </w:r>
      <w:r w:rsidR="003702CF" w:rsidRPr="00022CA4">
        <w:rPr>
          <w:rFonts w:ascii="Times New Roman" w:hAnsi="Times New Roman" w:cs="Times New Roman"/>
          <w:sz w:val="24"/>
          <w:szCs w:val="24"/>
        </w:rPr>
        <w:t>climatic water balance (CWB)</w:t>
      </w:r>
      <w:r w:rsidR="00985436" w:rsidRPr="00022CA4">
        <w:rPr>
          <w:rFonts w:ascii="Times New Roman" w:hAnsi="Times New Roman" w:cs="Times New Roman"/>
          <w:sz w:val="24"/>
          <w:szCs w:val="24"/>
        </w:rPr>
        <w:t xml:space="preserve"> </w:t>
      </w:r>
      <w:r w:rsidR="008E7F67" w:rsidRPr="00022CA4">
        <w:rPr>
          <w:rFonts w:ascii="Times New Roman" w:hAnsi="Times New Roman" w:cs="Times New Roman"/>
          <w:sz w:val="24"/>
          <w:szCs w:val="24"/>
        </w:rPr>
        <w:t>values were then interpolated using the inverse distance weighting (ID</w:t>
      </w:r>
      <w:r w:rsidR="003702CF" w:rsidRPr="00022CA4">
        <w:rPr>
          <w:rFonts w:ascii="Times New Roman" w:hAnsi="Times New Roman" w:cs="Times New Roman"/>
          <w:sz w:val="24"/>
          <w:szCs w:val="24"/>
        </w:rPr>
        <w:t>W</w:t>
      </w:r>
      <w:r w:rsidR="008E7F67" w:rsidRPr="00022CA4">
        <w:rPr>
          <w:rFonts w:ascii="Times New Roman" w:hAnsi="Times New Roman" w:cs="Times New Roman"/>
          <w:sz w:val="24"/>
          <w:szCs w:val="24"/>
        </w:rPr>
        <w:t xml:space="preserve">) method in </w:t>
      </w:r>
      <w:r w:rsidR="003702CF" w:rsidRPr="00022CA4">
        <w:rPr>
          <w:rFonts w:ascii="Times New Roman" w:hAnsi="Times New Roman" w:cs="Times New Roman"/>
          <w:sz w:val="24"/>
          <w:szCs w:val="24"/>
        </w:rPr>
        <w:t xml:space="preserve">QGIS, </w:t>
      </w:r>
      <w:r w:rsidR="008E7F67" w:rsidRPr="00022CA4">
        <w:rPr>
          <w:rFonts w:ascii="Times New Roman" w:hAnsi="Times New Roman" w:cs="Times New Roman"/>
          <w:sz w:val="24"/>
          <w:szCs w:val="24"/>
        </w:rPr>
        <w:t>ArcGIS</w:t>
      </w:r>
      <w:r w:rsidR="003702CF" w:rsidRPr="00022CA4">
        <w:rPr>
          <w:rFonts w:ascii="Times New Roman" w:hAnsi="Times New Roman" w:cs="Times New Roman"/>
          <w:sz w:val="24"/>
          <w:szCs w:val="24"/>
        </w:rPr>
        <w:t>, Python, or any other appropriate software</w:t>
      </w:r>
      <w:r w:rsidR="008E7F67" w:rsidRPr="00022CA4">
        <w:rPr>
          <w:rFonts w:ascii="Times New Roman" w:hAnsi="Times New Roman" w:cs="Times New Roman"/>
          <w:sz w:val="24"/>
          <w:szCs w:val="24"/>
        </w:rPr>
        <w:t xml:space="preserve"> to analyze their spatial distribution across </w:t>
      </w:r>
      <w:r w:rsidR="003702CF" w:rsidRPr="00022CA4">
        <w:rPr>
          <w:rFonts w:ascii="Times New Roman" w:hAnsi="Times New Roman" w:cs="Times New Roman"/>
          <w:sz w:val="24"/>
          <w:szCs w:val="24"/>
        </w:rPr>
        <w:t>Ethiopia</w:t>
      </w:r>
      <w:r w:rsidR="008E7F67" w:rsidRPr="00022CA4">
        <w:rPr>
          <w:rFonts w:ascii="Times New Roman" w:hAnsi="Times New Roman" w:cs="Times New Roman"/>
          <w:sz w:val="24"/>
          <w:szCs w:val="24"/>
        </w:rPr>
        <w:t xml:space="preserve">. </w:t>
      </w:r>
    </w:p>
    <w:p w14:paraId="3521C139" w14:textId="4ADCA39A" w:rsidR="000B548E" w:rsidRPr="00022CA4" w:rsidRDefault="00330730" w:rsidP="00E2730C">
      <w:pPr>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The </w:t>
      </w:r>
      <w:r w:rsidR="00CF2BCF" w:rsidRPr="00022CA4">
        <w:rPr>
          <w:rFonts w:ascii="Times New Roman" w:hAnsi="Times New Roman" w:cs="Times New Roman"/>
          <w:sz w:val="24"/>
          <w:szCs w:val="24"/>
        </w:rPr>
        <w:t>annual</w:t>
      </w:r>
      <w:r w:rsidR="0097502D" w:rsidRPr="00022CA4">
        <w:rPr>
          <w:rFonts w:ascii="Times New Roman" w:hAnsi="Times New Roman" w:cs="Times New Roman"/>
          <w:sz w:val="24"/>
          <w:szCs w:val="24"/>
        </w:rPr>
        <w:t xml:space="preserve"> </w:t>
      </w:r>
      <w:r w:rsidR="00CF2BCF" w:rsidRPr="00022CA4">
        <w:rPr>
          <w:rFonts w:ascii="Times New Roman" w:hAnsi="Times New Roman" w:cs="Times New Roman"/>
          <w:sz w:val="24"/>
          <w:szCs w:val="24"/>
        </w:rPr>
        <w:t xml:space="preserve">and </w:t>
      </w:r>
      <w:r w:rsidR="0097502D" w:rsidRPr="00022CA4">
        <w:rPr>
          <w:rFonts w:ascii="Times New Roman" w:hAnsi="Times New Roman" w:cs="Times New Roman"/>
          <w:sz w:val="24"/>
          <w:szCs w:val="24"/>
        </w:rPr>
        <w:t xml:space="preserve">seasonal </w:t>
      </w:r>
      <w:r w:rsidRPr="00022CA4">
        <w:rPr>
          <w:rFonts w:ascii="Times New Roman" w:hAnsi="Times New Roman" w:cs="Times New Roman"/>
          <w:sz w:val="24"/>
          <w:szCs w:val="24"/>
        </w:rPr>
        <w:t xml:space="preserve">trends </w:t>
      </w:r>
      <w:r w:rsidR="00985436" w:rsidRPr="00022CA4">
        <w:rPr>
          <w:rFonts w:ascii="Times New Roman" w:hAnsi="Times New Roman" w:cs="Times New Roman"/>
          <w:sz w:val="24"/>
          <w:szCs w:val="24"/>
        </w:rPr>
        <w:t>of rainfall P</w:t>
      </w:r>
      <w:r w:rsidR="00CF2BCF" w:rsidRPr="00022CA4">
        <w:rPr>
          <w:rFonts w:ascii="Times New Roman" w:hAnsi="Times New Roman" w:cs="Times New Roman"/>
          <w:sz w:val="24"/>
          <w:szCs w:val="24"/>
        </w:rPr>
        <w:t xml:space="preserve">, </w:t>
      </w:r>
      <w:proofErr w:type="spellStart"/>
      <w:r w:rsidR="00CF2BCF" w:rsidRPr="00022CA4">
        <w:rPr>
          <w:rFonts w:ascii="Times New Roman" w:hAnsi="Times New Roman" w:cs="Times New Roman"/>
          <w:sz w:val="24"/>
          <w:szCs w:val="24"/>
        </w:rPr>
        <w:t>ET</w:t>
      </w:r>
      <w:r w:rsidR="00CF2BCF" w:rsidRPr="00022CA4">
        <w:rPr>
          <w:rFonts w:ascii="Times New Roman" w:hAnsi="Times New Roman" w:cs="Times New Roman"/>
          <w:sz w:val="24"/>
          <w:szCs w:val="24"/>
          <w:vertAlign w:val="subscript"/>
        </w:rPr>
        <w:t>o</w:t>
      </w:r>
      <w:proofErr w:type="spellEnd"/>
      <w:r w:rsidR="00CF2BCF" w:rsidRPr="00022CA4">
        <w:rPr>
          <w:rFonts w:ascii="Times New Roman" w:hAnsi="Times New Roman" w:cs="Times New Roman"/>
          <w:sz w:val="24"/>
          <w:szCs w:val="24"/>
        </w:rPr>
        <w:t>, and climatic water balance (CWB)</w:t>
      </w:r>
      <w:r w:rsidRPr="00022CA4">
        <w:rPr>
          <w:rFonts w:ascii="Times New Roman" w:hAnsi="Times New Roman" w:cs="Times New Roman"/>
          <w:sz w:val="24"/>
          <w:szCs w:val="24"/>
        </w:rPr>
        <w:t xml:space="preserve"> were analyzed using </w:t>
      </w:r>
      <w:r w:rsidR="0097502D" w:rsidRPr="00022CA4">
        <w:rPr>
          <w:rFonts w:ascii="Times New Roman" w:hAnsi="Times New Roman" w:cs="Times New Roman"/>
          <w:sz w:val="24"/>
          <w:szCs w:val="24"/>
        </w:rPr>
        <w:t xml:space="preserve">the slope of a simple </w:t>
      </w:r>
      <w:r w:rsidR="00CF2BCF" w:rsidRPr="00022CA4">
        <w:rPr>
          <w:rFonts w:ascii="Times New Roman" w:hAnsi="Times New Roman" w:cs="Times New Roman"/>
          <w:sz w:val="24"/>
          <w:szCs w:val="24"/>
        </w:rPr>
        <w:t>linear regression model</w:t>
      </w:r>
      <w:r w:rsidR="0097502D" w:rsidRPr="00022CA4">
        <w:rPr>
          <w:rFonts w:ascii="Times New Roman" w:hAnsi="Times New Roman" w:cs="Times New Roman"/>
          <w:sz w:val="24"/>
          <w:szCs w:val="24"/>
        </w:rPr>
        <w:t>, see Eq. 2,</w:t>
      </w:r>
      <w:r w:rsidR="00CF2BCF" w:rsidRPr="00022CA4">
        <w:rPr>
          <w:rFonts w:ascii="Times New Roman" w:hAnsi="Times New Roman" w:cs="Times New Roman"/>
          <w:sz w:val="24"/>
          <w:szCs w:val="24"/>
        </w:rPr>
        <w:t xml:space="preserve"> </w:t>
      </w:r>
      <w:r w:rsidR="0097502D" w:rsidRPr="00022CA4">
        <w:rPr>
          <w:rFonts w:ascii="Times New Roman" w:hAnsi="Times New Roman" w:cs="Times New Roman"/>
          <w:sz w:val="24"/>
          <w:szCs w:val="24"/>
        </w:rPr>
        <w:t xml:space="preserve">and </w:t>
      </w:r>
      <w:r w:rsidR="00985436" w:rsidRPr="00022CA4">
        <w:rPr>
          <w:rFonts w:ascii="Times New Roman" w:hAnsi="Times New Roman" w:cs="Times New Roman"/>
          <w:sz w:val="24"/>
          <w:szCs w:val="24"/>
        </w:rPr>
        <w:t>slope estimator method</w:t>
      </w:r>
      <w:r w:rsidR="003B5866" w:rsidRPr="00022CA4">
        <w:rPr>
          <w:rFonts w:ascii="Times New Roman" w:hAnsi="Times New Roman" w:cs="Times New Roman"/>
          <w:sz w:val="24"/>
          <w:szCs w:val="24"/>
        </w:rPr>
        <w:t xml:space="preserve"> </w:t>
      </w:r>
      <w:r w:rsidR="00985436" w:rsidRPr="00022CA4">
        <w:rPr>
          <w:rFonts w:ascii="Times New Roman" w:hAnsi="Times New Roman" w:cs="Times New Roman"/>
          <w:sz w:val="24"/>
          <w:szCs w:val="24"/>
        </w:rPr>
        <w:t xml:space="preserve">by </w:t>
      </w:r>
      <w:r w:rsidR="00CC055E" w:rsidRPr="00022CA4">
        <w:rPr>
          <w:rFonts w:ascii="Times New Roman" w:hAnsi="Times New Roman" w:cs="Times New Roman"/>
          <w:sz w:val="24"/>
          <w:szCs w:val="24"/>
        </w:rPr>
        <w:t xml:space="preserve"> </w:t>
      </w:r>
      <w:r w:rsidR="00CC055E" w:rsidRPr="00022CA4">
        <w:rPr>
          <w:rFonts w:ascii="Times New Roman" w:hAnsi="Times New Roman" w:cs="Times New Roman"/>
          <w:sz w:val="24"/>
          <w:szCs w:val="24"/>
        </w:rPr>
        <w:fldChar w:fldCharType="begin" w:fldLock="1"/>
      </w:r>
      <w:r w:rsidR="00725B7C" w:rsidRPr="00022CA4">
        <w:rPr>
          <w:rFonts w:ascii="Times New Roman" w:hAnsi="Times New Roman" w:cs="Times New Roman"/>
          <w:sz w:val="24"/>
          <w:szCs w:val="24"/>
        </w:rPr>
        <w:instrText>ADDIN CSL_CITATION {"citationItems":[{"id":"ITEM-1","itemData":{"DOI":"10.22237/jmasm/1130804040","ISSN":"15389472","abstract":"In this article, an estimation procedure to simple linear regression in the presence of outliers is proposed. The performance of the proposed estimator, the AM estimator, is compared with other traditional estimators: least squares, Theil type repeated median, and geometric mean. A numerical example is given to illustrate the proposed estimator. Simulation results indicate that the proposed estimator is accurate and has a high precision in the presence of outliers. Copyright © 2005 JMASM, Inc.","author":[{"dropping-particle":"","family":"Ebrahem","given":"Mohammed Al-Haj","non-dropping-particle":"","parse-names":false,"suffix":""},{"dropping-particle":"","family":"Al-Nasser","given":"Amjad D.","non-dropping-particle":"","parse-names":false,"suffix":""}],"container-title":"Journal of Modern Applied Statistical Methods","id":"ITEM-1","issue":"2","issued":{"date-parts":[["2005"]]},"page":"509-513","title":"Estimating the slope of simple linear regression in the presence of outliers","type":"article-journal","volume":"4"},"uris":["http://www.mendeley.com/documents/?uuid=640c7035-eb85-4f9b-97aa-25d08b677809"]}],"mendeley":{"formattedCitation":"(Ebrahem &amp; Al-Nasser, 2005)","manualFormatting":"Ebrahem &amp; Al-Nasser (2005)","plainTextFormattedCitation":"(Ebrahem &amp; Al-Nasser, 2005)","previouslyFormattedCitation":"(Ebrahem &amp; Al-Nasser, 2005)"},"properties":{"noteIndex":0},"schema":"https://github.com/citation-style-language/schema/raw/master/csl-citation.json"}</w:instrText>
      </w:r>
      <w:r w:rsidR="00CC055E" w:rsidRPr="00022CA4">
        <w:rPr>
          <w:rFonts w:ascii="Times New Roman" w:hAnsi="Times New Roman" w:cs="Times New Roman"/>
          <w:sz w:val="24"/>
          <w:szCs w:val="24"/>
        </w:rPr>
        <w:fldChar w:fldCharType="separate"/>
      </w:r>
      <w:r w:rsidR="00985436" w:rsidRPr="00022CA4">
        <w:rPr>
          <w:rFonts w:ascii="Times New Roman" w:hAnsi="Times New Roman" w:cs="Times New Roman"/>
          <w:noProof/>
          <w:sz w:val="24"/>
          <w:szCs w:val="24"/>
        </w:rPr>
        <w:t>Ebrahem &amp; Al-Nasser</w:t>
      </w:r>
      <w:r w:rsidR="00CC055E" w:rsidRPr="00022CA4">
        <w:rPr>
          <w:rFonts w:ascii="Times New Roman" w:hAnsi="Times New Roman" w:cs="Times New Roman"/>
          <w:noProof/>
          <w:sz w:val="24"/>
          <w:szCs w:val="24"/>
        </w:rPr>
        <w:t xml:space="preserve"> </w:t>
      </w:r>
      <w:r w:rsidR="00985436" w:rsidRPr="00022CA4">
        <w:rPr>
          <w:rFonts w:ascii="Times New Roman" w:hAnsi="Times New Roman" w:cs="Times New Roman"/>
          <w:noProof/>
          <w:sz w:val="24"/>
          <w:szCs w:val="24"/>
        </w:rPr>
        <w:t>(</w:t>
      </w:r>
      <w:r w:rsidR="00CC055E" w:rsidRPr="00022CA4">
        <w:rPr>
          <w:rFonts w:ascii="Times New Roman" w:hAnsi="Times New Roman" w:cs="Times New Roman"/>
          <w:noProof/>
          <w:sz w:val="24"/>
          <w:szCs w:val="24"/>
        </w:rPr>
        <w:t>2005)</w:t>
      </w:r>
      <w:r w:rsidR="00CC055E" w:rsidRPr="00022CA4">
        <w:rPr>
          <w:rFonts w:ascii="Times New Roman" w:hAnsi="Times New Roman" w:cs="Times New Roman"/>
          <w:sz w:val="24"/>
          <w:szCs w:val="24"/>
        </w:rPr>
        <w:fldChar w:fldCharType="end"/>
      </w:r>
      <w:r w:rsidR="0097502D" w:rsidRPr="00022CA4">
        <w:rPr>
          <w:rFonts w:ascii="Times New Roman" w:hAnsi="Times New Roman" w:cs="Times New Roman"/>
          <w:sz w:val="24"/>
          <w:szCs w:val="24"/>
        </w:rPr>
        <w:t xml:space="preserve">. To assess the statistical significance of the trend at the 95% confidence level, </w:t>
      </w:r>
      <w:r w:rsidRPr="00022CA4">
        <w:rPr>
          <w:rFonts w:ascii="Times New Roman" w:hAnsi="Times New Roman" w:cs="Times New Roman"/>
          <w:sz w:val="24"/>
          <w:szCs w:val="24"/>
        </w:rPr>
        <w:t xml:space="preserve">non-parametric Student's </w:t>
      </w:r>
      <w:r w:rsidRPr="00022CA4">
        <w:rPr>
          <w:rFonts w:ascii="Times New Roman" w:hAnsi="Times New Roman" w:cs="Times New Roman"/>
          <w:sz w:val="24"/>
          <w:szCs w:val="24"/>
        </w:rPr>
        <w:lastRenderedPageBreak/>
        <w:t xml:space="preserve">t-test </w:t>
      </w:r>
      <w:r w:rsidR="00CF2BCF" w:rsidRPr="00022CA4">
        <w:rPr>
          <w:rFonts w:ascii="Times New Roman" w:hAnsi="Times New Roman" w:cs="Times New Roman"/>
          <w:sz w:val="24"/>
          <w:szCs w:val="24"/>
        </w:rPr>
        <w:t>statistic</w:t>
      </w:r>
      <w:r w:rsidR="0097502D" w:rsidRPr="00022CA4">
        <w:rPr>
          <w:rFonts w:ascii="Times New Roman" w:hAnsi="Times New Roman" w:cs="Times New Roman"/>
          <w:sz w:val="24"/>
          <w:szCs w:val="24"/>
        </w:rPr>
        <w:t xml:space="preserve"> was used with</w:t>
      </w:r>
      <w:r w:rsidR="00CF2BCF" w:rsidRPr="00022CA4">
        <w:rPr>
          <w:rFonts w:ascii="Times New Roman" w:hAnsi="Times New Roman" w:cs="Times New Roman"/>
          <w:sz w:val="24"/>
          <w:szCs w:val="24"/>
        </w:rPr>
        <w:t xml:space="preserve"> p-values less than 0.05 significant </w:t>
      </w:r>
      <w:proofErr w:type="gramStart"/>
      <w:r w:rsidR="00CF2BCF" w:rsidRPr="00022CA4">
        <w:rPr>
          <w:rFonts w:ascii="Times New Roman" w:hAnsi="Times New Roman" w:cs="Times New Roman"/>
          <w:sz w:val="24"/>
          <w:szCs w:val="24"/>
        </w:rPr>
        <w:t>level</w:t>
      </w:r>
      <w:proofErr w:type="gramEnd"/>
      <w:r w:rsidR="00CF2BCF" w:rsidRPr="00022CA4">
        <w:rPr>
          <w:rFonts w:ascii="Times New Roman" w:hAnsi="Times New Roman" w:cs="Times New Roman"/>
          <w:sz w:val="24"/>
          <w:szCs w:val="24"/>
        </w:rPr>
        <w:t xml:space="preserve"> or above 95% confidence level signifying significan</w:t>
      </w:r>
      <w:r w:rsidR="000C2B0E" w:rsidRPr="00022CA4">
        <w:rPr>
          <w:rFonts w:ascii="Times New Roman" w:hAnsi="Times New Roman" w:cs="Times New Roman"/>
          <w:sz w:val="24"/>
          <w:szCs w:val="24"/>
        </w:rPr>
        <w:t>t</w:t>
      </w:r>
      <w:r w:rsidR="00CF2BCF" w:rsidRPr="00022CA4">
        <w:rPr>
          <w:rFonts w:ascii="Times New Roman" w:hAnsi="Times New Roman" w:cs="Times New Roman"/>
          <w:sz w:val="24"/>
          <w:szCs w:val="24"/>
        </w:rPr>
        <w:t xml:space="preserve"> trends</w:t>
      </w:r>
      <w:r w:rsidRPr="00022CA4">
        <w:rPr>
          <w:rFonts w:ascii="Times New Roman" w:hAnsi="Times New Roman" w:cs="Times New Roman"/>
          <w:sz w:val="24"/>
          <w:szCs w:val="24"/>
        </w:rPr>
        <w:t xml:space="preserve">. </w:t>
      </w:r>
    </w:p>
    <w:p w14:paraId="4B221DEC" w14:textId="18034566" w:rsidR="00A658ED" w:rsidRPr="00022CA4" w:rsidRDefault="00B266B0" w:rsidP="00EE4D7D">
      <w:pPr>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Y = a + b </w:t>
      </w:r>
      <w:proofErr w:type="gramStart"/>
      <w:r w:rsidRPr="00022CA4">
        <w:rPr>
          <w:rFonts w:ascii="Times New Roman" w:hAnsi="Times New Roman" w:cs="Times New Roman"/>
          <w:sz w:val="24"/>
          <w:szCs w:val="24"/>
        </w:rPr>
        <w:t>X</w:t>
      </w:r>
      <w:r w:rsidR="003B5866" w:rsidRPr="00022CA4">
        <w:rPr>
          <w:rFonts w:ascii="Times New Roman" w:hAnsi="Times New Roman" w:cs="Times New Roman"/>
          <w:sz w:val="24"/>
          <w:szCs w:val="24"/>
        </w:rPr>
        <w:t>, ………………………………………………………………………………</w:t>
      </w:r>
      <w:r w:rsidR="00C15743" w:rsidRPr="00022CA4">
        <w:rPr>
          <w:rFonts w:ascii="Times New Roman" w:hAnsi="Times New Roman" w:cs="Times New Roman"/>
          <w:sz w:val="24"/>
          <w:szCs w:val="24"/>
        </w:rPr>
        <w:t>…..</w:t>
      </w:r>
      <w:r w:rsidR="003B5866" w:rsidRPr="00022CA4">
        <w:rPr>
          <w:rFonts w:ascii="Times New Roman" w:hAnsi="Times New Roman" w:cs="Times New Roman"/>
          <w:sz w:val="24"/>
          <w:szCs w:val="24"/>
        </w:rPr>
        <w:t>………………...</w:t>
      </w:r>
      <w:proofErr w:type="gramEnd"/>
      <w:r w:rsidR="003B5866" w:rsidRPr="00022CA4">
        <w:rPr>
          <w:rFonts w:ascii="Times New Roman" w:hAnsi="Times New Roman" w:cs="Times New Roman"/>
          <w:sz w:val="24"/>
          <w:szCs w:val="24"/>
        </w:rPr>
        <w:t xml:space="preserve"> (2)</w:t>
      </w:r>
    </w:p>
    <w:p w14:paraId="143B0BC8" w14:textId="7151BC94" w:rsidR="0097502D" w:rsidRPr="00022CA4" w:rsidDel="0097502D" w:rsidRDefault="00082551" w:rsidP="00E2730C">
      <w:pPr>
        <w:shd w:val="clear" w:color="auto" w:fill="FFFFFF"/>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In this context, Y represents the independent variable, </w:t>
      </w:r>
      <w:proofErr w:type="gramStart"/>
      <w:r w:rsidRPr="00022CA4">
        <w:rPr>
          <w:rFonts w:ascii="Times New Roman" w:hAnsi="Times New Roman" w:cs="Times New Roman"/>
          <w:sz w:val="24"/>
          <w:szCs w:val="24"/>
        </w:rPr>
        <w:t>a</w:t>
      </w:r>
      <w:r w:rsidR="002126BE" w:rsidRPr="00022CA4">
        <w:rPr>
          <w:rFonts w:ascii="Times New Roman" w:hAnsi="Times New Roman" w:cs="Times New Roman"/>
          <w:sz w:val="24"/>
          <w:szCs w:val="24"/>
        </w:rPr>
        <w:t xml:space="preserve"> </w:t>
      </w:r>
      <w:r w:rsidRPr="00022CA4">
        <w:rPr>
          <w:rFonts w:ascii="Times New Roman" w:hAnsi="Times New Roman" w:cs="Times New Roman"/>
          <w:sz w:val="24"/>
          <w:szCs w:val="24"/>
        </w:rPr>
        <w:t>is</w:t>
      </w:r>
      <w:proofErr w:type="gramEnd"/>
      <w:r w:rsidRPr="00022CA4">
        <w:rPr>
          <w:rFonts w:ascii="Times New Roman" w:hAnsi="Times New Roman" w:cs="Times New Roman"/>
          <w:sz w:val="24"/>
          <w:szCs w:val="24"/>
        </w:rPr>
        <w:t xml:space="preserve"> the intercept, b is the slope</w:t>
      </w:r>
      <w:r w:rsidR="005F079C" w:rsidRPr="00022CA4">
        <w:rPr>
          <w:rFonts w:ascii="Times New Roman" w:hAnsi="Times New Roman" w:cs="Times New Roman"/>
          <w:sz w:val="24"/>
          <w:szCs w:val="24"/>
        </w:rPr>
        <w:t xml:space="preserve"> or trend</w:t>
      </w:r>
      <w:r w:rsidRPr="00022CA4">
        <w:rPr>
          <w:rFonts w:ascii="Times New Roman" w:hAnsi="Times New Roman" w:cs="Times New Roman"/>
          <w:sz w:val="24"/>
          <w:szCs w:val="24"/>
        </w:rPr>
        <w:t>, and X is the dependent variable.</w:t>
      </w:r>
    </w:p>
    <w:p w14:paraId="76E2D301" w14:textId="287E3BD8" w:rsidR="00082551" w:rsidRPr="00022CA4" w:rsidRDefault="00082551" w:rsidP="00EE4D7D">
      <w:pPr>
        <w:shd w:val="clear" w:color="auto" w:fill="FFFFFF"/>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Descriptive statistics, such as the mean and standard deviation, were employed to summarize the dataset</w:t>
      </w:r>
      <w:r w:rsidR="0097502D" w:rsidRPr="00022CA4">
        <w:rPr>
          <w:rFonts w:ascii="Times New Roman" w:hAnsi="Times New Roman" w:cs="Times New Roman"/>
          <w:sz w:val="24"/>
          <w:szCs w:val="24"/>
        </w:rPr>
        <w:t xml:space="preserve"> and or to determine</w:t>
      </w:r>
      <w:r w:rsidRPr="00022CA4">
        <w:rPr>
          <w:rFonts w:ascii="Times New Roman" w:hAnsi="Times New Roman" w:cs="Times New Roman"/>
          <w:sz w:val="24"/>
          <w:szCs w:val="24"/>
        </w:rPr>
        <w:t xml:space="preserve"> the coefficient of variation (CV)</w:t>
      </w:r>
      <w:r w:rsidR="0097502D" w:rsidRPr="00022CA4">
        <w:rPr>
          <w:rFonts w:ascii="Times New Roman" w:hAnsi="Times New Roman" w:cs="Times New Roman"/>
          <w:sz w:val="24"/>
          <w:szCs w:val="24"/>
        </w:rPr>
        <w:t>.</w:t>
      </w:r>
      <w:r w:rsidR="002B0E0E" w:rsidRPr="002B0E0E">
        <w:t xml:space="preserve"> </w:t>
      </w:r>
      <w:r w:rsidR="002B0E0E" w:rsidRPr="002B0E0E">
        <w:rPr>
          <w:rFonts w:ascii="Times New Roman" w:hAnsi="Times New Roman" w:cs="Times New Roman"/>
          <w:sz w:val="24"/>
          <w:szCs w:val="24"/>
        </w:rPr>
        <w:t xml:space="preserve">When discussing lower or higher CV (Coefficient of Variation) results, it is often mentioned that a lower CV indicates more consistency or less relative variability, while a higher CV reflects greater variability relative to the mean. However, what is usually not mentioned is that CV does not explain the underlying causes of this variability, nor does it indicate whether the variability is practically significant. </w:t>
      </w:r>
      <w:r w:rsidR="0097502D" w:rsidRPr="00022CA4">
        <w:rPr>
          <w:rFonts w:ascii="Times New Roman" w:hAnsi="Times New Roman" w:cs="Times New Roman"/>
          <w:sz w:val="24"/>
          <w:szCs w:val="24"/>
        </w:rPr>
        <w:t xml:space="preserve">CV </w:t>
      </w:r>
      <w:r w:rsidR="00D5200B" w:rsidRPr="00022CA4">
        <w:rPr>
          <w:rFonts w:ascii="Times New Roman" w:hAnsi="Times New Roman" w:cs="Times New Roman"/>
          <w:sz w:val="24"/>
          <w:szCs w:val="24"/>
        </w:rPr>
        <w:t>was used to indicate the P</w:t>
      </w:r>
      <w:r w:rsidRPr="00022CA4">
        <w:rPr>
          <w:rFonts w:ascii="Times New Roman" w:hAnsi="Times New Roman" w:cs="Times New Roman"/>
          <w:sz w:val="24"/>
          <w:szCs w:val="24"/>
        </w:rPr>
        <w:t xml:space="preserve">ercentage of variability in </w:t>
      </w:r>
      <w:r w:rsidR="00D5200B" w:rsidRPr="00022CA4">
        <w:rPr>
          <w:rFonts w:ascii="Times New Roman" w:hAnsi="Times New Roman" w:cs="Times New Roman"/>
          <w:sz w:val="24"/>
          <w:szCs w:val="24"/>
        </w:rPr>
        <w:t>rainfall,</w:t>
      </w:r>
      <w:r w:rsidR="0097502D" w:rsidRPr="00022CA4">
        <w:rPr>
          <w:rFonts w:ascii="Times New Roman" w:hAnsi="Times New Roman" w:cs="Times New Roman"/>
          <w:sz w:val="24"/>
          <w:szCs w:val="24"/>
        </w:rPr>
        <w:t xml:space="preserve"> </w:t>
      </w:r>
      <w:proofErr w:type="spellStart"/>
      <w:proofErr w:type="gramStart"/>
      <w:r w:rsidR="00254FB4" w:rsidRPr="00022CA4">
        <w:rPr>
          <w:rFonts w:ascii="Times New Roman" w:hAnsi="Times New Roman" w:cs="Times New Roman"/>
          <w:sz w:val="24"/>
          <w:szCs w:val="24"/>
        </w:rPr>
        <w:t>ET</w:t>
      </w:r>
      <w:r w:rsidR="00254FB4" w:rsidRPr="00022CA4">
        <w:rPr>
          <w:rFonts w:ascii="Times New Roman" w:hAnsi="Times New Roman" w:cs="Times New Roman"/>
          <w:sz w:val="24"/>
          <w:szCs w:val="24"/>
          <w:vertAlign w:val="subscript"/>
        </w:rPr>
        <w:t>o</w:t>
      </w:r>
      <w:proofErr w:type="spellEnd"/>
      <w:proofErr w:type="gramEnd"/>
      <w:r w:rsidR="004F105B" w:rsidRPr="00022CA4">
        <w:rPr>
          <w:rFonts w:ascii="Times New Roman" w:hAnsi="Times New Roman" w:cs="Times New Roman"/>
          <w:sz w:val="24"/>
          <w:szCs w:val="24"/>
          <w:vertAlign w:val="subscript"/>
        </w:rPr>
        <w:t>,</w:t>
      </w:r>
      <w:r w:rsidRPr="00022CA4">
        <w:rPr>
          <w:rFonts w:ascii="Times New Roman" w:hAnsi="Times New Roman" w:cs="Times New Roman"/>
          <w:sz w:val="24"/>
          <w:szCs w:val="24"/>
        </w:rPr>
        <w:t xml:space="preserve"> and</w:t>
      </w:r>
      <w:r w:rsidR="0097502D" w:rsidRPr="00022CA4">
        <w:rPr>
          <w:rFonts w:ascii="Times New Roman" w:hAnsi="Times New Roman" w:cs="Times New Roman"/>
          <w:sz w:val="24"/>
          <w:szCs w:val="24"/>
        </w:rPr>
        <w:t xml:space="preserve"> CWB</w:t>
      </w:r>
      <w:r w:rsidR="00D5200B" w:rsidRPr="00022CA4">
        <w:rPr>
          <w:rFonts w:ascii="Times New Roman" w:hAnsi="Times New Roman" w:cs="Times New Roman"/>
          <w:sz w:val="24"/>
          <w:szCs w:val="24"/>
        </w:rPr>
        <w:t xml:space="preserve"> was indicated by CV as given below.</w:t>
      </w:r>
    </w:p>
    <w:p w14:paraId="2BE568D6" w14:textId="587207ED" w:rsidR="00E21BBC" w:rsidRPr="00022CA4" w:rsidRDefault="00E21BBC" w:rsidP="00EE4D7D">
      <w:pPr>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CV</w:t>
      </w:r>
      <w:r w:rsidR="003B5866" w:rsidRPr="00022CA4">
        <w:rPr>
          <w:rFonts w:ascii="Times New Roman" w:hAnsi="Times New Roman" w:cs="Times New Roman"/>
          <w:sz w:val="24"/>
          <w:szCs w:val="24"/>
        </w:rPr>
        <w:t xml:space="preserve"> </w:t>
      </w:r>
      <w:r w:rsidRPr="00022CA4">
        <w:rPr>
          <w:rFonts w:ascii="Times New Roman" w:hAnsi="Times New Roman" w:cs="Times New Roman"/>
          <w:sz w:val="24"/>
          <w:szCs w:val="24"/>
        </w:rPr>
        <w:t>=</w:t>
      </w:r>
      <w:r w:rsidR="003B5866" w:rsidRPr="00022CA4">
        <w:rPr>
          <w:rFonts w:ascii="Times New Roman" w:hAnsi="Times New Roman" w:cs="Times New Roman"/>
          <w:sz w:val="24"/>
          <w:szCs w:val="24"/>
        </w:rPr>
        <w:t xml:space="preserve"> </w:t>
      </w:r>
      <w:r w:rsidRPr="00022CA4">
        <w:rPr>
          <w:rFonts w:ascii="Times New Roman" w:hAnsi="Times New Roman" w:cs="Times New Roman"/>
          <w:sz w:val="24"/>
          <w:szCs w:val="24"/>
        </w:rPr>
        <w:t>(SD/</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022CA4">
        <w:rPr>
          <w:rFonts w:ascii="Times New Roman" w:hAnsi="Times New Roman" w:cs="Times New Roman"/>
          <w:sz w:val="24"/>
          <w:szCs w:val="24"/>
        </w:rPr>
        <w:t>)</w:t>
      </w:r>
      <w:r w:rsidR="003B5866" w:rsidRPr="00022CA4">
        <w:rPr>
          <w:rFonts w:ascii="Times New Roman" w:hAnsi="Times New Roman" w:cs="Times New Roman"/>
          <w:sz w:val="24"/>
          <w:szCs w:val="24"/>
        </w:rPr>
        <w:t xml:space="preserve"> </w:t>
      </w:r>
      <w:r w:rsidRPr="00022CA4">
        <w:rPr>
          <w:rFonts w:ascii="Times New Roman" w:hAnsi="Times New Roman" w:cs="Times New Roman"/>
          <w:sz w:val="24"/>
          <w:szCs w:val="24"/>
        </w:rPr>
        <w:t>*</w:t>
      </w:r>
      <w:r w:rsidR="003B5866" w:rsidRPr="00022CA4">
        <w:rPr>
          <w:rFonts w:ascii="Times New Roman" w:hAnsi="Times New Roman" w:cs="Times New Roman"/>
          <w:sz w:val="24"/>
          <w:szCs w:val="24"/>
        </w:rPr>
        <w:t xml:space="preserve"> </w:t>
      </w:r>
      <w:r w:rsidR="002126BE" w:rsidRPr="00022CA4">
        <w:rPr>
          <w:rFonts w:ascii="Times New Roman" w:hAnsi="Times New Roman" w:cs="Times New Roman"/>
          <w:sz w:val="24"/>
          <w:szCs w:val="24"/>
        </w:rPr>
        <w:t>100</w:t>
      </w:r>
      <w:proofErr w:type="gramStart"/>
      <w:r w:rsidR="003B5866" w:rsidRPr="00022CA4">
        <w:rPr>
          <w:rFonts w:ascii="Times New Roman" w:hAnsi="Times New Roman" w:cs="Times New Roman"/>
          <w:sz w:val="24"/>
          <w:szCs w:val="24"/>
        </w:rPr>
        <w:t>%, ………………………………………………………….…………………</w:t>
      </w:r>
      <w:r w:rsidR="000623CD" w:rsidRPr="00022CA4">
        <w:rPr>
          <w:rFonts w:ascii="Times New Roman" w:hAnsi="Times New Roman" w:cs="Times New Roman"/>
          <w:sz w:val="24"/>
          <w:szCs w:val="24"/>
        </w:rPr>
        <w:t>….</w:t>
      </w:r>
      <w:r w:rsidR="003B5866" w:rsidRPr="00022CA4">
        <w:rPr>
          <w:rFonts w:ascii="Times New Roman" w:hAnsi="Times New Roman" w:cs="Times New Roman"/>
          <w:sz w:val="24"/>
          <w:szCs w:val="24"/>
        </w:rPr>
        <w:t>………...</w:t>
      </w:r>
      <w:proofErr w:type="gramEnd"/>
      <w:r w:rsidR="003B5866" w:rsidRPr="00022CA4">
        <w:rPr>
          <w:rFonts w:ascii="Times New Roman" w:hAnsi="Times New Roman" w:cs="Times New Roman"/>
          <w:sz w:val="24"/>
          <w:szCs w:val="24"/>
        </w:rPr>
        <w:t xml:space="preserve"> (3)</w:t>
      </w:r>
    </w:p>
    <w:p w14:paraId="0D485B5B" w14:textId="4B79C985" w:rsidR="00E21BBC" w:rsidRDefault="00E21BBC" w:rsidP="00EE4D7D">
      <w:pPr>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Where SD is </w:t>
      </w:r>
      <w:r w:rsidR="000C2B0E" w:rsidRPr="00022CA4">
        <w:rPr>
          <w:rFonts w:ascii="Times New Roman" w:hAnsi="Times New Roman" w:cs="Times New Roman"/>
          <w:sz w:val="24"/>
          <w:szCs w:val="24"/>
        </w:rPr>
        <w:t>a</w:t>
      </w:r>
      <w:r w:rsidRPr="00022CA4">
        <w:rPr>
          <w:rFonts w:ascii="Times New Roman" w:hAnsi="Times New Roman" w:cs="Times New Roman"/>
          <w:sz w:val="24"/>
          <w:szCs w:val="24"/>
        </w:rPr>
        <w:t xml:space="preserve"> standard deviation and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r>
          <m:rPr>
            <m:sty m:val="p"/>
          </m:rPr>
          <w:rPr>
            <w:rFonts w:ascii="Cambria Math" w:hAnsi="Cambria Math" w:cs="Times New Roman"/>
            <w:sz w:val="24"/>
            <w:szCs w:val="24"/>
          </w:rPr>
          <m:t xml:space="preserve">is a </m:t>
        </m:r>
      </m:oMath>
      <w:r w:rsidRPr="00022CA4">
        <w:rPr>
          <w:rFonts w:ascii="Times New Roman" w:hAnsi="Times New Roman" w:cs="Times New Roman"/>
          <w:sz w:val="24"/>
          <w:szCs w:val="24"/>
        </w:rPr>
        <w:t>mean</w:t>
      </w:r>
      <w:r w:rsidR="000C2B0E" w:rsidRPr="00022CA4">
        <w:rPr>
          <w:rFonts w:ascii="Times New Roman" w:hAnsi="Times New Roman" w:cs="Times New Roman"/>
          <w:sz w:val="24"/>
          <w:szCs w:val="24"/>
        </w:rPr>
        <w:t xml:space="preserve"> value</w:t>
      </w:r>
      <w:r w:rsidRPr="00022CA4">
        <w:rPr>
          <w:rFonts w:ascii="Times New Roman" w:hAnsi="Times New Roman" w:cs="Times New Roman"/>
          <w:sz w:val="24"/>
          <w:szCs w:val="24"/>
        </w:rPr>
        <w:t xml:space="preserve">. </w:t>
      </w:r>
    </w:p>
    <w:p w14:paraId="175E7545" w14:textId="6A62ED96" w:rsidR="008815BC" w:rsidRPr="00FF39C1" w:rsidRDefault="008815BC" w:rsidP="00EE4D7D">
      <w:pPr>
        <w:spacing w:after="240" w:line="360" w:lineRule="auto"/>
        <w:jc w:val="both"/>
        <w:rPr>
          <w:rFonts w:ascii="Times New Roman" w:hAnsi="Times New Roman" w:cs="Times New Roman"/>
          <w:sz w:val="24"/>
          <w:szCs w:val="24"/>
        </w:rPr>
      </w:pPr>
      <w:r w:rsidRPr="00FF39C1">
        <w:rPr>
          <w:rFonts w:ascii="Times New Roman" w:hAnsi="Times New Roman" w:cs="Times New Roman"/>
          <w:sz w:val="24"/>
          <w:szCs w:val="24"/>
        </w:rPr>
        <w:t xml:space="preserve">Regarding </w:t>
      </w:r>
      <w:r w:rsidR="00FF39C1">
        <w:rPr>
          <w:rFonts w:ascii="Times New Roman" w:hAnsi="Times New Roman" w:cs="Times New Roman"/>
          <w:sz w:val="24"/>
          <w:szCs w:val="24"/>
        </w:rPr>
        <w:t>CWB (Climate</w:t>
      </w:r>
      <w:r w:rsidRPr="00FF39C1">
        <w:rPr>
          <w:rFonts w:ascii="Times New Roman" w:hAnsi="Times New Roman" w:cs="Times New Roman"/>
          <w:sz w:val="24"/>
          <w:szCs w:val="24"/>
        </w:rPr>
        <w:t xml:space="preserve"> Water Balance), if the methodology is</w:t>
      </w:r>
      <w:r w:rsidR="00FF39C1">
        <w:rPr>
          <w:rFonts w:ascii="Times New Roman" w:hAnsi="Times New Roman" w:cs="Times New Roman"/>
          <w:sz w:val="24"/>
          <w:szCs w:val="24"/>
        </w:rPr>
        <w:t xml:space="preserve"> no</w:t>
      </w:r>
      <w:r w:rsidRPr="00FF39C1">
        <w:rPr>
          <w:rFonts w:ascii="Times New Roman" w:hAnsi="Times New Roman" w:cs="Times New Roman"/>
          <w:sz w:val="24"/>
          <w:szCs w:val="24"/>
        </w:rPr>
        <w:t>t explained i</w:t>
      </w:r>
      <w:r w:rsidR="00FF39C1">
        <w:rPr>
          <w:rFonts w:ascii="Times New Roman" w:hAnsi="Times New Roman" w:cs="Times New Roman"/>
          <w:sz w:val="24"/>
          <w:szCs w:val="24"/>
        </w:rPr>
        <w:t>n the section you mentioned, it i</w:t>
      </w:r>
      <w:r w:rsidRPr="00FF39C1">
        <w:rPr>
          <w:rFonts w:ascii="Times New Roman" w:hAnsi="Times New Roman" w:cs="Times New Roman"/>
          <w:sz w:val="24"/>
          <w:szCs w:val="24"/>
        </w:rPr>
        <w:t>s usually calculated as:</w:t>
      </w:r>
    </w:p>
    <w:p w14:paraId="785BF6F4" w14:textId="5A7E582D" w:rsidR="00FF39C1" w:rsidRPr="00022CA4" w:rsidRDefault="00FF39C1" w:rsidP="00FF39C1">
      <w:pPr>
        <w:pStyle w:val="NormalWeb"/>
      </w:pPr>
      <w:r w:rsidRPr="00FF39C1">
        <w:rPr>
          <w:rFonts w:eastAsia="Tinos"/>
        </w:rPr>
        <w:t>CWB</w:t>
      </w:r>
      <w:r>
        <w:t xml:space="preserve"> </w:t>
      </w:r>
      <w:r w:rsidRPr="00FF39C1">
        <w:t>=</w:t>
      </w:r>
      <w:r>
        <w:t xml:space="preserve"> </w:t>
      </w:r>
      <w:r w:rsidRPr="00FF39C1">
        <w:rPr>
          <w:rFonts w:eastAsia="Tinos"/>
        </w:rPr>
        <w:t>P−ET</w:t>
      </w:r>
      <w:r>
        <w:t xml:space="preserve">, </w:t>
      </w:r>
      <w:r w:rsidRPr="00FF39C1">
        <w:t>Where:</w:t>
      </w:r>
      <w:r>
        <w:t xml:space="preserve"> </w:t>
      </w:r>
      <w:r w:rsidRPr="00FF39C1">
        <w:t>P = Precipitation (or rainfall, depending on the dataset)</w:t>
      </w:r>
      <w:r>
        <w:t xml:space="preserve">, </w:t>
      </w:r>
      <w:proofErr w:type="spellStart"/>
      <w:proofErr w:type="gramStart"/>
      <w:r w:rsidRPr="00FF39C1">
        <w:t>ET</w:t>
      </w:r>
      <w:r w:rsidRPr="00FF39C1">
        <w:rPr>
          <w:vertAlign w:val="subscript"/>
        </w:rPr>
        <w:t>o</w:t>
      </w:r>
      <w:proofErr w:type="spellEnd"/>
      <w:proofErr w:type="gramEnd"/>
      <w:r w:rsidRPr="00FF39C1">
        <w:t xml:space="preserve"> = Evapotranspiration</w:t>
      </w:r>
    </w:p>
    <w:p w14:paraId="191C4673" w14:textId="50307288" w:rsidR="006423FF" w:rsidRPr="00022CA4" w:rsidRDefault="006423FF" w:rsidP="00D5200B">
      <w:pPr>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Standardized </w:t>
      </w:r>
      <w:r w:rsidR="001C4477">
        <w:rPr>
          <w:rFonts w:ascii="Times New Roman" w:hAnsi="Times New Roman" w:cs="Times New Roman"/>
          <w:sz w:val="24"/>
          <w:szCs w:val="24"/>
        </w:rPr>
        <w:t>rainfall</w:t>
      </w:r>
      <w:r w:rsidRPr="00022CA4">
        <w:rPr>
          <w:rFonts w:ascii="Times New Roman" w:hAnsi="Times New Roman" w:cs="Times New Roman"/>
          <w:sz w:val="24"/>
          <w:szCs w:val="24"/>
        </w:rPr>
        <w:t xml:space="preserve"> or rainfall anomaly (SRA) measures rainfall deviations from the long-term average, helping to identify drought conditions (negative anomalies indicate below-normal </w:t>
      </w:r>
      <w:r w:rsidR="001C4477">
        <w:rPr>
          <w:rFonts w:ascii="Times New Roman" w:hAnsi="Times New Roman" w:cs="Times New Roman"/>
          <w:sz w:val="24"/>
          <w:szCs w:val="24"/>
        </w:rPr>
        <w:t>rainfall</w:t>
      </w:r>
      <w:r w:rsidRPr="00022CA4">
        <w:rPr>
          <w:rFonts w:ascii="Times New Roman" w:hAnsi="Times New Roman" w:cs="Times New Roman"/>
          <w:sz w:val="24"/>
          <w:szCs w:val="24"/>
        </w:rPr>
        <w:t xml:space="preserve">), flood potential (positive anomalies indicate excessive </w:t>
      </w:r>
      <w:r w:rsidR="001C4477">
        <w:rPr>
          <w:rFonts w:ascii="Times New Roman" w:hAnsi="Times New Roman" w:cs="Times New Roman"/>
          <w:sz w:val="24"/>
          <w:szCs w:val="24"/>
        </w:rPr>
        <w:t>rainfall</w:t>
      </w:r>
      <w:r w:rsidRPr="00022CA4">
        <w:rPr>
          <w:rFonts w:ascii="Times New Roman" w:hAnsi="Times New Roman" w:cs="Times New Roman"/>
          <w:sz w:val="24"/>
          <w:szCs w:val="24"/>
        </w:rPr>
        <w:t xml:space="preserve">), and rainfall extreme events (both dry and wet extremes) as shown in </w:t>
      </w:r>
      <w:r w:rsidR="00F531D3" w:rsidRPr="00022CA4">
        <w:rPr>
          <w:rFonts w:ascii="Times New Roman" w:hAnsi="Times New Roman" w:cs="Times New Roman"/>
          <w:sz w:val="24"/>
          <w:szCs w:val="24"/>
        </w:rPr>
        <w:t>Table 1</w:t>
      </w:r>
      <w:r w:rsidRPr="00022CA4">
        <w:rPr>
          <w:rFonts w:ascii="Times New Roman" w:hAnsi="Times New Roman" w:cs="Times New Roman"/>
          <w:sz w:val="24"/>
          <w:szCs w:val="24"/>
        </w:rPr>
        <w:t xml:space="preserve">. In hydrology, climate studies, and disaster management, SRA is used to assess </w:t>
      </w:r>
      <w:r w:rsidR="001C4477">
        <w:rPr>
          <w:rFonts w:ascii="Times New Roman" w:hAnsi="Times New Roman" w:cs="Times New Roman"/>
          <w:sz w:val="24"/>
          <w:szCs w:val="24"/>
        </w:rPr>
        <w:t>rainfall</w:t>
      </w:r>
      <w:r w:rsidRPr="00022CA4">
        <w:rPr>
          <w:rFonts w:ascii="Times New Roman" w:hAnsi="Times New Roman" w:cs="Times New Roman"/>
          <w:sz w:val="24"/>
          <w:szCs w:val="24"/>
        </w:rPr>
        <w:t xml:space="preserve"> variability and climate </w:t>
      </w:r>
      <w:proofErr w:type="spellStart"/>
      <w:r w:rsidRPr="00022CA4">
        <w:rPr>
          <w:rFonts w:ascii="Times New Roman" w:hAnsi="Times New Roman" w:cs="Times New Roman"/>
          <w:sz w:val="24"/>
          <w:szCs w:val="24"/>
        </w:rPr>
        <w:t>trends.SRA</w:t>
      </w:r>
      <w:proofErr w:type="spellEnd"/>
      <w:r w:rsidRPr="00022CA4">
        <w:rPr>
          <w:rFonts w:ascii="Times New Roman" w:hAnsi="Times New Roman" w:cs="Times New Roman"/>
          <w:sz w:val="24"/>
          <w:szCs w:val="24"/>
        </w:rPr>
        <w:t xml:space="preserve"> is the standard anomaly equation used to compare the relative inter- (between years) and intra- (within a year) annual</w:t>
      </w:r>
      <w:r w:rsidRPr="00022CA4">
        <w:rPr>
          <w:rFonts w:ascii="Times New Roman" w:hAnsi="Times New Roman" w:cs="Times New Roman"/>
          <w:color w:val="FF0000"/>
          <w:sz w:val="24"/>
          <w:szCs w:val="24"/>
        </w:rPr>
        <w:t xml:space="preserve"> </w:t>
      </w:r>
      <w:r w:rsidRPr="00022CA4">
        <w:rPr>
          <w:rFonts w:ascii="Times New Roman" w:hAnsi="Times New Roman" w:cs="Times New Roman"/>
          <w:sz w:val="24"/>
          <w:szCs w:val="24"/>
        </w:rPr>
        <w:t xml:space="preserve">rainfall variability over a study area; it is also used to estimate z-score in statistics </w:t>
      </w:r>
      <w:r w:rsidRPr="00022CA4">
        <w:rPr>
          <w:rFonts w:ascii="Times New Roman" w:hAnsi="Times New Roman" w:cs="Times New Roman"/>
          <w:sz w:val="24"/>
          <w:szCs w:val="24"/>
        </w:rPr>
        <w:fldChar w:fldCharType="begin" w:fldLock="1"/>
      </w:r>
      <w:r w:rsidRPr="00022CA4">
        <w:rPr>
          <w:rFonts w:ascii="Times New Roman" w:hAnsi="Times New Roman" w:cs="Times New Roman"/>
          <w:sz w:val="24"/>
          <w:szCs w:val="24"/>
        </w:rPr>
        <w:instrText>ADDIN CSL_CITATION {"citationItems":[{"id":"ITEM-1","itemData":{"DOI":"10.3390/rs13214474","ISSN":"20724292","abstract":"Understanding the spatio-temporal pattern of natural vegetation helps decoding the responses to climate change and interpretation on forest resilience. Satellite remote sensing based data products, by virtue of their synoptic and repetitive coverage, offer to study the correlation and lag effects of rainfall on forest growth in a relatively longer time scale. We selected central India as the study site. It accommodates tropical natural vegetation of varied forest types such as moist and dry deciduous and evergreen and semi-evergreen forests that largely depend on the southwest monsoon. We used the MODIS derived NDVI and CHIRPS based rainfall datasets from 2001 to 2018 in order to analyze NDVI and rainfall trend by using Sen’s slope and standard anomalies. The study observed a decreasing rainfall trend over 41% of the forests, while the rest of the forest area (59%) demonstrated an increase in rainfall. Furthermore, the study estimated drought conditions during 2002, 2004, 2009, 2014 and 2015 for 98.2%, 92.8%, 89.6%, 90.1% and 95.8% of the forest area, respectively; and surplus rainfall during 2003, 2005, 2007, 2011, 2013 and 2016 for 69.5%, 63.9%, 71.97%, 70.35%, 94.79% and 69.86% of the forest area, respectively. Hence, in the extreme dry year (2002), 93% of the forest area showed a negative anomaly, while in the extreme wet year (2013), 89% of forest cover demonstrated a positive anomaly in central India. The long-term vegetation trend analysis revealed that most of the forested area (&gt;80%) has a greening trend in central India. When we considered annual mean NDVI, the greening and browning trends were observed over at 88.65% and 11.35% of the forested area at 250 m resolution and over 93.01% and 6.99% of the area at 5 km resolution. When we considered the peak-growth period mean NDVI, the greening and browning trends were as follows: 81.97% and 18.03% at 250 m and 88.90% and 11.10% at 5 km, respectively. The relative variability in rainfall and vegetation growth at five yearly epochs revealed that the first epoch (2001–2005) was the driest, while the third epoch (2011–2015) was the wettest, corresponding to the lowest vegetation vigour in the first epoch and the highest in the third epoch during the past two decades. The study reaffirms that rainfall is the key climate variable in the tropics regulating the growth of natural vegetation, and the central Indian forests are dominantly resilient to rainfall variation.","author":[{"dropping-particle":"","family":"Singh","given":"Beependra","non-dropping-particle":"","parse-names":false,"suffix":""},{"dropping-particle":"","family":"Jeganathan","given":"Chockalingam","non-dropping-particle":"","parse-names":false,"suffix":""},{"dropping-particle":"","family":"Rathore","given":"Virendra Singh","non-dropping-particle":"","parse-names":false,"suffix":""},{"dropping-particle":"","family":"Behera","given":"Mukunda Dev","non-dropping-particle":"","parse-names":false,"suffix":""},{"dropping-particle":"","family":"Singh","given":"Chandra Prakash","non-dropping-particle":"","parse-names":false,"suffix":""},{"dropping-particle":"","family":"Roy","given":"Parth Sarathi","non-dropping-particle":"","parse-names":false,"suffix":""},{"dropping-particle":"","family":"Atkinson","given":"Peter M.","non-dropping-particle":"","parse-names":false,"suffix":""}],"container-title":"Remote Sensing","id":"ITEM-1","issue":"21","issued":{"date-parts":[["2021"]]},"title":"Resilience of the central indian forest ecosystem to rainfall variability in the context of a changing climate","type":"article-journal","volume":"13"},"uris":["http://www.mendeley.com/documents/?uuid=6805e2f8-b6ab-4161-aeb3-55d15b2f4aa8"]}],"mendeley":{"formattedCitation":"(Singh et al., 2021)","plainTextFormattedCitation":"(Singh et al., 2021)","previouslyFormattedCitation":"(Singh et al., 2021)"},"properties":{"noteIndex":0},"schema":"https://github.com/citation-style-language/schema/raw/master/csl-citation.json"}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(Singh et al., 2021)</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SRA is calculated as given in the equation below.</w:t>
      </w:r>
    </w:p>
    <w:p w14:paraId="6CC75B01" w14:textId="1EA67F8E" w:rsidR="006423FF" w:rsidRPr="00022CA4" w:rsidRDefault="006423FF" w:rsidP="00D5200B">
      <w:pPr>
        <w:spacing w:after="240" w:line="360" w:lineRule="auto"/>
        <w:rPr>
          <w:rFonts w:ascii="Times New Roman" w:hAnsi="Times New Roman" w:cs="Times New Roman"/>
          <w:sz w:val="24"/>
          <w:szCs w:val="24"/>
        </w:rPr>
      </w:pPr>
      <w:proofErr w:type="gramStart"/>
      <w:r w:rsidRPr="00022CA4">
        <w:rPr>
          <w:rFonts w:ascii="Times New Roman" w:hAnsi="Times New Roman" w:cs="Times New Roman"/>
          <w:sz w:val="24"/>
          <w:szCs w:val="24"/>
        </w:rPr>
        <w:t>SRA(</w:t>
      </w:r>
      <w:proofErr w:type="spellStart"/>
      <w:proofErr w:type="gramEnd"/>
      <w:r w:rsidRPr="00022CA4">
        <w:rPr>
          <w:rFonts w:ascii="Times New Roman" w:hAnsi="Times New Roman" w:cs="Times New Roman"/>
          <w:sz w:val="24"/>
          <w:szCs w:val="24"/>
        </w:rPr>
        <w:t>i,x,y</w:t>
      </w:r>
      <w:proofErr w:type="spellEnd"/>
      <w:r w:rsidRPr="00022CA4">
        <w:rPr>
          <w:rFonts w:ascii="Times New Roman" w:hAnsi="Times New Roman" w:cs="Times New Roman"/>
          <w:sz w:val="24"/>
          <w:szCs w:val="24"/>
        </w:rPr>
        <w:t xml:space="preserve">) =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i,x,y</m:t>
                    </m:r>
                  </m:e>
                </m:d>
                <m:r>
                  <m:rPr>
                    <m:sty m:val="p"/>
                  </m:rPr>
                  <w:rPr>
                    <w:rFonts w:ascii="Cambria Math" w:hAnsi="Cambria Math" w:cs="Times New Roman"/>
                    <w:sz w:val="24"/>
                    <w:szCs w:val="24"/>
                  </w:rPr>
                  <m:t>- Mean[P</m:t>
                </m:r>
              </m:e>
              <m:sub>
                <m:r>
                  <m:rPr>
                    <m:sty m:val="p"/>
                  </m:rPr>
                  <w:rPr>
                    <w:rFonts w:ascii="Cambria Math" w:hAnsi="Cambria Math" w:cs="Times New Roman"/>
                    <w:sz w:val="24"/>
                    <w:szCs w:val="24"/>
                  </w:rPr>
                  <m:t>1981-2020</m:t>
                </m:r>
              </m:sub>
            </m:sSub>
            <m:d>
              <m:dPr>
                <m:ctrlPr>
                  <w:rPr>
                    <w:rFonts w:ascii="Cambria Math" w:hAnsi="Cambria Math" w:cs="Times New Roman"/>
                    <w:sz w:val="24"/>
                    <w:szCs w:val="24"/>
                  </w:rPr>
                </m:ctrlPr>
              </m:dPr>
              <m:e>
                <m:r>
                  <m:rPr>
                    <m:sty m:val="p"/>
                  </m:rPr>
                  <w:rPr>
                    <w:rFonts w:ascii="Cambria Math" w:hAnsi="Cambria Math" w:cs="Times New Roman"/>
                    <w:sz w:val="24"/>
                    <w:szCs w:val="24"/>
                  </w:rPr>
                  <m:t>i,x,y</m:t>
                </m:r>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STD[P</m:t>
                </m:r>
              </m:e>
              <m:sub>
                <m:r>
                  <m:rPr>
                    <m:sty m:val="p"/>
                  </m:rPr>
                  <w:rPr>
                    <w:rFonts w:ascii="Cambria Math" w:hAnsi="Cambria Math" w:cs="Times New Roman"/>
                    <w:sz w:val="24"/>
                    <w:szCs w:val="24"/>
                  </w:rPr>
                  <m:t>1981-2020</m:t>
                </m:r>
              </m:sub>
            </m:sSub>
            <m:d>
              <m:dPr>
                <m:ctrlPr>
                  <w:rPr>
                    <w:rFonts w:ascii="Cambria Math" w:hAnsi="Cambria Math" w:cs="Times New Roman"/>
                    <w:sz w:val="24"/>
                    <w:szCs w:val="24"/>
                  </w:rPr>
                </m:ctrlPr>
              </m:dPr>
              <m:e>
                <m:r>
                  <m:rPr>
                    <m:sty m:val="p"/>
                  </m:rPr>
                  <w:rPr>
                    <w:rFonts w:ascii="Cambria Math" w:hAnsi="Cambria Math" w:cs="Times New Roman"/>
                    <w:sz w:val="24"/>
                    <w:szCs w:val="24"/>
                  </w:rPr>
                  <m:t>i,x,y</m:t>
                </m:r>
              </m:e>
            </m:d>
            <m:r>
              <m:rPr>
                <m:sty m:val="p"/>
              </m:rPr>
              <w:rPr>
                <w:rFonts w:ascii="Cambria Math" w:hAnsi="Cambria Math" w:cs="Times New Roman"/>
                <w:sz w:val="24"/>
                <w:szCs w:val="24"/>
              </w:rPr>
              <m:t>]</m:t>
            </m:r>
          </m:den>
        </m:f>
      </m:oMath>
      <w:r w:rsidRPr="00022CA4">
        <w:rPr>
          <w:rFonts w:ascii="Times New Roman" w:eastAsiaTheme="minorEastAsia" w:hAnsi="Times New Roman" w:cs="Times New Roman"/>
          <w:sz w:val="24"/>
          <w:szCs w:val="24"/>
        </w:rPr>
        <w:t>, …………….………..…………………..……</w:t>
      </w:r>
      <w:r w:rsidR="00D5200B" w:rsidRPr="00022CA4">
        <w:rPr>
          <w:rFonts w:ascii="Times New Roman" w:eastAsiaTheme="minorEastAsia" w:hAnsi="Times New Roman" w:cs="Times New Roman"/>
          <w:sz w:val="24"/>
          <w:szCs w:val="24"/>
        </w:rPr>
        <w:t>………….</w:t>
      </w:r>
      <w:r w:rsidRPr="00022CA4">
        <w:rPr>
          <w:rFonts w:ascii="Times New Roman" w:eastAsiaTheme="minorEastAsia" w:hAnsi="Times New Roman" w:cs="Times New Roman"/>
          <w:sz w:val="24"/>
          <w:szCs w:val="24"/>
        </w:rPr>
        <w:t>…</w:t>
      </w:r>
      <w:r w:rsidR="000623CD" w:rsidRPr="00022CA4">
        <w:rPr>
          <w:rFonts w:ascii="Times New Roman" w:eastAsiaTheme="minorEastAsia" w:hAnsi="Times New Roman" w:cs="Times New Roman"/>
          <w:sz w:val="24"/>
          <w:szCs w:val="24"/>
        </w:rPr>
        <w:t>…..</w:t>
      </w:r>
      <w:r w:rsidRPr="00022CA4">
        <w:rPr>
          <w:rFonts w:ascii="Times New Roman" w:eastAsiaTheme="minorEastAsia" w:hAnsi="Times New Roman" w:cs="Times New Roman"/>
          <w:sz w:val="24"/>
          <w:szCs w:val="24"/>
        </w:rPr>
        <w:t>…... (4)</w:t>
      </w:r>
    </w:p>
    <w:p w14:paraId="36FB1C2A" w14:textId="30BEC0CA" w:rsidR="006423FF" w:rsidRPr="00022CA4" w:rsidRDefault="006423FF" w:rsidP="006423FF">
      <w:pPr>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where SRA(</w:t>
      </w:r>
      <w:proofErr w:type="spellStart"/>
      <w:r w:rsidRPr="00022CA4">
        <w:rPr>
          <w:rFonts w:ascii="Times New Roman" w:hAnsi="Times New Roman" w:cs="Times New Roman"/>
          <w:sz w:val="24"/>
          <w:szCs w:val="24"/>
        </w:rPr>
        <w:t>i,x,y</w:t>
      </w:r>
      <w:proofErr w:type="spellEnd"/>
      <w:r w:rsidRPr="00022CA4">
        <w:rPr>
          <w:rFonts w:ascii="Times New Roman" w:hAnsi="Times New Roman" w:cs="Times New Roman"/>
          <w:sz w:val="24"/>
          <w:szCs w:val="24"/>
        </w:rPr>
        <w:t xml:space="preserve">) represents the annual or seasonal standardized </w:t>
      </w:r>
      <w:r w:rsidR="001C4477">
        <w:rPr>
          <w:rFonts w:ascii="Times New Roman" w:hAnsi="Times New Roman" w:cs="Times New Roman"/>
          <w:sz w:val="24"/>
          <w:szCs w:val="24"/>
        </w:rPr>
        <w:t>rainfall</w:t>
      </w:r>
      <w:r w:rsidRPr="00022CA4">
        <w:rPr>
          <w:rFonts w:ascii="Times New Roman" w:hAnsi="Times New Roman" w:cs="Times New Roman"/>
          <w:sz w:val="24"/>
          <w:szCs w:val="24"/>
        </w:rPr>
        <w:t xml:space="preserve"> or rainfall anomaly (SRA) in the </w:t>
      </w:r>
      <w:proofErr w:type="spellStart"/>
      <w:r w:rsidRPr="00022CA4">
        <w:rPr>
          <w:rFonts w:ascii="Times New Roman" w:hAnsi="Times New Roman" w:cs="Times New Roman"/>
          <w:sz w:val="24"/>
          <w:szCs w:val="24"/>
        </w:rPr>
        <w:t>i</w:t>
      </w:r>
      <w:r w:rsidRPr="00022CA4">
        <w:rPr>
          <w:rFonts w:ascii="Times New Roman" w:hAnsi="Times New Roman" w:cs="Times New Roman"/>
          <w:sz w:val="24"/>
          <w:szCs w:val="24"/>
          <w:vertAlign w:val="superscript"/>
        </w:rPr>
        <w:t>th</w:t>
      </w:r>
      <w:proofErr w:type="spellEnd"/>
      <w:r w:rsidRPr="00022CA4">
        <w:rPr>
          <w:rFonts w:ascii="Times New Roman" w:hAnsi="Times New Roman" w:cs="Times New Roman"/>
          <w:sz w:val="24"/>
          <w:szCs w:val="24"/>
        </w:rPr>
        <w:t xml:space="preserve"> year at the grid/ pixel location (</w:t>
      </w:r>
      <w:proofErr w:type="spellStart"/>
      <w:r w:rsidRPr="00022CA4">
        <w:rPr>
          <w:rFonts w:ascii="Times New Roman" w:hAnsi="Times New Roman" w:cs="Times New Roman"/>
          <w:sz w:val="24"/>
          <w:szCs w:val="24"/>
        </w:rPr>
        <w:t>x,y</w:t>
      </w:r>
      <w:proofErr w:type="spellEnd"/>
      <w:r w:rsidRPr="00022CA4">
        <w:rPr>
          <w:rFonts w:ascii="Times New Roman" w:hAnsi="Times New Roman" w:cs="Times New Roman"/>
          <w:sz w:val="24"/>
          <w:szCs w:val="24"/>
        </w:rPr>
        <w:t xml:space="preserve">) and </w:t>
      </w:r>
      <w:r w:rsidR="00D5200B" w:rsidRPr="00022CA4">
        <w:rPr>
          <w:rFonts w:ascii="Times New Roman" w:hAnsi="Times New Roman" w:cs="Times New Roman"/>
          <w:sz w:val="24"/>
          <w:szCs w:val="24"/>
        </w:rPr>
        <w:t>P</w:t>
      </w:r>
      <w:r w:rsidRPr="00022CA4">
        <w:rPr>
          <w:rFonts w:ascii="Times New Roman" w:hAnsi="Times New Roman" w:cs="Times New Roman"/>
          <w:sz w:val="24"/>
          <w:szCs w:val="24"/>
        </w:rPr>
        <w:t>(</w:t>
      </w:r>
      <w:proofErr w:type="spellStart"/>
      <w:r w:rsidRPr="00022CA4">
        <w:rPr>
          <w:rFonts w:ascii="Times New Roman" w:hAnsi="Times New Roman" w:cs="Times New Roman"/>
          <w:sz w:val="24"/>
          <w:szCs w:val="24"/>
        </w:rPr>
        <w:t>i,x,y</w:t>
      </w:r>
      <w:proofErr w:type="spellEnd"/>
      <w:r w:rsidRPr="00022CA4">
        <w:rPr>
          <w:rFonts w:ascii="Times New Roman" w:hAnsi="Times New Roman" w:cs="Times New Roman"/>
          <w:sz w:val="24"/>
          <w:szCs w:val="24"/>
        </w:rPr>
        <w:t xml:space="preserve">) represents the annual or seasonal rainfall of </w:t>
      </w:r>
      <w:proofErr w:type="spellStart"/>
      <w:r w:rsidRPr="00022CA4">
        <w:rPr>
          <w:rFonts w:ascii="Times New Roman" w:hAnsi="Times New Roman" w:cs="Times New Roman"/>
          <w:sz w:val="24"/>
          <w:szCs w:val="24"/>
        </w:rPr>
        <w:t>i</w:t>
      </w:r>
      <w:r w:rsidRPr="00022CA4">
        <w:rPr>
          <w:rFonts w:ascii="Times New Roman" w:hAnsi="Times New Roman" w:cs="Times New Roman"/>
          <w:sz w:val="24"/>
          <w:szCs w:val="24"/>
          <w:vertAlign w:val="superscript"/>
        </w:rPr>
        <w:t>th</w:t>
      </w:r>
      <w:proofErr w:type="spellEnd"/>
      <w:r w:rsidRPr="00022CA4">
        <w:rPr>
          <w:rFonts w:ascii="Times New Roman" w:hAnsi="Times New Roman" w:cs="Times New Roman"/>
          <w:sz w:val="24"/>
          <w:szCs w:val="24"/>
        </w:rPr>
        <w:t xml:space="preserve"> yea</w:t>
      </w:r>
      <w:r w:rsidR="00D5200B" w:rsidRPr="00022CA4">
        <w:rPr>
          <w:rFonts w:ascii="Times New Roman" w:hAnsi="Times New Roman" w:cs="Times New Roman"/>
          <w:sz w:val="24"/>
          <w:szCs w:val="24"/>
        </w:rPr>
        <w:t xml:space="preserve">r being processed. </w:t>
      </w:r>
      <w:proofErr w:type="gramStart"/>
      <w:r w:rsidR="00D5200B" w:rsidRPr="00022CA4">
        <w:rPr>
          <w:rFonts w:ascii="Times New Roman" w:hAnsi="Times New Roman" w:cs="Times New Roman"/>
          <w:sz w:val="24"/>
          <w:szCs w:val="24"/>
        </w:rPr>
        <w:t>Mean[</w:t>
      </w:r>
      <w:proofErr w:type="gramEnd"/>
      <w:r w:rsidR="00D5200B" w:rsidRPr="00022CA4">
        <w:rPr>
          <w:rFonts w:ascii="Times New Roman" w:hAnsi="Times New Roman" w:cs="Times New Roman"/>
          <w:sz w:val="24"/>
          <w:szCs w:val="24"/>
        </w:rPr>
        <w:t>P</w:t>
      </w:r>
      <w:r w:rsidRPr="00022CA4">
        <w:rPr>
          <w:rFonts w:ascii="Times New Roman" w:hAnsi="Times New Roman" w:cs="Times New Roman"/>
          <w:sz w:val="24"/>
          <w:szCs w:val="24"/>
          <w:vertAlign w:val="subscript"/>
        </w:rPr>
        <w:t>1981-2020</w:t>
      </w:r>
      <w:r w:rsidRPr="00022CA4">
        <w:rPr>
          <w:rFonts w:ascii="Times New Roman" w:hAnsi="Times New Roman" w:cs="Times New Roman"/>
          <w:sz w:val="24"/>
          <w:szCs w:val="24"/>
        </w:rPr>
        <w:t>(</w:t>
      </w:r>
      <w:proofErr w:type="spellStart"/>
      <w:r w:rsidRPr="00022CA4">
        <w:rPr>
          <w:rFonts w:ascii="Times New Roman" w:hAnsi="Times New Roman" w:cs="Times New Roman"/>
          <w:sz w:val="24"/>
          <w:szCs w:val="24"/>
        </w:rPr>
        <w:t>i,x,y</w:t>
      </w:r>
      <w:proofErr w:type="spellEnd"/>
      <w:r w:rsidRPr="00022CA4">
        <w:rPr>
          <w:rFonts w:ascii="Times New Roman" w:hAnsi="Times New Roman" w:cs="Times New Roman"/>
          <w:sz w:val="24"/>
          <w:szCs w:val="24"/>
        </w:rPr>
        <w:t xml:space="preserve">) </w:t>
      </w:r>
      <w:r w:rsidR="00D5200B" w:rsidRPr="00022CA4">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STD[P</m:t>
            </m:r>
          </m:e>
          <m:sub>
            <m:r>
              <m:rPr>
                <m:sty m:val="p"/>
              </m:rPr>
              <w:rPr>
                <w:rFonts w:ascii="Cambria Math" w:hAnsi="Cambria Math" w:cs="Times New Roman"/>
                <w:sz w:val="24"/>
                <w:szCs w:val="24"/>
              </w:rPr>
              <m:t>1981-2020</m:t>
            </m:r>
          </m:sub>
        </m:sSub>
        <m:d>
          <m:dPr>
            <m:ctrlPr>
              <w:rPr>
                <w:rFonts w:ascii="Cambria Math" w:hAnsi="Cambria Math" w:cs="Times New Roman"/>
                <w:sz w:val="24"/>
                <w:szCs w:val="24"/>
              </w:rPr>
            </m:ctrlPr>
          </m:dPr>
          <m:e>
            <m:r>
              <m:rPr>
                <m:sty m:val="p"/>
              </m:rPr>
              <w:rPr>
                <w:rFonts w:ascii="Cambria Math" w:hAnsi="Cambria Math" w:cs="Times New Roman"/>
                <w:sz w:val="24"/>
                <w:szCs w:val="24"/>
              </w:rPr>
              <m:t>i,x,y</m:t>
            </m:r>
          </m:e>
        </m:d>
        <m:r>
          <m:rPr>
            <m:sty m:val="p"/>
          </m:rPr>
          <w:rPr>
            <w:rFonts w:ascii="Cambria Math" w:hAnsi="Cambria Math" w:cs="Times New Roman"/>
            <w:sz w:val="24"/>
            <w:szCs w:val="24"/>
          </w:rPr>
          <m:t xml:space="preserve">] </m:t>
        </m:r>
      </m:oMath>
      <w:r w:rsidR="00D5200B" w:rsidRPr="00022CA4">
        <w:rPr>
          <w:rFonts w:ascii="Times New Roman" w:hAnsi="Times New Roman" w:cs="Times New Roman"/>
          <w:sz w:val="24"/>
          <w:szCs w:val="24"/>
        </w:rPr>
        <w:t>represent</w:t>
      </w:r>
      <w:r w:rsidRPr="00022CA4">
        <w:rPr>
          <w:rFonts w:ascii="Times New Roman" w:hAnsi="Times New Roman" w:cs="Times New Roman"/>
          <w:sz w:val="24"/>
          <w:szCs w:val="24"/>
        </w:rPr>
        <w:t xml:space="preserve"> the long-term mean </w:t>
      </w:r>
      <w:r w:rsidR="00D5200B" w:rsidRPr="00022CA4">
        <w:rPr>
          <w:rFonts w:ascii="Times New Roman" w:hAnsi="Times New Roman" w:cs="Times New Roman"/>
          <w:sz w:val="24"/>
          <w:szCs w:val="24"/>
        </w:rPr>
        <w:t xml:space="preserve">and standardized </w:t>
      </w:r>
      <w:r w:rsidRPr="00022CA4">
        <w:rPr>
          <w:rFonts w:ascii="Times New Roman" w:hAnsi="Times New Roman" w:cs="Times New Roman"/>
          <w:sz w:val="24"/>
          <w:szCs w:val="24"/>
        </w:rPr>
        <w:t>annual</w:t>
      </w:r>
      <w:r w:rsidR="00D5200B" w:rsidRPr="00022CA4">
        <w:rPr>
          <w:rFonts w:ascii="Times New Roman" w:hAnsi="Times New Roman" w:cs="Times New Roman"/>
          <w:sz w:val="24"/>
          <w:szCs w:val="24"/>
        </w:rPr>
        <w:t xml:space="preserve"> (or seasonal or monthly)</w:t>
      </w:r>
      <w:r w:rsidRPr="00022CA4">
        <w:rPr>
          <w:rFonts w:ascii="Times New Roman" w:hAnsi="Times New Roman" w:cs="Times New Roman"/>
          <w:sz w:val="24"/>
          <w:szCs w:val="24"/>
        </w:rPr>
        <w:t xml:space="preserve"> rainfall over 40 years from 1981 to 2020</w:t>
      </w:r>
      <w:r w:rsidR="00D5200B" w:rsidRPr="00022CA4">
        <w:rPr>
          <w:rFonts w:ascii="Times New Roman" w:hAnsi="Times New Roman" w:cs="Times New Roman"/>
          <w:sz w:val="24"/>
          <w:szCs w:val="24"/>
        </w:rPr>
        <w:t>, respectively</w:t>
      </w:r>
      <w:r w:rsidRPr="00022CA4">
        <w:rPr>
          <w:rFonts w:ascii="Times New Roman" w:hAnsi="Times New Roman" w:cs="Times New Roman"/>
          <w:sz w:val="24"/>
          <w:szCs w:val="24"/>
        </w:rPr>
        <w:t xml:space="preserve">. </w:t>
      </w:r>
    </w:p>
    <w:p w14:paraId="5A745930" w14:textId="3C6DB8E8" w:rsidR="006423FF" w:rsidRPr="00022CA4" w:rsidRDefault="00224A4B" w:rsidP="006423FF">
      <w:pPr>
        <w:spacing w:line="360" w:lineRule="auto"/>
        <w:rPr>
          <w:rFonts w:ascii="Times New Roman" w:hAnsi="Times New Roman" w:cs="Times New Roman"/>
          <w:sz w:val="24"/>
          <w:szCs w:val="24"/>
        </w:rPr>
      </w:pPr>
      <w:r w:rsidRPr="00224A4B">
        <w:rPr>
          <w:rFonts w:ascii="Times New Roman" w:hAnsi="Times New Roman" w:cs="Times New Roman"/>
          <w:sz w:val="24"/>
          <w:szCs w:val="24"/>
        </w:rPr>
        <w:lastRenderedPageBreak/>
        <w:t xml:space="preserve">Table  </w:t>
      </w:r>
      <w:r>
        <w:rPr>
          <w:rFonts w:ascii="Times New Roman" w:hAnsi="Times New Roman" w:cs="Times New Roman"/>
          <w:b/>
          <w:sz w:val="24"/>
          <w:szCs w:val="24"/>
        </w:rPr>
        <w:t xml:space="preserve">1 </w:t>
      </w:r>
      <w:r w:rsidRPr="00224A4B">
        <w:rPr>
          <w:rFonts w:ascii="Times New Roman" w:hAnsi="Times New Roman" w:cs="Times New Roman"/>
          <w:sz w:val="24"/>
          <w:szCs w:val="24"/>
        </w:rPr>
        <w:t> |  </w:t>
      </w:r>
      <w:r w:rsidR="006423FF" w:rsidRPr="00022CA4">
        <w:rPr>
          <w:rFonts w:ascii="Times New Roman" w:hAnsi="Times New Roman" w:cs="Times New Roman"/>
          <w:sz w:val="24"/>
          <w:szCs w:val="24"/>
        </w:rPr>
        <w:t xml:space="preserve"> Standardized rainfall anomaly (SRA) classification; modified after </w:t>
      </w:r>
      <w:r w:rsidR="006423FF" w:rsidRPr="00022CA4">
        <w:rPr>
          <w:rFonts w:ascii="Times New Roman" w:hAnsi="Times New Roman" w:cs="Times New Roman"/>
          <w:sz w:val="24"/>
          <w:szCs w:val="24"/>
        </w:rPr>
        <w:fldChar w:fldCharType="begin" w:fldLock="1"/>
      </w:r>
      <w:r w:rsidR="006423FF" w:rsidRPr="00022CA4">
        <w:rPr>
          <w:rFonts w:ascii="Times New Roman" w:hAnsi="Times New Roman" w:cs="Times New Roman"/>
          <w:sz w:val="24"/>
          <w:szCs w:val="24"/>
        </w:rPr>
        <w:instrText>ADDIN CSL_CITATION {"citationItems":[{"id":"ITEM-1","itemData":{"DOI":"10.3390/rs13214474","ISSN":"20724292","abstract":"Understanding the spatio-temporal pattern of natural vegetation helps decoding the responses to climate change and interpretation on forest resilience. Satellite remote sensing based data products, by virtue of their synoptic and repetitive coverage, offer to study the correlation and lag effects of rainfall on forest growth in a relatively longer time scale. We selected central India as the study site. It accommodates tropical natural vegetation of varied forest types such as moist and dry deciduous and evergreen and semi-evergreen forests that largely depend on the southwest monsoon. We used the MODIS derived NDVI and CHIRPS based rainfall datasets from 2001 to 2018 in order to analyze NDVI and rainfall trend by using Sen’s slope and standard anomalies. The study observed a decreasing rainfall trend over 41% of the forests, while the rest of the forest area (59%) demonstrated an increase in rainfall. Furthermore, the study estimated drought conditions during 2002, 2004, 2009, 2014 and 2015 for 98.2%, 92.8%, 89.6%, 90.1% and 95.8% of the forest area, respectively; and surplus rainfall during 2003, 2005, 2007, 2011, 2013 and 2016 for 69.5%, 63.9%, 71.97%, 70.35%, 94.79% and 69.86% of the forest area, respectively. Hence, in the extreme dry year (2002), 93% of the forest area showed a negative anomaly, while in the extreme wet year (2013), 89% of forest cover demonstrated a positive anomaly in central India. The long-term vegetation trend analysis revealed that most of the forested area (&gt;80%) has a greening trend in central India. When we considered annual mean NDVI, the greening and browning trends were observed over at 88.65% and 11.35% of the forested area at 250 m resolution and over 93.01% and 6.99% of the area at 5 km resolution. When we considered the peak-growth period mean NDVI, the greening and browning trends were as follows: 81.97% and 18.03% at 250 m and 88.90% and 11.10% at 5 km, respectively. The relative variability in rainfall and vegetation growth at five yearly epochs revealed that the first epoch (2001–2005) was the driest, while the third epoch (2011–2015) was the wettest, corresponding to the lowest vegetation vigour in the first epoch and the highest in the third epoch during the past two decades. The study reaffirms that rainfall is the key climate variable in the tropics regulating the growth of natural vegetation, and the central Indian forests are dominantly resilient to rainfall variation.","author":[{"dropping-particle":"","family":"Singh","given":"Beependra","non-dropping-particle":"","parse-names":false,"suffix":""},{"dropping-particle":"","family":"Jeganathan","given":"Chockalingam","non-dropping-particle":"","parse-names":false,"suffix":""},{"dropping-particle":"","family":"Rathore","given":"Virendra Singh","non-dropping-particle":"","parse-names":false,"suffix":""},{"dropping-particle":"","family":"Behera","given":"Mukunda Dev","non-dropping-particle":"","parse-names":false,"suffix":""},{"dropping-particle":"","family":"Singh","given":"Chandra Prakash","non-dropping-particle":"","parse-names":false,"suffix":""},{"dropping-particle":"","family":"Roy","given":"Parth Sarathi","non-dropping-particle":"","parse-names":false,"suffix":""},{"dropping-particle":"","family":"Atkinson","given":"Peter M.","non-dropping-particle":"","parse-names":false,"suffix":""}],"container-title":"Remote Sensing","id":"ITEM-1","issue":"21","issued":{"date-parts":[["2021"]]},"title":"Resilience of the central indian forest ecosystem to rainfall variability in the context of a changing climate","type":"article-journal","volume":"13"},"uris":["http://www.mendeley.com/documents/?uuid=6805e2f8-b6ab-4161-aeb3-55d15b2f4aa8"]}],"mendeley":{"formattedCitation":"(Singh et al., 2021)","manualFormatting":"Singh et al. (2021)","plainTextFormattedCitation":"(Singh et al., 2021)","previouslyFormattedCitation":"(Singh et al., 2021)"},"properties":{"noteIndex":0},"schema":"https://github.com/citation-style-language/schema/raw/master/csl-citation.json"}</w:instrText>
      </w:r>
      <w:r w:rsidR="006423FF" w:rsidRPr="00022CA4">
        <w:rPr>
          <w:rFonts w:ascii="Times New Roman" w:hAnsi="Times New Roman" w:cs="Times New Roman"/>
          <w:sz w:val="24"/>
          <w:szCs w:val="24"/>
        </w:rPr>
        <w:fldChar w:fldCharType="separate"/>
      </w:r>
      <w:r w:rsidR="006423FF" w:rsidRPr="00022CA4">
        <w:rPr>
          <w:rFonts w:ascii="Times New Roman" w:hAnsi="Times New Roman" w:cs="Times New Roman"/>
          <w:noProof/>
          <w:sz w:val="24"/>
          <w:szCs w:val="24"/>
        </w:rPr>
        <w:t>Singh et al. (2021)</w:t>
      </w:r>
      <w:r w:rsidR="006423FF" w:rsidRPr="00022CA4">
        <w:rPr>
          <w:rFonts w:ascii="Times New Roman" w:hAnsi="Times New Roman" w:cs="Times New Roman"/>
          <w:sz w:val="24"/>
          <w:szCs w:val="24"/>
        </w:rPr>
        <w:fldChar w:fldCharType="end"/>
      </w:r>
    </w:p>
    <w:tbl>
      <w:tblPr>
        <w:tblW w:w="7266" w:type="dxa"/>
        <w:jc w:val="center"/>
        <w:tblInd w:w="-1620" w:type="dxa"/>
        <w:tblLook w:val="04A0" w:firstRow="1" w:lastRow="0" w:firstColumn="1" w:lastColumn="0" w:noHBand="0" w:noVBand="1"/>
      </w:tblPr>
      <w:tblGrid>
        <w:gridCol w:w="4566"/>
        <w:gridCol w:w="2700"/>
      </w:tblGrid>
      <w:tr w:rsidR="006423FF" w:rsidRPr="00022CA4" w14:paraId="619B2EFC" w14:textId="77777777" w:rsidTr="000623CD">
        <w:trPr>
          <w:trHeight w:val="330"/>
          <w:jc w:val="center"/>
        </w:trPr>
        <w:tc>
          <w:tcPr>
            <w:tcW w:w="4566" w:type="dxa"/>
            <w:tcBorders>
              <w:top w:val="single" w:sz="8" w:space="0" w:color="auto"/>
              <w:left w:val="nil"/>
              <w:bottom w:val="double" w:sz="6" w:space="0" w:color="auto"/>
              <w:right w:val="nil"/>
            </w:tcBorders>
            <w:shd w:val="clear" w:color="auto" w:fill="auto"/>
            <w:vAlign w:val="center"/>
            <w:hideMark/>
          </w:tcPr>
          <w:p w14:paraId="3C8E6FCA" w14:textId="0E1A4C94" w:rsidR="006423FF" w:rsidRPr="00022CA4" w:rsidRDefault="000623CD" w:rsidP="00F531D3">
            <w:pPr>
              <w:widowControl/>
              <w:autoSpaceDE/>
              <w:autoSpaceDN/>
              <w:spacing w:line="360" w:lineRule="auto"/>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val="en-GB" w:eastAsia="en-GB"/>
              </w:rPr>
              <w:t>Standardized rainfall anomaly (SRA)</w:t>
            </w:r>
          </w:p>
        </w:tc>
        <w:tc>
          <w:tcPr>
            <w:tcW w:w="2700" w:type="dxa"/>
            <w:tcBorders>
              <w:top w:val="single" w:sz="8" w:space="0" w:color="auto"/>
              <w:left w:val="nil"/>
              <w:bottom w:val="double" w:sz="6" w:space="0" w:color="auto"/>
              <w:right w:val="nil"/>
            </w:tcBorders>
            <w:shd w:val="clear" w:color="auto" w:fill="auto"/>
            <w:vAlign w:val="center"/>
            <w:hideMark/>
          </w:tcPr>
          <w:p w14:paraId="3F635AB2" w14:textId="77777777" w:rsidR="006423FF" w:rsidRPr="00022CA4" w:rsidRDefault="006423FF" w:rsidP="00F531D3">
            <w:pPr>
              <w:widowControl/>
              <w:autoSpaceDE/>
              <w:autoSpaceDN/>
              <w:spacing w:line="360" w:lineRule="auto"/>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val="en-GB" w:eastAsia="en-GB"/>
              </w:rPr>
              <w:t>Anomaly Classes</w:t>
            </w:r>
          </w:p>
        </w:tc>
      </w:tr>
      <w:tr w:rsidR="006423FF" w:rsidRPr="00022CA4" w14:paraId="7DD1545D" w14:textId="77777777" w:rsidTr="000623CD">
        <w:trPr>
          <w:trHeight w:val="330"/>
          <w:jc w:val="center"/>
        </w:trPr>
        <w:tc>
          <w:tcPr>
            <w:tcW w:w="4566" w:type="dxa"/>
            <w:tcBorders>
              <w:top w:val="nil"/>
              <w:left w:val="nil"/>
              <w:bottom w:val="nil"/>
              <w:right w:val="nil"/>
            </w:tcBorders>
            <w:shd w:val="clear" w:color="auto" w:fill="auto"/>
            <w:vAlign w:val="center"/>
            <w:hideMark/>
          </w:tcPr>
          <w:p w14:paraId="19666EF6"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themeColor="text1"/>
                <w:sz w:val="24"/>
                <w:szCs w:val="24"/>
                <w:lang w:val="en-GB" w:eastAsia="en-GB"/>
              </w:rPr>
            </w:pPr>
            <w:r w:rsidRPr="00022CA4">
              <w:rPr>
                <w:rFonts w:ascii="Times New Roman" w:eastAsia="Times New Roman" w:hAnsi="Times New Roman" w:cs="Times New Roman"/>
                <w:color w:val="000000" w:themeColor="text1"/>
                <w:sz w:val="24"/>
                <w:szCs w:val="24"/>
                <w:lang w:val="en-GB" w:eastAsia="en-GB"/>
              </w:rPr>
              <w:t>&lt;  -2</w:t>
            </w:r>
          </w:p>
        </w:tc>
        <w:tc>
          <w:tcPr>
            <w:tcW w:w="2700" w:type="dxa"/>
            <w:tcBorders>
              <w:top w:val="nil"/>
              <w:left w:val="nil"/>
              <w:bottom w:val="nil"/>
              <w:right w:val="nil"/>
            </w:tcBorders>
            <w:shd w:val="clear" w:color="auto" w:fill="auto"/>
            <w:vAlign w:val="center"/>
            <w:hideMark/>
          </w:tcPr>
          <w:p w14:paraId="09BB9F0C"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val="en-GB" w:eastAsia="en-GB"/>
              </w:rPr>
              <w:t>Extremely Dry</w:t>
            </w:r>
          </w:p>
        </w:tc>
      </w:tr>
      <w:tr w:rsidR="006423FF" w:rsidRPr="00022CA4" w14:paraId="699E093A" w14:textId="77777777" w:rsidTr="000623CD">
        <w:trPr>
          <w:trHeight w:val="315"/>
          <w:jc w:val="center"/>
        </w:trPr>
        <w:tc>
          <w:tcPr>
            <w:tcW w:w="4566" w:type="dxa"/>
            <w:tcBorders>
              <w:top w:val="nil"/>
              <w:left w:val="nil"/>
              <w:bottom w:val="nil"/>
              <w:right w:val="nil"/>
            </w:tcBorders>
            <w:shd w:val="clear" w:color="auto" w:fill="auto"/>
            <w:vAlign w:val="center"/>
            <w:hideMark/>
          </w:tcPr>
          <w:p w14:paraId="629E7F26"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themeColor="text1"/>
                <w:sz w:val="24"/>
                <w:szCs w:val="24"/>
                <w:lang w:val="en-GB" w:eastAsia="en-GB"/>
              </w:rPr>
            </w:pPr>
            <w:r w:rsidRPr="00022CA4">
              <w:rPr>
                <w:rFonts w:ascii="Times New Roman" w:eastAsia="Times New Roman" w:hAnsi="Times New Roman" w:cs="Times New Roman"/>
                <w:color w:val="000000" w:themeColor="text1"/>
                <w:sz w:val="24"/>
                <w:szCs w:val="24"/>
                <w:lang w:val="en-GB" w:eastAsia="en-GB"/>
              </w:rPr>
              <w:t>-2 to &gt; -1</w:t>
            </w:r>
          </w:p>
        </w:tc>
        <w:tc>
          <w:tcPr>
            <w:tcW w:w="2700" w:type="dxa"/>
            <w:tcBorders>
              <w:top w:val="nil"/>
              <w:left w:val="nil"/>
              <w:bottom w:val="nil"/>
              <w:right w:val="nil"/>
            </w:tcBorders>
            <w:shd w:val="clear" w:color="auto" w:fill="auto"/>
            <w:vAlign w:val="center"/>
            <w:hideMark/>
          </w:tcPr>
          <w:p w14:paraId="7580CF4F"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val="en-GB" w:eastAsia="en-GB"/>
              </w:rPr>
              <w:t>Very Dry</w:t>
            </w:r>
          </w:p>
        </w:tc>
      </w:tr>
      <w:tr w:rsidR="006423FF" w:rsidRPr="00022CA4" w14:paraId="3DB6134A" w14:textId="77777777" w:rsidTr="000623CD">
        <w:trPr>
          <w:trHeight w:val="315"/>
          <w:jc w:val="center"/>
        </w:trPr>
        <w:tc>
          <w:tcPr>
            <w:tcW w:w="4566" w:type="dxa"/>
            <w:tcBorders>
              <w:top w:val="nil"/>
              <w:left w:val="nil"/>
              <w:bottom w:val="nil"/>
              <w:right w:val="nil"/>
            </w:tcBorders>
            <w:shd w:val="clear" w:color="auto" w:fill="auto"/>
            <w:hideMark/>
          </w:tcPr>
          <w:p w14:paraId="6ED4D5C0"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themeColor="text1"/>
                <w:sz w:val="24"/>
                <w:szCs w:val="24"/>
                <w:lang w:val="en-GB" w:eastAsia="en-GB"/>
              </w:rPr>
            </w:pPr>
            <w:r w:rsidRPr="00022CA4">
              <w:rPr>
                <w:rFonts w:ascii="Times New Roman" w:eastAsia="Times New Roman" w:hAnsi="Times New Roman" w:cs="Times New Roman"/>
                <w:color w:val="000000" w:themeColor="text1"/>
                <w:sz w:val="24"/>
                <w:szCs w:val="24"/>
                <w:lang w:val="en-GB" w:eastAsia="en-GB"/>
              </w:rPr>
              <w:t>-1 to &gt; -0.5</w:t>
            </w:r>
          </w:p>
        </w:tc>
        <w:tc>
          <w:tcPr>
            <w:tcW w:w="2700" w:type="dxa"/>
            <w:tcBorders>
              <w:top w:val="nil"/>
              <w:left w:val="nil"/>
              <w:bottom w:val="nil"/>
              <w:right w:val="nil"/>
            </w:tcBorders>
            <w:shd w:val="clear" w:color="auto" w:fill="auto"/>
            <w:vAlign w:val="center"/>
            <w:hideMark/>
          </w:tcPr>
          <w:p w14:paraId="7619253A"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val="en-GB" w:eastAsia="en-GB"/>
              </w:rPr>
              <w:t>Moderately Dry</w:t>
            </w:r>
          </w:p>
        </w:tc>
      </w:tr>
      <w:tr w:rsidR="006423FF" w:rsidRPr="00022CA4" w14:paraId="37DC584E" w14:textId="77777777" w:rsidTr="000623CD">
        <w:trPr>
          <w:trHeight w:val="315"/>
          <w:jc w:val="center"/>
        </w:trPr>
        <w:tc>
          <w:tcPr>
            <w:tcW w:w="4566" w:type="dxa"/>
            <w:tcBorders>
              <w:top w:val="nil"/>
              <w:left w:val="nil"/>
              <w:bottom w:val="nil"/>
              <w:right w:val="nil"/>
            </w:tcBorders>
            <w:shd w:val="clear" w:color="auto" w:fill="auto"/>
            <w:hideMark/>
          </w:tcPr>
          <w:p w14:paraId="0D0EC30C"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themeColor="text1"/>
                <w:sz w:val="24"/>
                <w:szCs w:val="24"/>
                <w:lang w:val="en-GB" w:eastAsia="en-GB"/>
              </w:rPr>
            </w:pPr>
            <w:r w:rsidRPr="00022CA4">
              <w:rPr>
                <w:rFonts w:ascii="Times New Roman" w:eastAsia="Times New Roman" w:hAnsi="Times New Roman" w:cs="Times New Roman"/>
                <w:color w:val="000000" w:themeColor="text1"/>
                <w:sz w:val="24"/>
                <w:szCs w:val="24"/>
                <w:lang w:val="en-GB" w:eastAsia="en-GB"/>
              </w:rPr>
              <w:t>-0.5 to ≤ 0.5</w:t>
            </w:r>
          </w:p>
        </w:tc>
        <w:tc>
          <w:tcPr>
            <w:tcW w:w="2700" w:type="dxa"/>
            <w:tcBorders>
              <w:top w:val="nil"/>
              <w:left w:val="nil"/>
              <w:bottom w:val="nil"/>
              <w:right w:val="nil"/>
            </w:tcBorders>
            <w:shd w:val="clear" w:color="auto" w:fill="auto"/>
            <w:vAlign w:val="center"/>
            <w:hideMark/>
          </w:tcPr>
          <w:p w14:paraId="0A5D4994"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val="en-GB" w:eastAsia="en-GB"/>
              </w:rPr>
              <w:t>Normal</w:t>
            </w:r>
          </w:p>
        </w:tc>
      </w:tr>
      <w:tr w:rsidR="006423FF" w:rsidRPr="00022CA4" w14:paraId="65036518" w14:textId="77777777" w:rsidTr="000623CD">
        <w:trPr>
          <w:trHeight w:val="315"/>
          <w:jc w:val="center"/>
        </w:trPr>
        <w:tc>
          <w:tcPr>
            <w:tcW w:w="4566" w:type="dxa"/>
            <w:tcBorders>
              <w:top w:val="nil"/>
              <w:left w:val="nil"/>
              <w:bottom w:val="nil"/>
              <w:right w:val="nil"/>
            </w:tcBorders>
            <w:shd w:val="clear" w:color="auto" w:fill="auto"/>
          </w:tcPr>
          <w:p w14:paraId="1B348241"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themeColor="text1"/>
                <w:sz w:val="24"/>
                <w:szCs w:val="24"/>
                <w:lang w:val="en-GB" w:eastAsia="en-GB"/>
              </w:rPr>
            </w:pPr>
            <w:r w:rsidRPr="00022CA4">
              <w:rPr>
                <w:rFonts w:ascii="Times New Roman" w:eastAsia="Times New Roman" w:hAnsi="Times New Roman" w:cs="Times New Roman"/>
                <w:color w:val="000000" w:themeColor="text1"/>
                <w:sz w:val="24"/>
                <w:szCs w:val="24"/>
                <w:lang w:val="en-GB" w:eastAsia="en-GB"/>
              </w:rPr>
              <w:t>&gt; 0.5 to 1</w:t>
            </w:r>
          </w:p>
        </w:tc>
        <w:tc>
          <w:tcPr>
            <w:tcW w:w="2700" w:type="dxa"/>
            <w:tcBorders>
              <w:top w:val="nil"/>
              <w:left w:val="nil"/>
              <w:bottom w:val="nil"/>
              <w:right w:val="nil"/>
            </w:tcBorders>
            <w:shd w:val="clear" w:color="auto" w:fill="auto"/>
            <w:vAlign w:val="center"/>
          </w:tcPr>
          <w:p w14:paraId="4875A9E4"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val="en-GB" w:eastAsia="en-GB"/>
              </w:rPr>
              <w:t>Moderately Wet</w:t>
            </w:r>
          </w:p>
        </w:tc>
      </w:tr>
      <w:tr w:rsidR="006423FF" w:rsidRPr="00022CA4" w14:paraId="4C8DC792" w14:textId="77777777" w:rsidTr="000623CD">
        <w:trPr>
          <w:trHeight w:val="315"/>
          <w:jc w:val="center"/>
        </w:trPr>
        <w:tc>
          <w:tcPr>
            <w:tcW w:w="4566" w:type="dxa"/>
            <w:tcBorders>
              <w:top w:val="nil"/>
              <w:left w:val="nil"/>
              <w:bottom w:val="nil"/>
              <w:right w:val="nil"/>
            </w:tcBorders>
            <w:shd w:val="clear" w:color="auto" w:fill="auto"/>
            <w:hideMark/>
          </w:tcPr>
          <w:p w14:paraId="4E4A3EAE"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themeColor="text1"/>
                <w:sz w:val="24"/>
                <w:szCs w:val="24"/>
                <w:lang w:val="en-GB" w:eastAsia="en-GB"/>
              </w:rPr>
            </w:pPr>
            <w:r w:rsidRPr="00022CA4">
              <w:rPr>
                <w:rFonts w:ascii="Times New Roman" w:eastAsia="Times New Roman" w:hAnsi="Times New Roman" w:cs="Times New Roman"/>
                <w:color w:val="000000" w:themeColor="text1"/>
                <w:sz w:val="24"/>
                <w:szCs w:val="24"/>
                <w:lang w:val="en-GB" w:eastAsia="en-GB"/>
              </w:rPr>
              <w:t>&gt; 1 to 2</w:t>
            </w:r>
          </w:p>
        </w:tc>
        <w:tc>
          <w:tcPr>
            <w:tcW w:w="2700" w:type="dxa"/>
            <w:tcBorders>
              <w:top w:val="nil"/>
              <w:left w:val="nil"/>
              <w:bottom w:val="nil"/>
              <w:right w:val="nil"/>
            </w:tcBorders>
            <w:shd w:val="clear" w:color="auto" w:fill="auto"/>
            <w:vAlign w:val="center"/>
            <w:hideMark/>
          </w:tcPr>
          <w:p w14:paraId="115387CF"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val="en-GB" w:eastAsia="en-GB"/>
              </w:rPr>
              <w:t>Very Wet</w:t>
            </w:r>
          </w:p>
        </w:tc>
      </w:tr>
      <w:tr w:rsidR="006423FF" w:rsidRPr="00022CA4" w14:paraId="24E8809A" w14:textId="77777777" w:rsidTr="000623CD">
        <w:trPr>
          <w:trHeight w:val="330"/>
          <w:jc w:val="center"/>
        </w:trPr>
        <w:tc>
          <w:tcPr>
            <w:tcW w:w="4566" w:type="dxa"/>
            <w:tcBorders>
              <w:top w:val="nil"/>
              <w:left w:val="nil"/>
              <w:bottom w:val="single" w:sz="8" w:space="0" w:color="auto"/>
              <w:right w:val="nil"/>
            </w:tcBorders>
            <w:shd w:val="clear" w:color="auto" w:fill="auto"/>
            <w:vAlign w:val="center"/>
            <w:hideMark/>
          </w:tcPr>
          <w:p w14:paraId="762E0ECB"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val="en-GB" w:eastAsia="en-GB"/>
              </w:rPr>
              <w:t>&gt; 2</w:t>
            </w:r>
          </w:p>
        </w:tc>
        <w:tc>
          <w:tcPr>
            <w:tcW w:w="2700" w:type="dxa"/>
            <w:tcBorders>
              <w:top w:val="nil"/>
              <w:left w:val="nil"/>
              <w:bottom w:val="single" w:sz="8" w:space="0" w:color="auto"/>
              <w:right w:val="nil"/>
            </w:tcBorders>
            <w:shd w:val="clear" w:color="auto" w:fill="auto"/>
            <w:vAlign w:val="center"/>
            <w:hideMark/>
          </w:tcPr>
          <w:p w14:paraId="5FFA6B05" w14:textId="77777777" w:rsidR="006423FF" w:rsidRPr="00022CA4" w:rsidRDefault="006423FF" w:rsidP="00F531D3">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val="en-GB" w:eastAsia="en-GB"/>
              </w:rPr>
              <w:t>Extreme Wet</w:t>
            </w:r>
          </w:p>
        </w:tc>
      </w:tr>
    </w:tbl>
    <w:p w14:paraId="1DA0FA74" w14:textId="77777777" w:rsidR="0094181E" w:rsidRDefault="0094181E" w:rsidP="006423FF">
      <w:pPr>
        <w:pStyle w:val="Heading1"/>
        <w:tabs>
          <w:tab w:val="left" w:pos="1269"/>
        </w:tabs>
        <w:spacing w:before="240" w:after="240" w:line="360" w:lineRule="auto"/>
        <w:ind w:left="0" w:firstLine="0"/>
        <w:rPr>
          <w:sz w:val="32"/>
          <w:szCs w:val="32"/>
        </w:rPr>
      </w:pPr>
    </w:p>
    <w:p w14:paraId="6D698F87" w14:textId="64358762" w:rsidR="006A5278" w:rsidRPr="00935951" w:rsidRDefault="00224A4B" w:rsidP="00935951">
      <w:pPr>
        <w:pStyle w:val="Heading1"/>
        <w:tabs>
          <w:tab w:val="left" w:pos="1269"/>
        </w:tabs>
        <w:spacing w:before="240" w:line="360" w:lineRule="auto"/>
        <w:ind w:left="0" w:firstLine="0"/>
        <w:rPr>
          <w:b w:val="0"/>
          <w:sz w:val="32"/>
          <w:szCs w:val="32"/>
        </w:rPr>
      </w:pPr>
      <w:r>
        <w:rPr>
          <w:b w:val="0"/>
        </w:rPr>
        <w:t>Table</w:t>
      </w:r>
      <w:r w:rsidRPr="00935951">
        <w:rPr>
          <w:b w:val="0"/>
        </w:rPr>
        <w:t xml:space="preserve"> </w:t>
      </w:r>
      <w:r>
        <w:rPr>
          <w:b w:val="0"/>
        </w:rPr>
        <w:t>2</w:t>
      </w:r>
      <w:r w:rsidR="006A5278" w:rsidRPr="00935951">
        <w:rPr>
          <w:b w:val="0"/>
        </w:rPr>
        <w:t xml:space="preserve">    |    Validation reference evapotranspiration </w:t>
      </w:r>
      <w:r w:rsidR="006A5278" w:rsidRPr="009528F8">
        <w:rPr>
          <w:b w:val="0"/>
        </w:rPr>
        <w:t>(</w:t>
      </w:r>
      <w:proofErr w:type="spellStart"/>
      <w:proofErr w:type="gramStart"/>
      <w:r w:rsidR="009528F8" w:rsidRPr="009528F8">
        <w:rPr>
          <w:b w:val="0"/>
        </w:rPr>
        <w:t>ET</w:t>
      </w:r>
      <w:r w:rsidR="009528F8" w:rsidRPr="009528F8">
        <w:rPr>
          <w:b w:val="0"/>
          <w:vertAlign w:val="subscript"/>
        </w:rPr>
        <w:t>o</w:t>
      </w:r>
      <w:proofErr w:type="spellEnd"/>
      <w:proofErr w:type="gramEnd"/>
      <w:r w:rsidR="006A5278" w:rsidRPr="00935951">
        <w:rPr>
          <w:b w:val="0"/>
        </w:rPr>
        <w:t>) result obtained from the ensemble of the five data sources using monthly ground meteorological station data from 1982 to 2020</w:t>
      </w:r>
    </w:p>
    <w:tbl>
      <w:tblPr>
        <w:tblStyle w:val="TableGrid"/>
        <w:tblW w:w="942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1261"/>
        <w:gridCol w:w="1261"/>
        <w:gridCol w:w="1261"/>
        <w:gridCol w:w="1382"/>
        <w:gridCol w:w="1261"/>
        <w:gridCol w:w="1261"/>
      </w:tblGrid>
      <w:tr w:rsidR="006A5278" w:rsidRPr="006A5278" w14:paraId="488EFDAE" w14:textId="77777777" w:rsidTr="00935951">
        <w:trPr>
          <w:trHeight w:val="368"/>
          <w:jc w:val="center"/>
        </w:trPr>
        <w:tc>
          <w:tcPr>
            <w:tcW w:w="1740" w:type="dxa"/>
            <w:tcBorders>
              <w:top w:val="single" w:sz="4" w:space="0" w:color="auto"/>
              <w:bottom w:val="single" w:sz="4" w:space="0" w:color="auto"/>
            </w:tcBorders>
            <w:noWrap/>
            <w:hideMark/>
          </w:tcPr>
          <w:p w14:paraId="1D1CDB9B" w14:textId="092D72ED" w:rsidR="006A5278" w:rsidRPr="006A5278" w:rsidRDefault="009528F8" w:rsidP="006A5278">
            <w:pPr>
              <w:widowControl/>
              <w:autoSpaceDE/>
              <w:autoSpaceDN/>
              <w:rPr>
                <w:rFonts w:ascii="Times New Roman" w:eastAsia="Times New Roman" w:hAnsi="Times New Roman" w:cs="Times New Roman"/>
                <w:color w:val="000000"/>
                <w:sz w:val="24"/>
                <w:szCs w:val="24"/>
              </w:rPr>
            </w:pPr>
            <w:proofErr w:type="spellStart"/>
            <w:r>
              <w:t>ET</w:t>
            </w:r>
            <w:r w:rsidRPr="008F0EFE">
              <w:rPr>
                <w:vertAlign w:val="subscript"/>
              </w:rPr>
              <w:t>o</w:t>
            </w:r>
            <w:proofErr w:type="spellEnd"/>
          </w:p>
        </w:tc>
        <w:tc>
          <w:tcPr>
            <w:tcW w:w="1261" w:type="dxa"/>
            <w:tcBorders>
              <w:top w:val="single" w:sz="4" w:space="0" w:color="auto"/>
              <w:bottom w:val="single" w:sz="4" w:space="0" w:color="auto"/>
            </w:tcBorders>
            <w:noWrap/>
            <w:hideMark/>
          </w:tcPr>
          <w:p w14:paraId="772177D6"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proofErr w:type="spellStart"/>
            <w:r w:rsidRPr="006A5278">
              <w:rPr>
                <w:rFonts w:ascii="Times New Roman" w:eastAsia="Times New Roman" w:hAnsi="Times New Roman" w:cs="Times New Roman"/>
                <w:color w:val="000000"/>
                <w:sz w:val="24"/>
                <w:szCs w:val="24"/>
              </w:rPr>
              <w:t>Bahir</w:t>
            </w:r>
            <w:proofErr w:type="spellEnd"/>
            <w:r w:rsidRPr="006A5278">
              <w:rPr>
                <w:rFonts w:ascii="Times New Roman" w:eastAsia="Times New Roman" w:hAnsi="Times New Roman" w:cs="Times New Roman"/>
                <w:color w:val="000000"/>
                <w:sz w:val="24"/>
                <w:szCs w:val="24"/>
              </w:rPr>
              <w:t xml:space="preserve"> Dar</w:t>
            </w:r>
          </w:p>
        </w:tc>
        <w:tc>
          <w:tcPr>
            <w:tcW w:w="1261" w:type="dxa"/>
            <w:tcBorders>
              <w:top w:val="single" w:sz="4" w:space="0" w:color="auto"/>
              <w:bottom w:val="single" w:sz="4" w:space="0" w:color="auto"/>
            </w:tcBorders>
            <w:noWrap/>
            <w:hideMark/>
          </w:tcPr>
          <w:p w14:paraId="59FF453A"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Bale Robe</w:t>
            </w:r>
          </w:p>
        </w:tc>
        <w:tc>
          <w:tcPr>
            <w:tcW w:w="1261" w:type="dxa"/>
            <w:tcBorders>
              <w:top w:val="single" w:sz="4" w:space="0" w:color="auto"/>
              <w:bottom w:val="single" w:sz="4" w:space="0" w:color="auto"/>
            </w:tcBorders>
            <w:noWrap/>
            <w:hideMark/>
          </w:tcPr>
          <w:p w14:paraId="310F9EE8"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proofErr w:type="spellStart"/>
            <w:r w:rsidRPr="006A5278">
              <w:rPr>
                <w:rFonts w:ascii="Times New Roman" w:eastAsia="Times New Roman" w:hAnsi="Times New Roman" w:cs="Times New Roman"/>
                <w:color w:val="000000"/>
                <w:sz w:val="24"/>
                <w:szCs w:val="24"/>
              </w:rPr>
              <w:t>Hawassa</w:t>
            </w:r>
            <w:proofErr w:type="spellEnd"/>
          </w:p>
        </w:tc>
        <w:tc>
          <w:tcPr>
            <w:tcW w:w="1382" w:type="dxa"/>
            <w:tcBorders>
              <w:top w:val="single" w:sz="4" w:space="0" w:color="auto"/>
              <w:bottom w:val="single" w:sz="4" w:space="0" w:color="auto"/>
            </w:tcBorders>
            <w:noWrap/>
            <w:hideMark/>
          </w:tcPr>
          <w:p w14:paraId="3F500625"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proofErr w:type="spellStart"/>
            <w:r w:rsidRPr="006A5278">
              <w:rPr>
                <w:rFonts w:ascii="Times New Roman" w:eastAsia="Times New Roman" w:hAnsi="Times New Roman" w:cs="Times New Roman"/>
                <w:color w:val="000000"/>
                <w:sz w:val="24"/>
                <w:szCs w:val="24"/>
              </w:rPr>
              <w:t>Metehara</w:t>
            </w:r>
            <w:proofErr w:type="spellEnd"/>
          </w:p>
        </w:tc>
        <w:tc>
          <w:tcPr>
            <w:tcW w:w="1261" w:type="dxa"/>
            <w:tcBorders>
              <w:top w:val="single" w:sz="4" w:space="0" w:color="auto"/>
              <w:bottom w:val="single" w:sz="4" w:space="0" w:color="auto"/>
            </w:tcBorders>
            <w:noWrap/>
            <w:hideMark/>
          </w:tcPr>
          <w:p w14:paraId="7C088770"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proofErr w:type="spellStart"/>
            <w:r w:rsidRPr="006A5278">
              <w:rPr>
                <w:rFonts w:ascii="Times New Roman" w:eastAsia="Times New Roman" w:hAnsi="Times New Roman" w:cs="Times New Roman"/>
                <w:color w:val="000000"/>
                <w:sz w:val="24"/>
                <w:szCs w:val="24"/>
              </w:rPr>
              <w:t>Adama</w:t>
            </w:r>
            <w:proofErr w:type="spellEnd"/>
          </w:p>
        </w:tc>
        <w:tc>
          <w:tcPr>
            <w:tcW w:w="1261" w:type="dxa"/>
            <w:tcBorders>
              <w:top w:val="single" w:sz="4" w:space="0" w:color="auto"/>
              <w:bottom w:val="single" w:sz="4" w:space="0" w:color="auto"/>
            </w:tcBorders>
            <w:noWrap/>
            <w:hideMark/>
          </w:tcPr>
          <w:p w14:paraId="6E40D742"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Average</w:t>
            </w:r>
          </w:p>
        </w:tc>
      </w:tr>
      <w:tr w:rsidR="006A5278" w:rsidRPr="006A5278" w14:paraId="6413C952" w14:textId="77777777" w:rsidTr="00935951">
        <w:trPr>
          <w:trHeight w:val="287"/>
          <w:jc w:val="center"/>
        </w:trPr>
        <w:tc>
          <w:tcPr>
            <w:tcW w:w="1740" w:type="dxa"/>
            <w:tcBorders>
              <w:top w:val="single" w:sz="4" w:space="0" w:color="auto"/>
            </w:tcBorders>
            <w:noWrap/>
            <w:hideMark/>
          </w:tcPr>
          <w:p w14:paraId="30A6DC0C" w14:textId="77777777" w:rsidR="006A5278" w:rsidRPr="006A5278" w:rsidRDefault="006A5278" w:rsidP="006A5278">
            <w:pPr>
              <w:widowControl/>
              <w:autoSpaceDE/>
              <w:autoSpaceDN/>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Latitude (</w:t>
            </w:r>
            <w:r w:rsidRPr="00935951">
              <w:rPr>
                <w:rFonts w:ascii="Times New Roman" w:eastAsia="Times New Roman" w:hAnsi="Times New Roman" w:cs="Times New Roman"/>
                <w:color w:val="000000"/>
                <w:sz w:val="24"/>
                <w:szCs w:val="24"/>
                <w:vertAlign w:val="superscript"/>
              </w:rPr>
              <w:t>0</w:t>
            </w:r>
            <w:r w:rsidRPr="006A5278">
              <w:rPr>
                <w:rFonts w:ascii="Times New Roman" w:eastAsia="Times New Roman" w:hAnsi="Times New Roman" w:cs="Times New Roman"/>
                <w:color w:val="000000"/>
                <w:sz w:val="24"/>
                <w:szCs w:val="24"/>
              </w:rPr>
              <w:t>N)</w:t>
            </w:r>
          </w:p>
        </w:tc>
        <w:tc>
          <w:tcPr>
            <w:tcW w:w="1261" w:type="dxa"/>
            <w:tcBorders>
              <w:top w:val="single" w:sz="4" w:space="0" w:color="auto"/>
            </w:tcBorders>
            <w:noWrap/>
            <w:hideMark/>
          </w:tcPr>
          <w:p w14:paraId="0C54780D"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11.595</w:t>
            </w:r>
          </w:p>
        </w:tc>
        <w:tc>
          <w:tcPr>
            <w:tcW w:w="1261" w:type="dxa"/>
            <w:tcBorders>
              <w:top w:val="single" w:sz="4" w:space="0" w:color="auto"/>
            </w:tcBorders>
            <w:noWrap/>
            <w:hideMark/>
          </w:tcPr>
          <w:p w14:paraId="1F8E4D56"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7.875</w:t>
            </w:r>
          </w:p>
        </w:tc>
        <w:tc>
          <w:tcPr>
            <w:tcW w:w="1261" w:type="dxa"/>
            <w:tcBorders>
              <w:top w:val="single" w:sz="4" w:space="0" w:color="auto"/>
            </w:tcBorders>
            <w:noWrap/>
            <w:hideMark/>
          </w:tcPr>
          <w:p w14:paraId="3139A214"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7.065</w:t>
            </w:r>
          </w:p>
        </w:tc>
        <w:tc>
          <w:tcPr>
            <w:tcW w:w="1382" w:type="dxa"/>
            <w:tcBorders>
              <w:top w:val="single" w:sz="4" w:space="0" w:color="auto"/>
            </w:tcBorders>
            <w:noWrap/>
            <w:hideMark/>
          </w:tcPr>
          <w:p w14:paraId="0B0B97D6"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8.858</w:t>
            </w:r>
          </w:p>
        </w:tc>
        <w:tc>
          <w:tcPr>
            <w:tcW w:w="1261" w:type="dxa"/>
            <w:tcBorders>
              <w:top w:val="single" w:sz="4" w:space="0" w:color="auto"/>
            </w:tcBorders>
            <w:noWrap/>
            <w:hideMark/>
          </w:tcPr>
          <w:p w14:paraId="56CC938E"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8.55</w:t>
            </w:r>
          </w:p>
        </w:tc>
        <w:tc>
          <w:tcPr>
            <w:tcW w:w="1261" w:type="dxa"/>
            <w:tcBorders>
              <w:top w:val="single" w:sz="4" w:space="0" w:color="auto"/>
            </w:tcBorders>
            <w:noWrap/>
            <w:hideMark/>
          </w:tcPr>
          <w:p w14:paraId="01458BE0" w14:textId="77777777" w:rsidR="006A5278" w:rsidRPr="006A5278" w:rsidRDefault="006A5278" w:rsidP="00935951">
            <w:pPr>
              <w:widowControl/>
              <w:autoSpaceDE/>
              <w:autoSpaceDN/>
              <w:jc w:val="center"/>
              <w:rPr>
                <w:rFonts w:ascii="Times New Roman" w:eastAsia="Times New Roman" w:hAnsi="Times New Roman" w:cs="Times New Roman"/>
                <w:b/>
                <w:color w:val="000000"/>
                <w:sz w:val="24"/>
                <w:szCs w:val="24"/>
              </w:rPr>
            </w:pPr>
            <w:r w:rsidRPr="006A5278">
              <w:rPr>
                <w:rFonts w:ascii="Times New Roman" w:eastAsia="Times New Roman" w:hAnsi="Times New Roman" w:cs="Times New Roman"/>
                <w:b/>
                <w:color w:val="000000"/>
                <w:sz w:val="24"/>
                <w:szCs w:val="24"/>
              </w:rPr>
              <w:t>8.79</w:t>
            </w:r>
          </w:p>
        </w:tc>
      </w:tr>
      <w:tr w:rsidR="006A5278" w:rsidRPr="006A5278" w14:paraId="0A673F67" w14:textId="77777777" w:rsidTr="00935951">
        <w:trPr>
          <w:trHeight w:val="314"/>
          <w:jc w:val="center"/>
        </w:trPr>
        <w:tc>
          <w:tcPr>
            <w:tcW w:w="1740" w:type="dxa"/>
            <w:noWrap/>
            <w:hideMark/>
          </w:tcPr>
          <w:p w14:paraId="661F2A6D" w14:textId="77777777" w:rsidR="006A5278" w:rsidRPr="006A5278" w:rsidRDefault="006A5278" w:rsidP="006A5278">
            <w:pPr>
              <w:widowControl/>
              <w:autoSpaceDE/>
              <w:autoSpaceDN/>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Longitude (</w:t>
            </w:r>
            <w:r w:rsidRPr="00935951">
              <w:rPr>
                <w:rFonts w:ascii="Times New Roman" w:eastAsia="Times New Roman" w:hAnsi="Times New Roman" w:cs="Times New Roman"/>
                <w:color w:val="000000"/>
                <w:sz w:val="24"/>
                <w:szCs w:val="24"/>
                <w:vertAlign w:val="superscript"/>
              </w:rPr>
              <w:t>0</w:t>
            </w:r>
            <w:r w:rsidRPr="006A5278">
              <w:rPr>
                <w:rFonts w:ascii="Times New Roman" w:eastAsia="Times New Roman" w:hAnsi="Times New Roman" w:cs="Times New Roman"/>
                <w:color w:val="000000"/>
                <w:sz w:val="24"/>
                <w:szCs w:val="24"/>
              </w:rPr>
              <w:t>E)</w:t>
            </w:r>
          </w:p>
        </w:tc>
        <w:tc>
          <w:tcPr>
            <w:tcW w:w="1261" w:type="dxa"/>
            <w:noWrap/>
            <w:hideMark/>
          </w:tcPr>
          <w:p w14:paraId="54AB8285"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37.38</w:t>
            </w:r>
          </w:p>
        </w:tc>
        <w:tc>
          <w:tcPr>
            <w:tcW w:w="1261" w:type="dxa"/>
            <w:noWrap/>
            <w:hideMark/>
          </w:tcPr>
          <w:p w14:paraId="52BB09DF"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39.622</w:t>
            </w:r>
          </w:p>
        </w:tc>
        <w:tc>
          <w:tcPr>
            <w:tcW w:w="1261" w:type="dxa"/>
            <w:noWrap/>
            <w:hideMark/>
          </w:tcPr>
          <w:p w14:paraId="6C769CE1"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38.483</w:t>
            </w:r>
          </w:p>
        </w:tc>
        <w:tc>
          <w:tcPr>
            <w:tcW w:w="1382" w:type="dxa"/>
            <w:noWrap/>
            <w:hideMark/>
          </w:tcPr>
          <w:p w14:paraId="1D6D6105"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39.919</w:t>
            </w:r>
          </w:p>
        </w:tc>
        <w:tc>
          <w:tcPr>
            <w:tcW w:w="1261" w:type="dxa"/>
            <w:noWrap/>
            <w:hideMark/>
          </w:tcPr>
          <w:p w14:paraId="082FCB45"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39.283</w:t>
            </w:r>
          </w:p>
        </w:tc>
        <w:tc>
          <w:tcPr>
            <w:tcW w:w="1261" w:type="dxa"/>
            <w:noWrap/>
            <w:hideMark/>
          </w:tcPr>
          <w:p w14:paraId="2C95D05D" w14:textId="77777777" w:rsidR="006A5278" w:rsidRPr="006A5278" w:rsidRDefault="006A5278" w:rsidP="00935951">
            <w:pPr>
              <w:widowControl/>
              <w:autoSpaceDE/>
              <w:autoSpaceDN/>
              <w:jc w:val="center"/>
              <w:rPr>
                <w:rFonts w:ascii="Times New Roman" w:eastAsia="Times New Roman" w:hAnsi="Times New Roman" w:cs="Times New Roman"/>
                <w:b/>
                <w:color w:val="000000"/>
                <w:sz w:val="24"/>
                <w:szCs w:val="24"/>
              </w:rPr>
            </w:pPr>
            <w:r w:rsidRPr="006A5278">
              <w:rPr>
                <w:rFonts w:ascii="Times New Roman" w:eastAsia="Times New Roman" w:hAnsi="Times New Roman" w:cs="Times New Roman"/>
                <w:b/>
                <w:color w:val="000000"/>
                <w:sz w:val="24"/>
                <w:szCs w:val="24"/>
              </w:rPr>
              <w:t>38.94</w:t>
            </w:r>
          </w:p>
        </w:tc>
      </w:tr>
      <w:tr w:rsidR="006A5278" w:rsidRPr="006A5278" w14:paraId="6649D4C1" w14:textId="77777777" w:rsidTr="00935951">
        <w:trPr>
          <w:trHeight w:val="341"/>
          <w:jc w:val="center"/>
        </w:trPr>
        <w:tc>
          <w:tcPr>
            <w:tcW w:w="1740" w:type="dxa"/>
            <w:noWrap/>
            <w:hideMark/>
          </w:tcPr>
          <w:p w14:paraId="35F80E10" w14:textId="77777777" w:rsidR="006A5278" w:rsidRPr="006A5278" w:rsidRDefault="006A5278" w:rsidP="006A5278">
            <w:pPr>
              <w:widowControl/>
              <w:autoSpaceDE/>
              <w:autoSpaceDN/>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Altitude (m)</w:t>
            </w:r>
          </w:p>
        </w:tc>
        <w:tc>
          <w:tcPr>
            <w:tcW w:w="1261" w:type="dxa"/>
            <w:noWrap/>
            <w:hideMark/>
          </w:tcPr>
          <w:p w14:paraId="084045C5"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1800</w:t>
            </w:r>
          </w:p>
        </w:tc>
        <w:tc>
          <w:tcPr>
            <w:tcW w:w="1261" w:type="dxa"/>
            <w:noWrap/>
            <w:hideMark/>
          </w:tcPr>
          <w:p w14:paraId="24C154C2"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2441</w:t>
            </w:r>
          </w:p>
        </w:tc>
        <w:tc>
          <w:tcPr>
            <w:tcW w:w="1261" w:type="dxa"/>
            <w:noWrap/>
            <w:hideMark/>
          </w:tcPr>
          <w:p w14:paraId="27DD672D"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1694</w:t>
            </w:r>
          </w:p>
        </w:tc>
        <w:tc>
          <w:tcPr>
            <w:tcW w:w="1382" w:type="dxa"/>
            <w:noWrap/>
            <w:hideMark/>
          </w:tcPr>
          <w:p w14:paraId="73CBF4DF"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944</w:t>
            </w:r>
          </w:p>
        </w:tc>
        <w:tc>
          <w:tcPr>
            <w:tcW w:w="1261" w:type="dxa"/>
            <w:noWrap/>
            <w:hideMark/>
          </w:tcPr>
          <w:p w14:paraId="727E12CF"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1622</w:t>
            </w:r>
          </w:p>
        </w:tc>
        <w:tc>
          <w:tcPr>
            <w:tcW w:w="1261" w:type="dxa"/>
            <w:noWrap/>
            <w:hideMark/>
          </w:tcPr>
          <w:p w14:paraId="69A47C84" w14:textId="77777777" w:rsidR="006A5278" w:rsidRPr="006A5278" w:rsidRDefault="006A5278" w:rsidP="00935951">
            <w:pPr>
              <w:widowControl/>
              <w:autoSpaceDE/>
              <w:autoSpaceDN/>
              <w:jc w:val="center"/>
              <w:rPr>
                <w:rFonts w:ascii="Times New Roman" w:eastAsia="Times New Roman" w:hAnsi="Times New Roman" w:cs="Times New Roman"/>
                <w:b/>
                <w:color w:val="000000"/>
                <w:sz w:val="24"/>
                <w:szCs w:val="24"/>
              </w:rPr>
            </w:pPr>
            <w:r w:rsidRPr="006A5278">
              <w:rPr>
                <w:rFonts w:ascii="Times New Roman" w:eastAsia="Times New Roman" w:hAnsi="Times New Roman" w:cs="Times New Roman"/>
                <w:b/>
                <w:color w:val="000000"/>
                <w:sz w:val="24"/>
                <w:szCs w:val="24"/>
              </w:rPr>
              <w:t>1700</w:t>
            </w:r>
          </w:p>
        </w:tc>
      </w:tr>
      <w:tr w:rsidR="006A5278" w:rsidRPr="006A5278" w14:paraId="6A4A1FF6" w14:textId="77777777" w:rsidTr="00935951">
        <w:trPr>
          <w:trHeight w:val="260"/>
          <w:jc w:val="center"/>
        </w:trPr>
        <w:tc>
          <w:tcPr>
            <w:tcW w:w="1740" w:type="dxa"/>
            <w:noWrap/>
            <w:hideMark/>
          </w:tcPr>
          <w:p w14:paraId="3973D32B" w14:textId="77777777" w:rsidR="006A5278" w:rsidRPr="006A5278" w:rsidRDefault="006A5278" w:rsidP="006A5278">
            <w:pPr>
              <w:widowControl/>
              <w:autoSpaceDE/>
              <w:autoSpaceDN/>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R</w:t>
            </w:r>
          </w:p>
        </w:tc>
        <w:tc>
          <w:tcPr>
            <w:tcW w:w="1261" w:type="dxa"/>
            <w:noWrap/>
            <w:hideMark/>
          </w:tcPr>
          <w:p w14:paraId="2B78F768"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0.77</w:t>
            </w:r>
          </w:p>
        </w:tc>
        <w:tc>
          <w:tcPr>
            <w:tcW w:w="1261" w:type="dxa"/>
            <w:noWrap/>
            <w:hideMark/>
          </w:tcPr>
          <w:p w14:paraId="5AB82201"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0.64</w:t>
            </w:r>
          </w:p>
        </w:tc>
        <w:tc>
          <w:tcPr>
            <w:tcW w:w="1261" w:type="dxa"/>
            <w:noWrap/>
            <w:hideMark/>
          </w:tcPr>
          <w:p w14:paraId="64FD564E"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0.80</w:t>
            </w:r>
          </w:p>
        </w:tc>
        <w:tc>
          <w:tcPr>
            <w:tcW w:w="1382" w:type="dxa"/>
            <w:noWrap/>
            <w:hideMark/>
          </w:tcPr>
          <w:p w14:paraId="65E4D549"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0.65</w:t>
            </w:r>
          </w:p>
        </w:tc>
        <w:tc>
          <w:tcPr>
            <w:tcW w:w="1261" w:type="dxa"/>
            <w:noWrap/>
            <w:hideMark/>
          </w:tcPr>
          <w:p w14:paraId="16D74164"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0.64</w:t>
            </w:r>
          </w:p>
        </w:tc>
        <w:tc>
          <w:tcPr>
            <w:tcW w:w="1261" w:type="dxa"/>
            <w:noWrap/>
            <w:hideMark/>
          </w:tcPr>
          <w:p w14:paraId="5AF45412" w14:textId="77777777" w:rsidR="006A5278" w:rsidRPr="006A5278" w:rsidRDefault="006A5278" w:rsidP="00935951">
            <w:pPr>
              <w:widowControl/>
              <w:autoSpaceDE/>
              <w:autoSpaceDN/>
              <w:jc w:val="center"/>
              <w:rPr>
                <w:rFonts w:ascii="Times New Roman" w:eastAsia="Times New Roman" w:hAnsi="Times New Roman" w:cs="Times New Roman"/>
                <w:b/>
                <w:color w:val="000000"/>
                <w:sz w:val="24"/>
                <w:szCs w:val="24"/>
              </w:rPr>
            </w:pPr>
            <w:r w:rsidRPr="006A5278">
              <w:rPr>
                <w:rFonts w:ascii="Times New Roman" w:eastAsia="Times New Roman" w:hAnsi="Times New Roman" w:cs="Times New Roman"/>
                <w:b/>
                <w:color w:val="000000"/>
                <w:sz w:val="24"/>
                <w:szCs w:val="24"/>
              </w:rPr>
              <w:t>0.70</w:t>
            </w:r>
          </w:p>
        </w:tc>
      </w:tr>
      <w:tr w:rsidR="006A5278" w:rsidRPr="006A5278" w14:paraId="35740A63" w14:textId="77777777" w:rsidTr="00935951">
        <w:trPr>
          <w:trHeight w:val="287"/>
          <w:jc w:val="center"/>
        </w:trPr>
        <w:tc>
          <w:tcPr>
            <w:tcW w:w="1740" w:type="dxa"/>
            <w:noWrap/>
            <w:hideMark/>
          </w:tcPr>
          <w:p w14:paraId="38B91003" w14:textId="77777777" w:rsidR="006A5278" w:rsidRPr="006A5278" w:rsidRDefault="006A5278" w:rsidP="006A5278">
            <w:pPr>
              <w:widowControl/>
              <w:autoSpaceDE/>
              <w:autoSpaceDN/>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MPE</w:t>
            </w:r>
          </w:p>
        </w:tc>
        <w:tc>
          <w:tcPr>
            <w:tcW w:w="1261" w:type="dxa"/>
            <w:noWrap/>
            <w:hideMark/>
          </w:tcPr>
          <w:p w14:paraId="2EA80F4B"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14.19</w:t>
            </w:r>
          </w:p>
        </w:tc>
        <w:tc>
          <w:tcPr>
            <w:tcW w:w="1261" w:type="dxa"/>
            <w:noWrap/>
            <w:hideMark/>
          </w:tcPr>
          <w:p w14:paraId="005F7FAD"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4.52</w:t>
            </w:r>
          </w:p>
        </w:tc>
        <w:tc>
          <w:tcPr>
            <w:tcW w:w="1261" w:type="dxa"/>
            <w:noWrap/>
            <w:hideMark/>
          </w:tcPr>
          <w:p w14:paraId="6AB1B1A3"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-7.58</w:t>
            </w:r>
          </w:p>
        </w:tc>
        <w:tc>
          <w:tcPr>
            <w:tcW w:w="1382" w:type="dxa"/>
            <w:noWrap/>
            <w:hideMark/>
          </w:tcPr>
          <w:p w14:paraId="3DF8B759"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2.9</w:t>
            </w:r>
          </w:p>
        </w:tc>
        <w:tc>
          <w:tcPr>
            <w:tcW w:w="1261" w:type="dxa"/>
            <w:noWrap/>
            <w:hideMark/>
          </w:tcPr>
          <w:p w14:paraId="099EA03C"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8.06</w:t>
            </w:r>
          </w:p>
        </w:tc>
        <w:tc>
          <w:tcPr>
            <w:tcW w:w="1261" w:type="dxa"/>
            <w:noWrap/>
            <w:hideMark/>
          </w:tcPr>
          <w:p w14:paraId="2575DB8A" w14:textId="77777777" w:rsidR="006A5278" w:rsidRPr="006A5278" w:rsidRDefault="006A5278" w:rsidP="00935951">
            <w:pPr>
              <w:widowControl/>
              <w:autoSpaceDE/>
              <w:autoSpaceDN/>
              <w:jc w:val="center"/>
              <w:rPr>
                <w:rFonts w:ascii="Times New Roman" w:eastAsia="Times New Roman" w:hAnsi="Times New Roman" w:cs="Times New Roman"/>
                <w:b/>
                <w:color w:val="000000"/>
                <w:sz w:val="24"/>
                <w:szCs w:val="24"/>
              </w:rPr>
            </w:pPr>
            <w:r w:rsidRPr="006A5278">
              <w:rPr>
                <w:rFonts w:ascii="Times New Roman" w:eastAsia="Times New Roman" w:hAnsi="Times New Roman" w:cs="Times New Roman"/>
                <w:b/>
                <w:color w:val="000000"/>
                <w:sz w:val="24"/>
                <w:szCs w:val="24"/>
              </w:rPr>
              <w:t>4.42</w:t>
            </w:r>
          </w:p>
        </w:tc>
      </w:tr>
      <w:tr w:rsidR="006A5278" w:rsidRPr="006A5278" w14:paraId="260C60DC" w14:textId="77777777" w:rsidTr="00935951">
        <w:trPr>
          <w:trHeight w:val="215"/>
          <w:jc w:val="center"/>
        </w:trPr>
        <w:tc>
          <w:tcPr>
            <w:tcW w:w="1740" w:type="dxa"/>
            <w:noWrap/>
            <w:hideMark/>
          </w:tcPr>
          <w:p w14:paraId="3FBF35DB" w14:textId="77777777" w:rsidR="006A5278" w:rsidRPr="006A5278" w:rsidRDefault="006A5278" w:rsidP="006A5278">
            <w:pPr>
              <w:widowControl/>
              <w:autoSpaceDE/>
              <w:autoSpaceDN/>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RMSE</w:t>
            </w:r>
          </w:p>
        </w:tc>
        <w:tc>
          <w:tcPr>
            <w:tcW w:w="1261" w:type="dxa"/>
            <w:noWrap/>
            <w:hideMark/>
          </w:tcPr>
          <w:p w14:paraId="2581EDC0"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16.19</w:t>
            </w:r>
          </w:p>
        </w:tc>
        <w:tc>
          <w:tcPr>
            <w:tcW w:w="1261" w:type="dxa"/>
            <w:noWrap/>
            <w:hideMark/>
          </w:tcPr>
          <w:p w14:paraId="048A9467"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8.27</w:t>
            </w:r>
          </w:p>
        </w:tc>
        <w:tc>
          <w:tcPr>
            <w:tcW w:w="1261" w:type="dxa"/>
            <w:noWrap/>
            <w:hideMark/>
          </w:tcPr>
          <w:p w14:paraId="536BE8FE"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18.27</w:t>
            </w:r>
          </w:p>
        </w:tc>
        <w:tc>
          <w:tcPr>
            <w:tcW w:w="1382" w:type="dxa"/>
            <w:noWrap/>
            <w:hideMark/>
          </w:tcPr>
          <w:p w14:paraId="6DD62D3D"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12.32</w:t>
            </w:r>
          </w:p>
        </w:tc>
        <w:tc>
          <w:tcPr>
            <w:tcW w:w="1261" w:type="dxa"/>
            <w:noWrap/>
            <w:hideMark/>
          </w:tcPr>
          <w:p w14:paraId="4C927C9D" w14:textId="77777777" w:rsidR="006A5278" w:rsidRPr="006A5278" w:rsidRDefault="006A5278" w:rsidP="00935951">
            <w:pPr>
              <w:widowControl/>
              <w:autoSpaceDE/>
              <w:autoSpaceDN/>
              <w:jc w:val="center"/>
              <w:rPr>
                <w:rFonts w:ascii="Times New Roman" w:eastAsia="Times New Roman" w:hAnsi="Times New Roman" w:cs="Times New Roman"/>
                <w:color w:val="000000"/>
                <w:sz w:val="24"/>
                <w:szCs w:val="24"/>
              </w:rPr>
            </w:pPr>
            <w:r w:rsidRPr="006A5278">
              <w:rPr>
                <w:rFonts w:ascii="Times New Roman" w:eastAsia="Times New Roman" w:hAnsi="Times New Roman" w:cs="Times New Roman"/>
                <w:color w:val="000000"/>
                <w:sz w:val="24"/>
                <w:szCs w:val="24"/>
              </w:rPr>
              <w:t>16.28</w:t>
            </w:r>
          </w:p>
        </w:tc>
        <w:tc>
          <w:tcPr>
            <w:tcW w:w="1261" w:type="dxa"/>
            <w:noWrap/>
            <w:hideMark/>
          </w:tcPr>
          <w:p w14:paraId="2AC36BD4" w14:textId="77777777" w:rsidR="006A5278" w:rsidRPr="006A5278" w:rsidRDefault="006A5278" w:rsidP="00935951">
            <w:pPr>
              <w:widowControl/>
              <w:autoSpaceDE/>
              <w:autoSpaceDN/>
              <w:jc w:val="center"/>
              <w:rPr>
                <w:rFonts w:ascii="Times New Roman" w:eastAsia="Times New Roman" w:hAnsi="Times New Roman" w:cs="Times New Roman"/>
                <w:b/>
                <w:color w:val="000000"/>
                <w:sz w:val="24"/>
                <w:szCs w:val="24"/>
              </w:rPr>
            </w:pPr>
            <w:r w:rsidRPr="006A5278">
              <w:rPr>
                <w:rFonts w:ascii="Times New Roman" w:eastAsia="Times New Roman" w:hAnsi="Times New Roman" w:cs="Times New Roman"/>
                <w:b/>
                <w:color w:val="000000"/>
                <w:sz w:val="24"/>
                <w:szCs w:val="24"/>
              </w:rPr>
              <w:t>14.27</w:t>
            </w:r>
          </w:p>
        </w:tc>
      </w:tr>
    </w:tbl>
    <w:p w14:paraId="3D1BCA62" w14:textId="17DB821F" w:rsidR="006A5278" w:rsidRPr="006A5278" w:rsidRDefault="006A5278" w:rsidP="00935951">
      <w:pPr>
        <w:pStyle w:val="Heading1"/>
        <w:tabs>
          <w:tab w:val="left" w:pos="1269"/>
        </w:tabs>
        <w:spacing w:after="240" w:line="360" w:lineRule="auto"/>
        <w:ind w:left="0" w:firstLine="0"/>
        <w:rPr>
          <w:b w:val="0"/>
        </w:rPr>
      </w:pPr>
      <w:r w:rsidRPr="006A5278">
        <w:rPr>
          <w:b w:val="0"/>
        </w:rPr>
        <w:t>Note: Bold indicates areal averages of the five stations in Ethiopia</w:t>
      </w:r>
    </w:p>
    <w:p w14:paraId="53595435" w14:textId="118CE9BF" w:rsidR="006A5278" w:rsidRPr="006A5278" w:rsidRDefault="00224A4B" w:rsidP="00935951">
      <w:pPr>
        <w:pStyle w:val="Heading1"/>
        <w:tabs>
          <w:tab w:val="left" w:pos="1269"/>
        </w:tabs>
        <w:spacing w:before="240" w:line="360" w:lineRule="auto"/>
        <w:ind w:left="0" w:firstLine="0"/>
        <w:rPr>
          <w:b w:val="0"/>
          <w:sz w:val="32"/>
          <w:szCs w:val="32"/>
        </w:rPr>
      </w:pPr>
      <w:r>
        <w:rPr>
          <w:b w:val="0"/>
        </w:rPr>
        <w:t>Table</w:t>
      </w:r>
      <w:r w:rsidRPr="006A5278">
        <w:rPr>
          <w:b w:val="0"/>
        </w:rPr>
        <w:t xml:space="preserve"> </w:t>
      </w:r>
      <w:r>
        <w:rPr>
          <w:b w:val="0"/>
        </w:rPr>
        <w:t>3</w:t>
      </w:r>
      <w:r w:rsidR="006A5278" w:rsidRPr="006A5278">
        <w:rPr>
          <w:b w:val="0"/>
        </w:rPr>
        <w:t>   |    Correlation between monthly rainfall data obtained from the five reanalysis data sources and ground meteorological stations from 1982 to 2020</w:t>
      </w:r>
    </w:p>
    <w:tbl>
      <w:tblPr>
        <w:tblStyle w:val="TableGrid"/>
        <w:tblW w:w="95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281"/>
        <w:gridCol w:w="1281"/>
        <w:gridCol w:w="1281"/>
        <w:gridCol w:w="1404"/>
        <w:gridCol w:w="1281"/>
        <w:gridCol w:w="1281"/>
      </w:tblGrid>
      <w:tr w:rsidR="006A5278" w:rsidRPr="006A5278" w14:paraId="2C105E31" w14:textId="77777777" w:rsidTr="00935951">
        <w:trPr>
          <w:trHeight w:val="413"/>
          <w:jc w:val="center"/>
        </w:trPr>
        <w:tc>
          <w:tcPr>
            <w:tcW w:w="1728" w:type="dxa"/>
            <w:tcBorders>
              <w:top w:val="single" w:sz="4" w:space="0" w:color="auto"/>
              <w:bottom w:val="single" w:sz="4" w:space="0" w:color="auto"/>
            </w:tcBorders>
            <w:noWrap/>
            <w:hideMark/>
          </w:tcPr>
          <w:p w14:paraId="2248C0AD" w14:textId="77777777" w:rsidR="006A5278" w:rsidRPr="006A5278" w:rsidRDefault="006A5278" w:rsidP="00935951">
            <w:pPr>
              <w:widowControl/>
              <w:autoSpaceDE/>
              <w:autoSpaceDN/>
              <w:rPr>
                <w:rFonts w:ascii="Calibri" w:eastAsia="Times New Roman" w:hAnsi="Calibri" w:cs="Calibri"/>
                <w:color w:val="000000"/>
              </w:rPr>
            </w:pPr>
            <w:r w:rsidRPr="006A5278">
              <w:rPr>
                <w:rFonts w:ascii="Calibri" w:eastAsia="Times New Roman" w:hAnsi="Calibri" w:cs="Calibri"/>
                <w:color w:val="000000"/>
              </w:rPr>
              <w:t>Reanalysis data</w:t>
            </w:r>
          </w:p>
        </w:tc>
        <w:tc>
          <w:tcPr>
            <w:tcW w:w="1281" w:type="dxa"/>
            <w:tcBorders>
              <w:top w:val="single" w:sz="4" w:space="0" w:color="auto"/>
              <w:bottom w:val="single" w:sz="4" w:space="0" w:color="auto"/>
            </w:tcBorders>
            <w:noWrap/>
            <w:hideMark/>
          </w:tcPr>
          <w:p w14:paraId="5C145F46" w14:textId="77777777" w:rsidR="006A5278" w:rsidRPr="006A5278" w:rsidRDefault="006A5278" w:rsidP="00935951">
            <w:pPr>
              <w:widowControl/>
              <w:autoSpaceDE/>
              <w:autoSpaceDN/>
              <w:jc w:val="center"/>
              <w:rPr>
                <w:rFonts w:ascii="Calibri" w:eastAsia="Times New Roman" w:hAnsi="Calibri" w:cs="Calibri"/>
                <w:color w:val="000000"/>
              </w:rPr>
            </w:pPr>
            <w:proofErr w:type="spellStart"/>
            <w:r w:rsidRPr="006A5278">
              <w:rPr>
                <w:rFonts w:ascii="Calibri" w:eastAsia="Times New Roman" w:hAnsi="Calibri" w:cs="Calibri"/>
                <w:color w:val="000000"/>
              </w:rPr>
              <w:t>Bahir</w:t>
            </w:r>
            <w:proofErr w:type="spellEnd"/>
            <w:r w:rsidRPr="006A5278">
              <w:rPr>
                <w:rFonts w:ascii="Calibri" w:eastAsia="Times New Roman" w:hAnsi="Calibri" w:cs="Calibri"/>
                <w:color w:val="000000"/>
              </w:rPr>
              <w:t xml:space="preserve"> Dar</w:t>
            </w:r>
          </w:p>
        </w:tc>
        <w:tc>
          <w:tcPr>
            <w:tcW w:w="1281" w:type="dxa"/>
            <w:tcBorders>
              <w:top w:val="single" w:sz="4" w:space="0" w:color="auto"/>
              <w:bottom w:val="single" w:sz="4" w:space="0" w:color="auto"/>
            </w:tcBorders>
            <w:noWrap/>
            <w:hideMark/>
          </w:tcPr>
          <w:p w14:paraId="1497E3A3"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Bale Robe</w:t>
            </w:r>
          </w:p>
        </w:tc>
        <w:tc>
          <w:tcPr>
            <w:tcW w:w="1281" w:type="dxa"/>
            <w:tcBorders>
              <w:top w:val="single" w:sz="4" w:space="0" w:color="auto"/>
              <w:bottom w:val="single" w:sz="4" w:space="0" w:color="auto"/>
            </w:tcBorders>
            <w:noWrap/>
            <w:hideMark/>
          </w:tcPr>
          <w:p w14:paraId="2204AA93" w14:textId="77777777" w:rsidR="006A5278" w:rsidRPr="006A5278" w:rsidRDefault="006A5278" w:rsidP="00935951">
            <w:pPr>
              <w:widowControl/>
              <w:autoSpaceDE/>
              <w:autoSpaceDN/>
              <w:jc w:val="center"/>
              <w:rPr>
                <w:rFonts w:ascii="Calibri" w:eastAsia="Times New Roman" w:hAnsi="Calibri" w:cs="Calibri"/>
                <w:color w:val="000000"/>
              </w:rPr>
            </w:pPr>
            <w:proofErr w:type="spellStart"/>
            <w:r w:rsidRPr="006A5278">
              <w:rPr>
                <w:rFonts w:ascii="Calibri" w:eastAsia="Times New Roman" w:hAnsi="Calibri" w:cs="Calibri"/>
                <w:color w:val="000000"/>
              </w:rPr>
              <w:t>Hawassa</w:t>
            </w:r>
            <w:proofErr w:type="spellEnd"/>
          </w:p>
        </w:tc>
        <w:tc>
          <w:tcPr>
            <w:tcW w:w="1404" w:type="dxa"/>
            <w:tcBorders>
              <w:top w:val="single" w:sz="4" w:space="0" w:color="auto"/>
              <w:bottom w:val="single" w:sz="4" w:space="0" w:color="auto"/>
            </w:tcBorders>
            <w:noWrap/>
            <w:hideMark/>
          </w:tcPr>
          <w:p w14:paraId="28109262" w14:textId="77777777" w:rsidR="006A5278" w:rsidRPr="006A5278" w:rsidRDefault="006A5278" w:rsidP="00935951">
            <w:pPr>
              <w:widowControl/>
              <w:autoSpaceDE/>
              <w:autoSpaceDN/>
              <w:jc w:val="center"/>
              <w:rPr>
                <w:rFonts w:ascii="Calibri" w:eastAsia="Times New Roman" w:hAnsi="Calibri" w:cs="Calibri"/>
                <w:color w:val="000000"/>
              </w:rPr>
            </w:pPr>
            <w:proofErr w:type="spellStart"/>
            <w:r w:rsidRPr="006A5278">
              <w:rPr>
                <w:rFonts w:ascii="Calibri" w:eastAsia="Times New Roman" w:hAnsi="Calibri" w:cs="Calibri"/>
                <w:color w:val="000000"/>
              </w:rPr>
              <w:t>Metehara</w:t>
            </w:r>
            <w:proofErr w:type="spellEnd"/>
          </w:p>
        </w:tc>
        <w:tc>
          <w:tcPr>
            <w:tcW w:w="1281" w:type="dxa"/>
            <w:tcBorders>
              <w:top w:val="single" w:sz="4" w:space="0" w:color="auto"/>
              <w:bottom w:val="single" w:sz="4" w:space="0" w:color="auto"/>
            </w:tcBorders>
            <w:noWrap/>
            <w:hideMark/>
          </w:tcPr>
          <w:p w14:paraId="1ECC904C" w14:textId="77777777" w:rsidR="006A5278" w:rsidRPr="006A5278" w:rsidRDefault="006A5278" w:rsidP="00935951">
            <w:pPr>
              <w:widowControl/>
              <w:autoSpaceDE/>
              <w:autoSpaceDN/>
              <w:jc w:val="center"/>
              <w:rPr>
                <w:rFonts w:ascii="Calibri" w:eastAsia="Times New Roman" w:hAnsi="Calibri" w:cs="Calibri"/>
                <w:color w:val="000000"/>
              </w:rPr>
            </w:pPr>
            <w:proofErr w:type="spellStart"/>
            <w:r w:rsidRPr="006A5278">
              <w:rPr>
                <w:rFonts w:ascii="Calibri" w:eastAsia="Times New Roman" w:hAnsi="Calibri" w:cs="Calibri"/>
                <w:color w:val="000000"/>
              </w:rPr>
              <w:t>Adama</w:t>
            </w:r>
            <w:proofErr w:type="spellEnd"/>
          </w:p>
        </w:tc>
        <w:tc>
          <w:tcPr>
            <w:tcW w:w="1281" w:type="dxa"/>
            <w:tcBorders>
              <w:top w:val="single" w:sz="4" w:space="0" w:color="auto"/>
              <w:bottom w:val="single" w:sz="4" w:space="0" w:color="auto"/>
            </w:tcBorders>
            <w:noWrap/>
            <w:hideMark/>
          </w:tcPr>
          <w:p w14:paraId="28C86D28"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Average</w:t>
            </w:r>
          </w:p>
        </w:tc>
      </w:tr>
      <w:tr w:rsidR="006A5278" w:rsidRPr="006A5278" w14:paraId="122B83EF" w14:textId="77777777" w:rsidTr="00935951">
        <w:trPr>
          <w:trHeight w:val="233"/>
          <w:jc w:val="center"/>
        </w:trPr>
        <w:tc>
          <w:tcPr>
            <w:tcW w:w="1728" w:type="dxa"/>
            <w:tcBorders>
              <w:top w:val="single" w:sz="4" w:space="0" w:color="auto"/>
            </w:tcBorders>
            <w:noWrap/>
            <w:hideMark/>
          </w:tcPr>
          <w:p w14:paraId="0AFA3C4B" w14:textId="77777777" w:rsidR="006A5278" w:rsidRPr="006A5278" w:rsidRDefault="006A5278" w:rsidP="00935951">
            <w:pPr>
              <w:widowControl/>
              <w:autoSpaceDE/>
              <w:autoSpaceDN/>
              <w:rPr>
                <w:rFonts w:ascii="Calibri" w:eastAsia="Times New Roman" w:hAnsi="Calibri" w:cs="Calibri"/>
                <w:color w:val="000000"/>
              </w:rPr>
            </w:pPr>
            <w:r w:rsidRPr="006A5278">
              <w:rPr>
                <w:rFonts w:ascii="Calibri" w:eastAsia="Times New Roman" w:hAnsi="Calibri" w:cs="Calibri"/>
                <w:color w:val="000000"/>
              </w:rPr>
              <w:t>CRU</w:t>
            </w:r>
          </w:p>
        </w:tc>
        <w:tc>
          <w:tcPr>
            <w:tcW w:w="1281" w:type="dxa"/>
            <w:tcBorders>
              <w:top w:val="single" w:sz="4" w:space="0" w:color="auto"/>
            </w:tcBorders>
            <w:noWrap/>
            <w:hideMark/>
          </w:tcPr>
          <w:p w14:paraId="3CE7CF74"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0.91</w:t>
            </w:r>
          </w:p>
        </w:tc>
        <w:tc>
          <w:tcPr>
            <w:tcW w:w="1281" w:type="dxa"/>
            <w:tcBorders>
              <w:top w:val="single" w:sz="4" w:space="0" w:color="auto"/>
            </w:tcBorders>
            <w:noWrap/>
            <w:hideMark/>
          </w:tcPr>
          <w:p w14:paraId="240E768D"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0.82</w:t>
            </w:r>
          </w:p>
        </w:tc>
        <w:tc>
          <w:tcPr>
            <w:tcW w:w="1281" w:type="dxa"/>
            <w:tcBorders>
              <w:top w:val="single" w:sz="4" w:space="0" w:color="auto"/>
            </w:tcBorders>
            <w:noWrap/>
            <w:hideMark/>
          </w:tcPr>
          <w:p w14:paraId="59E6B7CB"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0.75</w:t>
            </w:r>
          </w:p>
        </w:tc>
        <w:tc>
          <w:tcPr>
            <w:tcW w:w="1404" w:type="dxa"/>
            <w:tcBorders>
              <w:top w:val="single" w:sz="4" w:space="0" w:color="auto"/>
            </w:tcBorders>
            <w:noWrap/>
            <w:hideMark/>
          </w:tcPr>
          <w:p w14:paraId="0325C5E9"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0.81</w:t>
            </w:r>
          </w:p>
        </w:tc>
        <w:tc>
          <w:tcPr>
            <w:tcW w:w="1281" w:type="dxa"/>
            <w:tcBorders>
              <w:top w:val="single" w:sz="4" w:space="0" w:color="auto"/>
            </w:tcBorders>
            <w:noWrap/>
            <w:hideMark/>
          </w:tcPr>
          <w:p w14:paraId="5B2622FB"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0.86</w:t>
            </w:r>
          </w:p>
        </w:tc>
        <w:tc>
          <w:tcPr>
            <w:tcW w:w="1281" w:type="dxa"/>
            <w:tcBorders>
              <w:top w:val="single" w:sz="4" w:space="0" w:color="auto"/>
            </w:tcBorders>
            <w:noWrap/>
            <w:hideMark/>
          </w:tcPr>
          <w:p w14:paraId="6118DEE3" w14:textId="77777777" w:rsidR="006A5278" w:rsidRPr="00935951" w:rsidRDefault="006A5278" w:rsidP="00935951">
            <w:pPr>
              <w:widowControl/>
              <w:autoSpaceDE/>
              <w:autoSpaceDN/>
              <w:jc w:val="center"/>
              <w:rPr>
                <w:rFonts w:ascii="Calibri" w:eastAsia="Times New Roman" w:hAnsi="Calibri" w:cs="Calibri"/>
                <w:b/>
                <w:color w:val="000000"/>
              </w:rPr>
            </w:pPr>
            <w:r w:rsidRPr="00935951">
              <w:rPr>
                <w:rFonts w:ascii="Calibri" w:eastAsia="Times New Roman" w:hAnsi="Calibri" w:cs="Calibri"/>
                <w:b/>
                <w:color w:val="000000"/>
              </w:rPr>
              <w:t>0.83</w:t>
            </w:r>
          </w:p>
        </w:tc>
      </w:tr>
      <w:tr w:rsidR="006A5278" w:rsidRPr="006A5278" w14:paraId="0A584C7E" w14:textId="77777777" w:rsidTr="00935951">
        <w:trPr>
          <w:trHeight w:val="251"/>
          <w:jc w:val="center"/>
        </w:trPr>
        <w:tc>
          <w:tcPr>
            <w:tcW w:w="1728" w:type="dxa"/>
            <w:noWrap/>
            <w:hideMark/>
          </w:tcPr>
          <w:p w14:paraId="2A7116A8" w14:textId="77777777" w:rsidR="006A5278" w:rsidRPr="006A5278" w:rsidRDefault="006A5278" w:rsidP="00935951">
            <w:pPr>
              <w:widowControl/>
              <w:autoSpaceDE/>
              <w:autoSpaceDN/>
              <w:rPr>
                <w:rFonts w:ascii="Calibri" w:eastAsia="Times New Roman" w:hAnsi="Calibri" w:cs="Calibri"/>
                <w:color w:val="000000"/>
              </w:rPr>
            </w:pPr>
            <w:r w:rsidRPr="006A5278">
              <w:rPr>
                <w:rFonts w:ascii="Calibri" w:eastAsia="Times New Roman" w:hAnsi="Calibri" w:cs="Calibri"/>
                <w:color w:val="000000"/>
              </w:rPr>
              <w:t>ERA5</w:t>
            </w:r>
          </w:p>
        </w:tc>
        <w:tc>
          <w:tcPr>
            <w:tcW w:w="1281" w:type="dxa"/>
            <w:noWrap/>
            <w:hideMark/>
          </w:tcPr>
          <w:p w14:paraId="4F7EF2A9"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0.68</w:t>
            </w:r>
          </w:p>
        </w:tc>
        <w:tc>
          <w:tcPr>
            <w:tcW w:w="1281" w:type="dxa"/>
            <w:noWrap/>
            <w:hideMark/>
          </w:tcPr>
          <w:p w14:paraId="5430301C"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0.56</w:t>
            </w:r>
          </w:p>
        </w:tc>
        <w:tc>
          <w:tcPr>
            <w:tcW w:w="1281" w:type="dxa"/>
            <w:noWrap/>
            <w:hideMark/>
          </w:tcPr>
          <w:p w14:paraId="57B27F88"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0.38</w:t>
            </w:r>
          </w:p>
        </w:tc>
        <w:tc>
          <w:tcPr>
            <w:tcW w:w="1404" w:type="dxa"/>
            <w:noWrap/>
            <w:hideMark/>
          </w:tcPr>
          <w:p w14:paraId="75D36AAE"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0.23</w:t>
            </w:r>
          </w:p>
        </w:tc>
        <w:tc>
          <w:tcPr>
            <w:tcW w:w="1281" w:type="dxa"/>
            <w:noWrap/>
            <w:hideMark/>
          </w:tcPr>
          <w:p w14:paraId="4AB09317"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0.39</w:t>
            </w:r>
          </w:p>
        </w:tc>
        <w:tc>
          <w:tcPr>
            <w:tcW w:w="1281" w:type="dxa"/>
            <w:noWrap/>
            <w:hideMark/>
          </w:tcPr>
          <w:p w14:paraId="7307B930" w14:textId="77777777" w:rsidR="006A5278" w:rsidRPr="00935951" w:rsidRDefault="006A5278" w:rsidP="00935951">
            <w:pPr>
              <w:widowControl/>
              <w:autoSpaceDE/>
              <w:autoSpaceDN/>
              <w:jc w:val="center"/>
              <w:rPr>
                <w:rFonts w:ascii="Calibri" w:eastAsia="Times New Roman" w:hAnsi="Calibri" w:cs="Calibri"/>
                <w:b/>
                <w:color w:val="000000"/>
              </w:rPr>
            </w:pPr>
            <w:r w:rsidRPr="00935951">
              <w:rPr>
                <w:rFonts w:ascii="Calibri" w:eastAsia="Times New Roman" w:hAnsi="Calibri" w:cs="Calibri"/>
                <w:b/>
                <w:color w:val="000000"/>
              </w:rPr>
              <w:t>0.45</w:t>
            </w:r>
          </w:p>
        </w:tc>
      </w:tr>
      <w:tr w:rsidR="006A5278" w:rsidRPr="006A5278" w14:paraId="5A9C6A1F" w14:textId="77777777" w:rsidTr="00935951">
        <w:trPr>
          <w:trHeight w:val="233"/>
          <w:jc w:val="center"/>
        </w:trPr>
        <w:tc>
          <w:tcPr>
            <w:tcW w:w="1728" w:type="dxa"/>
            <w:noWrap/>
            <w:hideMark/>
          </w:tcPr>
          <w:p w14:paraId="787B4062" w14:textId="77777777" w:rsidR="006A5278" w:rsidRPr="006A5278" w:rsidRDefault="006A5278" w:rsidP="00935951">
            <w:pPr>
              <w:widowControl/>
              <w:autoSpaceDE/>
              <w:autoSpaceDN/>
              <w:rPr>
                <w:rFonts w:ascii="Calibri" w:eastAsia="Times New Roman" w:hAnsi="Calibri" w:cs="Calibri"/>
                <w:color w:val="000000"/>
              </w:rPr>
            </w:pPr>
            <w:r w:rsidRPr="006A5278">
              <w:rPr>
                <w:rFonts w:ascii="Calibri" w:eastAsia="Times New Roman" w:hAnsi="Calibri" w:cs="Calibri"/>
                <w:color w:val="000000"/>
              </w:rPr>
              <w:t>MERRA2</w:t>
            </w:r>
          </w:p>
        </w:tc>
        <w:tc>
          <w:tcPr>
            <w:tcW w:w="1281" w:type="dxa"/>
            <w:noWrap/>
            <w:hideMark/>
          </w:tcPr>
          <w:p w14:paraId="2B61DBCD"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0.86</w:t>
            </w:r>
          </w:p>
        </w:tc>
        <w:tc>
          <w:tcPr>
            <w:tcW w:w="1281" w:type="dxa"/>
            <w:noWrap/>
            <w:hideMark/>
          </w:tcPr>
          <w:p w14:paraId="643A0609"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0.83</w:t>
            </w:r>
          </w:p>
        </w:tc>
        <w:tc>
          <w:tcPr>
            <w:tcW w:w="1281" w:type="dxa"/>
            <w:noWrap/>
            <w:hideMark/>
          </w:tcPr>
          <w:p w14:paraId="21067AD0"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0.71</w:t>
            </w:r>
          </w:p>
        </w:tc>
        <w:tc>
          <w:tcPr>
            <w:tcW w:w="1404" w:type="dxa"/>
            <w:noWrap/>
            <w:hideMark/>
          </w:tcPr>
          <w:p w14:paraId="10A2347D"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0.48</w:t>
            </w:r>
          </w:p>
        </w:tc>
        <w:tc>
          <w:tcPr>
            <w:tcW w:w="1281" w:type="dxa"/>
            <w:noWrap/>
            <w:hideMark/>
          </w:tcPr>
          <w:p w14:paraId="39C4585B"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0.62</w:t>
            </w:r>
          </w:p>
        </w:tc>
        <w:tc>
          <w:tcPr>
            <w:tcW w:w="1281" w:type="dxa"/>
            <w:noWrap/>
            <w:hideMark/>
          </w:tcPr>
          <w:p w14:paraId="3C7E76B2" w14:textId="77777777" w:rsidR="006A5278" w:rsidRPr="00935951" w:rsidRDefault="006A5278" w:rsidP="00935951">
            <w:pPr>
              <w:widowControl/>
              <w:autoSpaceDE/>
              <w:autoSpaceDN/>
              <w:jc w:val="center"/>
              <w:rPr>
                <w:rFonts w:ascii="Calibri" w:eastAsia="Times New Roman" w:hAnsi="Calibri" w:cs="Calibri"/>
                <w:b/>
                <w:color w:val="000000"/>
              </w:rPr>
            </w:pPr>
            <w:r w:rsidRPr="00935951">
              <w:rPr>
                <w:rFonts w:ascii="Calibri" w:eastAsia="Times New Roman" w:hAnsi="Calibri" w:cs="Calibri"/>
                <w:b/>
                <w:color w:val="000000"/>
              </w:rPr>
              <w:t>0.7</w:t>
            </w:r>
          </w:p>
        </w:tc>
      </w:tr>
      <w:tr w:rsidR="006A5278" w:rsidRPr="006A5278" w14:paraId="12432465" w14:textId="77777777" w:rsidTr="00935951">
        <w:trPr>
          <w:trHeight w:val="269"/>
          <w:jc w:val="center"/>
        </w:trPr>
        <w:tc>
          <w:tcPr>
            <w:tcW w:w="1728" w:type="dxa"/>
            <w:noWrap/>
            <w:hideMark/>
          </w:tcPr>
          <w:p w14:paraId="3DA010D6" w14:textId="77777777" w:rsidR="006A5278" w:rsidRPr="006A5278" w:rsidRDefault="006A5278" w:rsidP="00935951">
            <w:pPr>
              <w:widowControl/>
              <w:autoSpaceDE/>
              <w:autoSpaceDN/>
              <w:rPr>
                <w:rFonts w:ascii="Calibri" w:eastAsia="Times New Roman" w:hAnsi="Calibri" w:cs="Calibri"/>
                <w:color w:val="000000"/>
              </w:rPr>
            </w:pPr>
            <w:r w:rsidRPr="006A5278">
              <w:rPr>
                <w:rFonts w:ascii="Calibri" w:eastAsia="Times New Roman" w:hAnsi="Calibri" w:cs="Calibri"/>
                <w:color w:val="000000"/>
              </w:rPr>
              <w:t>MSWX</w:t>
            </w:r>
          </w:p>
        </w:tc>
        <w:tc>
          <w:tcPr>
            <w:tcW w:w="1281" w:type="dxa"/>
            <w:noWrap/>
            <w:hideMark/>
          </w:tcPr>
          <w:p w14:paraId="40B2B8F6"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0.94</w:t>
            </w:r>
          </w:p>
        </w:tc>
        <w:tc>
          <w:tcPr>
            <w:tcW w:w="1281" w:type="dxa"/>
            <w:noWrap/>
            <w:hideMark/>
          </w:tcPr>
          <w:p w14:paraId="236E7954"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0.85</w:t>
            </w:r>
          </w:p>
        </w:tc>
        <w:tc>
          <w:tcPr>
            <w:tcW w:w="1281" w:type="dxa"/>
            <w:noWrap/>
            <w:hideMark/>
          </w:tcPr>
          <w:p w14:paraId="60315BB0"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0.77</w:t>
            </w:r>
          </w:p>
        </w:tc>
        <w:tc>
          <w:tcPr>
            <w:tcW w:w="1404" w:type="dxa"/>
            <w:noWrap/>
            <w:hideMark/>
          </w:tcPr>
          <w:p w14:paraId="60975669"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0.76</w:t>
            </w:r>
          </w:p>
        </w:tc>
        <w:tc>
          <w:tcPr>
            <w:tcW w:w="1281" w:type="dxa"/>
            <w:noWrap/>
            <w:hideMark/>
          </w:tcPr>
          <w:p w14:paraId="28DAF46E"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w:t>
            </w:r>
          </w:p>
        </w:tc>
        <w:tc>
          <w:tcPr>
            <w:tcW w:w="1281" w:type="dxa"/>
            <w:noWrap/>
            <w:hideMark/>
          </w:tcPr>
          <w:p w14:paraId="72DFE438" w14:textId="77777777" w:rsidR="006A5278" w:rsidRPr="00935951" w:rsidRDefault="006A5278" w:rsidP="00935951">
            <w:pPr>
              <w:widowControl/>
              <w:autoSpaceDE/>
              <w:autoSpaceDN/>
              <w:jc w:val="center"/>
              <w:rPr>
                <w:rFonts w:ascii="Calibri" w:eastAsia="Times New Roman" w:hAnsi="Calibri" w:cs="Calibri"/>
                <w:b/>
                <w:color w:val="000000"/>
              </w:rPr>
            </w:pPr>
            <w:r w:rsidRPr="00935951">
              <w:rPr>
                <w:rFonts w:ascii="Calibri" w:eastAsia="Times New Roman" w:hAnsi="Calibri" w:cs="Calibri"/>
                <w:b/>
                <w:color w:val="000000"/>
              </w:rPr>
              <w:t>0.82</w:t>
            </w:r>
          </w:p>
        </w:tc>
      </w:tr>
      <w:tr w:rsidR="006A5278" w:rsidRPr="006A5278" w14:paraId="2515FCDB" w14:textId="77777777" w:rsidTr="00935951">
        <w:trPr>
          <w:trHeight w:val="251"/>
          <w:jc w:val="center"/>
        </w:trPr>
        <w:tc>
          <w:tcPr>
            <w:tcW w:w="1728" w:type="dxa"/>
            <w:noWrap/>
            <w:hideMark/>
          </w:tcPr>
          <w:p w14:paraId="34D7E752" w14:textId="77777777" w:rsidR="006A5278" w:rsidRPr="006A5278" w:rsidRDefault="006A5278" w:rsidP="00935951">
            <w:pPr>
              <w:widowControl/>
              <w:autoSpaceDE/>
              <w:autoSpaceDN/>
              <w:rPr>
                <w:rFonts w:ascii="Calibri" w:eastAsia="Times New Roman" w:hAnsi="Calibri" w:cs="Calibri"/>
                <w:color w:val="000000"/>
              </w:rPr>
            </w:pPr>
            <w:proofErr w:type="spellStart"/>
            <w:r w:rsidRPr="006A5278">
              <w:rPr>
                <w:rFonts w:ascii="Calibri" w:eastAsia="Times New Roman" w:hAnsi="Calibri" w:cs="Calibri"/>
                <w:color w:val="000000"/>
              </w:rPr>
              <w:t>TerraClimate</w:t>
            </w:r>
            <w:proofErr w:type="spellEnd"/>
          </w:p>
        </w:tc>
        <w:tc>
          <w:tcPr>
            <w:tcW w:w="1281" w:type="dxa"/>
            <w:noWrap/>
            <w:hideMark/>
          </w:tcPr>
          <w:p w14:paraId="59D20A35"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0.93</w:t>
            </w:r>
          </w:p>
        </w:tc>
        <w:tc>
          <w:tcPr>
            <w:tcW w:w="1281" w:type="dxa"/>
            <w:noWrap/>
            <w:hideMark/>
          </w:tcPr>
          <w:p w14:paraId="69DE6FCA"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0.81</w:t>
            </w:r>
          </w:p>
        </w:tc>
        <w:tc>
          <w:tcPr>
            <w:tcW w:w="1281" w:type="dxa"/>
            <w:noWrap/>
            <w:hideMark/>
          </w:tcPr>
          <w:p w14:paraId="15737EBD"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0.75</w:t>
            </w:r>
          </w:p>
        </w:tc>
        <w:tc>
          <w:tcPr>
            <w:tcW w:w="1404" w:type="dxa"/>
            <w:noWrap/>
            <w:hideMark/>
          </w:tcPr>
          <w:p w14:paraId="0AD1D0C9"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0.80</w:t>
            </w:r>
          </w:p>
        </w:tc>
        <w:tc>
          <w:tcPr>
            <w:tcW w:w="1281" w:type="dxa"/>
            <w:noWrap/>
            <w:hideMark/>
          </w:tcPr>
          <w:p w14:paraId="2E43645F" w14:textId="77777777" w:rsidR="006A5278" w:rsidRPr="006A5278" w:rsidRDefault="006A5278" w:rsidP="00935951">
            <w:pPr>
              <w:widowControl/>
              <w:autoSpaceDE/>
              <w:autoSpaceDN/>
              <w:jc w:val="center"/>
              <w:rPr>
                <w:rFonts w:ascii="Calibri" w:eastAsia="Times New Roman" w:hAnsi="Calibri" w:cs="Calibri"/>
                <w:color w:val="000000"/>
              </w:rPr>
            </w:pPr>
            <w:r w:rsidRPr="006A5278">
              <w:rPr>
                <w:rFonts w:ascii="Calibri" w:eastAsia="Times New Roman" w:hAnsi="Calibri" w:cs="Calibri"/>
                <w:color w:val="000000"/>
              </w:rPr>
              <w:t>0.86</w:t>
            </w:r>
          </w:p>
        </w:tc>
        <w:tc>
          <w:tcPr>
            <w:tcW w:w="1281" w:type="dxa"/>
            <w:noWrap/>
            <w:hideMark/>
          </w:tcPr>
          <w:p w14:paraId="6A6E5093" w14:textId="77777777" w:rsidR="006A5278" w:rsidRPr="00935951" w:rsidRDefault="006A5278" w:rsidP="00935951">
            <w:pPr>
              <w:widowControl/>
              <w:autoSpaceDE/>
              <w:autoSpaceDN/>
              <w:jc w:val="center"/>
              <w:rPr>
                <w:rFonts w:ascii="Calibri" w:eastAsia="Times New Roman" w:hAnsi="Calibri" w:cs="Calibri"/>
                <w:b/>
                <w:color w:val="000000"/>
              </w:rPr>
            </w:pPr>
            <w:r w:rsidRPr="00935951">
              <w:rPr>
                <w:rFonts w:ascii="Calibri" w:eastAsia="Times New Roman" w:hAnsi="Calibri" w:cs="Calibri"/>
                <w:b/>
                <w:color w:val="000000"/>
              </w:rPr>
              <w:t>0.83</w:t>
            </w:r>
          </w:p>
        </w:tc>
      </w:tr>
    </w:tbl>
    <w:p w14:paraId="1CD00E8A" w14:textId="608FC86A" w:rsidR="006A5278" w:rsidRDefault="006A5278" w:rsidP="00935951">
      <w:pPr>
        <w:pStyle w:val="Heading1"/>
        <w:tabs>
          <w:tab w:val="left" w:pos="1269"/>
        </w:tabs>
        <w:spacing w:after="240" w:line="360" w:lineRule="auto"/>
        <w:ind w:left="0" w:firstLine="0"/>
        <w:rPr>
          <w:b w:val="0"/>
        </w:rPr>
      </w:pPr>
      <w:r w:rsidRPr="00935951">
        <w:rPr>
          <w:b w:val="0"/>
        </w:rPr>
        <w:t>Note: Bold indicates areal averages of the five stations in Ethiopia</w:t>
      </w:r>
    </w:p>
    <w:p w14:paraId="110A782C" w14:textId="77777777" w:rsidR="006259F3" w:rsidRDefault="006259F3" w:rsidP="00935951">
      <w:pPr>
        <w:pStyle w:val="Heading1"/>
        <w:tabs>
          <w:tab w:val="left" w:pos="1269"/>
        </w:tabs>
        <w:spacing w:after="240" w:line="360" w:lineRule="auto"/>
        <w:ind w:left="0" w:firstLine="0"/>
        <w:rPr>
          <w:b w:val="0"/>
        </w:rPr>
      </w:pPr>
    </w:p>
    <w:p w14:paraId="41C1A3B2" w14:textId="77777777" w:rsidR="00C43F61" w:rsidRPr="00935951" w:rsidRDefault="00C43F61" w:rsidP="00935951">
      <w:pPr>
        <w:pStyle w:val="Heading1"/>
        <w:tabs>
          <w:tab w:val="left" w:pos="1269"/>
        </w:tabs>
        <w:spacing w:after="240" w:line="360" w:lineRule="auto"/>
        <w:ind w:left="0" w:firstLine="0"/>
        <w:rPr>
          <w:b w:val="0"/>
          <w:sz w:val="32"/>
          <w:szCs w:val="32"/>
        </w:rPr>
      </w:pPr>
    </w:p>
    <w:p w14:paraId="0E8714EB" w14:textId="2D355BD8" w:rsidR="00D452FC" w:rsidRPr="00022CA4" w:rsidRDefault="009426E6" w:rsidP="006423FF">
      <w:pPr>
        <w:pStyle w:val="Heading1"/>
        <w:tabs>
          <w:tab w:val="left" w:pos="1269"/>
        </w:tabs>
        <w:spacing w:before="240" w:after="240" w:line="360" w:lineRule="auto"/>
        <w:ind w:left="0" w:firstLine="0"/>
        <w:rPr>
          <w:sz w:val="32"/>
          <w:szCs w:val="32"/>
        </w:rPr>
      </w:pPr>
      <w:r w:rsidRPr="00022CA4">
        <w:rPr>
          <w:sz w:val="32"/>
          <w:szCs w:val="32"/>
        </w:rPr>
        <w:t xml:space="preserve">3. </w:t>
      </w:r>
      <w:r w:rsidR="00FB0BAF" w:rsidRPr="00022CA4">
        <w:rPr>
          <w:sz w:val="32"/>
          <w:szCs w:val="32"/>
        </w:rPr>
        <w:t>Results</w:t>
      </w:r>
      <w:r w:rsidR="00FB0BAF" w:rsidRPr="00022CA4">
        <w:rPr>
          <w:spacing w:val="-4"/>
          <w:sz w:val="32"/>
          <w:szCs w:val="32"/>
        </w:rPr>
        <w:t xml:space="preserve"> </w:t>
      </w:r>
    </w:p>
    <w:p w14:paraId="4A88B3AF" w14:textId="134A5776" w:rsidR="00056852" w:rsidRPr="00022CA4" w:rsidRDefault="00D452FC" w:rsidP="00EE4D7D">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lastRenderedPageBreak/>
        <w:t xml:space="preserve">3.1. </w:t>
      </w:r>
      <w:r w:rsidR="009B71DF" w:rsidRPr="00022CA4">
        <w:rPr>
          <w:rFonts w:ascii="Times New Roman" w:hAnsi="Times New Roman" w:cs="Times New Roman"/>
          <w:color w:val="auto"/>
          <w:sz w:val="28"/>
          <w:szCs w:val="28"/>
        </w:rPr>
        <w:t>Climatology</w:t>
      </w:r>
      <w:r w:rsidR="009B71DF" w:rsidRPr="00022CA4" w:rsidDel="00056852">
        <w:rPr>
          <w:rFonts w:ascii="Times New Roman" w:hAnsi="Times New Roman" w:cs="Times New Roman"/>
          <w:color w:val="auto"/>
          <w:sz w:val="28"/>
          <w:szCs w:val="28"/>
        </w:rPr>
        <w:t xml:space="preserve"> </w:t>
      </w:r>
      <w:r w:rsidR="009B71DF" w:rsidRPr="00022CA4">
        <w:rPr>
          <w:rFonts w:ascii="Times New Roman" w:hAnsi="Times New Roman" w:cs="Times New Roman"/>
          <w:color w:val="auto"/>
          <w:sz w:val="28"/>
          <w:szCs w:val="28"/>
        </w:rPr>
        <w:t xml:space="preserve">of </w:t>
      </w:r>
      <w:r w:rsidR="00056852" w:rsidRPr="00022CA4">
        <w:rPr>
          <w:rFonts w:ascii="Times New Roman" w:hAnsi="Times New Roman" w:cs="Times New Roman"/>
          <w:color w:val="auto"/>
          <w:sz w:val="28"/>
          <w:szCs w:val="28"/>
        </w:rPr>
        <w:t xml:space="preserve">Rainfall, Evapotranspiration, and Climatic Water Balance </w:t>
      </w:r>
    </w:p>
    <w:p w14:paraId="3705ED53" w14:textId="10BBCEE3" w:rsidR="009B71DF" w:rsidRPr="00022CA4" w:rsidRDefault="009B71DF" w:rsidP="00EE4D7D">
      <w:pPr>
        <w:pStyle w:val="Heading3"/>
        <w:spacing w:after="240" w:line="360" w:lineRule="auto"/>
        <w:rPr>
          <w:rFonts w:ascii="Times New Roman" w:hAnsi="Times New Roman" w:cs="Times New Roman"/>
          <w:b/>
          <w:bCs/>
          <w:color w:val="auto"/>
          <w:spacing w:val="-2"/>
        </w:rPr>
      </w:pPr>
      <w:r w:rsidRPr="00022CA4">
        <w:rPr>
          <w:rFonts w:ascii="Times New Roman" w:hAnsi="Times New Roman" w:cs="Times New Roman"/>
          <w:b/>
          <w:bCs/>
          <w:color w:val="auto"/>
        </w:rPr>
        <w:t xml:space="preserve">3.1.1 Climatology of Rainfall and </w:t>
      </w:r>
      <w:r w:rsidR="00E72364" w:rsidRPr="00022CA4">
        <w:rPr>
          <w:rFonts w:ascii="Times New Roman" w:hAnsi="Times New Roman" w:cs="Times New Roman"/>
          <w:b/>
          <w:bCs/>
          <w:color w:val="auto"/>
        </w:rPr>
        <w:t xml:space="preserve">Reference </w:t>
      </w:r>
      <w:r w:rsidRPr="00022CA4">
        <w:rPr>
          <w:rFonts w:ascii="Times New Roman" w:hAnsi="Times New Roman" w:cs="Times New Roman"/>
          <w:b/>
          <w:bCs/>
          <w:color w:val="auto"/>
        </w:rPr>
        <w:t>Evapotranspiration in Ethiopia</w:t>
      </w:r>
    </w:p>
    <w:p w14:paraId="67F18666" w14:textId="44B5984C" w:rsidR="00A03769" w:rsidRPr="00022CA4" w:rsidRDefault="00EB2182" w:rsidP="00EE4D7D">
      <w:pPr>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During 1980-2021</w:t>
      </w:r>
      <w:r w:rsidR="005F33B3" w:rsidRPr="00022CA4">
        <w:rPr>
          <w:rFonts w:ascii="Times New Roman" w:hAnsi="Times New Roman" w:cs="Times New Roman"/>
          <w:sz w:val="24"/>
          <w:szCs w:val="24"/>
        </w:rPr>
        <w:t xml:space="preserve"> t</w:t>
      </w:r>
      <w:r w:rsidR="00185C52" w:rsidRPr="00022CA4">
        <w:rPr>
          <w:rFonts w:ascii="Times New Roman" w:hAnsi="Times New Roman" w:cs="Times New Roman"/>
          <w:sz w:val="24"/>
          <w:szCs w:val="24"/>
        </w:rPr>
        <w:t xml:space="preserve">he </w:t>
      </w:r>
      <w:r w:rsidR="005F33B3" w:rsidRPr="00022CA4">
        <w:rPr>
          <w:rFonts w:ascii="Times New Roman" w:hAnsi="Times New Roman" w:cs="Times New Roman"/>
          <w:sz w:val="24"/>
          <w:szCs w:val="24"/>
        </w:rPr>
        <w:t xml:space="preserve">mean </w:t>
      </w:r>
      <w:r w:rsidR="00185C52" w:rsidRPr="00022CA4">
        <w:rPr>
          <w:rFonts w:ascii="Times New Roman" w:hAnsi="Times New Roman" w:cs="Times New Roman"/>
          <w:sz w:val="24"/>
          <w:szCs w:val="24"/>
        </w:rPr>
        <w:t xml:space="preserve">annual </w:t>
      </w:r>
      <w:r w:rsidR="001C4477">
        <w:rPr>
          <w:rFonts w:ascii="Times New Roman" w:hAnsi="Times New Roman" w:cs="Times New Roman"/>
          <w:sz w:val="24"/>
          <w:szCs w:val="24"/>
        </w:rPr>
        <w:t>rainfall</w:t>
      </w:r>
      <w:r w:rsidR="00185C52" w:rsidRPr="00022CA4">
        <w:rPr>
          <w:rFonts w:ascii="Times New Roman" w:hAnsi="Times New Roman" w:cs="Times New Roman"/>
          <w:sz w:val="24"/>
          <w:szCs w:val="24"/>
        </w:rPr>
        <w:t xml:space="preserve"> in Ethiopia </w:t>
      </w:r>
      <w:r w:rsidR="005F33B3" w:rsidRPr="00022CA4">
        <w:rPr>
          <w:rFonts w:ascii="Times New Roman" w:hAnsi="Times New Roman" w:cs="Times New Roman"/>
          <w:sz w:val="24"/>
          <w:szCs w:val="24"/>
        </w:rPr>
        <w:t xml:space="preserve">was </w:t>
      </w:r>
      <w:r w:rsidR="00185C52" w:rsidRPr="00022CA4">
        <w:rPr>
          <w:rFonts w:ascii="Times New Roman" w:hAnsi="Times New Roman" w:cs="Times New Roman"/>
          <w:sz w:val="24"/>
          <w:szCs w:val="24"/>
        </w:rPr>
        <w:t xml:space="preserve">773 mm </w:t>
      </w:r>
      <w:r w:rsidR="002E7DC6" w:rsidRPr="00022CA4">
        <w:rPr>
          <w:rFonts w:ascii="Times New Roman" w:hAnsi="Times New Roman" w:cs="Times New Roman"/>
          <w:sz w:val="24"/>
          <w:szCs w:val="24"/>
        </w:rPr>
        <w:t xml:space="preserve">masking </w:t>
      </w:r>
      <w:r w:rsidR="00185C52" w:rsidRPr="00022CA4">
        <w:rPr>
          <w:rFonts w:ascii="Times New Roman" w:hAnsi="Times New Roman" w:cs="Times New Roman"/>
          <w:sz w:val="24"/>
          <w:szCs w:val="24"/>
        </w:rPr>
        <w:t>significant regional differences</w:t>
      </w:r>
      <w:r w:rsidR="00F502C8" w:rsidRPr="00022CA4">
        <w:rPr>
          <w:rFonts w:ascii="Times New Roman" w:hAnsi="Times New Roman" w:cs="Times New Roman"/>
          <w:sz w:val="24"/>
          <w:szCs w:val="24"/>
        </w:rPr>
        <w:t xml:space="preserve"> among Ethiopian basins</w:t>
      </w:r>
      <w:r w:rsidR="002E7DC6" w:rsidRPr="00022CA4">
        <w:rPr>
          <w:rFonts w:ascii="Times New Roman" w:hAnsi="Times New Roman" w:cs="Times New Roman"/>
          <w:sz w:val="24"/>
          <w:szCs w:val="24"/>
        </w:rPr>
        <w:t xml:space="preserve">, </w:t>
      </w:r>
      <w:r w:rsidR="00694D09" w:rsidRPr="00022CA4">
        <w:rPr>
          <w:rFonts w:ascii="Times New Roman" w:hAnsi="Times New Roman" w:cs="Times New Roman"/>
          <w:sz w:val="24"/>
          <w:szCs w:val="24"/>
        </w:rPr>
        <w:t>see</w:t>
      </w:r>
      <w:r w:rsidR="00185C52" w:rsidRPr="00022CA4">
        <w:rPr>
          <w:rFonts w:ascii="Times New Roman" w:hAnsi="Times New Roman" w:cs="Times New Roman"/>
          <w:sz w:val="24"/>
          <w:szCs w:val="24"/>
        </w:rPr>
        <w:t xml:space="preserve"> </w:t>
      </w:r>
      <w:r w:rsidR="00694D09" w:rsidRPr="00022CA4">
        <w:rPr>
          <w:rFonts w:ascii="Times New Roman" w:hAnsi="Times New Roman" w:cs="Times New Roman"/>
          <w:sz w:val="24"/>
          <w:szCs w:val="24"/>
        </w:rPr>
        <w:t>Fig. 2</w:t>
      </w:r>
      <w:r w:rsidR="00892E59" w:rsidRPr="00022CA4">
        <w:rPr>
          <w:rFonts w:ascii="Times New Roman" w:hAnsi="Times New Roman" w:cs="Times New Roman"/>
          <w:sz w:val="24"/>
          <w:szCs w:val="24"/>
        </w:rPr>
        <w:t>, Fig. 4,</w:t>
      </w:r>
      <w:r w:rsidR="002E7DC6" w:rsidRPr="00022CA4">
        <w:rPr>
          <w:rFonts w:ascii="Times New Roman" w:hAnsi="Times New Roman" w:cs="Times New Roman"/>
          <w:sz w:val="24"/>
          <w:szCs w:val="24"/>
        </w:rPr>
        <w:t xml:space="preserve"> and </w:t>
      </w:r>
      <w:r w:rsidR="003D57E5">
        <w:rPr>
          <w:rFonts w:ascii="Times New Roman" w:hAnsi="Times New Roman" w:cs="Times New Roman"/>
          <w:sz w:val="24"/>
          <w:szCs w:val="24"/>
        </w:rPr>
        <w:t xml:space="preserve">Table </w:t>
      </w:r>
      <w:r w:rsidR="00F85C4B">
        <w:rPr>
          <w:rFonts w:ascii="Times New Roman" w:hAnsi="Times New Roman" w:cs="Times New Roman"/>
          <w:sz w:val="24"/>
          <w:szCs w:val="24"/>
        </w:rPr>
        <w:t>6</w:t>
      </w:r>
      <w:r w:rsidR="002E7DC6" w:rsidRPr="00022CA4">
        <w:rPr>
          <w:rFonts w:ascii="Times New Roman" w:hAnsi="Times New Roman" w:cs="Times New Roman"/>
          <w:sz w:val="24"/>
          <w:szCs w:val="24"/>
        </w:rPr>
        <w:t>,</w:t>
      </w:r>
      <w:r w:rsidR="00694D09" w:rsidRPr="00022CA4">
        <w:rPr>
          <w:rFonts w:ascii="Times New Roman" w:hAnsi="Times New Roman" w:cs="Times New Roman"/>
          <w:sz w:val="24"/>
          <w:szCs w:val="24"/>
        </w:rPr>
        <w:t xml:space="preserve"> </w:t>
      </w:r>
      <w:r w:rsidR="00185C52" w:rsidRPr="00022CA4">
        <w:rPr>
          <w:rFonts w:ascii="Times New Roman" w:hAnsi="Times New Roman" w:cs="Times New Roman"/>
          <w:sz w:val="24"/>
          <w:szCs w:val="24"/>
        </w:rPr>
        <w:t xml:space="preserve">due to </w:t>
      </w:r>
      <w:r w:rsidR="00DB34A5" w:rsidRPr="00022CA4">
        <w:rPr>
          <w:rFonts w:ascii="Times New Roman" w:hAnsi="Times New Roman" w:cs="Times New Roman"/>
          <w:sz w:val="24"/>
          <w:szCs w:val="24"/>
        </w:rPr>
        <w:t>Ethiopia</w:t>
      </w:r>
      <w:r w:rsidR="00185C52" w:rsidRPr="00022CA4">
        <w:rPr>
          <w:rFonts w:ascii="Times New Roman" w:hAnsi="Times New Roman" w:cs="Times New Roman"/>
          <w:sz w:val="24"/>
          <w:szCs w:val="24"/>
        </w:rPr>
        <w:t>’s varied topography and the complex seasonal and spatial impacts of prevailing air masses and wind patterns.</w:t>
      </w:r>
      <w:r w:rsidR="00175272">
        <w:rPr>
          <w:rFonts w:ascii="Times New Roman" w:hAnsi="Times New Roman" w:cs="Times New Roman"/>
          <w:sz w:val="24"/>
          <w:szCs w:val="24"/>
        </w:rPr>
        <w:t xml:space="preserve"> </w:t>
      </w:r>
      <w:r w:rsidR="00175272" w:rsidRPr="00175272">
        <w:rPr>
          <w:rFonts w:ascii="Times New Roman" w:hAnsi="Times New Roman" w:cs="Times New Roman"/>
          <w:sz w:val="24"/>
          <w:szCs w:val="24"/>
        </w:rPr>
        <w:t xml:space="preserve">In hydrometeorology, </w:t>
      </w:r>
      <w:r w:rsidR="00175272" w:rsidRPr="00175272">
        <w:rPr>
          <w:rFonts w:ascii="Times New Roman" w:hAnsi="Times New Roman" w:cs="Times New Roman"/>
          <w:bCs/>
          <w:sz w:val="24"/>
          <w:szCs w:val="24"/>
        </w:rPr>
        <w:t>surplus</w:t>
      </w:r>
      <w:r w:rsidR="00175272" w:rsidRPr="00175272">
        <w:rPr>
          <w:rFonts w:ascii="Times New Roman" w:hAnsi="Times New Roman" w:cs="Times New Roman"/>
          <w:sz w:val="24"/>
          <w:szCs w:val="24"/>
        </w:rPr>
        <w:t xml:space="preserve"> and </w:t>
      </w:r>
      <w:r w:rsidR="00175272" w:rsidRPr="00175272">
        <w:rPr>
          <w:rFonts w:ascii="Times New Roman" w:hAnsi="Times New Roman" w:cs="Times New Roman"/>
          <w:bCs/>
          <w:sz w:val="24"/>
          <w:szCs w:val="24"/>
        </w:rPr>
        <w:t>deficient</w:t>
      </w:r>
      <w:r w:rsidR="00175272" w:rsidRPr="00175272">
        <w:rPr>
          <w:rFonts w:ascii="Times New Roman" w:hAnsi="Times New Roman" w:cs="Times New Roman"/>
          <w:sz w:val="24"/>
          <w:szCs w:val="24"/>
        </w:rPr>
        <w:t xml:space="preserve"> refer to the balance between rainfall (precipitation) and evapotranspiration (ET), indicating the amount of water available relative to the amount lost through evaporation and plant transpiration. On an annual, seasonal, or monthly basis, when rainfall exceeds evapotranspiration, it results in a </w:t>
      </w:r>
      <w:r w:rsidR="00175272" w:rsidRPr="00175272">
        <w:rPr>
          <w:rFonts w:ascii="Times New Roman" w:hAnsi="Times New Roman" w:cs="Times New Roman"/>
          <w:bCs/>
          <w:sz w:val="24"/>
          <w:szCs w:val="24"/>
        </w:rPr>
        <w:t>surplus</w:t>
      </w:r>
      <w:r w:rsidR="00175272" w:rsidRPr="00175272">
        <w:rPr>
          <w:rFonts w:ascii="Times New Roman" w:hAnsi="Times New Roman" w:cs="Times New Roman"/>
          <w:sz w:val="24"/>
          <w:szCs w:val="24"/>
        </w:rPr>
        <w:t xml:space="preserve">, whereas when evapotranspiration is greater than rainfall, it indicates a </w:t>
      </w:r>
      <w:r w:rsidR="00175272" w:rsidRPr="00175272">
        <w:rPr>
          <w:rFonts w:ascii="Times New Roman" w:hAnsi="Times New Roman" w:cs="Times New Roman"/>
          <w:bCs/>
          <w:sz w:val="24"/>
          <w:szCs w:val="24"/>
        </w:rPr>
        <w:t>deficiency</w:t>
      </w:r>
      <w:r w:rsidR="00175272" w:rsidRPr="00175272">
        <w:rPr>
          <w:rFonts w:ascii="Times New Roman" w:hAnsi="Times New Roman" w:cs="Times New Roman"/>
          <w:sz w:val="24"/>
          <w:szCs w:val="24"/>
        </w:rPr>
        <w:t>.</w:t>
      </w:r>
      <w:r w:rsidR="00185C52" w:rsidRPr="00022CA4">
        <w:rPr>
          <w:rFonts w:ascii="Times New Roman" w:hAnsi="Times New Roman" w:cs="Times New Roman"/>
          <w:sz w:val="24"/>
          <w:szCs w:val="24"/>
        </w:rPr>
        <w:t xml:space="preserve"> </w:t>
      </w:r>
      <w:r w:rsidR="00EC3241" w:rsidRPr="00022CA4">
        <w:rPr>
          <w:rFonts w:ascii="Times New Roman" w:hAnsi="Times New Roman" w:cs="Times New Roman"/>
          <w:sz w:val="24"/>
          <w:szCs w:val="24"/>
        </w:rPr>
        <w:t xml:space="preserve">The mean seasonal rainfall amount was the highest in </w:t>
      </w:r>
      <w:proofErr w:type="spellStart"/>
      <w:r w:rsidR="00EC3241" w:rsidRPr="00022CA4">
        <w:rPr>
          <w:rFonts w:ascii="Times New Roman" w:hAnsi="Times New Roman" w:cs="Times New Roman"/>
          <w:sz w:val="24"/>
          <w:szCs w:val="24"/>
        </w:rPr>
        <w:t>Kiremt</w:t>
      </w:r>
      <w:proofErr w:type="spellEnd"/>
      <w:r w:rsidR="00EC3241" w:rsidRPr="00022CA4">
        <w:rPr>
          <w:rFonts w:ascii="Times New Roman" w:hAnsi="Times New Roman" w:cs="Times New Roman"/>
          <w:sz w:val="24"/>
          <w:szCs w:val="24"/>
        </w:rPr>
        <w:t xml:space="preserve"> (</w:t>
      </w:r>
      <w:r w:rsidR="00EC3241" w:rsidRPr="00230236">
        <w:rPr>
          <w:rFonts w:ascii="Times New Roman" w:hAnsi="Times New Roman" w:cs="Times New Roman"/>
          <w:sz w:val="24"/>
          <w:szCs w:val="24"/>
        </w:rPr>
        <w:t>393</w:t>
      </w:r>
      <w:r w:rsidR="00230236" w:rsidRPr="00230236">
        <w:rPr>
          <w:rFonts w:ascii="Times New Roman" w:hAnsi="Times New Roman" w:cs="Times New Roman"/>
          <w:sz w:val="24"/>
          <w:szCs w:val="24"/>
        </w:rPr>
        <w:t xml:space="preserve"> </w:t>
      </w:r>
      <w:r w:rsidR="00EC3241" w:rsidRPr="00230236">
        <w:rPr>
          <w:rFonts w:ascii="Times New Roman" w:hAnsi="Times New Roman" w:cs="Times New Roman"/>
          <w:sz w:val="24"/>
          <w:szCs w:val="24"/>
        </w:rPr>
        <w:t xml:space="preserve">mm) followed by </w:t>
      </w:r>
      <w:proofErr w:type="spellStart"/>
      <w:r w:rsidR="00EC3241" w:rsidRPr="00230236">
        <w:rPr>
          <w:rFonts w:ascii="Times New Roman" w:hAnsi="Times New Roman" w:cs="Times New Roman"/>
          <w:sz w:val="24"/>
          <w:szCs w:val="24"/>
        </w:rPr>
        <w:t>Belg</w:t>
      </w:r>
      <w:proofErr w:type="spellEnd"/>
      <w:r w:rsidR="00EC3241" w:rsidRPr="00230236">
        <w:rPr>
          <w:rFonts w:ascii="Times New Roman" w:hAnsi="Times New Roman" w:cs="Times New Roman"/>
          <w:sz w:val="24"/>
          <w:szCs w:val="24"/>
        </w:rPr>
        <w:t xml:space="preserve"> (242</w:t>
      </w:r>
      <w:r w:rsidR="00230236" w:rsidRPr="00230236">
        <w:rPr>
          <w:rFonts w:ascii="Times New Roman" w:hAnsi="Times New Roman" w:cs="Times New Roman"/>
          <w:sz w:val="24"/>
          <w:szCs w:val="24"/>
        </w:rPr>
        <w:t xml:space="preserve"> </w:t>
      </w:r>
      <w:r w:rsidR="00EC3241" w:rsidRPr="00230236">
        <w:rPr>
          <w:rFonts w:ascii="Times New Roman" w:hAnsi="Times New Roman" w:cs="Times New Roman"/>
          <w:sz w:val="24"/>
          <w:szCs w:val="24"/>
        </w:rPr>
        <w:t xml:space="preserve">mm) while </w:t>
      </w:r>
      <w:proofErr w:type="spellStart"/>
      <w:r w:rsidR="00EC3241" w:rsidRPr="00230236">
        <w:rPr>
          <w:rFonts w:ascii="Times New Roman" w:hAnsi="Times New Roman" w:cs="Times New Roman"/>
          <w:sz w:val="24"/>
          <w:szCs w:val="24"/>
        </w:rPr>
        <w:t>Bega</w:t>
      </w:r>
      <w:proofErr w:type="spellEnd"/>
      <w:r w:rsidR="00EC3241" w:rsidRPr="00230236">
        <w:rPr>
          <w:rFonts w:ascii="Times New Roman" w:hAnsi="Times New Roman" w:cs="Times New Roman"/>
          <w:sz w:val="24"/>
          <w:szCs w:val="24"/>
        </w:rPr>
        <w:t xml:space="preserve"> was dry season recording 138</w:t>
      </w:r>
      <w:r w:rsidR="00230236">
        <w:rPr>
          <w:rFonts w:ascii="Times New Roman" w:hAnsi="Times New Roman" w:cs="Times New Roman"/>
          <w:sz w:val="24"/>
          <w:szCs w:val="24"/>
        </w:rPr>
        <w:t xml:space="preserve"> </w:t>
      </w:r>
      <w:r w:rsidR="00EC3241" w:rsidRPr="00022CA4">
        <w:rPr>
          <w:rFonts w:ascii="Times New Roman" w:hAnsi="Times New Roman" w:cs="Times New Roman"/>
          <w:sz w:val="24"/>
          <w:szCs w:val="24"/>
        </w:rPr>
        <w:t>mm</w:t>
      </w:r>
      <w:r w:rsidR="006D6982" w:rsidRPr="00022CA4">
        <w:rPr>
          <w:rFonts w:ascii="Times New Roman" w:hAnsi="Times New Roman" w:cs="Times New Roman"/>
          <w:sz w:val="24"/>
          <w:szCs w:val="24"/>
        </w:rPr>
        <w:t xml:space="preserve"> (Fig. 4).</w:t>
      </w:r>
      <w:r w:rsidR="00EC3241" w:rsidRPr="00022CA4">
        <w:rPr>
          <w:rFonts w:ascii="Times New Roman" w:hAnsi="Times New Roman" w:cs="Times New Roman"/>
          <w:sz w:val="24"/>
          <w:szCs w:val="24"/>
        </w:rPr>
        <w:t xml:space="preserve"> </w:t>
      </w:r>
      <w:r w:rsidR="00185C52" w:rsidRPr="00022CA4">
        <w:rPr>
          <w:rFonts w:ascii="Times New Roman" w:hAnsi="Times New Roman" w:cs="Times New Roman"/>
          <w:sz w:val="24"/>
          <w:szCs w:val="24"/>
        </w:rPr>
        <w:t xml:space="preserve">Rainfall distribution varies greatly across </w:t>
      </w:r>
      <w:r w:rsidR="00892E59" w:rsidRPr="00022CA4">
        <w:rPr>
          <w:rFonts w:ascii="Times New Roman" w:hAnsi="Times New Roman" w:cs="Times New Roman"/>
          <w:sz w:val="24"/>
          <w:szCs w:val="24"/>
        </w:rPr>
        <w:t>Ethiopia</w:t>
      </w:r>
      <w:r w:rsidR="00185C52" w:rsidRPr="00022CA4">
        <w:rPr>
          <w:rFonts w:ascii="Times New Roman" w:hAnsi="Times New Roman" w:cs="Times New Roman"/>
          <w:sz w:val="24"/>
          <w:szCs w:val="24"/>
        </w:rPr>
        <w:t xml:space="preserve">, with the peak monthly </w:t>
      </w:r>
      <w:r w:rsidR="001C4477">
        <w:rPr>
          <w:rFonts w:ascii="Times New Roman" w:hAnsi="Times New Roman" w:cs="Times New Roman"/>
          <w:sz w:val="24"/>
          <w:szCs w:val="24"/>
        </w:rPr>
        <w:t>rainfall</w:t>
      </w:r>
      <w:r w:rsidR="00185C52" w:rsidRPr="00022CA4">
        <w:rPr>
          <w:rFonts w:ascii="Times New Roman" w:hAnsi="Times New Roman" w:cs="Times New Roman"/>
          <w:sz w:val="24"/>
          <w:szCs w:val="24"/>
        </w:rPr>
        <w:t xml:space="preserve"> </w:t>
      </w:r>
      <w:r w:rsidR="00862B66" w:rsidRPr="00022CA4">
        <w:rPr>
          <w:rFonts w:ascii="Times New Roman" w:hAnsi="Times New Roman" w:cs="Times New Roman"/>
          <w:sz w:val="24"/>
          <w:szCs w:val="24"/>
        </w:rPr>
        <w:t>reaching 117 mm in August, in</w:t>
      </w:r>
      <w:r w:rsidR="00185C52" w:rsidRPr="00022CA4">
        <w:rPr>
          <w:rFonts w:ascii="Times New Roman" w:hAnsi="Times New Roman" w:cs="Times New Roman"/>
          <w:sz w:val="24"/>
          <w:szCs w:val="24"/>
        </w:rPr>
        <w:t xml:space="preserve"> Kiremt season</w:t>
      </w:r>
      <w:r w:rsidR="00B87DB8" w:rsidRPr="00022CA4">
        <w:rPr>
          <w:rFonts w:ascii="Times New Roman" w:hAnsi="Times New Roman" w:cs="Times New Roman"/>
          <w:sz w:val="24"/>
          <w:szCs w:val="24"/>
        </w:rPr>
        <w:t>,</w:t>
      </w:r>
      <w:r w:rsidR="005F33B3" w:rsidRPr="00022CA4">
        <w:rPr>
          <w:rFonts w:ascii="Times New Roman" w:hAnsi="Times New Roman" w:cs="Times New Roman"/>
          <w:sz w:val="24"/>
          <w:szCs w:val="24"/>
        </w:rPr>
        <w:t xml:space="preserve"> </w:t>
      </w:r>
      <w:r w:rsidR="00185C52" w:rsidRPr="00022CA4">
        <w:rPr>
          <w:rFonts w:ascii="Times New Roman" w:hAnsi="Times New Roman" w:cs="Times New Roman"/>
          <w:sz w:val="24"/>
          <w:szCs w:val="24"/>
        </w:rPr>
        <w:t xml:space="preserve">and </w:t>
      </w:r>
      <w:r w:rsidR="00862B66" w:rsidRPr="00022CA4">
        <w:rPr>
          <w:rFonts w:ascii="Times New Roman" w:hAnsi="Times New Roman" w:cs="Times New Roman"/>
          <w:sz w:val="24"/>
          <w:szCs w:val="24"/>
        </w:rPr>
        <w:t xml:space="preserve">95 mm in May, </w:t>
      </w:r>
      <w:r w:rsidR="00185C52" w:rsidRPr="00022CA4">
        <w:rPr>
          <w:rFonts w:ascii="Times New Roman" w:hAnsi="Times New Roman" w:cs="Times New Roman"/>
          <w:sz w:val="24"/>
          <w:szCs w:val="24"/>
        </w:rPr>
        <w:t xml:space="preserve">in </w:t>
      </w:r>
      <w:r w:rsidR="00AD77C7" w:rsidRPr="00022CA4">
        <w:rPr>
          <w:rFonts w:ascii="Times New Roman" w:hAnsi="Times New Roman" w:cs="Times New Roman"/>
          <w:sz w:val="24"/>
          <w:szCs w:val="24"/>
        </w:rPr>
        <w:t>`</w:t>
      </w:r>
      <w:r w:rsidR="00185C52" w:rsidRPr="00022CA4">
        <w:rPr>
          <w:rFonts w:ascii="Times New Roman" w:hAnsi="Times New Roman" w:cs="Times New Roman"/>
          <w:sz w:val="24"/>
          <w:szCs w:val="24"/>
        </w:rPr>
        <w:t>Belg season</w:t>
      </w:r>
      <w:r w:rsidR="005F33B3" w:rsidRPr="00022CA4">
        <w:rPr>
          <w:rFonts w:ascii="Times New Roman" w:hAnsi="Times New Roman" w:cs="Times New Roman"/>
          <w:sz w:val="24"/>
          <w:szCs w:val="24"/>
        </w:rPr>
        <w:t xml:space="preserve"> </w:t>
      </w:r>
      <w:r w:rsidR="005D23AA" w:rsidRPr="00022CA4">
        <w:rPr>
          <w:rFonts w:ascii="Times New Roman" w:hAnsi="Times New Roman" w:cs="Times New Roman"/>
          <w:sz w:val="24"/>
          <w:szCs w:val="24"/>
        </w:rPr>
        <w:t>(Fig. 4)</w:t>
      </w:r>
      <w:r w:rsidR="00185C52" w:rsidRPr="00022CA4">
        <w:rPr>
          <w:rFonts w:ascii="Times New Roman" w:hAnsi="Times New Roman" w:cs="Times New Roman"/>
          <w:sz w:val="24"/>
          <w:szCs w:val="24"/>
        </w:rPr>
        <w:t xml:space="preserve">. In contrast, </w:t>
      </w:r>
      <w:r w:rsidR="005F33B3" w:rsidRPr="00022CA4">
        <w:rPr>
          <w:rFonts w:ascii="Times New Roman" w:hAnsi="Times New Roman" w:cs="Times New Roman"/>
          <w:sz w:val="24"/>
          <w:szCs w:val="24"/>
        </w:rPr>
        <w:t xml:space="preserve">the least </w:t>
      </w:r>
      <w:r w:rsidR="00862B66" w:rsidRPr="00022CA4">
        <w:rPr>
          <w:rFonts w:ascii="Times New Roman" w:hAnsi="Times New Roman" w:cs="Times New Roman"/>
          <w:sz w:val="24"/>
          <w:szCs w:val="24"/>
        </w:rPr>
        <w:t xml:space="preserve">mean rainfall </w:t>
      </w:r>
      <w:r w:rsidR="005F33B3" w:rsidRPr="00022CA4">
        <w:rPr>
          <w:rFonts w:ascii="Times New Roman" w:hAnsi="Times New Roman" w:cs="Times New Roman"/>
          <w:sz w:val="24"/>
          <w:szCs w:val="24"/>
        </w:rPr>
        <w:t xml:space="preserve">amount </w:t>
      </w:r>
      <w:r w:rsidR="00862B66" w:rsidRPr="00022CA4">
        <w:rPr>
          <w:rFonts w:ascii="Times New Roman" w:hAnsi="Times New Roman" w:cs="Times New Roman"/>
          <w:sz w:val="24"/>
          <w:szCs w:val="24"/>
        </w:rPr>
        <w:t xml:space="preserve">of 11 mm was recorded in January, in </w:t>
      </w:r>
      <w:proofErr w:type="spellStart"/>
      <w:r w:rsidR="00862B66" w:rsidRPr="00022CA4">
        <w:rPr>
          <w:rFonts w:ascii="Times New Roman" w:hAnsi="Times New Roman" w:cs="Times New Roman"/>
          <w:sz w:val="24"/>
          <w:szCs w:val="24"/>
        </w:rPr>
        <w:t>Bega</w:t>
      </w:r>
      <w:proofErr w:type="spellEnd"/>
      <w:r w:rsidR="00862B66" w:rsidRPr="00022CA4">
        <w:rPr>
          <w:rFonts w:ascii="Times New Roman" w:hAnsi="Times New Roman" w:cs="Times New Roman"/>
          <w:sz w:val="24"/>
          <w:szCs w:val="24"/>
        </w:rPr>
        <w:t xml:space="preserve"> season </w:t>
      </w:r>
      <w:r w:rsidR="00185C52" w:rsidRPr="00022CA4">
        <w:rPr>
          <w:rFonts w:ascii="Times New Roman" w:hAnsi="Times New Roman" w:cs="Times New Roman"/>
          <w:sz w:val="24"/>
          <w:szCs w:val="24"/>
        </w:rPr>
        <w:t>(Fig</w:t>
      </w:r>
      <w:r w:rsidR="00DA4D81" w:rsidRPr="00022CA4">
        <w:rPr>
          <w:rFonts w:ascii="Times New Roman" w:hAnsi="Times New Roman" w:cs="Times New Roman"/>
          <w:sz w:val="24"/>
          <w:szCs w:val="24"/>
        </w:rPr>
        <w:t>.</w:t>
      </w:r>
      <w:r w:rsidR="00230236">
        <w:rPr>
          <w:rFonts w:ascii="Times New Roman" w:hAnsi="Times New Roman" w:cs="Times New Roman"/>
          <w:sz w:val="24"/>
          <w:szCs w:val="24"/>
        </w:rPr>
        <w:t xml:space="preserve"> </w:t>
      </w:r>
      <w:r w:rsidR="005F33B3" w:rsidRPr="00022CA4">
        <w:rPr>
          <w:rFonts w:ascii="Times New Roman" w:hAnsi="Times New Roman" w:cs="Times New Roman"/>
          <w:sz w:val="24"/>
          <w:szCs w:val="24"/>
        </w:rPr>
        <w:t>4</w:t>
      </w:r>
      <w:r w:rsidR="00185C52" w:rsidRPr="00022CA4">
        <w:rPr>
          <w:rFonts w:ascii="Times New Roman" w:hAnsi="Times New Roman" w:cs="Times New Roman"/>
          <w:sz w:val="24"/>
          <w:szCs w:val="24"/>
        </w:rPr>
        <w:t xml:space="preserve">). </w:t>
      </w:r>
      <w:r w:rsidR="00862B66" w:rsidRPr="00022CA4">
        <w:rPr>
          <w:rFonts w:ascii="Times New Roman" w:hAnsi="Times New Roman" w:cs="Times New Roman"/>
          <w:sz w:val="24"/>
          <w:szCs w:val="24"/>
        </w:rPr>
        <w:t>The analysis of the reference evapotranspiration (</w:t>
      </w:r>
      <w:proofErr w:type="spellStart"/>
      <w:proofErr w:type="gramStart"/>
      <w:r w:rsidR="00862B66" w:rsidRPr="00022CA4">
        <w:rPr>
          <w:rFonts w:ascii="Times New Roman" w:hAnsi="Times New Roman" w:cs="Times New Roman"/>
          <w:sz w:val="24"/>
          <w:szCs w:val="24"/>
        </w:rPr>
        <w:t>ET</w:t>
      </w:r>
      <w:r w:rsidR="00862B66" w:rsidRPr="00022CA4">
        <w:rPr>
          <w:rFonts w:ascii="Times New Roman" w:hAnsi="Times New Roman" w:cs="Times New Roman"/>
          <w:sz w:val="24"/>
          <w:szCs w:val="24"/>
          <w:vertAlign w:val="subscript"/>
        </w:rPr>
        <w:t>o</w:t>
      </w:r>
      <w:proofErr w:type="spellEnd"/>
      <w:proofErr w:type="gramEnd"/>
      <w:r w:rsidR="00862B66" w:rsidRPr="00022CA4">
        <w:rPr>
          <w:rFonts w:ascii="Times New Roman" w:hAnsi="Times New Roman" w:cs="Times New Roman"/>
          <w:sz w:val="24"/>
          <w:szCs w:val="24"/>
        </w:rPr>
        <w:t>) showed that</w:t>
      </w:r>
      <w:r w:rsidR="00185C52" w:rsidRPr="00022CA4">
        <w:rPr>
          <w:rFonts w:ascii="Times New Roman" w:hAnsi="Times New Roman" w:cs="Times New Roman"/>
          <w:sz w:val="24"/>
          <w:szCs w:val="24"/>
        </w:rPr>
        <w:t xml:space="preserve"> the mean annual evapotranspiration </w:t>
      </w:r>
      <w:r w:rsidRPr="00022CA4">
        <w:rPr>
          <w:rFonts w:ascii="Times New Roman" w:hAnsi="Times New Roman" w:cs="Times New Roman"/>
          <w:sz w:val="24"/>
          <w:szCs w:val="24"/>
        </w:rPr>
        <w:t xml:space="preserve">in Ethiopia was </w:t>
      </w:r>
      <w:r w:rsidR="00185C52" w:rsidRPr="00022CA4">
        <w:rPr>
          <w:rFonts w:ascii="Times New Roman" w:hAnsi="Times New Roman" w:cs="Times New Roman"/>
          <w:sz w:val="24"/>
          <w:szCs w:val="24"/>
        </w:rPr>
        <w:t>9</w:t>
      </w:r>
      <w:r w:rsidR="002E7DC6" w:rsidRPr="00022CA4">
        <w:rPr>
          <w:rFonts w:ascii="Times New Roman" w:hAnsi="Times New Roman" w:cs="Times New Roman"/>
          <w:sz w:val="24"/>
          <w:szCs w:val="24"/>
        </w:rPr>
        <w:t>58</w:t>
      </w:r>
      <w:r w:rsidR="00185C52" w:rsidRPr="00022CA4">
        <w:rPr>
          <w:rFonts w:ascii="Times New Roman" w:hAnsi="Times New Roman" w:cs="Times New Roman"/>
          <w:sz w:val="24"/>
          <w:szCs w:val="24"/>
        </w:rPr>
        <w:t xml:space="preserve"> mm</w:t>
      </w:r>
      <w:r w:rsidR="005D23AA" w:rsidRPr="00022CA4">
        <w:rPr>
          <w:rFonts w:ascii="Times New Roman" w:hAnsi="Times New Roman" w:cs="Times New Roman"/>
          <w:sz w:val="24"/>
          <w:szCs w:val="24"/>
        </w:rPr>
        <w:t xml:space="preserve"> (see </w:t>
      </w:r>
      <w:r w:rsidR="003D57E5">
        <w:rPr>
          <w:rFonts w:ascii="Times New Roman" w:hAnsi="Times New Roman" w:cs="Times New Roman"/>
          <w:sz w:val="24"/>
          <w:szCs w:val="24"/>
        </w:rPr>
        <w:t xml:space="preserve">Table </w:t>
      </w:r>
      <w:r w:rsidR="00F85C4B">
        <w:rPr>
          <w:rFonts w:ascii="Times New Roman" w:hAnsi="Times New Roman" w:cs="Times New Roman"/>
          <w:sz w:val="24"/>
          <w:szCs w:val="24"/>
        </w:rPr>
        <w:t>7</w:t>
      </w:r>
      <w:r w:rsidR="005D23AA" w:rsidRPr="00022CA4">
        <w:rPr>
          <w:rFonts w:ascii="Times New Roman" w:hAnsi="Times New Roman" w:cs="Times New Roman"/>
          <w:sz w:val="24"/>
          <w:szCs w:val="24"/>
        </w:rPr>
        <w:t>)</w:t>
      </w:r>
      <w:r w:rsidR="00185C52" w:rsidRPr="00022CA4">
        <w:rPr>
          <w:rFonts w:ascii="Times New Roman" w:hAnsi="Times New Roman" w:cs="Times New Roman"/>
          <w:sz w:val="24"/>
          <w:szCs w:val="24"/>
        </w:rPr>
        <w:t xml:space="preserve">, with monthly </w:t>
      </w:r>
      <w:proofErr w:type="spellStart"/>
      <w:r w:rsidR="00254FB4" w:rsidRPr="00022CA4">
        <w:rPr>
          <w:rFonts w:ascii="Times New Roman" w:hAnsi="Times New Roman" w:cs="Times New Roman"/>
          <w:sz w:val="24"/>
          <w:szCs w:val="24"/>
        </w:rPr>
        <w:t>ET</w:t>
      </w:r>
      <w:r w:rsidR="00254FB4" w:rsidRPr="00022CA4">
        <w:rPr>
          <w:rFonts w:ascii="Times New Roman" w:hAnsi="Times New Roman" w:cs="Times New Roman"/>
          <w:sz w:val="24"/>
          <w:szCs w:val="24"/>
          <w:vertAlign w:val="subscript"/>
        </w:rPr>
        <w:t>o</w:t>
      </w:r>
      <w:proofErr w:type="spellEnd"/>
      <w:r w:rsidR="00185C52" w:rsidRPr="00022CA4">
        <w:rPr>
          <w:rFonts w:ascii="Times New Roman" w:hAnsi="Times New Roman" w:cs="Times New Roman"/>
          <w:sz w:val="24"/>
          <w:szCs w:val="24"/>
        </w:rPr>
        <w:t xml:space="preserve"> values ranging from 74 mm</w:t>
      </w:r>
      <w:r w:rsidRPr="00022CA4">
        <w:rPr>
          <w:rFonts w:ascii="Times New Roman" w:hAnsi="Times New Roman" w:cs="Times New Roman"/>
          <w:sz w:val="24"/>
          <w:szCs w:val="24"/>
        </w:rPr>
        <w:t>,</w:t>
      </w:r>
      <w:r w:rsidR="00185C52" w:rsidRPr="00022CA4">
        <w:rPr>
          <w:rFonts w:ascii="Times New Roman" w:hAnsi="Times New Roman" w:cs="Times New Roman"/>
          <w:sz w:val="24"/>
          <w:szCs w:val="24"/>
        </w:rPr>
        <w:t xml:space="preserve"> in December</w:t>
      </w:r>
      <w:r w:rsidRPr="00022CA4">
        <w:rPr>
          <w:rFonts w:ascii="Times New Roman" w:hAnsi="Times New Roman" w:cs="Times New Roman"/>
          <w:sz w:val="24"/>
          <w:szCs w:val="24"/>
        </w:rPr>
        <w:t>,</w:t>
      </w:r>
      <w:r w:rsidR="00185C52" w:rsidRPr="00022CA4">
        <w:rPr>
          <w:rFonts w:ascii="Times New Roman" w:hAnsi="Times New Roman" w:cs="Times New Roman"/>
          <w:sz w:val="24"/>
          <w:szCs w:val="24"/>
        </w:rPr>
        <w:t xml:space="preserve"> to 88 mm</w:t>
      </w:r>
      <w:r w:rsidRPr="00022CA4">
        <w:rPr>
          <w:rFonts w:ascii="Times New Roman" w:hAnsi="Times New Roman" w:cs="Times New Roman"/>
          <w:sz w:val="24"/>
          <w:szCs w:val="24"/>
        </w:rPr>
        <w:t>,</w:t>
      </w:r>
      <w:r w:rsidR="00185C52" w:rsidRPr="00022CA4">
        <w:rPr>
          <w:rFonts w:ascii="Times New Roman" w:hAnsi="Times New Roman" w:cs="Times New Roman"/>
          <w:sz w:val="24"/>
          <w:szCs w:val="24"/>
        </w:rPr>
        <w:t xml:space="preserve"> in March</w:t>
      </w:r>
      <w:r w:rsidR="00DB34A5" w:rsidRPr="00022CA4">
        <w:rPr>
          <w:rFonts w:ascii="Times New Roman" w:hAnsi="Times New Roman" w:cs="Times New Roman"/>
          <w:sz w:val="24"/>
          <w:szCs w:val="24"/>
        </w:rPr>
        <w:t xml:space="preserve"> </w:t>
      </w:r>
      <w:r w:rsidR="00185C52" w:rsidRPr="00022CA4">
        <w:rPr>
          <w:rFonts w:ascii="Times New Roman" w:hAnsi="Times New Roman" w:cs="Times New Roman"/>
          <w:sz w:val="24"/>
          <w:szCs w:val="24"/>
        </w:rPr>
        <w:t>(</w:t>
      </w:r>
      <w:r w:rsidR="005D23AA" w:rsidRPr="00022CA4">
        <w:rPr>
          <w:rFonts w:ascii="Times New Roman" w:hAnsi="Times New Roman" w:cs="Times New Roman"/>
          <w:sz w:val="24"/>
          <w:szCs w:val="24"/>
        </w:rPr>
        <w:t>Fig. 4</w:t>
      </w:r>
      <w:r w:rsidR="00185C52" w:rsidRPr="00022CA4">
        <w:rPr>
          <w:rFonts w:ascii="Times New Roman" w:hAnsi="Times New Roman" w:cs="Times New Roman"/>
          <w:sz w:val="24"/>
          <w:szCs w:val="24"/>
        </w:rPr>
        <w:t>).</w:t>
      </w:r>
      <w:r w:rsidR="005D23AA" w:rsidRPr="00022CA4">
        <w:rPr>
          <w:rFonts w:ascii="Times New Roman" w:hAnsi="Times New Roman" w:cs="Times New Roman"/>
          <w:sz w:val="24"/>
          <w:szCs w:val="24"/>
        </w:rPr>
        <w:t xml:space="preserve"> </w:t>
      </w:r>
      <w:r w:rsidR="00BB5540" w:rsidRPr="00022CA4">
        <w:rPr>
          <w:rFonts w:ascii="Times New Roman" w:hAnsi="Times New Roman" w:cs="Times New Roman"/>
          <w:sz w:val="24"/>
          <w:szCs w:val="24"/>
        </w:rPr>
        <w:t xml:space="preserve">Spatially, </w:t>
      </w:r>
      <w:r w:rsidR="008B6578" w:rsidRPr="00022CA4">
        <w:rPr>
          <w:rFonts w:ascii="Times New Roman" w:hAnsi="Times New Roman" w:cs="Times New Roman"/>
          <w:sz w:val="24"/>
          <w:szCs w:val="24"/>
        </w:rPr>
        <w:t xml:space="preserve">higher rainfall </w:t>
      </w:r>
      <w:r w:rsidR="00AD77C7" w:rsidRPr="00022CA4">
        <w:rPr>
          <w:rFonts w:ascii="Times New Roman" w:hAnsi="Times New Roman" w:cs="Times New Roman"/>
          <w:sz w:val="24"/>
          <w:szCs w:val="24"/>
        </w:rPr>
        <w:t>was</w:t>
      </w:r>
      <w:r w:rsidR="008B6578" w:rsidRPr="00022CA4">
        <w:rPr>
          <w:rFonts w:ascii="Times New Roman" w:hAnsi="Times New Roman" w:cs="Times New Roman"/>
          <w:sz w:val="24"/>
          <w:szCs w:val="24"/>
        </w:rPr>
        <w:t xml:space="preserve"> </w:t>
      </w:r>
      <w:r w:rsidR="00C938F3" w:rsidRPr="00022CA4">
        <w:rPr>
          <w:rFonts w:ascii="Times New Roman" w:hAnsi="Times New Roman" w:cs="Times New Roman"/>
          <w:sz w:val="24"/>
          <w:szCs w:val="24"/>
        </w:rPr>
        <w:t xml:space="preserve">observed </w:t>
      </w:r>
      <w:r w:rsidR="008B6578" w:rsidRPr="00022CA4">
        <w:rPr>
          <w:rFonts w:ascii="Times New Roman" w:hAnsi="Times New Roman" w:cs="Times New Roman"/>
          <w:sz w:val="24"/>
          <w:szCs w:val="24"/>
        </w:rPr>
        <w:t>in the western-half (for example</w:t>
      </w:r>
      <w:r w:rsidR="00C938F3" w:rsidRPr="00022CA4">
        <w:rPr>
          <w:rFonts w:ascii="Times New Roman" w:hAnsi="Times New Roman" w:cs="Times New Roman"/>
          <w:sz w:val="24"/>
          <w:szCs w:val="24"/>
        </w:rPr>
        <w:t xml:space="preserve"> in </w:t>
      </w:r>
      <w:proofErr w:type="spellStart"/>
      <w:r w:rsidR="00EE2935" w:rsidRPr="00022CA4">
        <w:rPr>
          <w:rFonts w:ascii="Times New Roman" w:hAnsi="Times New Roman" w:cs="Times New Roman"/>
          <w:sz w:val="24"/>
          <w:szCs w:val="24"/>
        </w:rPr>
        <w:t>Baro-Akobo</w:t>
      </w:r>
      <w:proofErr w:type="spellEnd"/>
      <w:r w:rsidR="00EE2935" w:rsidRPr="00022CA4">
        <w:rPr>
          <w:rFonts w:ascii="Times New Roman" w:hAnsi="Times New Roman" w:cs="Times New Roman"/>
          <w:sz w:val="24"/>
          <w:szCs w:val="24"/>
        </w:rPr>
        <w:t xml:space="preserve">, </w:t>
      </w:r>
      <w:proofErr w:type="spellStart"/>
      <w:r w:rsidR="00EE2935" w:rsidRPr="00022CA4">
        <w:rPr>
          <w:rFonts w:ascii="Times New Roman" w:hAnsi="Times New Roman" w:cs="Times New Roman"/>
          <w:sz w:val="24"/>
          <w:szCs w:val="24"/>
        </w:rPr>
        <w:t>Omo</w:t>
      </w:r>
      <w:proofErr w:type="spellEnd"/>
      <w:r w:rsidR="00EE2935" w:rsidRPr="00022CA4">
        <w:rPr>
          <w:rFonts w:ascii="Times New Roman" w:hAnsi="Times New Roman" w:cs="Times New Roman"/>
          <w:sz w:val="24"/>
          <w:szCs w:val="24"/>
        </w:rPr>
        <w:t xml:space="preserve">-Gibe, and </w:t>
      </w:r>
      <w:proofErr w:type="spellStart"/>
      <w:r w:rsidR="008B6578" w:rsidRPr="00022CA4">
        <w:rPr>
          <w:rFonts w:ascii="Times New Roman" w:hAnsi="Times New Roman" w:cs="Times New Roman"/>
          <w:sz w:val="24"/>
          <w:szCs w:val="24"/>
        </w:rPr>
        <w:t>Abbay</w:t>
      </w:r>
      <w:proofErr w:type="spellEnd"/>
      <w:r w:rsidR="008B6578" w:rsidRPr="00022CA4">
        <w:rPr>
          <w:rFonts w:ascii="Times New Roman" w:hAnsi="Times New Roman" w:cs="Times New Roman"/>
          <w:sz w:val="24"/>
          <w:szCs w:val="24"/>
        </w:rPr>
        <w:t xml:space="preserve"> basin</w:t>
      </w:r>
      <w:r w:rsidR="002F75D7" w:rsidRPr="00022CA4">
        <w:rPr>
          <w:rFonts w:ascii="Times New Roman" w:hAnsi="Times New Roman" w:cs="Times New Roman"/>
          <w:sz w:val="24"/>
          <w:szCs w:val="24"/>
        </w:rPr>
        <w:t>s</w:t>
      </w:r>
      <w:r w:rsidR="008B6578" w:rsidRPr="00022CA4">
        <w:rPr>
          <w:rFonts w:ascii="Times New Roman" w:hAnsi="Times New Roman" w:cs="Times New Roman"/>
          <w:sz w:val="24"/>
          <w:szCs w:val="24"/>
        </w:rPr>
        <w:t xml:space="preserve">) </w:t>
      </w:r>
      <w:r w:rsidR="005D5236" w:rsidRPr="00022CA4">
        <w:rPr>
          <w:rFonts w:ascii="Times New Roman" w:hAnsi="Times New Roman" w:cs="Times New Roman"/>
          <w:sz w:val="24"/>
          <w:szCs w:val="24"/>
        </w:rPr>
        <w:t>and</w:t>
      </w:r>
      <w:r w:rsidR="00C938F3" w:rsidRPr="00022CA4">
        <w:rPr>
          <w:rFonts w:ascii="Times New Roman" w:hAnsi="Times New Roman" w:cs="Times New Roman"/>
          <w:sz w:val="24"/>
          <w:szCs w:val="24"/>
        </w:rPr>
        <w:t xml:space="preserve"> higher </w:t>
      </w:r>
      <w:proofErr w:type="spellStart"/>
      <w:proofErr w:type="gramStart"/>
      <w:r w:rsidR="00AD77C7" w:rsidRPr="00022CA4">
        <w:rPr>
          <w:rFonts w:ascii="Times New Roman" w:hAnsi="Times New Roman" w:cs="Times New Roman"/>
          <w:sz w:val="24"/>
          <w:szCs w:val="24"/>
        </w:rPr>
        <w:t>ET</w:t>
      </w:r>
      <w:r w:rsidR="00AD77C7" w:rsidRPr="00022CA4">
        <w:rPr>
          <w:rFonts w:ascii="Times New Roman" w:hAnsi="Times New Roman" w:cs="Times New Roman"/>
          <w:sz w:val="24"/>
          <w:szCs w:val="24"/>
          <w:vertAlign w:val="subscript"/>
        </w:rPr>
        <w:t>o</w:t>
      </w:r>
      <w:proofErr w:type="spellEnd"/>
      <w:proofErr w:type="gramEnd"/>
      <w:r w:rsidR="00AD77C7" w:rsidRPr="00022CA4">
        <w:rPr>
          <w:rFonts w:ascii="Times New Roman" w:hAnsi="Times New Roman" w:cs="Times New Roman"/>
          <w:sz w:val="24"/>
          <w:szCs w:val="24"/>
        </w:rPr>
        <w:t xml:space="preserve"> was</w:t>
      </w:r>
      <w:r w:rsidR="00C938F3" w:rsidRPr="00022CA4">
        <w:rPr>
          <w:rFonts w:ascii="Times New Roman" w:hAnsi="Times New Roman" w:cs="Times New Roman"/>
          <w:sz w:val="24"/>
          <w:szCs w:val="24"/>
        </w:rPr>
        <w:t xml:space="preserve"> observed in the </w:t>
      </w:r>
      <w:r w:rsidR="008B6578" w:rsidRPr="00022CA4">
        <w:rPr>
          <w:rFonts w:ascii="Times New Roman" w:hAnsi="Times New Roman" w:cs="Times New Roman"/>
          <w:sz w:val="24"/>
          <w:szCs w:val="24"/>
        </w:rPr>
        <w:t xml:space="preserve">northeastern </w:t>
      </w:r>
      <w:r w:rsidR="00A55E72" w:rsidRPr="00022CA4">
        <w:rPr>
          <w:rFonts w:ascii="Times New Roman" w:hAnsi="Times New Roman" w:cs="Times New Roman"/>
          <w:sz w:val="24"/>
          <w:szCs w:val="24"/>
        </w:rPr>
        <w:t xml:space="preserve">parts </w:t>
      </w:r>
      <w:r w:rsidR="008B6578" w:rsidRPr="00022CA4">
        <w:rPr>
          <w:rFonts w:ascii="Times New Roman" w:hAnsi="Times New Roman" w:cs="Times New Roman"/>
          <w:sz w:val="24"/>
          <w:szCs w:val="24"/>
        </w:rPr>
        <w:t xml:space="preserve">(for </w:t>
      </w:r>
      <w:r w:rsidR="00892E59" w:rsidRPr="00022CA4">
        <w:rPr>
          <w:rFonts w:ascii="Times New Roman" w:hAnsi="Times New Roman" w:cs="Times New Roman"/>
          <w:sz w:val="24"/>
          <w:szCs w:val="24"/>
        </w:rPr>
        <w:t>instance</w:t>
      </w:r>
      <w:r w:rsidR="008B6578" w:rsidRPr="00022CA4">
        <w:rPr>
          <w:rFonts w:ascii="Times New Roman" w:hAnsi="Times New Roman" w:cs="Times New Roman"/>
          <w:sz w:val="24"/>
          <w:szCs w:val="24"/>
        </w:rPr>
        <w:t xml:space="preserve"> </w:t>
      </w:r>
      <w:r w:rsidR="00C938F3" w:rsidRPr="00022CA4">
        <w:rPr>
          <w:rFonts w:ascii="Times New Roman" w:hAnsi="Times New Roman" w:cs="Times New Roman"/>
          <w:sz w:val="24"/>
          <w:szCs w:val="24"/>
        </w:rPr>
        <w:t xml:space="preserve">in </w:t>
      </w:r>
      <w:proofErr w:type="spellStart"/>
      <w:r w:rsidR="00C75C47" w:rsidRPr="00022CA4">
        <w:rPr>
          <w:rFonts w:ascii="Times New Roman" w:hAnsi="Times New Roman" w:cs="Times New Roman"/>
          <w:sz w:val="24"/>
          <w:szCs w:val="24"/>
        </w:rPr>
        <w:t>Aysha</w:t>
      </w:r>
      <w:proofErr w:type="spellEnd"/>
      <w:r w:rsidR="00C75C47" w:rsidRPr="00022CA4">
        <w:rPr>
          <w:rFonts w:ascii="Times New Roman" w:hAnsi="Times New Roman" w:cs="Times New Roman"/>
          <w:sz w:val="24"/>
          <w:szCs w:val="24"/>
        </w:rPr>
        <w:t xml:space="preserve">, </w:t>
      </w:r>
      <w:proofErr w:type="spellStart"/>
      <w:r w:rsidR="008B6578" w:rsidRPr="00022CA4">
        <w:rPr>
          <w:rFonts w:ascii="Times New Roman" w:hAnsi="Times New Roman" w:cs="Times New Roman"/>
          <w:sz w:val="24"/>
          <w:szCs w:val="24"/>
        </w:rPr>
        <w:t>Denakil</w:t>
      </w:r>
      <w:proofErr w:type="spellEnd"/>
      <w:r w:rsidR="00C75C47" w:rsidRPr="00022CA4">
        <w:rPr>
          <w:rFonts w:ascii="Times New Roman" w:hAnsi="Times New Roman" w:cs="Times New Roman"/>
          <w:sz w:val="24"/>
          <w:szCs w:val="24"/>
        </w:rPr>
        <w:t xml:space="preserve">, and </w:t>
      </w:r>
      <w:proofErr w:type="spellStart"/>
      <w:r w:rsidR="002F75D7" w:rsidRPr="00022CA4">
        <w:rPr>
          <w:rFonts w:ascii="Times New Roman" w:hAnsi="Times New Roman" w:cs="Times New Roman"/>
          <w:sz w:val="24"/>
          <w:szCs w:val="24"/>
        </w:rPr>
        <w:t>Mereb</w:t>
      </w:r>
      <w:proofErr w:type="spellEnd"/>
      <w:r w:rsidR="002F75D7" w:rsidRPr="00022CA4">
        <w:rPr>
          <w:rFonts w:ascii="Times New Roman" w:hAnsi="Times New Roman" w:cs="Times New Roman"/>
          <w:sz w:val="24"/>
          <w:szCs w:val="24"/>
        </w:rPr>
        <w:t xml:space="preserve">-Gash </w:t>
      </w:r>
      <w:r w:rsidR="008B6578" w:rsidRPr="00022CA4">
        <w:rPr>
          <w:rFonts w:ascii="Times New Roman" w:hAnsi="Times New Roman" w:cs="Times New Roman"/>
          <w:sz w:val="24"/>
          <w:szCs w:val="24"/>
        </w:rPr>
        <w:t>basin</w:t>
      </w:r>
      <w:r w:rsidR="002F75D7" w:rsidRPr="00022CA4">
        <w:rPr>
          <w:rFonts w:ascii="Times New Roman" w:hAnsi="Times New Roman" w:cs="Times New Roman"/>
          <w:sz w:val="24"/>
          <w:szCs w:val="24"/>
        </w:rPr>
        <w:t>s</w:t>
      </w:r>
      <w:r w:rsidR="008B6578" w:rsidRPr="00022CA4">
        <w:rPr>
          <w:rFonts w:ascii="Times New Roman" w:hAnsi="Times New Roman" w:cs="Times New Roman"/>
          <w:sz w:val="24"/>
          <w:szCs w:val="24"/>
        </w:rPr>
        <w:t>) of Ethiopia (Fig.2</w:t>
      </w:r>
      <w:r w:rsidR="0096478F">
        <w:rPr>
          <w:rFonts w:ascii="Times New Roman" w:hAnsi="Times New Roman" w:cs="Times New Roman"/>
          <w:sz w:val="24"/>
          <w:szCs w:val="24"/>
        </w:rPr>
        <w:t xml:space="preserve"> &amp; </w:t>
      </w:r>
      <w:r w:rsidR="008B6578" w:rsidRPr="00022CA4">
        <w:rPr>
          <w:rFonts w:ascii="Times New Roman" w:hAnsi="Times New Roman" w:cs="Times New Roman"/>
          <w:sz w:val="24"/>
          <w:szCs w:val="24"/>
        </w:rPr>
        <w:t>3</w:t>
      </w:r>
      <w:r w:rsidR="002F75D7" w:rsidRPr="00022CA4">
        <w:rPr>
          <w:rFonts w:ascii="Times New Roman" w:hAnsi="Times New Roman" w:cs="Times New Roman"/>
          <w:sz w:val="24"/>
          <w:szCs w:val="24"/>
        </w:rPr>
        <w:t xml:space="preserve"> and </w:t>
      </w:r>
      <w:r w:rsidR="003D57E5">
        <w:rPr>
          <w:rFonts w:ascii="Times New Roman" w:hAnsi="Times New Roman" w:cs="Times New Roman"/>
          <w:sz w:val="24"/>
          <w:szCs w:val="24"/>
        </w:rPr>
        <w:t xml:space="preserve">Table </w:t>
      </w:r>
      <w:r w:rsidR="00F85C4B">
        <w:rPr>
          <w:rFonts w:ascii="Times New Roman" w:hAnsi="Times New Roman" w:cs="Times New Roman"/>
          <w:sz w:val="24"/>
          <w:szCs w:val="24"/>
        </w:rPr>
        <w:t>6</w:t>
      </w:r>
      <w:r w:rsidR="0096478F">
        <w:rPr>
          <w:rFonts w:ascii="Times New Roman" w:hAnsi="Times New Roman" w:cs="Times New Roman"/>
          <w:sz w:val="24"/>
          <w:szCs w:val="24"/>
        </w:rPr>
        <w:t xml:space="preserve"> &amp; </w:t>
      </w:r>
      <w:r w:rsidR="00F85C4B">
        <w:rPr>
          <w:rFonts w:ascii="Times New Roman" w:hAnsi="Times New Roman" w:cs="Times New Roman"/>
          <w:sz w:val="24"/>
          <w:szCs w:val="24"/>
        </w:rPr>
        <w:t>7</w:t>
      </w:r>
      <w:r w:rsidR="008B6578" w:rsidRPr="00022CA4">
        <w:rPr>
          <w:rFonts w:ascii="Times New Roman" w:hAnsi="Times New Roman" w:cs="Times New Roman"/>
          <w:sz w:val="24"/>
          <w:szCs w:val="24"/>
        </w:rPr>
        <w:t>).</w:t>
      </w:r>
      <w:r w:rsidR="00BB5540" w:rsidRPr="00022CA4">
        <w:rPr>
          <w:rFonts w:ascii="Times New Roman" w:hAnsi="Times New Roman" w:cs="Times New Roman"/>
          <w:sz w:val="24"/>
          <w:szCs w:val="24"/>
        </w:rPr>
        <w:t xml:space="preserve"> </w:t>
      </w:r>
      <w:r w:rsidR="00F056E7" w:rsidRPr="00022CA4">
        <w:rPr>
          <w:rFonts w:ascii="Times New Roman" w:hAnsi="Times New Roman" w:cs="Times New Roman"/>
          <w:sz w:val="24"/>
          <w:szCs w:val="24"/>
        </w:rPr>
        <w:t>Temporally</w:t>
      </w:r>
      <w:r w:rsidR="00BB5540" w:rsidRPr="00022CA4">
        <w:rPr>
          <w:rFonts w:ascii="Times New Roman" w:hAnsi="Times New Roman" w:cs="Times New Roman"/>
          <w:sz w:val="24"/>
          <w:szCs w:val="24"/>
        </w:rPr>
        <w:t xml:space="preserve">, </w:t>
      </w:r>
      <w:r w:rsidR="00CC54D3" w:rsidRPr="00022CA4">
        <w:rPr>
          <w:rFonts w:ascii="Times New Roman" w:hAnsi="Times New Roman" w:cs="Times New Roman"/>
          <w:sz w:val="24"/>
          <w:szCs w:val="24"/>
        </w:rPr>
        <w:t xml:space="preserve">the </w:t>
      </w:r>
      <w:r w:rsidR="0009144A" w:rsidRPr="00022CA4">
        <w:rPr>
          <w:rFonts w:ascii="Times New Roman" w:hAnsi="Times New Roman" w:cs="Times New Roman"/>
          <w:sz w:val="24"/>
          <w:szCs w:val="24"/>
        </w:rPr>
        <w:t xml:space="preserve">mean </w:t>
      </w:r>
      <w:r w:rsidR="009F5B54" w:rsidRPr="00022CA4">
        <w:rPr>
          <w:rFonts w:ascii="Times New Roman" w:hAnsi="Times New Roman" w:cs="Times New Roman"/>
          <w:sz w:val="24"/>
          <w:szCs w:val="24"/>
        </w:rPr>
        <w:t xml:space="preserve">monthly </w:t>
      </w:r>
      <w:r w:rsidR="00CC54D3" w:rsidRPr="00022CA4">
        <w:rPr>
          <w:rFonts w:ascii="Times New Roman" w:hAnsi="Times New Roman" w:cs="Times New Roman"/>
          <w:sz w:val="24"/>
          <w:szCs w:val="24"/>
        </w:rPr>
        <w:t>rainfall amount in Ethiopia was high</w:t>
      </w:r>
      <w:r w:rsidR="00CD0056" w:rsidRPr="00022CA4">
        <w:rPr>
          <w:rFonts w:ascii="Times New Roman" w:hAnsi="Times New Roman" w:cs="Times New Roman"/>
          <w:sz w:val="24"/>
          <w:szCs w:val="24"/>
        </w:rPr>
        <w:t>er</w:t>
      </w:r>
      <w:r w:rsidR="00CC54D3" w:rsidRPr="00022CA4">
        <w:rPr>
          <w:rFonts w:ascii="Times New Roman" w:hAnsi="Times New Roman" w:cs="Times New Roman"/>
          <w:sz w:val="24"/>
          <w:szCs w:val="24"/>
        </w:rPr>
        <w:t xml:space="preserve"> </w:t>
      </w:r>
      <w:r w:rsidR="009F5B54" w:rsidRPr="00022CA4">
        <w:rPr>
          <w:rFonts w:ascii="Times New Roman" w:hAnsi="Times New Roman" w:cs="Times New Roman"/>
          <w:sz w:val="24"/>
          <w:szCs w:val="24"/>
        </w:rPr>
        <w:t>from</w:t>
      </w:r>
      <w:r w:rsidR="0009144A" w:rsidRPr="00022CA4">
        <w:rPr>
          <w:rFonts w:ascii="Times New Roman" w:hAnsi="Times New Roman" w:cs="Times New Roman"/>
          <w:sz w:val="24"/>
          <w:szCs w:val="24"/>
        </w:rPr>
        <w:t xml:space="preserve"> April to October</w:t>
      </w:r>
      <w:r w:rsidR="009F5B54" w:rsidRPr="00022CA4">
        <w:rPr>
          <w:rFonts w:ascii="Times New Roman" w:hAnsi="Times New Roman" w:cs="Times New Roman"/>
          <w:sz w:val="24"/>
          <w:szCs w:val="24"/>
        </w:rPr>
        <w:t>,</w:t>
      </w:r>
      <w:r w:rsidR="0009144A" w:rsidRPr="00022CA4">
        <w:rPr>
          <w:rFonts w:ascii="Times New Roman" w:hAnsi="Times New Roman" w:cs="Times New Roman"/>
          <w:sz w:val="24"/>
          <w:szCs w:val="24"/>
        </w:rPr>
        <w:t xml:space="preserve"> ranging from 76 to 117 mm</w:t>
      </w:r>
      <w:r w:rsidR="009F5B54" w:rsidRPr="00022CA4">
        <w:rPr>
          <w:rFonts w:ascii="Times New Roman" w:hAnsi="Times New Roman" w:cs="Times New Roman"/>
          <w:sz w:val="24"/>
          <w:szCs w:val="24"/>
        </w:rPr>
        <w:t>,</w:t>
      </w:r>
      <w:r w:rsidR="0009144A" w:rsidRPr="00022CA4">
        <w:rPr>
          <w:rFonts w:ascii="Times New Roman" w:hAnsi="Times New Roman" w:cs="Times New Roman"/>
          <w:sz w:val="24"/>
          <w:szCs w:val="24"/>
        </w:rPr>
        <w:t xml:space="preserve"> while in the remaining five months</w:t>
      </w:r>
      <w:r w:rsidR="009F5B54" w:rsidRPr="00022CA4">
        <w:rPr>
          <w:rFonts w:ascii="Times New Roman" w:hAnsi="Times New Roman" w:cs="Times New Roman"/>
          <w:sz w:val="24"/>
          <w:szCs w:val="24"/>
        </w:rPr>
        <w:t xml:space="preserve"> (</w:t>
      </w:r>
      <w:r w:rsidR="0009144A" w:rsidRPr="00022CA4">
        <w:rPr>
          <w:rFonts w:ascii="Times New Roman" w:hAnsi="Times New Roman" w:cs="Times New Roman"/>
          <w:sz w:val="24"/>
          <w:szCs w:val="24"/>
        </w:rPr>
        <w:t>November to March</w:t>
      </w:r>
      <w:r w:rsidR="009F5B54" w:rsidRPr="00022CA4">
        <w:rPr>
          <w:rFonts w:ascii="Times New Roman" w:hAnsi="Times New Roman" w:cs="Times New Roman"/>
          <w:sz w:val="24"/>
          <w:szCs w:val="24"/>
        </w:rPr>
        <w:t>)</w:t>
      </w:r>
      <w:r w:rsidR="0009144A" w:rsidRPr="00022CA4">
        <w:rPr>
          <w:rFonts w:ascii="Times New Roman" w:hAnsi="Times New Roman" w:cs="Times New Roman"/>
          <w:sz w:val="24"/>
          <w:szCs w:val="24"/>
        </w:rPr>
        <w:t xml:space="preserve"> it was low</w:t>
      </w:r>
      <w:r w:rsidR="00CD0056" w:rsidRPr="00022CA4">
        <w:rPr>
          <w:rFonts w:ascii="Times New Roman" w:hAnsi="Times New Roman" w:cs="Times New Roman"/>
          <w:sz w:val="24"/>
          <w:szCs w:val="24"/>
        </w:rPr>
        <w:t xml:space="preserve">er, </w:t>
      </w:r>
      <w:r w:rsidR="0009144A" w:rsidRPr="00022CA4">
        <w:rPr>
          <w:rFonts w:ascii="Times New Roman" w:hAnsi="Times New Roman" w:cs="Times New Roman"/>
          <w:sz w:val="24"/>
          <w:szCs w:val="24"/>
        </w:rPr>
        <w:t xml:space="preserve">ranging from </w:t>
      </w:r>
      <w:r w:rsidR="00CD0056" w:rsidRPr="00022CA4">
        <w:rPr>
          <w:rFonts w:ascii="Times New Roman" w:hAnsi="Times New Roman" w:cs="Times New Roman"/>
          <w:sz w:val="24"/>
          <w:szCs w:val="24"/>
        </w:rPr>
        <w:t>11</w:t>
      </w:r>
      <w:r w:rsidR="0009144A" w:rsidRPr="00022CA4">
        <w:rPr>
          <w:rFonts w:ascii="Times New Roman" w:hAnsi="Times New Roman" w:cs="Times New Roman"/>
          <w:sz w:val="24"/>
          <w:szCs w:val="24"/>
        </w:rPr>
        <w:t xml:space="preserve"> to </w:t>
      </w:r>
      <w:r w:rsidR="00CD0056" w:rsidRPr="00022CA4">
        <w:rPr>
          <w:rFonts w:ascii="Times New Roman" w:hAnsi="Times New Roman" w:cs="Times New Roman"/>
          <w:sz w:val="24"/>
          <w:szCs w:val="24"/>
        </w:rPr>
        <w:t>41</w:t>
      </w:r>
      <w:r w:rsidR="0009144A" w:rsidRPr="00022CA4">
        <w:rPr>
          <w:rFonts w:ascii="Times New Roman" w:hAnsi="Times New Roman" w:cs="Times New Roman"/>
          <w:sz w:val="24"/>
          <w:szCs w:val="24"/>
        </w:rPr>
        <w:t xml:space="preserve"> mm</w:t>
      </w:r>
      <w:r w:rsidR="009F5B54" w:rsidRPr="00022CA4">
        <w:rPr>
          <w:rFonts w:ascii="Times New Roman" w:hAnsi="Times New Roman" w:cs="Times New Roman"/>
          <w:sz w:val="24"/>
          <w:szCs w:val="24"/>
        </w:rPr>
        <w:t>;</w:t>
      </w:r>
      <w:r w:rsidR="0009144A" w:rsidRPr="00022CA4">
        <w:rPr>
          <w:rFonts w:ascii="Times New Roman" w:hAnsi="Times New Roman" w:cs="Times New Roman"/>
          <w:sz w:val="24"/>
          <w:szCs w:val="24"/>
        </w:rPr>
        <w:t xml:space="preserve"> </w:t>
      </w:r>
      <w:r w:rsidR="009F5B54" w:rsidRPr="00022CA4">
        <w:rPr>
          <w:rFonts w:ascii="Times New Roman" w:hAnsi="Times New Roman" w:cs="Times New Roman"/>
          <w:sz w:val="24"/>
          <w:szCs w:val="24"/>
        </w:rPr>
        <w:t>however,</w:t>
      </w:r>
      <w:r w:rsidR="00CC54D3" w:rsidRPr="00022CA4">
        <w:rPr>
          <w:rFonts w:ascii="Times New Roman" w:hAnsi="Times New Roman" w:cs="Times New Roman"/>
          <w:sz w:val="24"/>
          <w:szCs w:val="24"/>
        </w:rPr>
        <w:t xml:space="preserve"> </w:t>
      </w:r>
      <w:proofErr w:type="spellStart"/>
      <w:r w:rsidR="009F5B54" w:rsidRPr="00022CA4">
        <w:rPr>
          <w:rFonts w:ascii="Times New Roman" w:hAnsi="Times New Roman" w:cs="Times New Roman"/>
          <w:sz w:val="24"/>
          <w:szCs w:val="24"/>
        </w:rPr>
        <w:t>ET</w:t>
      </w:r>
      <w:r w:rsidR="009F5B54" w:rsidRPr="00022CA4">
        <w:rPr>
          <w:rFonts w:ascii="Times New Roman" w:hAnsi="Times New Roman" w:cs="Times New Roman"/>
          <w:sz w:val="24"/>
          <w:szCs w:val="24"/>
          <w:vertAlign w:val="subscript"/>
        </w:rPr>
        <w:t>o</w:t>
      </w:r>
      <w:proofErr w:type="spellEnd"/>
      <w:r w:rsidR="00CC54D3" w:rsidRPr="00022CA4">
        <w:rPr>
          <w:rFonts w:ascii="Times New Roman" w:hAnsi="Times New Roman" w:cs="Times New Roman"/>
          <w:sz w:val="24"/>
          <w:szCs w:val="24"/>
        </w:rPr>
        <w:t xml:space="preserve"> </w:t>
      </w:r>
      <w:r w:rsidR="0096478F">
        <w:rPr>
          <w:rFonts w:ascii="Times New Roman" w:hAnsi="Times New Roman" w:cs="Times New Roman"/>
          <w:sz w:val="24"/>
          <w:szCs w:val="24"/>
        </w:rPr>
        <w:t xml:space="preserve">ranged only slightly (74 to </w:t>
      </w:r>
      <w:r w:rsidR="009F5B54" w:rsidRPr="00022CA4">
        <w:rPr>
          <w:rFonts w:ascii="Times New Roman" w:hAnsi="Times New Roman" w:cs="Times New Roman"/>
          <w:sz w:val="24"/>
          <w:szCs w:val="24"/>
        </w:rPr>
        <w:t xml:space="preserve">88 mm). </w:t>
      </w:r>
      <w:r w:rsidR="00631525" w:rsidRPr="00022CA4">
        <w:rPr>
          <w:rFonts w:ascii="Times New Roman" w:hAnsi="Times New Roman" w:cs="Times New Roman"/>
          <w:sz w:val="24"/>
          <w:szCs w:val="24"/>
        </w:rPr>
        <w:t xml:space="preserve">The range of the mean seasonal </w:t>
      </w:r>
      <w:proofErr w:type="spellStart"/>
      <w:proofErr w:type="gramStart"/>
      <w:r w:rsidR="00631525" w:rsidRPr="00022CA4">
        <w:rPr>
          <w:rFonts w:ascii="Times New Roman" w:hAnsi="Times New Roman" w:cs="Times New Roman"/>
          <w:sz w:val="24"/>
          <w:szCs w:val="24"/>
        </w:rPr>
        <w:t>ET</w:t>
      </w:r>
      <w:r w:rsidR="00631525" w:rsidRPr="00022CA4">
        <w:rPr>
          <w:rFonts w:ascii="Times New Roman" w:hAnsi="Times New Roman" w:cs="Times New Roman"/>
          <w:sz w:val="24"/>
          <w:szCs w:val="24"/>
          <w:vertAlign w:val="subscript"/>
        </w:rPr>
        <w:t>o</w:t>
      </w:r>
      <w:proofErr w:type="spellEnd"/>
      <w:proofErr w:type="gramEnd"/>
      <w:r w:rsidR="00631525" w:rsidRPr="00022CA4">
        <w:rPr>
          <w:rFonts w:ascii="Times New Roman" w:hAnsi="Times New Roman" w:cs="Times New Roman"/>
          <w:sz w:val="24"/>
          <w:szCs w:val="24"/>
        </w:rPr>
        <w:t xml:space="preserve"> amount in Ethiopia was also minimal (between 309 and 338 mm) compared to that of rainfall (between 138 mm and 393 mm)</w:t>
      </w:r>
      <w:r w:rsidR="003F7D37" w:rsidRPr="00022CA4">
        <w:rPr>
          <w:rFonts w:ascii="Times New Roman" w:hAnsi="Times New Roman" w:cs="Times New Roman"/>
          <w:sz w:val="24"/>
          <w:szCs w:val="24"/>
        </w:rPr>
        <w:t xml:space="preserve"> (</w:t>
      </w:r>
      <w:r w:rsidR="00D27065" w:rsidRPr="00022CA4">
        <w:rPr>
          <w:rFonts w:ascii="Times New Roman" w:hAnsi="Times New Roman" w:cs="Times New Roman"/>
          <w:sz w:val="24"/>
          <w:szCs w:val="24"/>
        </w:rPr>
        <w:t xml:space="preserve">also see </w:t>
      </w:r>
      <w:r w:rsidR="003F7D37" w:rsidRPr="00022CA4">
        <w:rPr>
          <w:rFonts w:ascii="Times New Roman" w:hAnsi="Times New Roman" w:cs="Times New Roman"/>
          <w:sz w:val="24"/>
          <w:szCs w:val="24"/>
        </w:rPr>
        <w:t>Fig. 4).</w:t>
      </w:r>
      <w:r w:rsidR="00D27065" w:rsidRPr="00022CA4">
        <w:rPr>
          <w:rFonts w:ascii="Times New Roman" w:hAnsi="Times New Roman" w:cs="Times New Roman"/>
          <w:sz w:val="24"/>
          <w:szCs w:val="24"/>
        </w:rPr>
        <w:t xml:space="preserve"> Generally, t</w:t>
      </w:r>
      <w:r w:rsidR="00A03769" w:rsidRPr="00022CA4">
        <w:rPr>
          <w:rFonts w:ascii="Times New Roman" w:hAnsi="Times New Roman" w:cs="Times New Roman"/>
          <w:sz w:val="24"/>
          <w:szCs w:val="24"/>
        </w:rPr>
        <w:t>he Kiremt season significantly contribute</w:t>
      </w:r>
      <w:r w:rsidR="00D27065" w:rsidRPr="00022CA4">
        <w:rPr>
          <w:rFonts w:ascii="Times New Roman" w:hAnsi="Times New Roman" w:cs="Times New Roman"/>
          <w:sz w:val="24"/>
          <w:szCs w:val="24"/>
        </w:rPr>
        <w:t>d</w:t>
      </w:r>
      <w:r w:rsidR="00A03769" w:rsidRPr="00022CA4">
        <w:rPr>
          <w:rFonts w:ascii="Times New Roman" w:hAnsi="Times New Roman" w:cs="Times New Roman"/>
          <w:sz w:val="24"/>
          <w:szCs w:val="24"/>
        </w:rPr>
        <w:t xml:space="preserve"> to the annual total rainfall across most of Ethi</w:t>
      </w:r>
      <w:r w:rsidR="00D27065" w:rsidRPr="00022CA4">
        <w:rPr>
          <w:rFonts w:ascii="Times New Roman" w:hAnsi="Times New Roman" w:cs="Times New Roman"/>
          <w:sz w:val="24"/>
          <w:szCs w:val="24"/>
        </w:rPr>
        <w:t>opia, while evapotranspiration wa</w:t>
      </w:r>
      <w:r w:rsidR="00A03769" w:rsidRPr="00022CA4">
        <w:rPr>
          <w:rFonts w:ascii="Times New Roman" w:hAnsi="Times New Roman" w:cs="Times New Roman"/>
          <w:sz w:val="24"/>
          <w:szCs w:val="24"/>
        </w:rPr>
        <w:t xml:space="preserve">s notably high during the </w:t>
      </w:r>
      <w:proofErr w:type="spellStart"/>
      <w:r w:rsidR="00A03769" w:rsidRPr="00022CA4">
        <w:rPr>
          <w:rFonts w:ascii="Times New Roman" w:hAnsi="Times New Roman" w:cs="Times New Roman"/>
          <w:sz w:val="24"/>
          <w:szCs w:val="24"/>
        </w:rPr>
        <w:t>Belg</w:t>
      </w:r>
      <w:proofErr w:type="spellEnd"/>
      <w:r w:rsidR="00A03769" w:rsidRPr="00022CA4">
        <w:rPr>
          <w:rFonts w:ascii="Times New Roman" w:hAnsi="Times New Roman" w:cs="Times New Roman"/>
          <w:sz w:val="24"/>
          <w:szCs w:val="24"/>
        </w:rPr>
        <w:t xml:space="preserve"> season.</w:t>
      </w:r>
    </w:p>
    <w:p w14:paraId="2B82D5D5" w14:textId="1C007E5A" w:rsidR="00BD5405" w:rsidRDefault="00BD5405" w:rsidP="00EE4D7D">
      <w:pPr>
        <w:spacing w:line="360" w:lineRule="auto"/>
        <w:jc w:val="center"/>
        <w:rPr>
          <w:rFonts w:ascii="Times New Roman" w:hAnsi="Times New Roman" w:cs="Times New Roman"/>
          <w:sz w:val="24"/>
          <w:szCs w:val="24"/>
        </w:rPr>
      </w:pPr>
    </w:p>
    <w:p w14:paraId="3CF67552" w14:textId="4605F0D7" w:rsidR="00901081" w:rsidRPr="00022CA4" w:rsidRDefault="00901081" w:rsidP="00EE4D7D">
      <w:pPr>
        <w:spacing w:line="360" w:lineRule="auto"/>
        <w:jc w:val="center"/>
        <w:rPr>
          <w:rFonts w:ascii="Times New Roman" w:hAnsi="Times New Roman" w:cs="Times New Roman"/>
          <w:sz w:val="24"/>
          <w:szCs w:val="24"/>
        </w:rPr>
      </w:pPr>
      <w:r w:rsidRPr="00901081">
        <w:rPr>
          <w:rFonts w:ascii="Times New Roman" w:hAnsi="Times New Roman" w:cs="Times New Roman"/>
          <w:noProof/>
          <w:sz w:val="24"/>
          <w:szCs w:val="24"/>
        </w:rPr>
        <w:lastRenderedPageBreak/>
        <w:drawing>
          <wp:inline distT="0" distB="0" distL="0" distR="0" wp14:anchorId="6CF54098" wp14:editId="17BBF4EB">
            <wp:extent cx="5843017" cy="3118105"/>
            <wp:effectExtent l="0" t="0" r="5715" b="6350"/>
            <wp:docPr id="6" name="Picture 2" descr="D:\Part-I\2025\Pub_4\Data-2\fig.2\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Part-I\2025\Pub_4\Data-2\fig.2\Fig.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503" t="7068" r="14585" b="47456"/>
                    <a:stretch/>
                  </pic:blipFill>
                  <pic:spPr bwMode="auto">
                    <a:xfrm>
                      <a:off x="0" y="0"/>
                      <a:ext cx="5843017" cy="3118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A32EA56" w14:textId="427BAF9F" w:rsidR="008F1B5A" w:rsidRDefault="008F1B5A" w:rsidP="00EE4D7D">
      <w:pPr>
        <w:spacing w:after="240" w:line="360" w:lineRule="auto"/>
        <w:jc w:val="both"/>
        <w:rPr>
          <w:rFonts w:ascii="Times New Roman" w:hAnsi="Times New Roman" w:cs="Times New Roman"/>
          <w:sz w:val="24"/>
          <w:szCs w:val="24"/>
        </w:rPr>
      </w:pPr>
      <w:r w:rsidRPr="00022CA4">
        <w:rPr>
          <w:rFonts w:ascii="Times New Roman" w:hAnsi="Times New Roman" w:cs="Times New Roman"/>
          <w:b/>
          <w:sz w:val="24"/>
          <w:szCs w:val="24"/>
        </w:rPr>
        <w:t>Fig</w:t>
      </w:r>
      <w:r w:rsidR="004057F8" w:rsidRPr="00022CA4">
        <w:rPr>
          <w:rFonts w:ascii="Times New Roman" w:hAnsi="Times New Roman" w:cs="Times New Roman"/>
          <w:b/>
          <w:sz w:val="24"/>
          <w:szCs w:val="24"/>
        </w:rPr>
        <w:t>.</w:t>
      </w:r>
      <w:r w:rsidR="00694D09" w:rsidRPr="00022CA4">
        <w:rPr>
          <w:rFonts w:ascii="Times New Roman" w:hAnsi="Times New Roman" w:cs="Times New Roman"/>
          <w:b/>
          <w:sz w:val="24"/>
          <w:szCs w:val="24"/>
        </w:rPr>
        <w:t xml:space="preserve"> </w:t>
      </w:r>
      <w:r w:rsidR="004057F8" w:rsidRPr="00022CA4">
        <w:rPr>
          <w:rFonts w:ascii="Times New Roman" w:hAnsi="Times New Roman" w:cs="Times New Roman"/>
          <w:b/>
          <w:sz w:val="24"/>
          <w:szCs w:val="24"/>
        </w:rPr>
        <w:t>2</w:t>
      </w:r>
      <w:r w:rsidRPr="00022CA4">
        <w:rPr>
          <w:rFonts w:ascii="Times New Roman" w:hAnsi="Times New Roman" w:cs="Times New Roman"/>
          <w:sz w:val="24"/>
          <w:szCs w:val="24"/>
        </w:rPr>
        <w:t xml:space="preserve"> Spatial distribution of annual and seasonal rainfall</w:t>
      </w:r>
      <w:r w:rsidR="007D3ABB" w:rsidRPr="00022CA4">
        <w:rPr>
          <w:rFonts w:ascii="Times New Roman" w:hAnsi="Times New Roman" w:cs="Times New Roman"/>
          <w:sz w:val="24"/>
          <w:szCs w:val="24"/>
        </w:rPr>
        <w:t xml:space="preserve"> (P)</w:t>
      </w:r>
      <w:r w:rsidRPr="00022CA4">
        <w:rPr>
          <w:rFonts w:ascii="Times New Roman" w:hAnsi="Times New Roman" w:cs="Times New Roman"/>
          <w:sz w:val="24"/>
          <w:szCs w:val="24"/>
        </w:rPr>
        <w:t xml:space="preserve"> </w:t>
      </w:r>
      <w:r w:rsidR="00AB2631" w:rsidRPr="00022CA4">
        <w:rPr>
          <w:rFonts w:ascii="Times New Roman" w:hAnsi="Times New Roman" w:cs="Times New Roman"/>
          <w:sz w:val="24"/>
          <w:szCs w:val="24"/>
        </w:rPr>
        <w:t>over Ethiopia from 1980 to 2021</w:t>
      </w:r>
    </w:p>
    <w:p w14:paraId="562A11F5" w14:textId="62AA5D15" w:rsidR="00901081" w:rsidRPr="00D025DF" w:rsidRDefault="00D025DF" w:rsidP="00D025DF">
      <w:pPr>
        <w:spacing w:after="240" w:line="360" w:lineRule="auto"/>
        <w:jc w:val="center"/>
        <w:rPr>
          <w:rFonts w:ascii="Times New Roman" w:hAnsi="Times New Roman" w:cs="Times New Roman"/>
          <w:sz w:val="24"/>
          <w:szCs w:val="24"/>
        </w:rPr>
      </w:pPr>
      <w:r w:rsidRPr="00D025DF">
        <w:rPr>
          <w:rFonts w:ascii="Times New Roman" w:hAnsi="Times New Roman" w:cs="Times New Roman"/>
          <w:noProof/>
          <w:sz w:val="24"/>
          <w:szCs w:val="24"/>
        </w:rPr>
        <w:drawing>
          <wp:inline distT="0" distB="0" distL="0" distR="0" wp14:anchorId="728CE9B4" wp14:editId="22EE899D">
            <wp:extent cx="5824729" cy="3108961"/>
            <wp:effectExtent l="0" t="0" r="5080" b="0"/>
            <wp:docPr id="13" name="Picture 2" descr="D:\Part-I\2025\Pub_4\Data-2\fig.2\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Part-I\2025\Pub_4\Data-2\fig.2\Fig.3.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1504" t="7068" r="14785" b="47588"/>
                    <a:stretch/>
                  </pic:blipFill>
                  <pic:spPr bwMode="auto">
                    <a:xfrm>
                      <a:off x="0" y="0"/>
                      <a:ext cx="5824729" cy="31089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5400789" w14:textId="238315D8" w:rsidR="00AC3EA3" w:rsidRDefault="006A6EC0" w:rsidP="00901081">
      <w:pPr>
        <w:spacing w:after="240" w:line="360" w:lineRule="auto"/>
        <w:jc w:val="both"/>
        <w:rPr>
          <w:rFonts w:ascii="Times New Roman" w:hAnsi="Times New Roman" w:cs="Times New Roman"/>
          <w:sz w:val="24"/>
          <w:szCs w:val="24"/>
        </w:rPr>
      </w:pPr>
      <w:r w:rsidRPr="00022CA4">
        <w:rPr>
          <w:rFonts w:ascii="Times New Roman" w:hAnsi="Times New Roman" w:cs="Times New Roman"/>
          <w:b/>
          <w:sz w:val="24"/>
          <w:szCs w:val="24"/>
        </w:rPr>
        <w:t>Fig</w:t>
      </w:r>
      <w:r w:rsidR="008F1B5A" w:rsidRPr="00022CA4">
        <w:rPr>
          <w:rFonts w:ascii="Times New Roman" w:hAnsi="Times New Roman" w:cs="Times New Roman"/>
          <w:b/>
          <w:sz w:val="24"/>
          <w:szCs w:val="24"/>
        </w:rPr>
        <w:t>.</w:t>
      </w:r>
      <w:r w:rsidR="00694D09" w:rsidRPr="00022CA4">
        <w:rPr>
          <w:rFonts w:ascii="Times New Roman" w:hAnsi="Times New Roman" w:cs="Times New Roman"/>
          <w:b/>
          <w:sz w:val="24"/>
          <w:szCs w:val="24"/>
        </w:rPr>
        <w:t xml:space="preserve"> </w:t>
      </w:r>
      <w:r w:rsidR="004057F8" w:rsidRPr="00022CA4">
        <w:rPr>
          <w:rFonts w:ascii="Times New Roman" w:hAnsi="Times New Roman" w:cs="Times New Roman"/>
          <w:b/>
          <w:sz w:val="24"/>
          <w:szCs w:val="24"/>
        </w:rPr>
        <w:t>3</w:t>
      </w:r>
      <w:r w:rsidR="008F1B5A" w:rsidRPr="00022CA4">
        <w:rPr>
          <w:rFonts w:ascii="Times New Roman" w:hAnsi="Times New Roman" w:cs="Times New Roman"/>
          <w:sz w:val="24"/>
          <w:szCs w:val="24"/>
        </w:rPr>
        <w:t xml:space="preserve"> Spatial distribution of annual and seasonal evapotranspiration </w:t>
      </w:r>
      <w:r w:rsidR="00AB2631" w:rsidRPr="00022CA4">
        <w:rPr>
          <w:rFonts w:ascii="Times New Roman" w:hAnsi="Times New Roman" w:cs="Times New Roman"/>
          <w:sz w:val="24"/>
          <w:szCs w:val="24"/>
        </w:rPr>
        <w:t>over Ethiopia from 1980 to 2021</w:t>
      </w:r>
    </w:p>
    <w:p w14:paraId="0816273E" w14:textId="45C34248" w:rsidR="008E3549" w:rsidRPr="00022CA4" w:rsidRDefault="00901081" w:rsidP="00493C01">
      <w:pPr>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6DAF1C" wp14:editId="04AB96F3">
            <wp:extent cx="6659880" cy="4373880"/>
            <wp:effectExtent l="0" t="0" r="7620" b="7620"/>
            <wp:docPr id="11" name="Picture 11" descr="D:\Part-I\2025\Pub_4\22-Jornal_Climatology\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rt-I\2025\Pub_4\22-Jornal_Climatology\Fig.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9880" cy="4373880"/>
                    </a:xfrm>
                    <a:prstGeom prst="rect">
                      <a:avLst/>
                    </a:prstGeom>
                    <a:noFill/>
                    <a:ln>
                      <a:noFill/>
                    </a:ln>
                  </pic:spPr>
                </pic:pic>
              </a:graphicData>
            </a:graphic>
          </wp:inline>
        </w:drawing>
      </w:r>
      <w:r w:rsidR="00195996" w:rsidRPr="00022CA4">
        <w:rPr>
          <w:rFonts w:ascii="Times New Roman" w:hAnsi="Times New Roman" w:cs="Times New Roman"/>
          <w:b/>
          <w:sz w:val="24"/>
          <w:szCs w:val="24"/>
        </w:rPr>
        <w:t>F</w:t>
      </w:r>
      <w:r w:rsidR="00185C52" w:rsidRPr="00022CA4">
        <w:rPr>
          <w:rFonts w:ascii="Times New Roman" w:hAnsi="Times New Roman" w:cs="Times New Roman"/>
          <w:b/>
          <w:sz w:val="24"/>
          <w:szCs w:val="24"/>
        </w:rPr>
        <w:t>ig.</w:t>
      </w:r>
      <w:r w:rsidR="00694D09" w:rsidRPr="00022CA4">
        <w:rPr>
          <w:rFonts w:ascii="Times New Roman" w:hAnsi="Times New Roman" w:cs="Times New Roman"/>
          <w:b/>
          <w:sz w:val="24"/>
          <w:szCs w:val="24"/>
        </w:rPr>
        <w:t xml:space="preserve"> </w:t>
      </w:r>
      <w:r w:rsidR="0045430B" w:rsidRPr="00022CA4">
        <w:rPr>
          <w:rFonts w:ascii="Times New Roman" w:hAnsi="Times New Roman" w:cs="Times New Roman"/>
          <w:b/>
          <w:sz w:val="24"/>
          <w:szCs w:val="24"/>
        </w:rPr>
        <w:t>4</w:t>
      </w:r>
      <w:r w:rsidR="00D95497" w:rsidRPr="00022CA4">
        <w:rPr>
          <w:rFonts w:ascii="Times New Roman" w:hAnsi="Times New Roman" w:cs="Times New Roman"/>
          <w:sz w:val="24"/>
          <w:szCs w:val="24"/>
        </w:rPr>
        <w:t xml:space="preserve"> </w:t>
      </w:r>
      <w:proofErr w:type="spellStart"/>
      <w:r>
        <w:rPr>
          <w:rFonts w:ascii="Times New Roman" w:hAnsi="Times New Roman" w:cs="Times New Roman"/>
          <w:sz w:val="24"/>
          <w:szCs w:val="24"/>
        </w:rPr>
        <w:t>Annual</w:t>
      </w:r>
      <w:proofErr w:type="gramStart"/>
      <w:r>
        <w:rPr>
          <w:rFonts w:ascii="Times New Roman" w:hAnsi="Times New Roman" w:cs="Times New Roman"/>
          <w:sz w:val="24"/>
          <w:szCs w:val="24"/>
        </w:rPr>
        <w:t>,seasonal</w:t>
      </w:r>
      <w:proofErr w:type="spellEnd"/>
      <w:proofErr w:type="gramEnd"/>
      <w:r>
        <w:rPr>
          <w:rFonts w:ascii="Times New Roman" w:hAnsi="Times New Roman" w:cs="Times New Roman"/>
          <w:sz w:val="24"/>
          <w:szCs w:val="24"/>
        </w:rPr>
        <w:t xml:space="preserve"> and m</w:t>
      </w:r>
      <w:r w:rsidR="00185C52" w:rsidRPr="00022CA4">
        <w:rPr>
          <w:rFonts w:ascii="Times New Roman" w:hAnsi="Times New Roman" w:cs="Times New Roman"/>
          <w:sz w:val="24"/>
          <w:szCs w:val="24"/>
        </w:rPr>
        <w:t>ean mo</w:t>
      </w:r>
      <w:r w:rsidR="00024241" w:rsidRPr="00022CA4">
        <w:rPr>
          <w:rFonts w:ascii="Times New Roman" w:hAnsi="Times New Roman" w:cs="Times New Roman"/>
          <w:sz w:val="24"/>
          <w:szCs w:val="24"/>
        </w:rPr>
        <w:t xml:space="preserve">nthly </w:t>
      </w:r>
      <w:r w:rsidR="001C4477">
        <w:rPr>
          <w:rFonts w:ascii="Times New Roman" w:hAnsi="Times New Roman" w:cs="Times New Roman"/>
          <w:sz w:val="24"/>
          <w:szCs w:val="24"/>
        </w:rPr>
        <w:t>rainfall</w:t>
      </w:r>
      <w:r w:rsidR="00024241" w:rsidRPr="00022CA4">
        <w:rPr>
          <w:rFonts w:ascii="Times New Roman" w:hAnsi="Times New Roman" w:cs="Times New Roman"/>
          <w:sz w:val="24"/>
          <w:szCs w:val="24"/>
        </w:rPr>
        <w:t xml:space="preserve"> </w:t>
      </w:r>
      <w:r w:rsidR="00EB2182" w:rsidRPr="00022CA4">
        <w:rPr>
          <w:rFonts w:ascii="Times New Roman" w:hAnsi="Times New Roman" w:cs="Times New Roman"/>
          <w:sz w:val="24"/>
          <w:szCs w:val="24"/>
        </w:rPr>
        <w:t xml:space="preserve">(P) </w:t>
      </w:r>
      <w:r w:rsidR="00024241" w:rsidRPr="00022CA4">
        <w:rPr>
          <w:rFonts w:ascii="Times New Roman" w:hAnsi="Times New Roman" w:cs="Times New Roman"/>
          <w:sz w:val="24"/>
          <w:szCs w:val="24"/>
        </w:rPr>
        <w:t>&amp; evapotranspiration</w:t>
      </w:r>
      <w:r w:rsidR="00EB2182" w:rsidRPr="00022CA4">
        <w:rPr>
          <w:rFonts w:ascii="Times New Roman" w:hAnsi="Times New Roman" w:cs="Times New Roman"/>
          <w:sz w:val="24"/>
          <w:szCs w:val="24"/>
        </w:rPr>
        <w:t xml:space="preserve"> (</w:t>
      </w:r>
      <w:proofErr w:type="spellStart"/>
      <w:r w:rsidR="00EB2182" w:rsidRPr="00022CA4">
        <w:rPr>
          <w:rFonts w:ascii="Times New Roman" w:hAnsi="Times New Roman" w:cs="Times New Roman"/>
          <w:sz w:val="24"/>
          <w:szCs w:val="24"/>
        </w:rPr>
        <w:t>ET</w:t>
      </w:r>
      <w:r w:rsidR="00EB2182" w:rsidRPr="00022CA4">
        <w:rPr>
          <w:rFonts w:ascii="Times New Roman" w:hAnsi="Times New Roman" w:cs="Times New Roman"/>
          <w:sz w:val="24"/>
          <w:szCs w:val="24"/>
          <w:vertAlign w:val="subscript"/>
        </w:rPr>
        <w:t>o</w:t>
      </w:r>
      <w:proofErr w:type="spellEnd"/>
      <w:r w:rsidR="00EB2182" w:rsidRPr="00022CA4">
        <w:rPr>
          <w:rFonts w:ascii="Times New Roman" w:hAnsi="Times New Roman" w:cs="Times New Roman"/>
          <w:sz w:val="24"/>
          <w:szCs w:val="24"/>
        </w:rPr>
        <w:t>)</w:t>
      </w:r>
      <w:r w:rsidR="00185C52" w:rsidRPr="00022CA4">
        <w:rPr>
          <w:rFonts w:ascii="Times New Roman" w:hAnsi="Times New Roman" w:cs="Times New Roman"/>
          <w:sz w:val="24"/>
          <w:szCs w:val="24"/>
        </w:rPr>
        <w:t xml:space="preserve"> </w:t>
      </w:r>
      <w:r w:rsidR="00AB2631" w:rsidRPr="00022CA4">
        <w:rPr>
          <w:rFonts w:ascii="Times New Roman" w:hAnsi="Times New Roman" w:cs="Times New Roman"/>
          <w:sz w:val="24"/>
          <w:szCs w:val="24"/>
        </w:rPr>
        <w:t>over Ethiopia from 1980 to 2021</w:t>
      </w:r>
    </w:p>
    <w:p w14:paraId="32B57E89" w14:textId="446F07E8" w:rsidR="009B71DF" w:rsidRPr="00022CA4" w:rsidRDefault="009B71DF" w:rsidP="00EE4D7D">
      <w:pPr>
        <w:pStyle w:val="Heading3"/>
        <w:spacing w:after="240" w:line="360" w:lineRule="auto"/>
        <w:rPr>
          <w:rFonts w:ascii="Times New Roman" w:hAnsi="Times New Roman" w:cs="Times New Roman"/>
          <w:b/>
          <w:bCs/>
          <w:color w:val="auto"/>
        </w:rPr>
      </w:pPr>
      <w:r w:rsidRPr="00022CA4">
        <w:rPr>
          <w:rFonts w:ascii="Times New Roman" w:hAnsi="Times New Roman" w:cs="Times New Roman"/>
          <w:b/>
          <w:bCs/>
          <w:color w:val="auto"/>
        </w:rPr>
        <w:t>3.1.2 Climatology of Climatic Water Balance in Ethiopia</w:t>
      </w:r>
    </w:p>
    <w:p w14:paraId="21960458" w14:textId="4E3E8D02" w:rsidR="0009144A" w:rsidRPr="00022CA4" w:rsidRDefault="00C820BA" w:rsidP="00C15743">
      <w:pPr>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The annual </w:t>
      </w:r>
      <w:r w:rsidR="009A2416" w:rsidRPr="00022CA4">
        <w:rPr>
          <w:rFonts w:ascii="Times New Roman" w:hAnsi="Times New Roman" w:cs="Times New Roman"/>
          <w:sz w:val="24"/>
          <w:szCs w:val="24"/>
        </w:rPr>
        <w:t>mean</w:t>
      </w:r>
      <w:r w:rsidR="009A2416" w:rsidRPr="00022CA4">
        <w:rPr>
          <w:rFonts w:ascii="Times New Roman" w:hAnsi="Times New Roman" w:cs="Times New Roman"/>
          <w:sz w:val="24"/>
          <w:szCs w:val="24"/>
          <w:lang w:val="en-GB"/>
        </w:rPr>
        <w:t xml:space="preserve"> </w:t>
      </w:r>
      <w:r w:rsidRPr="00022CA4">
        <w:rPr>
          <w:rFonts w:ascii="Times New Roman" w:hAnsi="Times New Roman" w:cs="Times New Roman"/>
          <w:sz w:val="24"/>
          <w:szCs w:val="24"/>
        </w:rPr>
        <w:t>climatic water balance</w:t>
      </w:r>
      <w:r w:rsidR="00D172D9" w:rsidRPr="00022CA4">
        <w:rPr>
          <w:rFonts w:ascii="Times New Roman" w:hAnsi="Times New Roman" w:cs="Times New Roman"/>
          <w:sz w:val="24"/>
          <w:szCs w:val="24"/>
        </w:rPr>
        <w:t xml:space="preserve"> (CWB)</w:t>
      </w:r>
      <w:r w:rsidRPr="00022CA4">
        <w:rPr>
          <w:rFonts w:ascii="Times New Roman" w:hAnsi="Times New Roman" w:cs="Times New Roman"/>
          <w:sz w:val="24"/>
          <w:szCs w:val="24"/>
        </w:rPr>
        <w:t xml:space="preserve"> </w:t>
      </w:r>
      <w:r w:rsidR="009A2416" w:rsidRPr="00022CA4">
        <w:rPr>
          <w:rFonts w:ascii="Times New Roman" w:hAnsi="Times New Roman" w:cs="Times New Roman"/>
          <w:sz w:val="24"/>
          <w:szCs w:val="24"/>
        </w:rPr>
        <w:t xml:space="preserve">in Ethiopia during 1980-2021 was -185 </w:t>
      </w:r>
      <w:r w:rsidRPr="00022CA4">
        <w:rPr>
          <w:rFonts w:ascii="Times New Roman" w:hAnsi="Times New Roman" w:cs="Times New Roman"/>
          <w:sz w:val="24"/>
          <w:szCs w:val="24"/>
        </w:rPr>
        <w:t>mm</w:t>
      </w:r>
      <w:r w:rsidR="00A43262" w:rsidRPr="00022CA4">
        <w:rPr>
          <w:rFonts w:ascii="Times New Roman" w:hAnsi="Times New Roman" w:cs="Times New Roman"/>
          <w:sz w:val="24"/>
          <w:szCs w:val="24"/>
        </w:rPr>
        <w:t xml:space="preserve"> (Fig. 6, </w:t>
      </w:r>
      <w:r w:rsidR="00F85C4B">
        <w:rPr>
          <w:rFonts w:ascii="Times New Roman" w:hAnsi="Times New Roman" w:cs="Times New Roman"/>
          <w:sz w:val="24"/>
          <w:szCs w:val="24"/>
        </w:rPr>
        <w:t>Table 6</w:t>
      </w:r>
      <w:r w:rsidR="00A43262" w:rsidRPr="00022CA4">
        <w:rPr>
          <w:rFonts w:ascii="Times New Roman" w:hAnsi="Times New Roman" w:cs="Times New Roman"/>
          <w:sz w:val="24"/>
          <w:szCs w:val="24"/>
        </w:rPr>
        <w:t>)</w:t>
      </w:r>
      <w:r w:rsidR="002E4FE1" w:rsidRPr="00022CA4">
        <w:rPr>
          <w:rFonts w:ascii="Times New Roman" w:hAnsi="Times New Roman" w:cs="Times New Roman"/>
          <w:sz w:val="24"/>
          <w:szCs w:val="24"/>
        </w:rPr>
        <w:t xml:space="preserve">. The </w:t>
      </w:r>
      <w:r w:rsidR="00733ED7" w:rsidRPr="00022CA4">
        <w:rPr>
          <w:rFonts w:ascii="Times New Roman" w:hAnsi="Times New Roman" w:cs="Times New Roman"/>
          <w:sz w:val="24"/>
          <w:szCs w:val="24"/>
        </w:rPr>
        <w:t xml:space="preserve">annual and seasonal (Bega, Belg, Kiremt) </w:t>
      </w:r>
      <w:r w:rsidR="002E4FE1" w:rsidRPr="00022CA4">
        <w:rPr>
          <w:rFonts w:ascii="Times New Roman" w:hAnsi="Times New Roman" w:cs="Times New Roman"/>
          <w:sz w:val="24"/>
          <w:szCs w:val="24"/>
        </w:rPr>
        <w:t xml:space="preserve">range of the mean CWB </w:t>
      </w:r>
      <w:r w:rsidR="00733ED7" w:rsidRPr="00022CA4">
        <w:rPr>
          <w:rFonts w:ascii="Times New Roman" w:hAnsi="Times New Roman" w:cs="Times New Roman"/>
          <w:sz w:val="24"/>
          <w:szCs w:val="24"/>
        </w:rPr>
        <w:t>in</w:t>
      </w:r>
      <w:r w:rsidR="002E4FE1" w:rsidRPr="00022CA4">
        <w:rPr>
          <w:rFonts w:ascii="Times New Roman" w:hAnsi="Times New Roman" w:cs="Times New Roman"/>
          <w:sz w:val="24"/>
          <w:szCs w:val="24"/>
        </w:rPr>
        <w:t xml:space="preserve"> </w:t>
      </w:r>
      <w:r w:rsidR="00CA6290" w:rsidRPr="00022CA4">
        <w:rPr>
          <w:rFonts w:ascii="Times New Roman" w:hAnsi="Times New Roman" w:cs="Times New Roman"/>
          <w:sz w:val="24"/>
          <w:szCs w:val="24"/>
        </w:rPr>
        <w:t xml:space="preserve">Ethiopia, considering each of </w:t>
      </w:r>
      <w:r w:rsidR="002E4FE1" w:rsidRPr="00022CA4">
        <w:rPr>
          <w:rFonts w:ascii="Times New Roman" w:hAnsi="Times New Roman" w:cs="Times New Roman"/>
          <w:sz w:val="24"/>
          <w:szCs w:val="24"/>
        </w:rPr>
        <w:t>the 392 grid points</w:t>
      </w:r>
      <w:r w:rsidR="00CA6290" w:rsidRPr="00022CA4">
        <w:rPr>
          <w:rFonts w:ascii="Times New Roman" w:hAnsi="Times New Roman" w:cs="Times New Roman"/>
          <w:sz w:val="24"/>
          <w:szCs w:val="24"/>
        </w:rPr>
        <w:t xml:space="preserve"> used for the study, </w:t>
      </w:r>
      <w:r w:rsidR="002E4FE1" w:rsidRPr="00022CA4">
        <w:rPr>
          <w:rFonts w:ascii="Times New Roman" w:hAnsi="Times New Roman" w:cs="Times New Roman"/>
          <w:sz w:val="24"/>
          <w:szCs w:val="24"/>
        </w:rPr>
        <w:t>was</w:t>
      </w:r>
      <w:r w:rsidR="009A2416" w:rsidRPr="00022CA4">
        <w:rPr>
          <w:rFonts w:ascii="Times New Roman" w:hAnsi="Times New Roman" w:cs="Times New Roman"/>
          <w:sz w:val="24"/>
          <w:szCs w:val="24"/>
        </w:rPr>
        <w:t xml:space="preserve"> from -99</w:t>
      </w:r>
      <w:r w:rsidR="00D3192C" w:rsidRPr="00022CA4">
        <w:rPr>
          <w:rFonts w:ascii="Times New Roman" w:hAnsi="Times New Roman" w:cs="Times New Roman"/>
          <w:sz w:val="24"/>
          <w:szCs w:val="24"/>
        </w:rPr>
        <w:t>1</w:t>
      </w:r>
      <w:r w:rsidR="002E4FE1" w:rsidRPr="00022CA4">
        <w:rPr>
          <w:rFonts w:ascii="Times New Roman" w:hAnsi="Times New Roman" w:cs="Times New Roman"/>
          <w:sz w:val="24"/>
          <w:szCs w:val="24"/>
        </w:rPr>
        <w:t xml:space="preserve"> </w:t>
      </w:r>
      <w:r w:rsidR="009A2416" w:rsidRPr="00022CA4">
        <w:rPr>
          <w:rFonts w:ascii="Times New Roman" w:hAnsi="Times New Roman" w:cs="Times New Roman"/>
          <w:sz w:val="24"/>
          <w:szCs w:val="24"/>
        </w:rPr>
        <w:t>to 1448</w:t>
      </w:r>
      <w:r w:rsidR="00733ED7" w:rsidRPr="00022CA4">
        <w:rPr>
          <w:rFonts w:ascii="Times New Roman" w:hAnsi="Times New Roman" w:cs="Times New Roman"/>
          <w:sz w:val="24"/>
          <w:szCs w:val="24"/>
        </w:rPr>
        <w:t xml:space="preserve"> and</w:t>
      </w:r>
      <w:r w:rsidR="009A2416" w:rsidRPr="00022CA4">
        <w:rPr>
          <w:rFonts w:ascii="Times New Roman" w:hAnsi="Times New Roman" w:cs="Times New Roman"/>
          <w:sz w:val="24"/>
          <w:szCs w:val="24"/>
        </w:rPr>
        <w:t xml:space="preserve"> </w:t>
      </w:r>
      <w:r w:rsidR="00CA6290" w:rsidRPr="00022CA4">
        <w:rPr>
          <w:rFonts w:ascii="Times New Roman" w:hAnsi="Times New Roman" w:cs="Times New Roman"/>
          <w:sz w:val="24"/>
          <w:szCs w:val="24"/>
        </w:rPr>
        <w:t>-351 to 1029 mm</w:t>
      </w:r>
      <w:r w:rsidR="00733ED7" w:rsidRPr="00022CA4">
        <w:rPr>
          <w:rFonts w:ascii="Times New Roman" w:hAnsi="Times New Roman" w:cs="Times New Roman"/>
          <w:sz w:val="24"/>
          <w:szCs w:val="24"/>
        </w:rPr>
        <w:t>. respectively</w:t>
      </w:r>
      <w:r w:rsidR="00CA6290" w:rsidRPr="00022CA4">
        <w:rPr>
          <w:rFonts w:ascii="Times New Roman" w:hAnsi="Times New Roman" w:cs="Times New Roman"/>
          <w:sz w:val="24"/>
          <w:szCs w:val="24"/>
        </w:rPr>
        <w:t xml:space="preserve"> (Fig. 5)</w:t>
      </w:r>
      <w:r w:rsidRPr="00022CA4">
        <w:rPr>
          <w:rFonts w:ascii="Times New Roman" w:hAnsi="Times New Roman" w:cs="Times New Roman"/>
          <w:sz w:val="24"/>
          <w:szCs w:val="24"/>
        </w:rPr>
        <w:t xml:space="preserve">. </w:t>
      </w:r>
      <w:r w:rsidR="0008294E" w:rsidRPr="00022CA4">
        <w:rPr>
          <w:rFonts w:ascii="Times New Roman" w:hAnsi="Times New Roman" w:cs="Times New Roman"/>
          <w:sz w:val="24"/>
          <w:szCs w:val="24"/>
        </w:rPr>
        <w:t xml:space="preserve">As shown in Fig. </w:t>
      </w:r>
      <w:r w:rsidR="00744E9A" w:rsidRPr="00022CA4">
        <w:rPr>
          <w:rFonts w:ascii="Times New Roman" w:hAnsi="Times New Roman" w:cs="Times New Roman"/>
          <w:sz w:val="24"/>
          <w:szCs w:val="24"/>
        </w:rPr>
        <w:t>5</w:t>
      </w:r>
      <w:r w:rsidR="0008294E" w:rsidRPr="00022CA4">
        <w:rPr>
          <w:rFonts w:ascii="Times New Roman" w:hAnsi="Times New Roman" w:cs="Times New Roman"/>
          <w:sz w:val="24"/>
          <w:szCs w:val="24"/>
        </w:rPr>
        <w:t xml:space="preserve">, most parts of Ethiopia, except some western and central parts, had negative CWB. </w:t>
      </w:r>
      <w:r w:rsidR="00733ED7" w:rsidRPr="00022CA4">
        <w:rPr>
          <w:rFonts w:ascii="Times New Roman" w:hAnsi="Times New Roman" w:cs="Times New Roman"/>
          <w:sz w:val="24"/>
          <w:szCs w:val="24"/>
        </w:rPr>
        <w:t xml:space="preserve">The annual and seasonal, except in </w:t>
      </w:r>
      <w:r w:rsidR="00B87DB8" w:rsidRPr="00022CA4">
        <w:rPr>
          <w:rFonts w:ascii="Times New Roman" w:hAnsi="Times New Roman" w:cs="Times New Roman"/>
          <w:sz w:val="24"/>
          <w:szCs w:val="24"/>
        </w:rPr>
        <w:t xml:space="preserve">the </w:t>
      </w:r>
      <w:r w:rsidR="00733ED7" w:rsidRPr="00022CA4">
        <w:rPr>
          <w:rFonts w:ascii="Times New Roman" w:hAnsi="Times New Roman" w:cs="Times New Roman"/>
          <w:sz w:val="24"/>
          <w:szCs w:val="24"/>
        </w:rPr>
        <w:t xml:space="preserve">Kiremt season, mean CWB in Ethiopia was also negative (Fig. 6). </w:t>
      </w:r>
      <w:r w:rsidR="00D172D9" w:rsidRPr="00022CA4">
        <w:rPr>
          <w:rFonts w:ascii="Times New Roman" w:hAnsi="Times New Roman" w:cs="Times New Roman"/>
          <w:sz w:val="24"/>
          <w:szCs w:val="24"/>
        </w:rPr>
        <w:t>Out of the twelve basins, only four basins (</w:t>
      </w:r>
      <w:proofErr w:type="spellStart"/>
      <w:r w:rsidR="00D172D9" w:rsidRPr="00022CA4">
        <w:rPr>
          <w:rFonts w:ascii="Times New Roman" w:hAnsi="Times New Roman" w:cs="Times New Roman"/>
          <w:sz w:val="24"/>
          <w:szCs w:val="24"/>
        </w:rPr>
        <w:t>Baro-Akobo</w:t>
      </w:r>
      <w:proofErr w:type="spellEnd"/>
      <w:r w:rsidR="00D172D9" w:rsidRPr="00022CA4">
        <w:rPr>
          <w:rFonts w:ascii="Times New Roman" w:hAnsi="Times New Roman" w:cs="Times New Roman"/>
          <w:sz w:val="24"/>
          <w:szCs w:val="24"/>
        </w:rPr>
        <w:t xml:space="preserve">, </w:t>
      </w:r>
      <w:proofErr w:type="spellStart"/>
      <w:r w:rsidR="00D172D9" w:rsidRPr="00022CA4">
        <w:rPr>
          <w:rFonts w:ascii="Times New Roman" w:hAnsi="Times New Roman" w:cs="Times New Roman"/>
          <w:sz w:val="24"/>
          <w:szCs w:val="24"/>
        </w:rPr>
        <w:t>Omo</w:t>
      </w:r>
      <w:proofErr w:type="spellEnd"/>
      <w:r w:rsidR="00D172D9" w:rsidRPr="00022CA4">
        <w:rPr>
          <w:rFonts w:ascii="Times New Roman" w:hAnsi="Times New Roman" w:cs="Times New Roman"/>
          <w:sz w:val="24"/>
          <w:szCs w:val="24"/>
        </w:rPr>
        <w:t xml:space="preserve">-Gibe, </w:t>
      </w:r>
      <w:proofErr w:type="spellStart"/>
      <w:r w:rsidR="00D172D9" w:rsidRPr="00022CA4">
        <w:rPr>
          <w:rFonts w:ascii="Times New Roman" w:hAnsi="Times New Roman" w:cs="Times New Roman"/>
          <w:sz w:val="24"/>
          <w:szCs w:val="24"/>
        </w:rPr>
        <w:t>Abbay</w:t>
      </w:r>
      <w:proofErr w:type="spellEnd"/>
      <w:r w:rsidR="00D172D9" w:rsidRPr="00022CA4">
        <w:rPr>
          <w:rFonts w:ascii="Times New Roman" w:hAnsi="Times New Roman" w:cs="Times New Roman"/>
          <w:sz w:val="24"/>
          <w:szCs w:val="24"/>
        </w:rPr>
        <w:t xml:space="preserve">, and Rift Valley) had a positive </w:t>
      </w:r>
      <w:r w:rsidR="00733ED7" w:rsidRPr="00022CA4">
        <w:rPr>
          <w:rFonts w:ascii="Times New Roman" w:hAnsi="Times New Roman" w:cs="Times New Roman"/>
          <w:sz w:val="24"/>
          <w:szCs w:val="24"/>
        </w:rPr>
        <w:t xml:space="preserve">annual </w:t>
      </w:r>
      <w:r w:rsidR="00D172D9" w:rsidRPr="00022CA4">
        <w:rPr>
          <w:rFonts w:ascii="Times New Roman" w:hAnsi="Times New Roman" w:cs="Times New Roman"/>
          <w:sz w:val="24"/>
          <w:szCs w:val="24"/>
        </w:rPr>
        <w:t>CWB</w:t>
      </w:r>
      <w:r w:rsidR="00733ED7" w:rsidRPr="00022CA4">
        <w:rPr>
          <w:rFonts w:ascii="Times New Roman" w:hAnsi="Times New Roman" w:cs="Times New Roman"/>
          <w:sz w:val="24"/>
          <w:szCs w:val="24"/>
        </w:rPr>
        <w:t xml:space="preserve"> (</w:t>
      </w:r>
      <w:r w:rsidR="00F85C4B">
        <w:rPr>
          <w:rFonts w:ascii="Times New Roman" w:hAnsi="Times New Roman" w:cs="Times New Roman"/>
          <w:sz w:val="24"/>
          <w:szCs w:val="24"/>
        </w:rPr>
        <w:t>Table 6</w:t>
      </w:r>
      <w:r w:rsidR="00A431EA" w:rsidRPr="00022CA4">
        <w:rPr>
          <w:rFonts w:ascii="Times New Roman" w:hAnsi="Times New Roman" w:cs="Times New Roman"/>
          <w:sz w:val="24"/>
          <w:szCs w:val="24"/>
        </w:rPr>
        <w:t>)</w:t>
      </w:r>
      <w:r w:rsidR="00D172D9" w:rsidRPr="00022CA4">
        <w:rPr>
          <w:rFonts w:ascii="Times New Roman" w:hAnsi="Times New Roman" w:cs="Times New Roman"/>
          <w:sz w:val="24"/>
          <w:szCs w:val="24"/>
        </w:rPr>
        <w:t xml:space="preserve">. </w:t>
      </w:r>
      <w:r w:rsidRPr="00022CA4">
        <w:rPr>
          <w:rFonts w:ascii="Times New Roman" w:hAnsi="Times New Roman" w:cs="Times New Roman"/>
          <w:sz w:val="24"/>
          <w:szCs w:val="24"/>
        </w:rPr>
        <w:t xml:space="preserve">On a monthly scale, the </w:t>
      </w:r>
      <w:r w:rsidR="00052E14" w:rsidRPr="00022CA4">
        <w:rPr>
          <w:rFonts w:ascii="Times New Roman" w:hAnsi="Times New Roman" w:cs="Times New Roman"/>
          <w:sz w:val="24"/>
          <w:szCs w:val="24"/>
        </w:rPr>
        <w:t xml:space="preserve">CWB </w:t>
      </w:r>
      <w:r w:rsidRPr="00022CA4">
        <w:rPr>
          <w:rFonts w:ascii="Times New Roman" w:hAnsi="Times New Roman" w:cs="Times New Roman"/>
          <w:sz w:val="24"/>
          <w:szCs w:val="24"/>
        </w:rPr>
        <w:t>increases from January until May, then declines from May to June, followed by a rise from June to August</w:t>
      </w:r>
      <w:r w:rsidR="007E4782" w:rsidRPr="00022CA4">
        <w:rPr>
          <w:rFonts w:ascii="Times New Roman" w:hAnsi="Times New Roman" w:cs="Times New Roman"/>
          <w:sz w:val="24"/>
          <w:szCs w:val="24"/>
        </w:rPr>
        <w:t>;</w:t>
      </w:r>
      <w:r w:rsidRPr="00022CA4">
        <w:rPr>
          <w:rFonts w:ascii="Times New Roman" w:hAnsi="Times New Roman" w:cs="Times New Roman"/>
          <w:sz w:val="24"/>
          <w:szCs w:val="24"/>
        </w:rPr>
        <w:t xml:space="preserve"> </w:t>
      </w:r>
      <w:r w:rsidR="00DC6BE9" w:rsidRPr="00022CA4">
        <w:rPr>
          <w:rFonts w:ascii="Times New Roman" w:hAnsi="Times New Roman" w:cs="Times New Roman"/>
          <w:sz w:val="24"/>
          <w:szCs w:val="24"/>
        </w:rPr>
        <w:t>then</w:t>
      </w:r>
      <w:r w:rsidRPr="00022CA4">
        <w:rPr>
          <w:rFonts w:ascii="Times New Roman" w:hAnsi="Times New Roman" w:cs="Times New Roman"/>
          <w:sz w:val="24"/>
          <w:szCs w:val="24"/>
        </w:rPr>
        <w:t>, it gradually decreases until December</w:t>
      </w:r>
      <w:r w:rsidR="007E4782" w:rsidRPr="00022CA4">
        <w:rPr>
          <w:rFonts w:ascii="Times New Roman" w:hAnsi="Times New Roman" w:cs="Times New Roman"/>
          <w:sz w:val="24"/>
          <w:szCs w:val="24"/>
        </w:rPr>
        <w:t xml:space="preserve"> (Fig. 6)</w:t>
      </w:r>
      <w:r w:rsidR="00C15743" w:rsidRPr="00022CA4">
        <w:rPr>
          <w:rFonts w:ascii="Times New Roman" w:hAnsi="Times New Roman" w:cs="Times New Roman"/>
          <w:sz w:val="24"/>
          <w:szCs w:val="24"/>
        </w:rPr>
        <w:t>.</w:t>
      </w:r>
    </w:p>
    <w:p w14:paraId="0A70E926" w14:textId="2716FE27" w:rsidR="0045430B" w:rsidRPr="00022CA4" w:rsidRDefault="0045430B" w:rsidP="00EE4D7D">
      <w:pPr>
        <w:spacing w:line="360" w:lineRule="auto"/>
        <w:jc w:val="center"/>
        <w:rPr>
          <w:rFonts w:ascii="Times New Roman" w:hAnsi="Times New Roman" w:cs="Times New Roman"/>
          <w:sz w:val="24"/>
          <w:szCs w:val="24"/>
        </w:rPr>
      </w:pPr>
    </w:p>
    <w:p w14:paraId="644CFD4C" w14:textId="77777777" w:rsidR="00837E11" w:rsidRPr="00022CA4" w:rsidRDefault="00837E11" w:rsidP="00EE4D7D">
      <w:pPr>
        <w:spacing w:line="360" w:lineRule="auto"/>
        <w:jc w:val="both"/>
        <w:rPr>
          <w:rFonts w:ascii="Times New Roman" w:hAnsi="Times New Roman" w:cs="Times New Roman"/>
          <w:b/>
          <w:sz w:val="24"/>
          <w:szCs w:val="24"/>
        </w:rPr>
      </w:pPr>
      <w:r w:rsidRPr="00022CA4">
        <w:rPr>
          <w:rFonts w:ascii="Times New Roman" w:hAnsi="Times New Roman" w:cs="Times New Roman"/>
          <w:noProof/>
          <w:sz w:val="24"/>
          <w:szCs w:val="24"/>
        </w:rPr>
        <w:lastRenderedPageBreak/>
        <w:drawing>
          <wp:inline distT="0" distB="0" distL="0" distR="0" wp14:anchorId="0C4A569C" wp14:editId="1AE94AF5">
            <wp:extent cx="5843017" cy="3108961"/>
            <wp:effectExtent l="0" t="0" r="5715" b="0"/>
            <wp:docPr id="7" name="Picture 2" descr="D:\Part-I\2024\2024-Part-III\Pub_4\Data-2\fig.3\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Part-I\2024\2024-Part-III\Pub_4\Data-2\fig.3\Fig.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604" t="7068" r="14485" b="47588"/>
                    <a:stretch/>
                  </pic:blipFill>
                  <pic:spPr bwMode="auto">
                    <a:xfrm>
                      <a:off x="0" y="0"/>
                      <a:ext cx="5843017" cy="31089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CB3014C" w14:textId="789E4B76" w:rsidR="009B0C93" w:rsidRDefault="009B0C93" w:rsidP="00901081">
      <w:pPr>
        <w:spacing w:after="240" w:line="360" w:lineRule="auto"/>
        <w:jc w:val="both"/>
        <w:rPr>
          <w:rFonts w:ascii="Times New Roman" w:hAnsi="Times New Roman" w:cs="Times New Roman"/>
          <w:sz w:val="24"/>
          <w:szCs w:val="24"/>
        </w:rPr>
      </w:pPr>
      <w:r w:rsidRPr="00022CA4">
        <w:rPr>
          <w:rFonts w:ascii="Times New Roman" w:hAnsi="Times New Roman" w:cs="Times New Roman"/>
          <w:b/>
          <w:sz w:val="24"/>
          <w:szCs w:val="24"/>
        </w:rPr>
        <w:t>Fig</w:t>
      </w:r>
      <w:r w:rsidR="004057F8" w:rsidRPr="00022CA4">
        <w:rPr>
          <w:rFonts w:ascii="Times New Roman" w:hAnsi="Times New Roman" w:cs="Times New Roman"/>
          <w:b/>
          <w:sz w:val="24"/>
          <w:szCs w:val="24"/>
        </w:rPr>
        <w:t>.</w:t>
      </w:r>
      <w:r w:rsidR="00694D09" w:rsidRPr="00022CA4">
        <w:rPr>
          <w:rFonts w:ascii="Times New Roman" w:hAnsi="Times New Roman" w:cs="Times New Roman"/>
          <w:b/>
          <w:sz w:val="24"/>
          <w:szCs w:val="24"/>
        </w:rPr>
        <w:t xml:space="preserve"> </w:t>
      </w:r>
      <w:r w:rsidR="0045430B" w:rsidRPr="00022CA4">
        <w:rPr>
          <w:rFonts w:ascii="Times New Roman" w:hAnsi="Times New Roman" w:cs="Times New Roman"/>
          <w:b/>
          <w:sz w:val="24"/>
          <w:szCs w:val="24"/>
        </w:rPr>
        <w:t>5</w:t>
      </w:r>
      <w:r w:rsidR="004057F8" w:rsidRPr="00022CA4">
        <w:rPr>
          <w:rFonts w:ascii="Times New Roman" w:hAnsi="Times New Roman" w:cs="Times New Roman"/>
          <w:sz w:val="24"/>
          <w:szCs w:val="24"/>
        </w:rPr>
        <w:t xml:space="preserve"> </w:t>
      </w:r>
      <w:r w:rsidRPr="00022CA4">
        <w:rPr>
          <w:rFonts w:ascii="Times New Roman" w:hAnsi="Times New Roman" w:cs="Times New Roman"/>
          <w:sz w:val="24"/>
          <w:szCs w:val="24"/>
        </w:rPr>
        <w:t xml:space="preserve">Spatial distribution of annual </w:t>
      </w:r>
      <w:r w:rsidR="00AB2631" w:rsidRPr="00022CA4">
        <w:rPr>
          <w:rFonts w:ascii="Times New Roman" w:hAnsi="Times New Roman" w:cs="Times New Roman"/>
          <w:sz w:val="24"/>
          <w:szCs w:val="24"/>
        </w:rPr>
        <w:t>&amp;</w:t>
      </w:r>
      <w:r w:rsidRPr="00022CA4">
        <w:rPr>
          <w:rFonts w:ascii="Times New Roman" w:hAnsi="Times New Roman" w:cs="Times New Roman"/>
          <w:sz w:val="24"/>
          <w:szCs w:val="24"/>
        </w:rPr>
        <w:t xml:space="preserve"> seasonal </w:t>
      </w:r>
      <w:r w:rsidR="0044425A" w:rsidRPr="00022CA4">
        <w:rPr>
          <w:rFonts w:ascii="Times New Roman" w:hAnsi="Times New Roman" w:cs="Times New Roman"/>
          <w:sz w:val="24"/>
          <w:szCs w:val="24"/>
        </w:rPr>
        <w:t xml:space="preserve">mean </w:t>
      </w:r>
      <w:r w:rsidRPr="00022CA4">
        <w:rPr>
          <w:rFonts w:ascii="Times New Roman" w:hAnsi="Times New Roman" w:cs="Times New Roman"/>
          <w:sz w:val="24"/>
          <w:szCs w:val="24"/>
        </w:rPr>
        <w:t>climat</w:t>
      </w:r>
      <w:r w:rsidR="00744E9A" w:rsidRPr="00022CA4">
        <w:rPr>
          <w:rFonts w:ascii="Times New Roman" w:hAnsi="Times New Roman" w:cs="Times New Roman"/>
          <w:sz w:val="24"/>
          <w:szCs w:val="24"/>
        </w:rPr>
        <w:t>ic</w:t>
      </w:r>
      <w:r w:rsidRPr="00022CA4">
        <w:rPr>
          <w:rFonts w:ascii="Times New Roman" w:hAnsi="Times New Roman" w:cs="Times New Roman"/>
          <w:sz w:val="24"/>
          <w:szCs w:val="24"/>
        </w:rPr>
        <w:t xml:space="preserve"> water balance </w:t>
      </w:r>
      <w:r w:rsidR="0044425A" w:rsidRPr="00022CA4">
        <w:rPr>
          <w:rFonts w:ascii="Times New Roman" w:hAnsi="Times New Roman" w:cs="Times New Roman"/>
          <w:sz w:val="24"/>
          <w:szCs w:val="24"/>
        </w:rPr>
        <w:t xml:space="preserve">in </w:t>
      </w:r>
      <w:r w:rsidRPr="00022CA4">
        <w:rPr>
          <w:rFonts w:ascii="Times New Roman" w:hAnsi="Times New Roman" w:cs="Times New Roman"/>
          <w:sz w:val="24"/>
          <w:szCs w:val="24"/>
        </w:rPr>
        <w:t xml:space="preserve">Ethiopia </w:t>
      </w:r>
      <w:r w:rsidR="00AB2631" w:rsidRPr="00022CA4">
        <w:rPr>
          <w:rFonts w:ascii="Times New Roman" w:hAnsi="Times New Roman" w:cs="Times New Roman"/>
          <w:sz w:val="24"/>
          <w:szCs w:val="24"/>
        </w:rPr>
        <w:t>(</w:t>
      </w:r>
      <w:r w:rsidRPr="00022CA4">
        <w:rPr>
          <w:rFonts w:ascii="Times New Roman" w:hAnsi="Times New Roman" w:cs="Times New Roman"/>
          <w:sz w:val="24"/>
          <w:szCs w:val="24"/>
        </w:rPr>
        <w:t>1980</w:t>
      </w:r>
      <w:r w:rsidR="0044425A" w:rsidRPr="00022CA4">
        <w:rPr>
          <w:rFonts w:ascii="Times New Roman" w:hAnsi="Times New Roman" w:cs="Times New Roman"/>
          <w:sz w:val="24"/>
          <w:szCs w:val="24"/>
        </w:rPr>
        <w:t>-</w:t>
      </w:r>
      <w:r w:rsidRPr="00022CA4">
        <w:rPr>
          <w:rFonts w:ascii="Times New Roman" w:hAnsi="Times New Roman" w:cs="Times New Roman"/>
          <w:sz w:val="24"/>
          <w:szCs w:val="24"/>
        </w:rPr>
        <w:t>2021</w:t>
      </w:r>
      <w:r w:rsidR="00AB2631" w:rsidRPr="00022CA4">
        <w:rPr>
          <w:rFonts w:ascii="Times New Roman" w:hAnsi="Times New Roman" w:cs="Times New Roman"/>
          <w:sz w:val="24"/>
          <w:szCs w:val="24"/>
        </w:rPr>
        <w:t>)</w:t>
      </w:r>
    </w:p>
    <w:p w14:paraId="2FD83EC0" w14:textId="26F624BE" w:rsidR="003D3546" w:rsidRPr="00022CA4" w:rsidRDefault="00901081" w:rsidP="0090108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B1AF01" wp14:editId="25BF3FC5">
            <wp:extent cx="6667500" cy="4373880"/>
            <wp:effectExtent l="0" t="0" r="0" b="7620"/>
            <wp:docPr id="10" name="Picture 10" descr="D:\Part-I\2025\Pub_4\22-Jornal_Climatology\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rt-I\2025\Pub_4\22-Jornal_Climatology\Fig.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4373880"/>
                    </a:xfrm>
                    <a:prstGeom prst="rect">
                      <a:avLst/>
                    </a:prstGeom>
                    <a:noFill/>
                    <a:ln>
                      <a:noFill/>
                    </a:ln>
                  </pic:spPr>
                </pic:pic>
              </a:graphicData>
            </a:graphic>
          </wp:inline>
        </w:drawing>
      </w:r>
      <w:r w:rsidR="00C702E8" w:rsidRPr="00022CA4">
        <w:rPr>
          <w:rFonts w:ascii="Times New Roman" w:hAnsi="Times New Roman" w:cs="Times New Roman"/>
          <w:noProof/>
          <w:sz w:val="24"/>
          <w:szCs w:val="24"/>
        </w:rPr>
        <w:t xml:space="preserve"> </w:t>
      </w:r>
    </w:p>
    <w:p w14:paraId="04D46095" w14:textId="303C4E7F" w:rsidR="00854149" w:rsidRPr="00022CA4" w:rsidRDefault="005D08A5" w:rsidP="0045002D">
      <w:pPr>
        <w:spacing w:line="360" w:lineRule="auto"/>
        <w:jc w:val="both"/>
        <w:rPr>
          <w:rFonts w:ascii="Times New Roman" w:hAnsi="Times New Roman" w:cs="Times New Roman"/>
          <w:sz w:val="24"/>
          <w:szCs w:val="24"/>
        </w:rPr>
      </w:pPr>
      <w:r w:rsidRPr="00022CA4">
        <w:rPr>
          <w:rFonts w:ascii="Times New Roman" w:hAnsi="Times New Roman" w:cs="Times New Roman"/>
          <w:b/>
          <w:sz w:val="24"/>
          <w:szCs w:val="24"/>
        </w:rPr>
        <w:t>Fig.</w:t>
      </w:r>
      <w:r w:rsidR="00EA729D" w:rsidRPr="00022CA4">
        <w:rPr>
          <w:rFonts w:ascii="Times New Roman" w:hAnsi="Times New Roman" w:cs="Times New Roman"/>
          <w:b/>
          <w:sz w:val="24"/>
          <w:szCs w:val="24"/>
        </w:rPr>
        <w:t xml:space="preserve"> </w:t>
      </w:r>
      <w:r w:rsidR="0045430B" w:rsidRPr="00022CA4">
        <w:rPr>
          <w:rFonts w:ascii="Times New Roman" w:hAnsi="Times New Roman" w:cs="Times New Roman"/>
          <w:b/>
          <w:sz w:val="24"/>
          <w:szCs w:val="24"/>
        </w:rPr>
        <w:t>6</w:t>
      </w:r>
      <w:r w:rsidRPr="00022CA4">
        <w:rPr>
          <w:rFonts w:ascii="Times New Roman" w:hAnsi="Times New Roman" w:cs="Times New Roman"/>
          <w:sz w:val="24"/>
          <w:szCs w:val="24"/>
        </w:rPr>
        <w:t xml:space="preserve"> </w:t>
      </w:r>
      <w:r w:rsidR="00901081">
        <w:rPr>
          <w:rFonts w:ascii="Times New Roman" w:hAnsi="Times New Roman" w:cs="Times New Roman"/>
          <w:sz w:val="24"/>
          <w:szCs w:val="24"/>
        </w:rPr>
        <w:t>Annual, seasonal and m</w:t>
      </w:r>
      <w:r w:rsidRPr="00022CA4">
        <w:rPr>
          <w:rFonts w:ascii="Times New Roman" w:hAnsi="Times New Roman" w:cs="Times New Roman"/>
          <w:sz w:val="24"/>
          <w:szCs w:val="24"/>
        </w:rPr>
        <w:t>ean monthly</w:t>
      </w:r>
      <w:bookmarkStart w:id="3" w:name="_Hlk184719822"/>
      <w:r w:rsidR="00C702E8" w:rsidRPr="00022CA4">
        <w:rPr>
          <w:rFonts w:ascii="Times New Roman" w:hAnsi="Times New Roman" w:cs="Times New Roman"/>
          <w:sz w:val="24"/>
          <w:szCs w:val="24"/>
        </w:rPr>
        <w:t xml:space="preserve">, seasonal, and annual </w:t>
      </w:r>
      <w:r w:rsidR="00652F15" w:rsidRPr="00022CA4">
        <w:rPr>
          <w:rFonts w:ascii="Times New Roman" w:hAnsi="Times New Roman" w:cs="Times New Roman"/>
          <w:sz w:val="24"/>
          <w:szCs w:val="24"/>
        </w:rPr>
        <w:t>climatic water balance</w:t>
      </w:r>
      <w:r w:rsidR="007C1827" w:rsidRPr="00022CA4">
        <w:rPr>
          <w:rFonts w:ascii="Times New Roman" w:hAnsi="Times New Roman" w:cs="Times New Roman"/>
          <w:sz w:val="24"/>
          <w:szCs w:val="24"/>
        </w:rPr>
        <w:t xml:space="preserve"> (CWB)</w:t>
      </w:r>
      <w:r w:rsidRPr="00022CA4">
        <w:rPr>
          <w:rFonts w:ascii="Times New Roman" w:hAnsi="Times New Roman" w:cs="Times New Roman"/>
          <w:sz w:val="24"/>
          <w:szCs w:val="24"/>
        </w:rPr>
        <w:t xml:space="preserve"> </w:t>
      </w:r>
      <w:bookmarkEnd w:id="3"/>
      <w:r w:rsidR="00553469" w:rsidRPr="00022CA4">
        <w:rPr>
          <w:rFonts w:ascii="Times New Roman" w:hAnsi="Times New Roman" w:cs="Times New Roman"/>
          <w:sz w:val="24"/>
          <w:szCs w:val="24"/>
        </w:rPr>
        <w:t xml:space="preserve">in </w:t>
      </w:r>
      <w:r w:rsidRPr="00022CA4">
        <w:rPr>
          <w:rFonts w:ascii="Times New Roman" w:hAnsi="Times New Roman" w:cs="Times New Roman"/>
          <w:sz w:val="24"/>
          <w:szCs w:val="24"/>
        </w:rPr>
        <w:t xml:space="preserve">Ethiopia </w:t>
      </w:r>
      <w:r w:rsidR="00553469" w:rsidRPr="00022CA4">
        <w:rPr>
          <w:rFonts w:ascii="Times New Roman" w:hAnsi="Times New Roman" w:cs="Times New Roman"/>
          <w:sz w:val="24"/>
          <w:szCs w:val="24"/>
        </w:rPr>
        <w:t xml:space="preserve">during </w:t>
      </w:r>
      <w:r w:rsidRPr="00022CA4">
        <w:rPr>
          <w:rFonts w:ascii="Times New Roman" w:hAnsi="Times New Roman" w:cs="Times New Roman"/>
          <w:sz w:val="24"/>
          <w:szCs w:val="24"/>
        </w:rPr>
        <w:t>1980</w:t>
      </w:r>
      <w:r w:rsidR="00553469" w:rsidRPr="00022CA4">
        <w:rPr>
          <w:rFonts w:ascii="Times New Roman" w:hAnsi="Times New Roman" w:cs="Times New Roman"/>
          <w:sz w:val="24"/>
          <w:szCs w:val="24"/>
        </w:rPr>
        <w:t>-</w:t>
      </w:r>
      <w:r w:rsidR="0045002D" w:rsidRPr="00022CA4">
        <w:rPr>
          <w:rFonts w:ascii="Times New Roman" w:hAnsi="Times New Roman" w:cs="Times New Roman"/>
          <w:sz w:val="24"/>
          <w:szCs w:val="24"/>
        </w:rPr>
        <w:t>2021</w:t>
      </w:r>
    </w:p>
    <w:p w14:paraId="6AB90E6B" w14:textId="6FCA72EC" w:rsidR="009B71DF" w:rsidRPr="00022CA4" w:rsidRDefault="009B71DF" w:rsidP="00EE4D7D">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lastRenderedPageBreak/>
        <w:t>3.2. Trend</w:t>
      </w:r>
      <w:r w:rsidR="003207E2" w:rsidRPr="00022CA4">
        <w:rPr>
          <w:rFonts w:ascii="Times New Roman" w:hAnsi="Times New Roman" w:cs="Times New Roman"/>
          <w:color w:val="auto"/>
          <w:sz w:val="28"/>
          <w:szCs w:val="28"/>
        </w:rPr>
        <w:t xml:space="preserve"> of Rainfall, Evapotranspiration, and Climatic Water Balance</w:t>
      </w:r>
    </w:p>
    <w:p w14:paraId="74229793" w14:textId="7C8C39BD" w:rsidR="003207E2" w:rsidRPr="00022CA4" w:rsidRDefault="003207E2" w:rsidP="00EE4D7D">
      <w:pPr>
        <w:pStyle w:val="Heading3"/>
        <w:spacing w:after="240" w:line="360" w:lineRule="auto"/>
        <w:rPr>
          <w:rFonts w:ascii="Times New Roman" w:hAnsi="Times New Roman" w:cs="Times New Roman"/>
          <w:b/>
          <w:bCs/>
          <w:color w:val="auto"/>
        </w:rPr>
      </w:pPr>
      <w:r w:rsidRPr="00022CA4">
        <w:rPr>
          <w:rFonts w:ascii="Times New Roman" w:hAnsi="Times New Roman" w:cs="Times New Roman"/>
          <w:b/>
          <w:bCs/>
          <w:color w:val="auto"/>
        </w:rPr>
        <w:t xml:space="preserve">3.2.1 Spatiotemporal </w:t>
      </w:r>
      <w:r w:rsidR="00327163" w:rsidRPr="00022CA4">
        <w:rPr>
          <w:rFonts w:ascii="Times New Roman" w:hAnsi="Times New Roman" w:cs="Times New Roman"/>
          <w:b/>
          <w:bCs/>
          <w:color w:val="auto"/>
        </w:rPr>
        <w:t>Trends</w:t>
      </w:r>
      <w:r w:rsidRPr="00022CA4">
        <w:rPr>
          <w:rFonts w:ascii="Times New Roman" w:hAnsi="Times New Roman" w:cs="Times New Roman"/>
          <w:b/>
          <w:bCs/>
          <w:color w:val="auto"/>
        </w:rPr>
        <w:t xml:space="preserve"> in Rainfall and </w:t>
      </w:r>
      <w:r w:rsidR="00E72364" w:rsidRPr="00022CA4">
        <w:rPr>
          <w:rFonts w:ascii="Times New Roman" w:hAnsi="Times New Roman" w:cs="Times New Roman"/>
          <w:b/>
          <w:bCs/>
          <w:color w:val="auto"/>
        </w:rPr>
        <w:t xml:space="preserve">Reference </w:t>
      </w:r>
      <w:r w:rsidRPr="00022CA4">
        <w:rPr>
          <w:rFonts w:ascii="Times New Roman" w:hAnsi="Times New Roman" w:cs="Times New Roman"/>
          <w:b/>
          <w:bCs/>
          <w:color w:val="auto"/>
        </w:rPr>
        <w:t>E</w:t>
      </w:r>
      <w:r w:rsidR="00CA183B" w:rsidRPr="00022CA4">
        <w:rPr>
          <w:rFonts w:ascii="Times New Roman" w:hAnsi="Times New Roman" w:cs="Times New Roman"/>
          <w:b/>
          <w:bCs/>
          <w:color w:val="auto"/>
        </w:rPr>
        <w:t>vapotranspiration in</w:t>
      </w:r>
      <w:r w:rsidRPr="00022CA4">
        <w:rPr>
          <w:rFonts w:ascii="Times New Roman" w:hAnsi="Times New Roman" w:cs="Times New Roman"/>
          <w:b/>
          <w:bCs/>
          <w:color w:val="auto"/>
        </w:rPr>
        <w:t xml:space="preserve"> Ethiopia</w:t>
      </w:r>
    </w:p>
    <w:p w14:paraId="31BD84EF" w14:textId="18395997" w:rsidR="002C3A5E" w:rsidRPr="00022CA4" w:rsidRDefault="003D57E5" w:rsidP="00F77407">
      <w:pPr>
        <w:pStyle w:val="BodyText"/>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F85C4B">
        <w:rPr>
          <w:rFonts w:ascii="Times New Roman" w:hAnsi="Times New Roman" w:cs="Times New Roman"/>
          <w:sz w:val="24"/>
          <w:szCs w:val="24"/>
        </w:rPr>
        <w:t>6</w:t>
      </w:r>
      <w:r w:rsidR="006143EF" w:rsidRPr="00022CA4">
        <w:rPr>
          <w:rFonts w:ascii="Times New Roman" w:hAnsi="Times New Roman" w:cs="Times New Roman"/>
          <w:sz w:val="24"/>
          <w:szCs w:val="24"/>
        </w:rPr>
        <w:t xml:space="preserve">, </w:t>
      </w:r>
      <w:r>
        <w:rPr>
          <w:rFonts w:ascii="Times New Roman" w:hAnsi="Times New Roman" w:cs="Times New Roman"/>
          <w:sz w:val="24"/>
          <w:szCs w:val="24"/>
        </w:rPr>
        <w:t>Table 7</w:t>
      </w:r>
      <w:r w:rsidR="0096478F">
        <w:rPr>
          <w:rFonts w:ascii="Times New Roman" w:hAnsi="Times New Roman" w:cs="Times New Roman"/>
          <w:sz w:val="24"/>
          <w:szCs w:val="24"/>
        </w:rPr>
        <w:t xml:space="preserve">, and Fig. 7 &amp; </w:t>
      </w:r>
      <w:r w:rsidR="006143EF" w:rsidRPr="00022CA4">
        <w:rPr>
          <w:rFonts w:ascii="Times New Roman" w:hAnsi="Times New Roman" w:cs="Times New Roman"/>
          <w:sz w:val="24"/>
          <w:szCs w:val="24"/>
        </w:rPr>
        <w:t>9 illustrated spatiotemporal</w:t>
      </w:r>
      <w:r w:rsidR="00A60987" w:rsidRPr="00022CA4">
        <w:rPr>
          <w:rFonts w:ascii="Times New Roman" w:hAnsi="Times New Roman" w:cs="Times New Roman"/>
          <w:sz w:val="24"/>
          <w:szCs w:val="24"/>
        </w:rPr>
        <w:t xml:space="preserve"> changes</w:t>
      </w:r>
      <w:r w:rsidR="006143EF" w:rsidRPr="00022CA4">
        <w:rPr>
          <w:rFonts w:ascii="Times New Roman" w:hAnsi="Times New Roman" w:cs="Times New Roman"/>
          <w:sz w:val="24"/>
          <w:szCs w:val="24"/>
        </w:rPr>
        <w:t>/ trends</w:t>
      </w:r>
      <w:r w:rsidR="00A60987" w:rsidRPr="00022CA4">
        <w:rPr>
          <w:rFonts w:ascii="Times New Roman" w:hAnsi="Times New Roman" w:cs="Times New Roman"/>
          <w:sz w:val="24"/>
          <w:szCs w:val="24"/>
        </w:rPr>
        <w:t xml:space="preserve"> in rainfall and </w:t>
      </w:r>
      <w:r w:rsidR="00E72364" w:rsidRPr="00022CA4">
        <w:rPr>
          <w:rFonts w:ascii="Times New Roman" w:hAnsi="Times New Roman" w:cs="Times New Roman"/>
          <w:sz w:val="24"/>
          <w:szCs w:val="24"/>
        </w:rPr>
        <w:t>reference evapotranspiration (</w:t>
      </w:r>
      <w:proofErr w:type="spellStart"/>
      <w:proofErr w:type="gramStart"/>
      <w:r w:rsidR="00E72364" w:rsidRPr="00022CA4">
        <w:rPr>
          <w:rFonts w:ascii="Times New Roman" w:hAnsi="Times New Roman" w:cs="Times New Roman"/>
          <w:sz w:val="24"/>
          <w:szCs w:val="24"/>
        </w:rPr>
        <w:t>ET</w:t>
      </w:r>
      <w:r w:rsidR="00E72364" w:rsidRPr="00022CA4">
        <w:rPr>
          <w:rFonts w:ascii="Times New Roman" w:hAnsi="Times New Roman" w:cs="Times New Roman"/>
          <w:sz w:val="24"/>
          <w:szCs w:val="24"/>
          <w:vertAlign w:val="subscript"/>
        </w:rPr>
        <w:t>o</w:t>
      </w:r>
      <w:proofErr w:type="spellEnd"/>
      <w:proofErr w:type="gramEnd"/>
      <w:r w:rsidR="00E72364" w:rsidRPr="00022CA4">
        <w:rPr>
          <w:rFonts w:ascii="Times New Roman" w:hAnsi="Times New Roman" w:cs="Times New Roman"/>
          <w:sz w:val="24"/>
          <w:szCs w:val="24"/>
        </w:rPr>
        <w:t xml:space="preserve">) </w:t>
      </w:r>
      <w:r w:rsidR="00A60987" w:rsidRPr="00022CA4">
        <w:rPr>
          <w:rFonts w:ascii="Times New Roman" w:hAnsi="Times New Roman" w:cs="Times New Roman"/>
          <w:sz w:val="24"/>
          <w:szCs w:val="24"/>
        </w:rPr>
        <w:t xml:space="preserve">across Ethiopia and its </w:t>
      </w:r>
      <w:r w:rsidR="006143EF" w:rsidRPr="00022CA4">
        <w:rPr>
          <w:rFonts w:ascii="Times New Roman" w:hAnsi="Times New Roman" w:cs="Times New Roman"/>
          <w:sz w:val="24"/>
          <w:szCs w:val="24"/>
        </w:rPr>
        <w:t xml:space="preserve">twelve </w:t>
      </w:r>
      <w:r w:rsidR="00A60987" w:rsidRPr="00022CA4">
        <w:rPr>
          <w:rFonts w:ascii="Times New Roman" w:hAnsi="Times New Roman" w:cs="Times New Roman"/>
          <w:sz w:val="24"/>
          <w:szCs w:val="24"/>
        </w:rPr>
        <w:t>basins from 1980 to 2021</w:t>
      </w:r>
      <w:r w:rsidR="006143EF" w:rsidRPr="00022CA4">
        <w:rPr>
          <w:rFonts w:ascii="Times New Roman" w:hAnsi="Times New Roman" w:cs="Times New Roman"/>
          <w:sz w:val="24"/>
          <w:szCs w:val="24"/>
        </w:rPr>
        <w:t>.</w:t>
      </w:r>
      <w:r w:rsidR="00A60987" w:rsidRPr="00022CA4">
        <w:rPr>
          <w:rFonts w:ascii="Times New Roman" w:hAnsi="Times New Roman" w:cs="Times New Roman"/>
          <w:sz w:val="24"/>
          <w:szCs w:val="24"/>
        </w:rPr>
        <w:t xml:space="preserve"> </w:t>
      </w:r>
      <w:r w:rsidR="00B34BE7" w:rsidRPr="00022CA4">
        <w:rPr>
          <w:rFonts w:ascii="Times New Roman" w:hAnsi="Times New Roman" w:cs="Times New Roman"/>
          <w:sz w:val="24"/>
          <w:szCs w:val="24"/>
        </w:rPr>
        <w:t xml:space="preserve">For instance, the annual rainfall and </w:t>
      </w:r>
      <w:proofErr w:type="spellStart"/>
      <w:proofErr w:type="gramStart"/>
      <w:r w:rsidR="00B34BE7" w:rsidRPr="00022CA4">
        <w:rPr>
          <w:rFonts w:ascii="Times New Roman" w:hAnsi="Times New Roman" w:cs="Times New Roman"/>
          <w:sz w:val="24"/>
          <w:szCs w:val="24"/>
        </w:rPr>
        <w:t>ET</w:t>
      </w:r>
      <w:r w:rsidR="00B34BE7" w:rsidRPr="00022CA4">
        <w:rPr>
          <w:rFonts w:ascii="Times New Roman" w:hAnsi="Times New Roman" w:cs="Times New Roman"/>
          <w:sz w:val="24"/>
          <w:szCs w:val="24"/>
          <w:vertAlign w:val="subscript"/>
        </w:rPr>
        <w:t>o</w:t>
      </w:r>
      <w:proofErr w:type="spellEnd"/>
      <w:proofErr w:type="gramEnd"/>
      <w:r w:rsidR="00B34BE7" w:rsidRPr="00022CA4">
        <w:rPr>
          <w:rFonts w:ascii="Times New Roman" w:hAnsi="Times New Roman" w:cs="Times New Roman"/>
          <w:sz w:val="24"/>
          <w:szCs w:val="24"/>
        </w:rPr>
        <w:t xml:space="preserve"> in Ethiopia significantly increased by 2.01 and 0.40 mm per year, respectively</w:t>
      </w:r>
      <w:r w:rsidR="0055182C" w:rsidRPr="00022CA4">
        <w:rPr>
          <w:rFonts w:ascii="Times New Roman" w:hAnsi="Times New Roman" w:cs="Times New Roman"/>
          <w:sz w:val="24"/>
          <w:szCs w:val="24"/>
        </w:rPr>
        <w:t xml:space="preserve"> (</w:t>
      </w:r>
      <w:r>
        <w:rPr>
          <w:rFonts w:ascii="Times New Roman" w:hAnsi="Times New Roman" w:cs="Times New Roman"/>
          <w:sz w:val="24"/>
          <w:szCs w:val="24"/>
        </w:rPr>
        <w:t>Table 6</w:t>
      </w:r>
      <w:r w:rsidR="0055182C" w:rsidRPr="00022CA4">
        <w:rPr>
          <w:rFonts w:ascii="Times New Roman" w:hAnsi="Times New Roman" w:cs="Times New Roman"/>
          <w:sz w:val="24"/>
          <w:szCs w:val="24"/>
        </w:rPr>
        <w:t xml:space="preserve"> and </w:t>
      </w:r>
      <w:r>
        <w:rPr>
          <w:rFonts w:ascii="Times New Roman" w:hAnsi="Times New Roman" w:cs="Times New Roman"/>
          <w:sz w:val="24"/>
          <w:szCs w:val="24"/>
        </w:rPr>
        <w:t xml:space="preserve">Table </w:t>
      </w:r>
      <w:r w:rsidR="00F85C4B">
        <w:rPr>
          <w:rFonts w:ascii="Times New Roman" w:hAnsi="Times New Roman" w:cs="Times New Roman"/>
          <w:sz w:val="24"/>
          <w:szCs w:val="24"/>
        </w:rPr>
        <w:t>7</w:t>
      </w:r>
      <w:r w:rsidR="0055182C" w:rsidRPr="00022CA4">
        <w:rPr>
          <w:rFonts w:ascii="Times New Roman" w:hAnsi="Times New Roman" w:cs="Times New Roman"/>
          <w:sz w:val="24"/>
          <w:szCs w:val="24"/>
        </w:rPr>
        <w:t>)</w:t>
      </w:r>
      <w:r w:rsidR="00B34BE7" w:rsidRPr="00022CA4">
        <w:rPr>
          <w:rFonts w:ascii="Times New Roman" w:hAnsi="Times New Roman" w:cs="Times New Roman"/>
          <w:sz w:val="24"/>
          <w:szCs w:val="24"/>
        </w:rPr>
        <w:t xml:space="preserve">. </w:t>
      </w:r>
      <w:r w:rsidR="00FF5487" w:rsidRPr="00022CA4">
        <w:rPr>
          <w:rFonts w:ascii="Times New Roman" w:hAnsi="Times New Roman" w:cs="Times New Roman"/>
          <w:sz w:val="24"/>
          <w:szCs w:val="24"/>
        </w:rPr>
        <w:t>P</w:t>
      </w:r>
      <w:r w:rsidR="002C3A5E" w:rsidRPr="00022CA4">
        <w:rPr>
          <w:rFonts w:ascii="Times New Roman" w:hAnsi="Times New Roman" w:cs="Times New Roman"/>
          <w:sz w:val="24"/>
          <w:szCs w:val="24"/>
        </w:rPr>
        <w:t xml:space="preserve">ositive </w:t>
      </w:r>
      <w:r w:rsidR="0055182C" w:rsidRPr="00022CA4">
        <w:rPr>
          <w:rFonts w:ascii="Times New Roman" w:hAnsi="Times New Roman" w:cs="Times New Roman"/>
          <w:sz w:val="24"/>
          <w:szCs w:val="24"/>
        </w:rPr>
        <w:t>trend</w:t>
      </w:r>
      <w:r w:rsidR="00FF5487" w:rsidRPr="00022CA4">
        <w:rPr>
          <w:rFonts w:ascii="Times New Roman" w:hAnsi="Times New Roman" w:cs="Times New Roman"/>
          <w:sz w:val="24"/>
          <w:szCs w:val="24"/>
        </w:rPr>
        <w:t>s</w:t>
      </w:r>
      <w:r w:rsidR="0055182C" w:rsidRPr="00022CA4">
        <w:rPr>
          <w:rFonts w:ascii="Times New Roman" w:hAnsi="Times New Roman" w:cs="Times New Roman"/>
          <w:sz w:val="24"/>
          <w:szCs w:val="24"/>
        </w:rPr>
        <w:t xml:space="preserve"> of </w:t>
      </w:r>
      <w:r w:rsidR="00FF5487" w:rsidRPr="00022CA4">
        <w:rPr>
          <w:rFonts w:ascii="Times New Roman" w:hAnsi="Times New Roman" w:cs="Times New Roman"/>
          <w:sz w:val="24"/>
          <w:szCs w:val="24"/>
        </w:rPr>
        <w:t xml:space="preserve">annual </w:t>
      </w:r>
      <w:r w:rsidR="0055182C" w:rsidRPr="00022CA4">
        <w:rPr>
          <w:rFonts w:ascii="Times New Roman" w:hAnsi="Times New Roman" w:cs="Times New Roman"/>
          <w:sz w:val="24"/>
          <w:szCs w:val="24"/>
        </w:rPr>
        <w:t>rainfall</w:t>
      </w:r>
      <w:r w:rsidR="00FF5487" w:rsidRPr="00022CA4">
        <w:rPr>
          <w:rFonts w:ascii="Times New Roman" w:hAnsi="Times New Roman" w:cs="Times New Roman"/>
          <w:sz w:val="24"/>
          <w:szCs w:val="24"/>
        </w:rPr>
        <w:t xml:space="preserve"> were predominant </w:t>
      </w:r>
      <w:r w:rsidR="002C3A5E" w:rsidRPr="00022CA4">
        <w:rPr>
          <w:rFonts w:ascii="Times New Roman" w:hAnsi="Times New Roman" w:cs="Times New Roman"/>
          <w:sz w:val="24"/>
          <w:szCs w:val="24"/>
        </w:rPr>
        <w:t xml:space="preserve">except in </w:t>
      </w:r>
      <w:r w:rsidR="006143EF" w:rsidRPr="00022CA4">
        <w:rPr>
          <w:rFonts w:ascii="Times New Roman" w:hAnsi="Times New Roman" w:cs="Times New Roman"/>
          <w:sz w:val="24"/>
          <w:szCs w:val="24"/>
        </w:rPr>
        <w:t>a few</w:t>
      </w:r>
      <w:r w:rsidR="003F640F" w:rsidRPr="00022CA4">
        <w:rPr>
          <w:rFonts w:ascii="Times New Roman" w:hAnsi="Times New Roman" w:cs="Times New Roman"/>
          <w:sz w:val="24"/>
          <w:szCs w:val="24"/>
        </w:rPr>
        <w:t xml:space="preserve"> basins</w:t>
      </w:r>
      <w:r w:rsidR="006143EF" w:rsidRPr="00022CA4">
        <w:rPr>
          <w:rFonts w:ascii="Times New Roman" w:hAnsi="Times New Roman" w:cs="Times New Roman"/>
          <w:sz w:val="24"/>
          <w:szCs w:val="24"/>
        </w:rPr>
        <w:t xml:space="preserve">, </w:t>
      </w:r>
      <w:proofErr w:type="spellStart"/>
      <w:r w:rsidR="006143EF" w:rsidRPr="00022CA4">
        <w:rPr>
          <w:rFonts w:ascii="Times New Roman" w:hAnsi="Times New Roman" w:cs="Times New Roman"/>
          <w:sz w:val="24"/>
          <w:szCs w:val="24"/>
        </w:rPr>
        <w:t>Denakil</w:t>
      </w:r>
      <w:proofErr w:type="spellEnd"/>
      <w:r w:rsidR="006143EF" w:rsidRPr="00022CA4">
        <w:rPr>
          <w:rFonts w:ascii="Times New Roman" w:hAnsi="Times New Roman" w:cs="Times New Roman"/>
          <w:sz w:val="24"/>
          <w:szCs w:val="24"/>
        </w:rPr>
        <w:t xml:space="preserve">, </w:t>
      </w:r>
      <w:proofErr w:type="spellStart"/>
      <w:r w:rsidR="006143EF" w:rsidRPr="00022CA4">
        <w:rPr>
          <w:rFonts w:ascii="Times New Roman" w:hAnsi="Times New Roman" w:cs="Times New Roman"/>
          <w:sz w:val="24"/>
          <w:szCs w:val="24"/>
        </w:rPr>
        <w:t>Mereb</w:t>
      </w:r>
      <w:proofErr w:type="spellEnd"/>
      <w:r w:rsidR="006143EF" w:rsidRPr="00022CA4">
        <w:rPr>
          <w:rFonts w:ascii="Times New Roman" w:hAnsi="Times New Roman" w:cs="Times New Roman"/>
          <w:sz w:val="24"/>
          <w:szCs w:val="24"/>
        </w:rPr>
        <w:t xml:space="preserve">-Gash, and </w:t>
      </w:r>
      <w:proofErr w:type="spellStart"/>
      <w:r w:rsidR="006143EF" w:rsidRPr="00022CA4">
        <w:rPr>
          <w:rFonts w:ascii="Times New Roman" w:hAnsi="Times New Roman" w:cs="Times New Roman"/>
          <w:sz w:val="24"/>
          <w:szCs w:val="24"/>
        </w:rPr>
        <w:t>Aysha</w:t>
      </w:r>
      <w:proofErr w:type="spellEnd"/>
      <w:r w:rsidR="003F640F" w:rsidRPr="00022CA4">
        <w:rPr>
          <w:rFonts w:ascii="Times New Roman" w:hAnsi="Times New Roman" w:cs="Times New Roman"/>
          <w:sz w:val="24"/>
          <w:szCs w:val="24"/>
        </w:rPr>
        <w:t>,</w:t>
      </w:r>
      <w:r w:rsidR="006143EF" w:rsidRPr="00022CA4">
        <w:rPr>
          <w:rFonts w:ascii="Times New Roman" w:hAnsi="Times New Roman" w:cs="Times New Roman"/>
          <w:sz w:val="24"/>
          <w:szCs w:val="24"/>
        </w:rPr>
        <w:t xml:space="preserve"> that </w:t>
      </w:r>
      <w:r w:rsidR="002C3A5E" w:rsidRPr="00022CA4">
        <w:rPr>
          <w:rFonts w:ascii="Times New Roman" w:hAnsi="Times New Roman" w:cs="Times New Roman"/>
          <w:sz w:val="24"/>
          <w:szCs w:val="24"/>
        </w:rPr>
        <w:t>exhibit</w:t>
      </w:r>
      <w:r w:rsidR="006143EF" w:rsidRPr="00022CA4">
        <w:rPr>
          <w:rFonts w:ascii="Times New Roman" w:hAnsi="Times New Roman" w:cs="Times New Roman"/>
          <w:sz w:val="24"/>
          <w:szCs w:val="24"/>
        </w:rPr>
        <w:t>ed</w:t>
      </w:r>
      <w:r w:rsidR="002C3A5E" w:rsidRPr="00022CA4">
        <w:rPr>
          <w:rFonts w:ascii="Times New Roman" w:hAnsi="Times New Roman" w:cs="Times New Roman"/>
          <w:sz w:val="24"/>
          <w:szCs w:val="24"/>
        </w:rPr>
        <w:t xml:space="preserve"> </w:t>
      </w:r>
      <w:r w:rsidR="006143EF" w:rsidRPr="00022CA4">
        <w:rPr>
          <w:rFonts w:ascii="Times New Roman" w:hAnsi="Times New Roman" w:cs="Times New Roman"/>
          <w:sz w:val="24"/>
          <w:szCs w:val="24"/>
        </w:rPr>
        <w:t xml:space="preserve">non-significant decreasing trends in some </w:t>
      </w:r>
      <w:r w:rsidR="003F640F" w:rsidRPr="00022CA4">
        <w:rPr>
          <w:rFonts w:ascii="Times New Roman" w:hAnsi="Times New Roman" w:cs="Times New Roman"/>
          <w:sz w:val="24"/>
          <w:szCs w:val="24"/>
        </w:rPr>
        <w:t>part</w:t>
      </w:r>
      <w:r w:rsidR="00B87DB8" w:rsidRPr="00022CA4">
        <w:rPr>
          <w:rFonts w:ascii="Times New Roman" w:hAnsi="Times New Roman" w:cs="Times New Roman"/>
          <w:sz w:val="24"/>
          <w:szCs w:val="24"/>
        </w:rPr>
        <w:t>s</w:t>
      </w:r>
      <w:r w:rsidR="003F640F" w:rsidRPr="00022CA4">
        <w:rPr>
          <w:rFonts w:ascii="Times New Roman" w:hAnsi="Times New Roman" w:cs="Times New Roman"/>
          <w:sz w:val="24"/>
          <w:szCs w:val="24"/>
        </w:rPr>
        <w:t xml:space="preserve"> of the basin </w:t>
      </w:r>
      <w:r w:rsidR="006143EF" w:rsidRPr="00022CA4">
        <w:rPr>
          <w:rFonts w:ascii="Times New Roman" w:hAnsi="Times New Roman" w:cs="Times New Roman"/>
          <w:sz w:val="24"/>
          <w:szCs w:val="24"/>
        </w:rPr>
        <w:t>areas</w:t>
      </w:r>
      <w:r w:rsidR="00FF5487" w:rsidRPr="00022CA4">
        <w:rPr>
          <w:rFonts w:ascii="Times New Roman" w:hAnsi="Times New Roman" w:cs="Times New Roman"/>
          <w:sz w:val="24"/>
          <w:szCs w:val="24"/>
        </w:rPr>
        <w:t xml:space="preserve"> (</w:t>
      </w:r>
      <w:r>
        <w:rPr>
          <w:rFonts w:ascii="Times New Roman" w:hAnsi="Times New Roman" w:cs="Times New Roman"/>
          <w:sz w:val="24"/>
          <w:szCs w:val="24"/>
        </w:rPr>
        <w:t xml:space="preserve">Table </w:t>
      </w:r>
      <w:r w:rsidR="00F85C4B">
        <w:rPr>
          <w:rFonts w:ascii="Times New Roman" w:hAnsi="Times New Roman" w:cs="Times New Roman"/>
          <w:sz w:val="24"/>
          <w:szCs w:val="24"/>
        </w:rPr>
        <w:t>6</w:t>
      </w:r>
      <w:r w:rsidR="00A20C31" w:rsidRPr="00022CA4">
        <w:rPr>
          <w:rFonts w:ascii="Times New Roman" w:hAnsi="Times New Roman" w:cs="Times New Roman"/>
          <w:sz w:val="24"/>
          <w:szCs w:val="24"/>
        </w:rPr>
        <w:t xml:space="preserve"> and Fig. 7</w:t>
      </w:r>
      <w:r w:rsidR="00FF5487" w:rsidRPr="00022CA4">
        <w:rPr>
          <w:rFonts w:ascii="Times New Roman" w:hAnsi="Times New Roman" w:cs="Times New Roman"/>
          <w:sz w:val="24"/>
          <w:szCs w:val="24"/>
        </w:rPr>
        <w:t>)</w:t>
      </w:r>
      <w:r w:rsidR="002C3A5E" w:rsidRPr="00022CA4">
        <w:rPr>
          <w:rFonts w:ascii="Times New Roman" w:hAnsi="Times New Roman" w:cs="Times New Roman"/>
          <w:sz w:val="24"/>
          <w:szCs w:val="24"/>
        </w:rPr>
        <w:t xml:space="preserve">. </w:t>
      </w:r>
      <w:r w:rsidR="00074B46" w:rsidRPr="00022CA4">
        <w:rPr>
          <w:rFonts w:ascii="Times New Roman" w:hAnsi="Times New Roman" w:cs="Times New Roman"/>
          <w:sz w:val="24"/>
          <w:szCs w:val="24"/>
        </w:rPr>
        <w:t>A non-significant increasing</w:t>
      </w:r>
      <w:r w:rsidR="00FF5487" w:rsidRPr="00022CA4">
        <w:rPr>
          <w:rFonts w:ascii="Times New Roman" w:hAnsi="Times New Roman" w:cs="Times New Roman"/>
          <w:sz w:val="24"/>
          <w:szCs w:val="24"/>
        </w:rPr>
        <w:t xml:space="preserve"> rainfall</w:t>
      </w:r>
      <w:r w:rsidR="00074B46" w:rsidRPr="00022CA4">
        <w:rPr>
          <w:rFonts w:ascii="Times New Roman" w:hAnsi="Times New Roman" w:cs="Times New Roman"/>
          <w:sz w:val="24"/>
          <w:szCs w:val="24"/>
        </w:rPr>
        <w:t xml:space="preserve"> trend was observed in Awash, </w:t>
      </w:r>
      <w:proofErr w:type="spellStart"/>
      <w:r w:rsidR="00074B46" w:rsidRPr="00022CA4">
        <w:rPr>
          <w:rFonts w:ascii="Times New Roman" w:hAnsi="Times New Roman" w:cs="Times New Roman"/>
          <w:sz w:val="24"/>
          <w:szCs w:val="24"/>
        </w:rPr>
        <w:t>Tekeze</w:t>
      </w:r>
      <w:proofErr w:type="spellEnd"/>
      <w:r w:rsidR="00074B46" w:rsidRPr="00022CA4">
        <w:rPr>
          <w:rFonts w:ascii="Times New Roman" w:hAnsi="Times New Roman" w:cs="Times New Roman"/>
          <w:sz w:val="24"/>
          <w:szCs w:val="24"/>
        </w:rPr>
        <w:t xml:space="preserve">, </w:t>
      </w:r>
      <w:proofErr w:type="spellStart"/>
      <w:r w:rsidR="00074B46" w:rsidRPr="00022CA4">
        <w:rPr>
          <w:rFonts w:ascii="Times New Roman" w:hAnsi="Times New Roman" w:cs="Times New Roman"/>
          <w:sz w:val="24"/>
          <w:szCs w:val="24"/>
        </w:rPr>
        <w:t>Baro-Akobo</w:t>
      </w:r>
      <w:proofErr w:type="spellEnd"/>
      <w:r w:rsidR="00A20C31" w:rsidRPr="00022CA4">
        <w:rPr>
          <w:rFonts w:ascii="Times New Roman" w:hAnsi="Times New Roman" w:cs="Times New Roman"/>
          <w:sz w:val="24"/>
          <w:szCs w:val="24"/>
        </w:rPr>
        <w:t>,</w:t>
      </w:r>
      <w:r w:rsidR="00074B46" w:rsidRPr="00022CA4">
        <w:rPr>
          <w:rFonts w:ascii="Times New Roman" w:hAnsi="Times New Roman" w:cs="Times New Roman"/>
          <w:sz w:val="24"/>
          <w:szCs w:val="24"/>
        </w:rPr>
        <w:t xml:space="preserve"> </w:t>
      </w:r>
      <w:r w:rsidR="00A20C31" w:rsidRPr="00022CA4">
        <w:rPr>
          <w:rFonts w:ascii="Times New Roman" w:hAnsi="Times New Roman" w:cs="Times New Roman"/>
          <w:sz w:val="24"/>
          <w:szCs w:val="24"/>
        </w:rPr>
        <w:t xml:space="preserve">and most areas of </w:t>
      </w:r>
      <w:proofErr w:type="spellStart"/>
      <w:r w:rsidR="00A20C31" w:rsidRPr="00022CA4">
        <w:rPr>
          <w:rFonts w:ascii="Times New Roman" w:hAnsi="Times New Roman" w:cs="Times New Roman"/>
          <w:sz w:val="24"/>
          <w:szCs w:val="24"/>
        </w:rPr>
        <w:t>Abbay</w:t>
      </w:r>
      <w:proofErr w:type="spellEnd"/>
      <w:r w:rsidR="00A20C31" w:rsidRPr="00022CA4">
        <w:rPr>
          <w:rFonts w:ascii="Times New Roman" w:hAnsi="Times New Roman" w:cs="Times New Roman"/>
          <w:sz w:val="24"/>
          <w:szCs w:val="24"/>
        </w:rPr>
        <w:t xml:space="preserve"> </w:t>
      </w:r>
      <w:r w:rsidR="00074B46" w:rsidRPr="00022CA4">
        <w:rPr>
          <w:rFonts w:ascii="Times New Roman" w:hAnsi="Times New Roman" w:cs="Times New Roman"/>
          <w:sz w:val="24"/>
          <w:szCs w:val="24"/>
        </w:rPr>
        <w:t>basins</w:t>
      </w:r>
      <w:r w:rsidR="00CE30BB" w:rsidRPr="00022CA4">
        <w:rPr>
          <w:rFonts w:ascii="Times New Roman" w:hAnsi="Times New Roman" w:cs="Times New Roman"/>
          <w:sz w:val="24"/>
          <w:szCs w:val="24"/>
        </w:rPr>
        <w:t xml:space="preserve"> (</w:t>
      </w:r>
      <w:r>
        <w:rPr>
          <w:rFonts w:ascii="Times New Roman" w:hAnsi="Times New Roman" w:cs="Times New Roman"/>
          <w:sz w:val="24"/>
          <w:szCs w:val="24"/>
        </w:rPr>
        <w:t>Table 6</w:t>
      </w:r>
      <w:r w:rsidR="00A20C31" w:rsidRPr="00022CA4">
        <w:rPr>
          <w:rFonts w:ascii="Times New Roman" w:hAnsi="Times New Roman" w:cs="Times New Roman"/>
          <w:sz w:val="24"/>
          <w:szCs w:val="24"/>
        </w:rPr>
        <w:t xml:space="preserve"> and Fig. 7</w:t>
      </w:r>
      <w:r w:rsidR="00CE30BB" w:rsidRPr="00022CA4">
        <w:rPr>
          <w:rFonts w:ascii="Times New Roman" w:hAnsi="Times New Roman" w:cs="Times New Roman"/>
          <w:sz w:val="24"/>
          <w:szCs w:val="24"/>
        </w:rPr>
        <w:t>)</w:t>
      </w:r>
      <w:r w:rsidR="00074B46" w:rsidRPr="00022CA4">
        <w:rPr>
          <w:rFonts w:ascii="Times New Roman" w:hAnsi="Times New Roman" w:cs="Times New Roman"/>
          <w:sz w:val="24"/>
          <w:szCs w:val="24"/>
        </w:rPr>
        <w:t>.</w:t>
      </w:r>
      <w:r w:rsidR="002C3A5E" w:rsidRPr="00022CA4">
        <w:rPr>
          <w:rFonts w:ascii="Times New Roman" w:hAnsi="Times New Roman" w:cs="Times New Roman"/>
          <w:sz w:val="24"/>
          <w:szCs w:val="24"/>
        </w:rPr>
        <w:t xml:space="preserve"> The </w:t>
      </w:r>
      <w:r w:rsidR="00CE30BB" w:rsidRPr="00022CA4">
        <w:rPr>
          <w:rFonts w:ascii="Times New Roman" w:hAnsi="Times New Roman" w:cs="Times New Roman"/>
          <w:sz w:val="24"/>
          <w:szCs w:val="24"/>
        </w:rPr>
        <w:t xml:space="preserve">annual </w:t>
      </w:r>
      <w:r w:rsidR="002C3A5E" w:rsidRPr="00022CA4">
        <w:rPr>
          <w:rFonts w:ascii="Times New Roman" w:hAnsi="Times New Roman" w:cs="Times New Roman"/>
          <w:sz w:val="24"/>
          <w:szCs w:val="24"/>
        </w:rPr>
        <w:t xml:space="preserve">rainfall increased at </w:t>
      </w:r>
      <w:r w:rsidR="00074B46" w:rsidRPr="00022CA4">
        <w:rPr>
          <w:rFonts w:ascii="Times New Roman" w:hAnsi="Times New Roman" w:cs="Times New Roman"/>
          <w:sz w:val="24"/>
          <w:szCs w:val="24"/>
        </w:rPr>
        <w:t xml:space="preserve">a </w:t>
      </w:r>
      <w:r w:rsidR="002C3A5E" w:rsidRPr="00022CA4">
        <w:rPr>
          <w:rFonts w:ascii="Times New Roman" w:hAnsi="Times New Roman" w:cs="Times New Roman"/>
          <w:sz w:val="24"/>
          <w:szCs w:val="24"/>
        </w:rPr>
        <w:t>rate</w:t>
      </w:r>
      <w:r w:rsidR="00074B46" w:rsidRPr="00022CA4">
        <w:rPr>
          <w:rFonts w:ascii="Times New Roman" w:hAnsi="Times New Roman" w:cs="Times New Roman"/>
          <w:sz w:val="24"/>
          <w:szCs w:val="24"/>
        </w:rPr>
        <w:t xml:space="preserve"> of </w:t>
      </w:r>
      <w:r w:rsidR="002C3A5E" w:rsidRPr="00022CA4">
        <w:rPr>
          <w:rFonts w:ascii="Times New Roman" w:hAnsi="Times New Roman" w:cs="Times New Roman"/>
          <w:sz w:val="24"/>
          <w:szCs w:val="24"/>
        </w:rPr>
        <w:t xml:space="preserve">0.67 mm/year in Awash to 5.77 mm/year in the Rift Valley </w:t>
      </w:r>
      <w:r w:rsidR="00074B46" w:rsidRPr="00022CA4">
        <w:rPr>
          <w:rFonts w:ascii="Times New Roman" w:hAnsi="Times New Roman" w:cs="Times New Roman"/>
          <w:sz w:val="24"/>
          <w:szCs w:val="24"/>
        </w:rPr>
        <w:t>while it</w:t>
      </w:r>
      <w:r w:rsidR="002C3A5E" w:rsidRPr="00022CA4">
        <w:rPr>
          <w:rFonts w:ascii="Times New Roman" w:hAnsi="Times New Roman" w:cs="Times New Roman"/>
          <w:sz w:val="24"/>
          <w:szCs w:val="24"/>
        </w:rPr>
        <w:t xml:space="preserve"> decreased at rates ranging from -0.04 mm/year in </w:t>
      </w:r>
      <w:proofErr w:type="spellStart"/>
      <w:r w:rsidR="002C3A5E" w:rsidRPr="00022CA4">
        <w:rPr>
          <w:rFonts w:ascii="Times New Roman" w:hAnsi="Times New Roman" w:cs="Times New Roman"/>
          <w:sz w:val="24"/>
          <w:szCs w:val="24"/>
        </w:rPr>
        <w:t>Mereb</w:t>
      </w:r>
      <w:proofErr w:type="spellEnd"/>
      <w:r w:rsidR="002C3A5E" w:rsidRPr="00022CA4">
        <w:rPr>
          <w:rFonts w:ascii="Times New Roman" w:hAnsi="Times New Roman" w:cs="Times New Roman"/>
          <w:sz w:val="24"/>
          <w:szCs w:val="24"/>
        </w:rPr>
        <w:t xml:space="preserve">-Gash to -0.48 mm/year in </w:t>
      </w:r>
      <w:proofErr w:type="spellStart"/>
      <w:r w:rsidR="002C3A5E" w:rsidRPr="00022CA4">
        <w:rPr>
          <w:rFonts w:ascii="Times New Roman" w:hAnsi="Times New Roman" w:cs="Times New Roman"/>
          <w:sz w:val="24"/>
          <w:szCs w:val="24"/>
        </w:rPr>
        <w:t>Aysha</w:t>
      </w:r>
      <w:proofErr w:type="spellEnd"/>
      <w:r w:rsidR="00A20C31" w:rsidRPr="00022CA4">
        <w:rPr>
          <w:rFonts w:ascii="Times New Roman" w:hAnsi="Times New Roman" w:cs="Times New Roman"/>
          <w:sz w:val="24"/>
          <w:szCs w:val="24"/>
        </w:rPr>
        <w:t xml:space="preserve"> (</w:t>
      </w:r>
      <w:r>
        <w:rPr>
          <w:rFonts w:ascii="Times New Roman" w:hAnsi="Times New Roman" w:cs="Times New Roman"/>
          <w:sz w:val="24"/>
          <w:szCs w:val="24"/>
        </w:rPr>
        <w:t>Table 6</w:t>
      </w:r>
      <w:r w:rsidR="00A20C31" w:rsidRPr="00022CA4">
        <w:rPr>
          <w:rFonts w:ascii="Times New Roman" w:hAnsi="Times New Roman" w:cs="Times New Roman"/>
          <w:sz w:val="24"/>
          <w:szCs w:val="24"/>
        </w:rPr>
        <w:t>). Also, t</w:t>
      </w:r>
      <w:r w:rsidR="00CE30BB" w:rsidRPr="00022CA4">
        <w:rPr>
          <w:rFonts w:ascii="Times New Roman" w:hAnsi="Times New Roman" w:cs="Times New Roman"/>
          <w:sz w:val="24"/>
          <w:szCs w:val="24"/>
        </w:rPr>
        <w:t xml:space="preserve">he seasonal rainfall was increasing in </w:t>
      </w:r>
      <w:r w:rsidR="006A29D9" w:rsidRPr="00022CA4">
        <w:rPr>
          <w:rFonts w:ascii="Times New Roman" w:hAnsi="Times New Roman" w:cs="Times New Roman"/>
          <w:sz w:val="24"/>
          <w:szCs w:val="24"/>
        </w:rPr>
        <w:t xml:space="preserve">most parts of Ethiopia except </w:t>
      </w:r>
      <w:r w:rsidR="003F640F" w:rsidRPr="00022CA4">
        <w:rPr>
          <w:rFonts w:ascii="Times New Roman" w:hAnsi="Times New Roman" w:cs="Times New Roman"/>
          <w:sz w:val="24"/>
          <w:szCs w:val="24"/>
        </w:rPr>
        <w:t xml:space="preserve">northern-half of Ethiopia </w:t>
      </w:r>
      <w:r w:rsidR="006A29D9" w:rsidRPr="00022CA4">
        <w:rPr>
          <w:rFonts w:ascii="Times New Roman" w:hAnsi="Times New Roman" w:cs="Times New Roman"/>
          <w:sz w:val="24"/>
          <w:szCs w:val="24"/>
        </w:rPr>
        <w:t xml:space="preserve">in </w:t>
      </w:r>
      <w:proofErr w:type="spellStart"/>
      <w:r w:rsidR="006A29D9" w:rsidRPr="00022CA4">
        <w:rPr>
          <w:rFonts w:ascii="Times New Roman" w:hAnsi="Times New Roman" w:cs="Times New Roman"/>
          <w:sz w:val="24"/>
          <w:szCs w:val="24"/>
        </w:rPr>
        <w:t>Belg</w:t>
      </w:r>
      <w:proofErr w:type="spellEnd"/>
      <w:r w:rsidR="006A29D9" w:rsidRPr="00022CA4">
        <w:rPr>
          <w:rFonts w:ascii="Times New Roman" w:hAnsi="Times New Roman" w:cs="Times New Roman"/>
          <w:sz w:val="24"/>
          <w:szCs w:val="24"/>
        </w:rPr>
        <w:t xml:space="preserve"> season (</w:t>
      </w:r>
      <w:r>
        <w:rPr>
          <w:rFonts w:ascii="Times New Roman" w:hAnsi="Times New Roman" w:cs="Times New Roman"/>
          <w:sz w:val="24"/>
          <w:szCs w:val="24"/>
        </w:rPr>
        <w:t>Table 6</w:t>
      </w:r>
      <w:r w:rsidR="00A20C31" w:rsidRPr="00022CA4">
        <w:rPr>
          <w:rFonts w:ascii="Times New Roman" w:hAnsi="Times New Roman" w:cs="Times New Roman"/>
          <w:sz w:val="24"/>
          <w:szCs w:val="24"/>
        </w:rPr>
        <w:t xml:space="preserve"> and Fig. 7</w:t>
      </w:r>
      <w:r w:rsidR="006A29D9" w:rsidRPr="00022CA4">
        <w:rPr>
          <w:rFonts w:ascii="Times New Roman" w:hAnsi="Times New Roman" w:cs="Times New Roman"/>
          <w:sz w:val="24"/>
          <w:szCs w:val="24"/>
        </w:rPr>
        <w:t>).</w:t>
      </w:r>
      <w:r w:rsidR="00F2235C" w:rsidRPr="00022CA4">
        <w:rPr>
          <w:rFonts w:ascii="Times New Roman" w:hAnsi="Times New Roman" w:cs="Times New Roman"/>
          <w:sz w:val="24"/>
          <w:szCs w:val="24"/>
        </w:rPr>
        <w:t xml:space="preserve"> </w:t>
      </w:r>
      <w:r w:rsidR="00EF5798" w:rsidRPr="00022CA4">
        <w:rPr>
          <w:rFonts w:ascii="Times New Roman" w:hAnsi="Times New Roman" w:cs="Times New Roman"/>
          <w:sz w:val="24"/>
          <w:szCs w:val="24"/>
        </w:rPr>
        <w:t xml:space="preserve">The annual and seasonal </w:t>
      </w:r>
      <w:proofErr w:type="spellStart"/>
      <w:proofErr w:type="gramStart"/>
      <w:r w:rsidR="00EF5798" w:rsidRPr="00022CA4">
        <w:rPr>
          <w:rFonts w:ascii="Times New Roman" w:hAnsi="Times New Roman" w:cs="Times New Roman"/>
          <w:sz w:val="24"/>
          <w:szCs w:val="24"/>
        </w:rPr>
        <w:t>ET</w:t>
      </w:r>
      <w:r w:rsidR="00EF5798" w:rsidRPr="00022CA4">
        <w:rPr>
          <w:rFonts w:ascii="Times New Roman" w:hAnsi="Times New Roman" w:cs="Times New Roman"/>
          <w:sz w:val="24"/>
          <w:szCs w:val="24"/>
          <w:vertAlign w:val="subscript"/>
        </w:rPr>
        <w:t>o</w:t>
      </w:r>
      <w:proofErr w:type="spellEnd"/>
      <w:proofErr w:type="gramEnd"/>
      <w:r w:rsidR="00EF5798" w:rsidRPr="00022CA4">
        <w:rPr>
          <w:rFonts w:ascii="Times New Roman" w:hAnsi="Times New Roman" w:cs="Times New Roman"/>
          <w:sz w:val="24"/>
          <w:szCs w:val="24"/>
        </w:rPr>
        <w:t xml:space="preserve"> showed increasing trends except in </w:t>
      </w:r>
      <w:proofErr w:type="spellStart"/>
      <w:r w:rsidR="00EF5798" w:rsidRPr="00022CA4">
        <w:rPr>
          <w:rFonts w:ascii="Times New Roman" w:hAnsi="Times New Roman" w:cs="Times New Roman"/>
          <w:sz w:val="24"/>
          <w:szCs w:val="24"/>
        </w:rPr>
        <w:t>Ogaden</w:t>
      </w:r>
      <w:proofErr w:type="spellEnd"/>
      <w:r w:rsidR="00EF5798" w:rsidRPr="00022CA4">
        <w:rPr>
          <w:rFonts w:ascii="Times New Roman" w:hAnsi="Times New Roman" w:cs="Times New Roman"/>
          <w:sz w:val="24"/>
          <w:szCs w:val="24"/>
        </w:rPr>
        <w:t xml:space="preserve"> basin in </w:t>
      </w:r>
      <w:proofErr w:type="spellStart"/>
      <w:r w:rsidR="00EF5798" w:rsidRPr="00022CA4">
        <w:rPr>
          <w:rFonts w:ascii="Times New Roman" w:hAnsi="Times New Roman" w:cs="Times New Roman"/>
          <w:sz w:val="24"/>
          <w:szCs w:val="24"/>
        </w:rPr>
        <w:t>Belg</w:t>
      </w:r>
      <w:proofErr w:type="spellEnd"/>
      <w:r w:rsidR="00EF5798" w:rsidRPr="00022CA4">
        <w:rPr>
          <w:rFonts w:ascii="Times New Roman" w:hAnsi="Times New Roman" w:cs="Times New Roman"/>
          <w:sz w:val="24"/>
          <w:szCs w:val="24"/>
        </w:rPr>
        <w:t xml:space="preserve"> and </w:t>
      </w:r>
      <w:proofErr w:type="spellStart"/>
      <w:r w:rsidR="00EF5798" w:rsidRPr="00022CA4">
        <w:rPr>
          <w:rFonts w:ascii="Times New Roman" w:hAnsi="Times New Roman" w:cs="Times New Roman"/>
          <w:sz w:val="24"/>
          <w:szCs w:val="24"/>
        </w:rPr>
        <w:t>Kiremt</w:t>
      </w:r>
      <w:proofErr w:type="spellEnd"/>
      <w:r w:rsidR="00EF5798" w:rsidRPr="00022CA4">
        <w:rPr>
          <w:rFonts w:ascii="Times New Roman" w:hAnsi="Times New Roman" w:cs="Times New Roman"/>
          <w:sz w:val="24"/>
          <w:szCs w:val="24"/>
        </w:rPr>
        <w:t xml:space="preserve"> seasons (</w:t>
      </w:r>
      <w:r>
        <w:rPr>
          <w:rFonts w:ascii="Times New Roman" w:hAnsi="Times New Roman" w:cs="Times New Roman"/>
          <w:sz w:val="24"/>
          <w:szCs w:val="24"/>
        </w:rPr>
        <w:t>Table 7</w:t>
      </w:r>
      <w:r w:rsidR="00EF5798" w:rsidRPr="00022CA4">
        <w:rPr>
          <w:rFonts w:ascii="Times New Roman" w:hAnsi="Times New Roman" w:cs="Times New Roman"/>
          <w:sz w:val="24"/>
          <w:szCs w:val="24"/>
        </w:rPr>
        <w:t xml:space="preserve">) and their trends were </w:t>
      </w:r>
      <w:r w:rsidR="003F640F" w:rsidRPr="00022CA4">
        <w:rPr>
          <w:rFonts w:ascii="Times New Roman" w:hAnsi="Times New Roman" w:cs="Times New Roman"/>
          <w:sz w:val="24"/>
          <w:szCs w:val="24"/>
        </w:rPr>
        <w:t>generally significant</w:t>
      </w:r>
      <w:r w:rsidR="00EF5798" w:rsidRPr="00022CA4">
        <w:rPr>
          <w:rFonts w:ascii="Times New Roman" w:hAnsi="Times New Roman" w:cs="Times New Roman"/>
          <w:sz w:val="24"/>
          <w:szCs w:val="24"/>
        </w:rPr>
        <w:t>ly</w:t>
      </w:r>
      <w:r w:rsidR="003F640F" w:rsidRPr="00022CA4">
        <w:rPr>
          <w:rFonts w:ascii="Times New Roman" w:hAnsi="Times New Roman" w:cs="Times New Roman"/>
          <w:sz w:val="24"/>
          <w:szCs w:val="24"/>
        </w:rPr>
        <w:t xml:space="preserve"> increasing</w:t>
      </w:r>
      <w:r w:rsidR="00EF5798" w:rsidRPr="00022CA4">
        <w:rPr>
          <w:rFonts w:ascii="Times New Roman" w:hAnsi="Times New Roman" w:cs="Times New Roman"/>
          <w:sz w:val="24"/>
          <w:szCs w:val="24"/>
        </w:rPr>
        <w:t xml:space="preserve"> in most p</w:t>
      </w:r>
      <w:r w:rsidR="00CA183B" w:rsidRPr="00022CA4">
        <w:rPr>
          <w:rFonts w:ascii="Times New Roman" w:hAnsi="Times New Roman" w:cs="Times New Roman"/>
          <w:sz w:val="24"/>
          <w:szCs w:val="24"/>
        </w:rPr>
        <w:t xml:space="preserve">arts of Ethiopia (Fig. 8). </w:t>
      </w:r>
      <w:r w:rsidR="00EF5798" w:rsidRPr="00022CA4">
        <w:rPr>
          <w:rFonts w:ascii="Times New Roman" w:hAnsi="Times New Roman" w:cs="Times New Roman"/>
          <w:sz w:val="24"/>
          <w:szCs w:val="24"/>
        </w:rPr>
        <w:t>Although</w:t>
      </w:r>
      <w:r w:rsidR="00E8582F" w:rsidRPr="00022CA4">
        <w:rPr>
          <w:rFonts w:ascii="Times New Roman" w:hAnsi="Times New Roman" w:cs="Times New Roman"/>
          <w:sz w:val="24"/>
          <w:szCs w:val="24"/>
        </w:rPr>
        <w:t xml:space="preserve"> both rainfall and </w:t>
      </w:r>
      <w:proofErr w:type="spellStart"/>
      <w:proofErr w:type="gramStart"/>
      <w:r w:rsidR="00463ACA" w:rsidRPr="00022CA4">
        <w:rPr>
          <w:rFonts w:ascii="Times New Roman" w:hAnsi="Times New Roman" w:cs="Times New Roman"/>
          <w:sz w:val="24"/>
          <w:szCs w:val="24"/>
        </w:rPr>
        <w:t>ET</w:t>
      </w:r>
      <w:r w:rsidR="00463ACA" w:rsidRPr="00022CA4">
        <w:rPr>
          <w:rFonts w:ascii="Times New Roman" w:hAnsi="Times New Roman" w:cs="Times New Roman"/>
          <w:sz w:val="24"/>
          <w:szCs w:val="24"/>
          <w:vertAlign w:val="subscript"/>
        </w:rPr>
        <w:t>o</w:t>
      </w:r>
      <w:proofErr w:type="spellEnd"/>
      <w:proofErr w:type="gramEnd"/>
      <w:r w:rsidR="00463ACA" w:rsidRPr="00022CA4">
        <w:rPr>
          <w:rFonts w:ascii="Times New Roman" w:hAnsi="Times New Roman" w:cs="Times New Roman"/>
          <w:sz w:val="24"/>
          <w:szCs w:val="24"/>
        </w:rPr>
        <w:t xml:space="preserve"> </w:t>
      </w:r>
      <w:r w:rsidR="00831F31" w:rsidRPr="00022CA4">
        <w:rPr>
          <w:rFonts w:ascii="Times New Roman" w:hAnsi="Times New Roman" w:cs="Times New Roman"/>
          <w:sz w:val="24"/>
          <w:szCs w:val="24"/>
        </w:rPr>
        <w:t>were increasing in most parts of Ethiopia</w:t>
      </w:r>
      <w:r w:rsidR="0096482D" w:rsidRPr="00022CA4">
        <w:rPr>
          <w:rFonts w:ascii="Times New Roman" w:hAnsi="Times New Roman" w:cs="Times New Roman"/>
          <w:sz w:val="24"/>
          <w:szCs w:val="24"/>
        </w:rPr>
        <w:t xml:space="preserve">, the increase was mostly significant and covered wider areas in the case of </w:t>
      </w:r>
      <w:proofErr w:type="spellStart"/>
      <w:r w:rsidR="00463ACA" w:rsidRPr="00022CA4">
        <w:rPr>
          <w:rFonts w:ascii="Times New Roman" w:hAnsi="Times New Roman" w:cs="Times New Roman"/>
          <w:sz w:val="24"/>
          <w:szCs w:val="24"/>
        </w:rPr>
        <w:t>ET</w:t>
      </w:r>
      <w:r w:rsidR="00463ACA" w:rsidRPr="00022CA4">
        <w:rPr>
          <w:rFonts w:ascii="Times New Roman" w:hAnsi="Times New Roman" w:cs="Times New Roman"/>
          <w:sz w:val="24"/>
          <w:szCs w:val="24"/>
          <w:vertAlign w:val="subscript"/>
        </w:rPr>
        <w:t>o</w:t>
      </w:r>
      <w:proofErr w:type="spellEnd"/>
      <w:r w:rsidR="00463ACA" w:rsidRPr="00022CA4">
        <w:rPr>
          <w:rFonts w:ascii="Times New Roman" w:hAnsi="Times New Roman" w:cs="Times New Roman"/>
          <w:sz w:val="24"/>
          <w:szCs w:val="24"/>
        </w:rPr>
        <w:t xml:space="preserve"> </w:t>
      </w:r>
      <w:r w:rsidR="0096482D" w:rsidRPr="00022CA4">
        <w:rPr>
          <w:rFonts w:ascii="Times New Roman" w:hAnsi="Times New Roman" w:cs="Times New Roman"/>
          <w:sz w:val="24"/>
          <w:szCs w:val="24"/>
        </w:rPr>
        <w:t>than rainfall</w:t>
      </w:r>
      <w:r w:rsidR="00746CC5" w:rsidRPr="00022CA4">
        <w:rPr>
          <w:rFonts w:ascii="Times New Roman" w:hAnsi="Times New Roman" w:cs="Times New Roman"/>
          <w:sz w:val="24"/>
          <w:szCs w:val="24"/>
        </w:rPr>
        <w:t xml:space="preserve"> (Fig. 7 and Fig. 8).</w:t>
      </w:r>
      <w:r w:rsidR="000143F7" w:rsidRPr="00022CA4">
        <w:rPr>
          <w:rFonts w:ascii="Times New Roman" w:hAnsi="Times New Roman" w:cs="Times New Roman"/>
          <w:sz w:val="24"/>
          <w:szCs w:val="24"/>
        </w:rPr>
        <w:t xml:space="preserve"> </w:t>
      </w:r>
      <w:r w:rsidR="00504AD3" w:rsidRPr="00022CA4">
        <w:rPr>
          <w:rFonts w:ascii="Times New Roman" w:hAnsi="Times New Roman" w:cs="Times New Roman"/>
          <w:sz w:val="24"/>
          <w:szCs w:val="24"/>
        </w:rPr>
        <w:t>In the current twelve years, f</w:t>
      </w:r>
      <w:r w:rsidR="000143F7" w:rsidRPr="00022CA4">
        <w:rPr>
          <w:rFonts w:ascii="Times New Roman" w:hAnsi="Times New Roman" w:cs="Times New Roman"/>
          <w:sz w:val="24"/>
          <w:szCs w:val="24"/>
        </w:rPr>
        <w:t>rom 2010 to 2021</w:t>
      </w:r>
      <w:r w:rsidR="00504AD3" w:rsidRPr="00022CA4">
        <w:rPr>
          <w:rFonts w:ascii="Times New Roman" w:hAnsi="Times New Roman" w:cs="Times New Roman"/>
          <w:sz w:val="24"/>
          <w:szCs w:val="24"/>
        </w:rPr>
        <w:t>,</w:t>
      </w:r>
      <w:r w:rsidR="000143F7" w:rsidRPr="00022CA4">
        <w:rPr>
          <w:rFonts w:ascii="Times New Roman" w:hAnsi="Times New Roman" w:cs="Times New Roman"/>
          <w:sz w:val="24"/>
          <w:szCs w:val="24"/>
        </w:rPr>
        <w:t xml:space="preserve"> the rainfall and </w:t>
      </w:r>
      <w:proofErr w:type="spellStart"/>
      <w:proofErr w:type="gramStart"/>
      <w:r w:rsidR="000143F7" w:rsidRPr="00022CA4">
        <w:rPr>
          <w:rFonts w:ascii="Times New Roman" w:hAnsi="Times New Roman" w:cs="Times New Roman"/>
          <w:sz w:val="24"/>
          <w:szCs w:val="24"/>
        </w:rPr>
        <w:t>ET</w:t>
      </w:r>
      <w:r w:rsidR="000143F7" w:rsidRPr="00022CA4">
        <w:rPr>
          <w:rFonts w:ascii="Times New Roman" w:hAnsi="Times New Roman" w:cs="Times New Roman"/>
          <w:sz w:val="24"/>
          <w:szCs w:val="24"/>
          <w:vertAlign w:val="subscript"/>
        </w:rPr>
        <w:t>o</w:t>
      </w:r>
      <w:proofErr w:type="spellEnd"/>
      <w:proofErr w:type="gramEnd"/>
      <w:r w:rsidR="000143F7" w:rsidRPr="00022CA4">
        <w:rPr>
          <w:rFonts w:ascii="Times New Roman" w:hAnsi="Times New Roman" w:cs="Times New Roman"/>
          <w:sz w:val="24"/>
          <w:szCs w:val="24"/>
        </w:rPr>
        <w:t xml:space="preserve"> values in Ethiopia </w:t>
      </w:r>
      <w:r w:rsidR="00A62A29" w:rsidRPr="00022CA4">
        <w:rPr>
          <w:rFonts w:ascii="Times New Roman" w:hAnsi="Times New Roman" w:cs="Times New Roman"/>
          <w:sz w:val="24"/>
          <w:szCs w:val="24"/>
        </w:rPr>
        <w:t xml:space="preserve">were </w:t>
      </w:r>
      <w:r w:rsidR="00F536E5" w:rsidRPr="00022CA4">
        <w:rPr>
          <w:rFonts w:ascii="Times New Roman" w:hAnsi="Times New Roman" w:cs="Times New Roman"/>
          <w:sz w:val="24"/>
          <w:szCs w:val="24"/>
        </w:rPr>
        <w:t>relatively high</w:t>
      </w:r>
      <w:r w:rsidR="00504AD3" w:rsidRPr="00022CA4">
        <w:rPr>
          <w:rFonts w:ascii="Times New Roman" w:hAnsi="Times New Roman" w:cs="Times New Roman"/>
          <w:sz w:val="24"/>
          <w:szCs w:val="24"/>
        </w:rPr>
        <w:t>, above 734</w:t>
      </w:r>
      <w:r w:rsidR="0096478F">
        <w:rPr>
          <w:rFonts w:ascii="Times New Roman" w:hAnsi="Times New Roman" w:cs="Times New Roman"/>
          <w:sz w:val="24"/>
          <w:szCs w:val="24"/>
        </w:rPr>
        <w:t xml:space="preserve"> to </w:t>
      </w:r>
      <w:r w:rsidR="00F536E5" w:rsidRPr="00022CA4">
        <w:rPr>
          <w:rFonts w:ascii="Times New Roman" w:hAnsi="Times New Roman" w:cs="Times New Roman"/>
          <w:sz w:val="24"/>
          <w:szCs w:val="24"/>
        </w:rPr>
        <w:t>896</w:t>
      </w:r>
      <w:r w:rsidR="00504AD3" w:rsidRPr="00022CA4">
        <w:rPr>
          <w:rFonts w:ascii="Times New Roman" w:hAnsi="Times New Roman" w:cs="Times New Roman"/>
          <w:sz w:val="24"/>
          <w:szCs w:val="24"/>
        </w:rPr>
        <w:t xml:space="preserve"> and 95</w:t>
      </w:r>
      <w:r w:rsidR="0096478F">
        <w:rPr>
          <w:rFonts w:ascii="Times New Roman" w:hAnsi="Times New Roman" w:cs="Times New Roman"/>
          <w:sz w:val="24"/>
          <w:szCs w:val="24"/>
        </w:rPr>
        <w:t xml:space="preserve">5 to </w:t>
      </w:r>
      <w:r w:rsidR="00F536E5" w:rsidRPr="00022CA4">
        <w:rPr>
          <w:rFonts w:ascii="Times New Roman" w:hAnsi="Times New Roman" w:cs="Times New Roman"/>
          <w:sz w:val="24"/>
          <w:szCs w:val="24"/>
        </w:rPr>
        <w:t>978</w:t>
      </w:r>
      <w:r w:rsidR="00504AD3" w:rsidRPr="00022CA4">
        <w:rPr>
          <w:rFonts w:ascii="Times New Roman" w:hAnsi="Times New Roman" w:cs="Times New Roman"/>
          <w:sz w:val="24"/>
          <w:szCs w:val="24"/>
        </w:rPr>
        <w:t xml:space="preserve"> mm, respectively (</w:t>
      </w:r>
      <w:r w:rsidR="000143F7" w:rsidRPr="00022CA4">
        <w:rPr>
          <w:rFonts w:ascii="Times New Roman" w:hAnsi="Times New Roman" w:cs="Times New Roman"/>
          <w:sz w:val="24"/>
          <w:szCs w:val="24"/>
        </w:rPr>
        <w:t>Fig. 9).</w:t>
      </w:r>
    </w:p>
    <w:p w14:paraId="216144A3" w14:textId="1C9C1C0E" w:rsidR="008855C7" w:rsidRPr="00022CA4" w:rsidRDefault="00837E11" w:rsidP="00AB2631">
      <w:pPr>
        <w:spacing w:line="360" w:lineRule="auto"/>
        <w:jc w:val="center"/>
        <w:rPr>
          <w:rFonts w:ascii="Times New Roman" w:hAnsi="Times New Roman" w:cs="Times New Roman"/>
          <w:sz w:val="24"/>
          <w:szCs w:val="24"/>
        </w:rPr>
      </w:pPr>
      <w:r w:rsidRPr="00022CA4">
        <w:rPr>
          <w:rFonts w:ascii="Times New Roman" w:hAnsi="Times New Roman" w:cs="Times New Roman"/>
          <w:noProof/>
          <w:sz w:val="24"/>
          <w:szCs w:val="24"/>
        </w:rPr>
        <w:drawing>
          <wp:inline distT="0" distB="0" distL="0" distR="0" wp14:anchorId="2BECF86A" wp14:editId="3D02BE3E">
            <wp:extent cx="5779009" cy="3145537"/>
            <wp:effectExtent l="0" t="0" r="0" b="0"/>
            <wp:docPr id="1026" name="Picture 2" descr="D:\Part-I\2024\2024-Part-III\Pub_4\Data-2\Fig_a-b_rf\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Part-I\2024\2024-Part-III\Pub_4\Data-2\Fig_a-b_rf\Fig.7.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1304" t="6935" r="15485" b="47188"/>
                    <a:stretch/>
                  </pic:blipFill>
                  <pic:spPr bwMode="auto">
                    <a:xfrm>
                      <a:off x="0" y="0"/>
                      <a:ext cx="5779009" cy="31455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21402C6" w14:textId="236E0DA2" w:rsidR="00F85C4B" w:rsidRDefault="00362B69" w:rsidP="00E93810">
      <w:pPr>
        <w:spacing w:after="240" w:line="360" w:lineRule="auto"/>
        <w:jc w:val="both"/>
        <w:rPr>
          <w:rFonts w:ascii="Times New Roman" w:hAnsi="Times New Roman" w:cs="Times New Roman"/>
          <w:sz w:val="24"/>
          <w:szCs w:val="24"/>
        </w:rPr>
      </w:pPr>
      <w:r w:rsidRPr="00022CA4">
        <w:rPr>
          <w:rFonts w:ascii="Times New Roman" w:hAnsi="Times New Roman" w:cs="Times New Roman"/>
          <w:b/>
          <w:sz w:val="24"/>
          <w:szCs w:val="24"/>
        </w:rPr>
        <w:t>Fig.</w:t>
      </w:r>
      <w:r w:rsidR="0045430B" w:rsidRPr="00022CA4">
        <w:rPr>
          <w:rFonts w:ascii="Times New Roman" w:hAnsi="Times New Roman" w:cs="Times New Roman"/>
          <w:b/>
          <w:sz w:val="24"/>
          <w:szCs w:val="24"/>
        </w:rPr>
        <w:t>7</w:t>
      </w:r>
      <w:r w:rsidRPr="00022CA4">
        <w:rPr>
          <w:rFonts w:ascii="Times New Roman" w:hAnsi="Times New Roman" w:cs="Times New Roman"/>
          <w:sz w:val="24"/>
          <w:szCs w:val="24"/>
        </w:rPr>
        <w:t xml:space="preserve"> </w:t>
      </w:r>
      <w:r w:rsidR="0057714F" w:rsidRPr="00022CA4">
        <w:rPr>
          <w:rFonts w:ascii="Times New Roman" w:hAnsi="Times New Roman" w:cs="Times New Roman"/>
          <w:sz w:val="24"/>
          <w:szCs w:val="24"/>
        </w:rPr>
        <w:t xml:space="preserve">Long-term annual and seasonal </w:t>
      </w:r>
      <w:r w:rsidR="001C4477">
        <w:rPr>
          <w:rFonts w:ascii="Times New Roman" w:hAnsi="Times New Roman" w:cs="Times New Roman"/>
          <w:sz w:val="24"/>
          <w:szCs w:val="24"/>
        </w:rPr>
        <w:t>rainfall</w:t>
      </w:r>
      <w:r w:rsidR="0057714F" w:rsidRPr="00022CA4">
        <w:rPr>
          <w:rFonts w:ascii="Times New Roman" w:hAnsi="Times New Roman" w:cs="Times New Roman"/>
          <w:sz w:val="24"/>
          <w:szCs w:val="24"/>
        </w:rPr>
        <w:t xml:space="preserve"> (P) trends observed</w:t>
      </w:r>
      <w:r w:rsidRPr="00022CA4">
        <w:rPr>
          <w:rFonts w:ascii="Times New Roman" w:hAnsi="Times New Roman" w:cs="Times New Roman"/>
          <w:sz w:val="24"/>
          <w:szCs w:val="24"/>
        </w:rPr>
        <w:t xml:space="preserve"> </w:t>
      </w:r>
      <w:r w:rsidR="00E93810" w:rsidRPr="00022CA4">
        <w:rPr>
          <w:rFonts w:ascii="Times New Roman" w:hAnsi="Times New Roman" w:cs="Times New Roman"/>
          <w:sz w:val="24"/>
          <w:szCs w:val="24"/>
        </w:rPr>
        <w:t>over Ethiopia from 1980 to 2021</w:t>
      </w:r>
    </w:p>
    <w:p w14:paraId="3A3ACED9" w14:textId="77777777" w:rsidR="00BB600F" w:rsidRPr="00022CA4" w:rsidRDefault="00BB600F" w:rsidP="00E93810">
      <w:pPr>
        <w:spacing w:after="240" w:line="360" w:lineRule="auto"/>
        <w:jc w:val="both"/>
        <w:rPr>
          <w:rFonts w:ascii="Times New Roman" w:hAnsi="Times New Roman" w:cs="Times New Roman"/>
          <w:sz w:val="24"/>
          <w:szCs w:val="24"/>
        </w:rPr>
      </w:pPr>
    </w:p>
    <w:p w14:paraId="5F0F8177" w14:textId="6391B2E5" w:rsidR="00837E11" w:rsidRPr="00022CA4" w:rsidRDefault="00224A4B" w:rsidP="00EE4D7D">
      <w:pPr>
        <w:pStyle w:val="BodyText"/>
        <w:spacing w:line="360" w:lineRule="auto"/>
        <w:jc w:val="both"/>
        <w:rPr>
          <w:rFonts w:ascii="Times New Roman" w:hAnsi="Times New Roman" w:cs="Times New Roman"/>
          <w:sz w:val="24"/>
          <w:szCs w:val="24"/>
        </w:rPr>
      </w:pPr>
      <w:r w:rsidRPr="00224A4B">
        <w:rPr>
          <w:rFonts w:ascii="Times New Roman" w:hAnsi="Times New Roman" w:cs="Times New Roman"/>
          <w:sz w:val="24"/>
          <w:szCs w:val="24"/>
        </w:rPr>
        <w:lastRenderedPageBreak/>
        <w:t xml:space="preserve">Table </w:t>
      </w:r>
      <w:r>
        <w:rPr>
          <w:rFonts w:ascii="Times New Roman" w:hAnsi="Times New Roman" w:cs="Times New Roman"/>
          <w:sz w:val="24"/>
          <w:szCs w:val="24"/>
        </w:rPr>
        <w:t xml:space="preserve">4 </w:t>
      </w:r>
      <w:r w:rsidRPr="00224A4B">
        <w:rPr>
          <w:rFonts w:ascii="Times New Roman" w:hAnsi="Times New Roman" w:cs="Times New Roman"/>
          <w:sz w:val="24"/>
          <w:szCs w:val="24"/>
        </w:rPr>
        <w:t> |   </w:t>
      </w:r>
      <w:r w:rsidR="00185C52" w:rsidRPr="00022CA4">
        <w:rPr>
          <w:rFonts w:ascii="Times New Roman" w:hAnsi="Times New Roman" w:cs="Times New Roman"/>
          <w:b/>
          <w:sz w:val="24"/>
          <w:szCs w:val="24"/>
        </w:rPr>
        <w:t xml:space="preserve"> </w:t>
      </w:r>
      <w:r w:rsidR="00436ECE" w:rsidRPr="00022CA4">
        <w:rPr>
          <w:rFonts w:ascii="Times New Roman" w:hAnsi="Times New Roman" w:cs="Times New Roman"/>
          <w:sz w:val="24"/>
          <w:szCs w:val="24"/>
        </w:rPr>
        <w:t xml:space="preserve">Mean </w:t>
      </w:r>
      <w:r w:rsidR="006151EE" w:rsidRPr="00022CA4">
        <w:rPr>
          <w:rFonts w:ascii="Times New Roman" w:hAnsi="Times New Roman" w:cs="Times New Roman"/>
          <w:sz w:val="24"/>
          <w:szCs w:val="24"/>
        </w:rPr>
        <w:t>a</w:t>
      </w:r>
      <w:r w:rsidR="003504C2" w:rsidRPr="00022CA4">
        <w:rPr>
          <w:rFonts w:ascii="Times New Roman" w:hAnsi="Times New Roman" w:cs="Times New Roman"/>
          <w:sz w:val="24"/>
          <w:szCs w:val="24"/>
        </w:rPr>
        <w:t>nnual</w:t>
      </w:r>
      <w:r w:rsidR="006151EE" w:rsidRPr="00022CA4">
        <w:rPr>
          <w:rFonts w:ascii="Times New Roman" w:hAnsi="Times New Roman" w:cs="Times New Roman"/>
          <w:sz w:val="24"/>
          <w:szCs w:val="24"/>
        </w:rPr>
        <w:t xml:space="preserve"> &amp; seasonal</w:t>
      </w:r>
      <w:r w:rsidR="003504C2" w:rsidRPr="00022CA4">
        <w:rPr>
          <w:rFonts w:ascii="Times New Roman" w:hAnsi="Times New Roman" w:cs="Times New Roman"/>
          <w:sz w:val="24"/>
          <w:szCs w:val="24"/>
        </w:rPr>
        <w:t xml:space="preserve"> </w:t>
      </w:r>
      <w:r w:rsidR="001D6D6F" w:rsidRPr="00022CA4">
        <w:rPr>
          <w:rFonts w:ascii="Times New Roman" w:hAnsi="Times New Roman" w:cs="Times New Roman"/>
          <w:sz w:val="24"/>
          <w:szCs w:val="24"/>
        </w:rPr>
        <w:t>r</w:t>
      </w:r>
      <w:r w:rsidR="00185C52" w:rsidRPr="00022CA4">
        <w:rPr>
          <w:rFonts w:ascii="Times New Roman" w:hAnsi="Times New Roman" w:cs="Times New Roman"/>
          <w:sz w:val="24"/>
          <w:szCs w:val="24"/>
        </w:rPr>
        <w:t xml:space="preserve">ainfall </w:t>
      </w:r>
      <w:r w:rsidR="001D6D6F" w:rsidRPr="00022CA4">
        <w:rPr>
          <w:rFonts w:ascii="Times New Roman" w:hAnsi="Times New Roman" w:cs="Times New Roman"/>
          <w:sz w:val="24"/>
          <w:szCs w:val="24"/>
        </w:rPr>
        <w:t>a</w:t>
      </w:r>
      <w:r w:rsidR="00185C52" w:rsidRPr="00022CA4">
        <w:rPr>
          <w:rFonts w:ascii="Times New Roman" w:hAnsi="Times New Roman" w:cs="Times New Roman"/>
          <w:sz w:val="24"/>
          <w:szCs w:val="24"/>
        </w:rPr>
        <w:t xml:space="preserve">mount </w:t>
      </w:r>
      <w:r w:rsidR="0037586C" w:rsidRPr="00022CA4">
        <w:rPr>
          <w:rFonts w:ascii="Times New Roman" w:hAnsi="Times New Roman" w:cs="Times New Roman"/>
          <w:sz w:val="24"/>
          <w:szCs w:val="24"/>
        </w:rPr>
        <w:t xml:space="preserve">[mm] </w:t>
      </w:r>
      <w:r w:rsidR="006151EE" w:rsidRPr="00022CA4">
        <w:rPr>
          <w:rFonts w:ascii="Times New Roman" w:hAnsi="Times New Roman" w:cs="Times New Roman"/>
          <w:sz w:val="24"/>
          <w:szCs w:val="24"/>
        </w:rPr>
        <w:t>&amp;</w:t>
      </w:r>
      <w:r w:rsidR="0037586C" w:rsidRPr="00022CA4">
        <w:rPr>
          <w:rFonts w:ascii="Times New Roman" w:hAnsi="Times New Roman" w:cs="Times New Roman"/>
          <w:sz w:val="24"/>
          <w:szCs w:val="24"/>
        </w:rPr>
        <w:t xml:space="preserve"> trend [mm/year] in </w:t>
      </w:r>
      <w:r w:rsidR="0096478F">
        <w:rPr>
          <w:rFonts w:ascii="Times New Roman" w:hAnsi="Times New Roman" w:cs="Times New Roman"/>
          <w:sz w:val="24"/>
          <w:szCs w:val="24"/>
        </w:rPr>
        <w:t xml:space="preserve">Ethiopia (1980 to </w:t>
      </w:r>
      <w:r w:rsidR="00185C52" w:rsidRPr="00022CA4">
        <w:rPr>
          <w:rFonts w:ascii="Times New Roman" w:hAnsi="Times New Roman" w:cs="Times New Roman"/>
          <w:sz w:val="24"/>
          <w:szCs w:val="24"/>
        </w:rPr>
        <w:t>2021).</w:t>
      </w:r>
    </w:p>
    <w:tbl>
      <w:tblPr>
        <w:tblW w:w="9251" w:type="dxa"/>
        <w:jc w:val="center"/>
        <w:tblLook w:val="04A0" w:firstRow="1" w:lastRow="0" w:firstColumn="1" w:lastColumn="0" w:noHBand="0" w:noVBand="1"/>
      </w:tblPr>
      <w:tblGrid>
        <w:gridCol w:w="1831"/>
        <w:gridCol w:w="1096"/>
        <w:gridCol w:w="744"/>
        <w:gridCol w:w="1123"/>
        <w:gridCol w:w="737"/>
        <w:gridCol w:w="1123"/>
        <w:gridCol w:w="737"/>
        <w:gridCol w:w="1123"/>
        <w:gridCol w:w="777"/>
      </w:tblGrid>
      <w:tr w:rsidR="00837E11" w:rsidRPr="00022CA4" w14:paraId="6BAC014F" w14:textId="77777777" w:rsidTr="001B5A9B">
        <w:trPr>
          <w:trHeight w:val="199"/>
          <w:jc w:val="center"/>
        </w:trPr>
        <w:tc>
          <w:tcPr>
            <w:tcW w:w="1831" w:type="dxa"/>
            <w:tcBorders>
              <w:top w:val="single" w:sz="8" w:space="0" w:color="auto"/>
              <w:left w:val="nil"/>
              <w:bottom w:val="single" w:sz="8" w:space="0" w:color="auto"/>
              <w:right w:val="nil"/>
            </w:tcBorders>
            <w:shd w:val="clear" w:color="auto" w:fill="auto"/>
            <w:noWrap/>
            <w:vAlign w:val="bottom"/>
            <w:hideMark/>
          </w:tcPr>
          <w:p w14:paraId="70E6AACA" w14:textId="77777777" w:rsidR="00837E11" w:rsidRPr="00022CA4" w:rsidRDefault="00837E11" w:rsidP="001B5A9B">
            <w:pPr>
              <w:widowControl/>
              <w:autoSpaceDE/>
              <w:autoSpaceDN/>
              <w:spacing w:line="360" w:lineRule="auto"/>
              <w:rPr>
                <w:rFonts w:ascii="Calibri" w:eastAsia="Times New Roman" w:hAnsi="Calibri" w:cs="Calibri"/>
                <w:color w:val="000000"/>
                <w:sz w:val="24"/>
                <w:szCs w:val="24"/>
                <w:lang w:val="en-GB" w:eastAsia="en-GB"/>
              </w:rPr>
            </w:pPr>
            <w:bookmarkStart w:id="4" w:name="_Hlk188792346"/>
            <w:r w:rsidRPr="00022CA4">
              <w:rPr>
                <w:rFonts w:ascii="Calibri" w:eastAsia="Times New Roman" w:hAnsi="Calibri" w:cs="Calibri"/>
                <w:color w:val="000000"/>
                <w:sz w:val="24"/>
                <w:szCs w:val="24"/>
                <w:lang w:val="en-GB" w:eastAsia="en-GB"/>
              </w:rPr>
              <w:t> </w:t>
            </w:r>
          </w:p>
        </w:tc>
        <w:tc>
          <w:tcPr>
            <w:tcW w:w="1840" w:type="dxa"/>
            <w:gridSpan w:val="2"/>
            <w:tcBorders>
              <w:top w:val="single" w:sz="8" w:space="0" w:color="auto"/>
              <w:left w:val="nil"/>
              <w:bottom w:val="single" w:sz="8" w:space="0" w:color="auto"/>
              <w:right w:val="nil"/>
            </w:tcBorders>
            <w:shd w:val="clear" w:color="auto" w:fill="auto"/>
            <w:noWrap/>
            <w:vAlign w:val="center"/>
            <w:hideMark/>
          </w:tcPr>
          <w:p w14:paraId="5C32EB3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Annual</w:t>
            </w:r>
          </w:p>
        </w:tc>
        <w:tc>
          <w:tcPr>
            <w:tcW w:w="1860" w:type="dxa"/>
            <w:gridSpan w:val="2"/>
            <w:tcBorders>
              <w:top w:val="single" w:sz="8" w:space="0" w:color="auto"/>
              <w:left w:val="nil"/>
              <w:bottom w:val="single" w:sz="8" w:space="0" w:color="auto"/>
              <w:right w:val="nil"/>
            </w:tcBorders>
            <w:shd w:val="clear" w:color="auto" w:fill="auto"/>
            <w:noWrap/>
            <w:vAlign w:val="center"/>
            <w:hideMark/>
          </w:tcPr>
          <w:p w14:paraId="2875682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Bega</w:t>
            </w:r>
          </w:p>
        </w:tc>
        <w:tc>
          <w:tcPr>
            <w:tcW w:w="1860" w:type="dxa"/>
            <w:gridSpan w:val="2"/>
            <w:tcBorders>
              <w:top w:val="single" w:sz="8" w:space="0" w:color="auto"/>
              <w:left w:val="nil"/>
              <w:bottom w:val="single" w:sz="8" w:space="0" w:color="auto"/>
              <w:right w:val="nil"/>
            </w:tcBorders>
            <w:shd w:val="clear" w:color="auto" w:fill="auto"/>
            <w:noWrap/>
            <w:vAlign w:val="center"/>
            <w:hideMark/>
          </w:tcPr>
          <w:p w14:paraId="3B2A7B1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Belg</w:t>
            </w:r>
          </w:p>
        </w:tc>
        <w:tc>
          <w:tcPr>
            <w:tcW w:w="1860" w:type="dxa"/>
            <w:gridSpan w:val="2"/>
            <w:tcBorders>
              <w:top w:val="single" w:sz="8" w:space="0" w:color="auto"/>
              <w:left w:val="nil"/>
              <w:bottom w:val="single" w:sz="8" w:space="0" w:color="auto"/>
              <w:right w:val="nil"/>
            </w:tcBorders>
            <w:shd w:val="clear" w:color="auto" w:fill="auto"/>
            <w:noWrap/>
            <w:vAlign w:val="center"/>
            <w:hideMark/>
          </w:tcPr>
          <w:p w14:paraId="67C0D4A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Kiremt</w:t>
            </w:r>
          </w:p>
        </w:tc>
      </w:tr>
      <w:tr w:rsidR="00837E11" w:rsidRPr="00022CA4" w14:paraId="7993D84C" w14:textId="77777777" w:rsidTr="001B5A9B">
        <w:trPr>
          <w:trHeight w:val="199"/>
          <w:jc w:val="center"/>
        </w:trPr>
        <w:tc>
          <w:tcPr>
            <w:tcW w:w="1831" w:type="dxa"/>
            <w:tcBorders>
              <w:top w:val="nil"/>
              <w:left w:val="nil"/>
              <w:bottom w:val="single" w:sz="8" w:space="0" w:color="auto"/>
              <w:right w:val="nil"/>
            </w:tcBorders>
            <w:shd w:val="clear" w:color="auto" w:fill="auto"/>
            <w:noWrap/>
            <w:vAlign w:val="center"/>
            <w:hideMark/>
          </w:tcPr>
          <w:p w14:paraId="40BB1555" w14:textId="77777777" w:rsidR="00837E11" w:rsidRPr="00022CA4" w:rsidRDefault="00837E11" w:rsidP="001B5A9B">
            <w:pPr>
              <w:widowControl/>
              <w:autoSpaceDE/>
              <w:autoSpaceDN/>
              <w:spacing w:line="360" w:lineRule="auto"/>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Ethiopia/Basins</w:t>
            </w:r>
          </w:p>
        </w:tc>
        <w:tc>
          <w:tcPr>
            <w:tcW w:w="1096" w:type="dxa"/>
            <w:tcBorders>
              <w:top w:val="nil"/>
              <w:left w:val="nil"/>
              <w:bottom w:val="single" w:sz="8" w:space="0" w:color="auto"/>
              <w:right w:val="nil"/>
            </w:tcBorders>
            <w:shd w:val="clear" w:color="auto" w:fill="auto"/>
            <w:noWrap/>
            <w:vAlign w:val="center"/>
            <w:hideMark/>
          </w:tcPr>
          <w:p w14:paraId="642E2B6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44" w:type="dxa"/>
            <w:tcBorders>
              <w:top w:val="nil"/>
              <w:left w:val="nil"/>
              <w:bottom w:val="single" w:sz="8" w:space="0" w:color="auto"/>
              <w:right w:val="nil"/>
            </w:tcBorders>
            <w:shd w:val="clear" w:color="auto" w:fill="auto"/>
            <w:noWrap/>
            <w:vAlign w:val="center"/>
            <w:hideMark/>
          </w:tcPr>
          <w:p w14:paraId="5A44F4B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c>
          <w:tcPr>
            <w:tcW w:w="1123" w:type="dxa"/>
            <w:tcBorders>
              <w:top w:val="nil"/>
              <w:left w:val="nil"/>
              <w:bottom w:val="single" w:sz="8" w:space="0" w:color="auto"/>
              <w:right w:val="nil"/>
            </w:tcBorders>
            <w:shd w:val="clear" w:color="auto" w:fill="auto"/>
            <w:noWrap/>
            <w:vAlign w:val="center"/>
            <w:hideMark/>
          </w:tcPr>
          <w:p w14:paraId="226D4E4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37" w:type="dxa"/>
            <w:tcBorders>
              <w:top w:val="nil"/>
              <w:left w:val="nil"/>
              <w:bottom w:val="single" w:sz="8" w:space="0" w:color="auto"/>
              <w:right w:val="nil"/>
            </w:tcBorders>
            <w:shd w:val="clear" w:color="auto" w:fill="auto"/>
            <w:noWrap/>
            <w:vAlign w:val="center"/>
            <w:hideMark/>
          </w:tcPr>
          <w:p w14:paraId="5660B0F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c>
          <w:tcPr>
            <w:tcW w:w="1123" w:type="dxa"/>
            <w:tcBorders>
              <w:top w:val="nil"/>
              <w:left w:val="nil"/>
              <w:bottom w:val="single" w:sz="8" w:space="0" w:color="auto"/>
              <w:right w:val="nil"/>
            </w:tcBorders>
            <w:shd w:val="clear" w:color="auto" w:fill="auto"/>
            <w:noWrap/>
            <w:vAlign w:val="center"/>
            <w:hideMark/>
          </w:tcPr>
          <w:p w14:paraId="5670DB6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37" w:type="dxa"/>
            <w:tcBorders>
              <w:top w:val="nil"/>
              <w:left w:val="nil"/>
              <w:bottom w:val="single" w:sz="8" w:space="0" w:color="auto"/>
              <w:right w:val="nil"/>
            </w:tcBorders>
            <w:shd w:val="clear" w:color="auto" w:fill="auto"/>
            <w:noWrap/>
            <w:vAlign w:val="center"/>
            <w:hideMark/>
          </w:tcPr>
          <w:p w14:paraId="429DCDB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c>
          <w:tcPr>
            <w:tcW w:w="1123" w:type="dxa"/>
            <w:tcBorders>
              <w:top w:val="nil"/>
              <w:left w:val="nil"/>
              <w:bottom w:val="single" w:sz="8" w:space="0" w:color="auto"/>
              <w:right w:val="nil"/>
            </w:tcBorders>
            <w:shd w:val="clear" w:color="auto" w:fill="auto"/>
            <w:noWrap/>
            <w:vAlign w:val="center"/>
            <w:hideMark/>
          </w:tcPr>
          <w:p w14:paraId="3AE8DFE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37" w:type="dxa"/>
            <w:tcBorders>
              <w:top w:val="nil"/>
              <w:left w:val="nil"/>
              <w:bottom w:val="single" w:sz="8" w:space="0" w:color="auto"/>
              <w:right w:val="nil"/>
            </w:tcBorders>
            <w:shd w:val="clear" w:color="auto" w:fill="auto"/>
            <w:noWrap/>
            <w:vAlign w:val="center"/>
            <w:hideMark/>
          </w:tcPr>
          <w:p w14:paraId="12E1C01D" w14:textId="065BDE9A" w:rsidR="00837E11" w:rsidRPr="00022CA4" w:rsidRDefault="00E93810"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w:t>
            </w:r>
            <w:r w:rsidR="00837E11" w:rsidRPr="00022CA4">
              <w:rPr>
                <w:rFonts w:ascii="Times New Roman" w:eastAsia="Times New Roman" w:hAnsi="Times New Roman" w:cs="Times New Roman"/>
                <w:b/>
                <w:bCs/>
                <w:color w:val="000000"/>
                <w:sz w:val="24"/>
                <w:szCs w:val="24"/>
                <w:lang w:eastAsia="en-GB"/>
              </w:rPr>
              <w:t>lope</w:t>
            </w:r>
          </w:p>
        </w:tc>
      </w:tr>
      <w:tr w:rsidR="00837E11" w:rsidRPr="00022CA4" w14:paraId="6895E19C"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37DDCB8E"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Ethiopia</w:t>
            </w:r>
          </w:p>
        </w:tc>
        <w:tc>
          <w:tcPr>
            <w:tcW w:w="1096" w:type="dxa"/>
            <w:tcBorders>
              <w:top w:val="nil"/>
              <w:left w:val="nil"/>
              <w:bottom w:val="nil"/>
              <w:right w:val="nil"/>
            </w:tcBorders>
            <w:shd w:val="clear" w:color="auto" w:fill="auto"/>
            <w:noWrap/>
            <w:vAlign w:val="center"/>
            <w:hideMark/>
          </w:tcPr>
          <w:p w14:paraId="52D6C84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773</w:t>
            </w:r>
          </w:p>
        </w:tc>
        <w:tc>
          <w:tcPr>
            <w:tcW w:w="744" w:type="dxa"/>
            <w:tcBorders>
              <w:top w:val="nil"/>
              <w:left w:val="nil"/>
              <w:bottom w:val="nil"/>
              <w:right w:val="nil"/>
            </w:tcBorders>
            <w:shd w:val="clear" w:color="auto" w:fill="auto"/>
            <w:noWrap/>
            <w:vAlign w:val="center"/>
            <w:hideMark/>
          </w:tcPr>
          <w:p w14:paraId="14CEF0E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2.01</w:t>
            </w:r>
          </w:p>
        </w:tc>
        <w:tc>
          <w:tcPr>
            <w:tcW w:w="1123" w:type="dxa"/>
            <w:tcBorders>
              <w:top w:val="nil"/>
              <w:left w:val="nil"/>
              <w:bottom w:val="nil"/>
              <w:right w:val="nil"/>
            </w:tcBorders>
            <w:shd w:val="clear" w:color="auto" w:fill="auto"/>
            <w:noWrap/>
            <w:vAlign w:val="center"/>
            <w:hideMark/>
          </w:tcPr>
          <w:p w14:paraId="61FD0AA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138</w:t>
            </w:r>
          </w:p>
        </w:tc>
        <w:tc>
          <w:tcPr>
            <w:tcW w:w="737" w:type="dxa"/>
            <w:tcBorders>
              <w:top w:val="nil"/>
              <w:left w:val="nil"/>
              <w:bottom w:val="nil"/>
              <w:right w:val="nil"/>
            </w:tcBorders>
            <w:shd w:val="clear" w:color="auto" w:fill="auto"/>
            <w:noWrap/>
            <w:vAlign w:val="center"/>
            <w:hideMark/>
          </w:tcPr>
          <w:p w14:paraId="438EE47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0.84</w:t>
            </w:r>
          </w:p>
        </w:tc>
        <w:tc>
          <w:tcPr>
            <w:tcW w:w="1123" w:type="dxa"/>
            <w:tcBorders>
              <w:top w:val="nil"/>
              <w:left w:val="nil"/>
              <w:bottom w:val="nil"/>
              <w:right w:val="nil"/>
            </w:tcBorders>
            <w:shd w:val="clear" w:color="auto" w:fill="auto"/>
            <w:noWrap/>
            <w:vAlign w:val="center"/>
            <w:hideMark/>
          </w:tcPr>
          <w:p w14:paraId="5BDE7DD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242</w:t>
            </w:r>
          </w:p>
        </w:tc>
        <w:tc>
          <w:tcPr>
            <w:tcW w:w="737" w:type="dxa"/>
            <w:tcBorders>
              <w:top w:val="nil"/>
              <w:left w:val="nil"/>
              <w:bottom w:val="nil"/>
              <w:right w:val="nil"/>
            </w:tcBorders>
            <w:shd w:val="clear" w:color="auto" w:fill="auto"/>
            <w:noWrap/>
            <w:vAlign w:val="center"/>
            <w:hideMark/>
          </w:tcPr>
          <w:p w14:paraId="018F9E0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-0.04</w:t>
            </w:r>
          </w:p>
        </w:tc>
        <w:tc>
          <w:tcPr>
            <w:tcW w:w="1123" w:type="dxa"/>
            <w:tcBorders>
              <w:top w:val="nil"/>
              <w:left w:val="nil"/>
              <w:bottom w:val="nil"/>
              <w:right w:val="nil"/>
            </w:tcBorders>
            <w:shd w:val="clear" w:color="auto" w:fill="auto"/>
            <w:noWrap/>
            <w:vAlign w:val="center"/>
            <w:hideMark/>
          </w:tcPr>
          <w:p w14:paraId="7DAED12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393</w:t>
            </w:r>
          </w:p>
        </w:tc>
        <w:tc>
          <w:tcPr>
            <w:tcW w:w="737" w:type="dxa"/>
            <w:tcBorders>
              <w:top w:val="nil"/>
              <w:left w:val="nil"/>
              <w:bottom w:val="nil"/>
              <w:right w:val="nil"/>
            </w:tcBorders>
            <w:shd w:val="clear" w:color="auto" w:fill="auto"/>
            <w:noWrap/>
            <w:vAlign w:val="center"/>
            <w:hideMark/>
          </w:tcPr>
          <w:p w14:paraId="369AB81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1.21</w:t>
            </w:r>
          </w:p>
        </w:tc>
      </w:tr>
      <w:tr w:rsidR="00837E11" w:rsidRPr="00022CA4" w14:paraId="19D762E6"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58FD1CE6"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Wabi-Shebele</w:t>
            </w:r>
            <w:proofErr w:type="spellEnd"/>
          </w:p>
        </w:tc>
        <w:tc>
          <w:tcPr>
            <w:tcW w:w="1096" w:type="dxa"/>
            <w:tcBorders>
              <w:top w:val="nil"/>
              <w:left w:val="nil"/>
              <w:bottom w:val="nil"/>
              <w:right w:val="nil"/>
            </w:tcBorders>
            <w:shd w:val="clear" w:color="auto" w:fill="auto"/>
            <w:noWrap/>
            <w:vAlign w:val="center"/>
            <w:hideMark/>
          </w:tcPr>
          <w:p w14:paraId="014A8DB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590</w:t>
            </w:r>
          </w:p>
        </w:tc>
        <w:tc>
          <w:tcPr>
            <w:tcW w:w="744" w:type="dxa"/>
            <w:tcBorders>
              <w:top w:val="nil"/>
              <w:left w:val="nil"/>
              <w:bottom w:val="nil"/>
              <w:right w:val="nil"/>
            </w:tcBorders>
            <w:shd w:val="clear" w:color="auto" w:fill="auto"/>
            <w:noWrap/>
            <w:vAlign w:val="center"/>
            <w:hideMark/>
          </w:tcPr>
          <w:p w14:paraId="242C012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2.21</w:t>
            </w:r>
          </w:p>
        </w:tc>
        <w:tc>
          <w:tcPr>
            <w:tcW w:w="1123" w:type="dxa"/>
            <w:tcBorders>
              <w:top w:val="nil"/>
              <w:left w:val="nil"/>
              <w:bottom w:val="nil"/>
              <w:right w:val="nil"/>
            </w:tcBorders>
            <w:shd w:val="clear" w:color="auto" w:fill="auto"/>
            <w:noWrap/>
            <w:vAlign w:val="center"/>
            <w:hideMark/>
          </w:tcPr>
          <w:p w14:paraId="4735BE5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126</w:t>
            </w:r>
          </w:p>
        </w:tc>
        <w:tc>
          <w:tcPr>
            <w:tcW w:w="737" w:type="dxa"/>
            <w:tcBorders>
              <w:top w:val="nil"/>
              <w:left w:val="nil"/>
              <w:bottom w:val="nil"/>
              <w:right w:val="nil"/>
            </w:tcBorders>
            <w:shd w:val="clear" w:color="auto" w:fill="auto"/>
            <w:noWrap/>
            <w:vAlign w:val="center"/>
            <w:hideMark/>
          </w:tcPr>
          <w:p w14:paraId="73D3EE4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1.17</w:t>
            </w:r>
          </w:p>
        </w:tc>
        <w:tc>
          <w:tcPr>
            <w:tcW w:w="1123" w:type="dxa"/>
            <w:tcBorders>
              <w:top w:val="nil"/>
              <w:left w:val="nil"/>
              <w:bottom w:val="nil"/>
              <w:right w:val="nil"/>
            </w:tcBorders>
            <w:shd w:val="clear" w:color="auto" w:fill="auto"/>
            <w:noWrap/>
            <w:vAlign w:val="center"/>
            <w:hideMark/>
          </w:tcPr>
          <w:p w14:paraId="2468F3C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229</w:t>
            </w:r>
          </w:p>
        </w:tc>
        <w:tc>
          <w:tcPr>
            <w:tcW w:w="737" w:type="dxa"/>
            <w:tcBorders>
              <w:top w:val="nil"/>
              <w:left w:val="nil"/>
              <w:bottom w:val="nil"/>
              <w:right w:val="nil"/>
            </w:tcBorders>
            <w:shd w:val="clear" w:color="auto" w:fill="auto"/>
            <w:noWrap/>
            <w:vAlign w:val="center"/>
            <w:hideMark/>
          </w:tcPr>
          <w:p w14:paraId="695D1F5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0.64</w:t>
            </w:r>
          </w:p>
        </w:tc>
        <w:tc>
          <w:tcPr>
            <w:tcW w:w="1123" w:type="dxa"/>
            <w:tcBorders>
              <w:top w:val="nil"/>
              <w:left w:val="nil"/>
              <w:bottom w:val="nil"/>
              <w:right w:val="nil"/>
            </w:tcBorders>
            <w:shd w:val="clear" w:color="auto" w:fill="auto"/>
            <w:noWrap/>
            <w:vAlign w:val="center"/>
            <w:hideMark/>
          </w:tcPr>
          <w:p w14:paraId="348824B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234</w:t>
            </w:r>
          </w:p>
        </w:tc>
        <w:tc>
          <w:tcPr>
            <w:tcW w:w="737" w:type="dxa"/>
            <w:tcBorders>
              <w:top w:val="nil"/>
              <w:left w:val="nil"/>
              <w:bottom w:val="nil"/>
              <w:right w:val="nil"/>
            </w:tcBorders>
            <w:shd w:val="clear" w:color="auto" w:fill="auto"/>
            <w:noWrap/>
            <w:vAlign w:val="center"/>
            <w:hideMark/>
          </w:tcPr>
          <w:p w14:paraId="65F5980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0.4</w:t>
            </w:r>
          </w:p>
        </w:tc>
      </w:tr>
      <w:tr w:rsidR="00837E11" w:rsidRPr="00022CA4" w14:paraId="7E2F94B4"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76F9D729"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Abbay</w:t>
            </w:r>
            <w:proofErr w:type="spellEnd"/>
          </w:p>
        </w:tc>
        <w:tc>
          <w:tcPr>
            <w:tcW w:w="1096" w:type="dxa"/>
            <w:tcBorders>
              <w:top w:val="nil"/>
              <w:left w:val="nil"/>
              <w:bottom w:val="nil"/>
              <w:right w:val="nil"/>
            </w:tcBorders>
            <w:shd w:val="clear" w:color="auto" w:fill="auto"/>
            <w:noWrap/>
            <w:vAlign w:val="center"/>
            <w:hideMark/>
          </w:tcPr>
          <w:p w14:paraId="69C0364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1171</w:t>
            </w:r>
          </w:p>
        </w:tc>
        <w:tc>
          <w:tcPr>
            <w:tcW w:w="744" w:type="dxa"/>
            <w:tcBorders>
              <w:top w:val="nil"/>
              <w:left w:val="nil"/>
              <w:bottom w:val="nil"/>
              <w:right w:val="nil"/>
            </w:tcBorders>
            <w:shd w:val="clear" w:color="auto" w:fill="auto"/>
            <w:noWrap/>
            <w:vAlign w:val="center"/>
            <w:hideMark/>
          </w:tcPr>
          <w:p w14:paraId="0DEF41B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1.92</w:t>
            </w:r>
          </w:p>
        </w:tc>
        <w:tc>
          <w:tcPr>
            <w:tcW w:w="1123" w:type="dxa"/>
            <w:tcBorders>
              <w:top w:val="nil"/>
              <w:left w:val="nil"/>
              <w:bottom w:val="nil"/>
              <w:right w:val="nil"/>
            </w:tcBorders>
            <w:shd w:val="clear" w:color="auto" w:fill="auto"/>
            <w:noWrap/>
            <w:vAlign w:val="center"/>
            <w:hideMark/>
          </w:tcPr>
          <w:p w14:paraId="2EB825D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127</w:t>
            </w:r>
          </w:p>
        </w:tc>
        <w:tc>
          <w:tcPr>
            <w:tcW w:w="737" w:type="dxa"/>
            <w:tcBorders>
              <w:top w:val="nil"/>
              <w:left w:val="nil"/>
              <w:bottom w:val="nil"/>
              <w:right w:val="nil"/>
            </w:tcBorders>
            <w:shd w:val="clear" w:color="auto" w:fill="auto"/>
            <w:noWrap/>
            <w:vAlign w:val="center"/>
            <w:hideMark/>
          </w:tcPr>
          <w:p w14:paraId="698FF98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-0.03</w:t>
            </w:r>
          </w:p>
        </w:tc>
        <w:tc>
          <w:tcPr>
            <w:tcW w:w="1123" w:type="dxa"/>
            <w:tcBorders>
              <w:top w:val="nil"/>
              <w:left w:val="nil"/>
              <w:bottom w:val="nil"/>
              <w:right w:val="nil"/>
            </w:tcBorders>
            <w:shd w:val="clear" w:color="auto" w:fill="auto"/>
            <w:noWrap/>
            <w:vAlign w:val="center"/>
            <w:hideMark/>
          </w:tcPr>
          <w:p w14:paraId="53647CC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232</w:t>
            </w:r>
          </w:p>
        </w:tc>
        <w:tc>
          <w:tcPr>
            <w:tcW w:w="737" w:type="dxa"/>
            <w:tcBorders>
              <w:top w:val="nil"/>
              <w:left w:val="nil"/>
              <w:bottom w:val="nil"/>
              <w:right w:val="nil"/>
            </w:tcBorders>
            <w:shd w:val="clear" w:color="auto" w:fill="auto"/>
            <w:noWrap/>
            <w:vAlign w:val="center"/>
            <w:hideMark/>
          </w:tcPr>
          <w:p w14:paraId="51136B6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-0.68</w:t>
            </w:r>
          </w:p>
        </w:tc>
        <w:tc>
          <w:tcPr>
            <w:tcW w:w="1123" w:type="dxa"/>
            <w:tcBorders>
              <w:top w:val="nil"/>
              <w:left w:val="nil"/>
              <w:bottom w:val="nil"/>
              <w:right w:val="nil"/>
            </w:tcBorders>
            <w:shd w:val="clear" w:color="auto" w:fill="auto"/>
            <w:noWrap/>
            <w:vAlign w:val="center"/>
            <w:hideMark/>
          </w:tcPr>
          <w:p w14:paraId="710C467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811</w:t>
            </w:r>
          </w:p>
        </w:tc>
        <w:tc>
          <w:tcPr>
            <w:tcW w:w="737" w:type="dxa"/>
            <w:tcBorders>
              <w:top w:val="nil"/>
              <w:left w:val="nil"/>
              <w:bottom w:val="nil"/>
              <w:right w:val="nil"/>
            </w:tcBorders>
            <w:shd w:val="clear" w:color="auto" w:fill="auto"/>
            <w:noWrap/>
            <w:vAlign w:val="center"/>
            <w:hideMark/>
          </w:tcPr>
          <w:p w14:paraId="7EF7A98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2.63</w:t>
            </w:r>
          </w:p>
        </w:tc>
      </w:tr>
      <w:tr w:rsidR="00837E11" w:rsidRPr="00022CA4" w14:paraId="1DA2EFF2"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0268B68E"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Genale-Dawa</w:t>
            </w:r>
            <w:proofErr w:type="spellEnd"/>
          </w:p>
        </w:tc>
        <w:tc>
          <w:tcPr>
            <w:tcW w:w="1096" w:type="dxa"/>
            <w:tcBorders>
              <w:top w:val="nil"/>
              <w:left w:val="nil"/>
              <w:bottom w:val="nil"/>
              <w:right w:val="nil"/>
            </w:tcBorders>
            <w:shd w:val="clear" w:color="auto" w:fill="auto"/>
            <w:noWrap/>
            <w:vAlign w:val="center"/>
            <w:hideMark/>
          </w:tcPr>
          <w:p w14:paraId="06300E2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597</w:t>
            </w:r>
          </w:p>
        </w:tc>
        <w:tc>
          <w:tcPr>
            <w:tcW w:w="744" w:type="dxa"/>
            <w:tcBorders>
              <w:top w:val="nil"/>
              <w:left w:val="nil"/>
              <w:bottom w:val="nil"/>
              <w:right w:val="nil"/>
            </w:tcBorders>
            <w:shd w:val="clear" w:color="auto" w:fill="auto"/>
            <w:noWrap/>
            <w:vAlign w:val="center"/>
            <w:hideMark/>
          </w:tcPr>
          <w:p w14:paraId="7C9A9F5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2.81</w:t>
            </w:r>
          </w:p>
        </w:tc>
        <w:tc>
          <w:tcPr>
            <w:tcW w:w="1123" w:type="dxa"/>
            <w:tcBorders>
              <w:top w:val="nil"/>
              <w:left w:val="nil"/>
              <w:bottom w:val="nil"/>
              <w:right w:val="nil"/>
            </w:tcBorders>
            <w:shd w:val="clear" w:color="auto" w:fill="auto"/>
            <w:noWrap/>
            <w:vAlign w:val="center"/>
            <w:hideMark/>
          </w:tcPr>
          <w:p w14:paraId="52E0BD6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179</w:t>
            </w:r>
          </w:p>
        </w:tc>
        <w:tc>
          <w:tcPr>
            <w:tcW w:w="737" w:type="dxa"/>
            <w:tcBorders>
              <w:top w:val="nil"/>
              <w:left w:val="nil"/>
              <w:bottom w:val="nil"/>
              <w:right w:val="nil"/>
            </w:tcBorders>
            <w:shd w:val="clear" w:color="auto" w:fill="auto"/>
            <w:noWrap/>
            <w:vAlign w:val="center"/>
            <w:hideMark/>
          </w:tcPr>
          <w:p w14:paraId="12CEC59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2.19</w:t>
            </w:r>
          </w:p>
        </w:tc>
        <w:tc>
          <w:tcPr>
            <w:tcW w:w="1123" w:type="dxa"/>
            <w:tcBorders>
              <w:top w:val="nil"/>
              <w:left w:val="nil"/>
              <w:bottom w:val="nil"/>
              <w:right w:val="nil"/>
            </w:tcBorders>
            <w:shd w:val="clear" w:color="auto" w:fill="auto"/>
            <w:noWrap/>
            <w:vAlign w:val="center"/>
            <w:hideMark/>
          </w:tcPr>
          <w:p w14:paraId="217F6CB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282</w:t>
            </w:r>
          </w:p>
        </w:tc>
        <w:tc>
          <w:tcPr>
            <w:tcW w:w="737" w:type="dxa"/>
            <w:tcBorders>
              <w:top w:val="nil"/>
              <w:left w:val="nil"/>
              <w:bottom w:val="nil"/>
              <w:right w:val="nil"/>
            </w:tcBorders>
            <w:shd w:val="clear" w:color="auto" w:fill="auto"/>
            <w:noWrap/>
            <w:vAlign w:val="center"/>
            <w:hideMark/>
          </w:tcPr>
          <w:p w14:paraId="307AF5D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0.45</w:t>
            </w:r>
          </w:p>
        </w:tc>
        <w:tc>
          <w:tcPr>
            <w:tcW w:w="1123" w:type="dxa"/>
            <w:tcBorders>
              <w:top w:val="nil"/>
              <w:left w:val="nil"/>
              <w:bottom w:val="nil"/>
              <w:right w:val="nil"/>
            </w:tcBorders>
            <w:shd w:val="clear" w:color="auto" w:fill="auto"/>
            <w:noWrap/>
            <w:vAlign w:val="center"/>
            <w:hideMark/>
          </w:tcPr>
          <w:p w14:paraId="7836CE0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136</w:t>
            </w:r>
          </w:p>
        </w:tc>
        <w:tc>
          <w:tcPr>
            <w:tcW w:w="737" w:type="dxa"/>
            <w:tcBorders>
              <w:top w:val="nil"/>
              <w:left w:val="nil"/>
              <w:bottom w:val="nil"/>
              <w:right w:val="nil"/>
            </w:tcBorders>
            <w:shd w:val="clear" w:color="auto" w:fill="auto"/>
            <w:noWrap/>
            <w:vAlign w:val="center"/>
            <w:hideMark/>
          </w:tcPr>
          <w:p w14:paraId="698B3CA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0.17</w:t>
            </w:r>
          </w:p>
        </w:tc>
      </w:tr>
      <w:tr w:rsidR="00837E11" w:rsidRPr="00022CA4" w14:paraId="19D33B8F"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0EDBD482"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Awash</w:t>
            </w:r>
          </w:p>
        </w:tc>
        <w:tc>
          <w:tcPr>
            <w:tcW w:w="1096" w:type="dxa"/>
            <w:tcBorders>
              <w:top w:val="nil"/>
              <w:left w:val="nil"/>
              <w:bottom w:val="nil"/>
              <w:right w:val="nil"/>
            </w:tcBorders>
            <w:shd w:val="clear" w:color="auto" w:fill="auto"/>
            <w:noWrap/>
            <w:vAlign w:val="center"/>
            <w:hideMark/>
          </w:tcPr>
          <w:p w14:paraId="22743E8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510</w:t>
            </w:r>
          </w:p>
        </w:tc>
        <w:tc>
          <w:tcPr>
            <w:tcW w:w="744" w:type="dxa"/>
            <w:tcBorders>
              <w:top w:val="nil"/>
              <w:left w:val="nil"/>
              <w:bottom w:val="nil"/>
              <w:right w:val="nil"/>
            </w:tcBorders>
            <w:shd w:val="clear" w:color="auto" w:fill="auto"/>
            <w:noWrap/>
            <w:vAlign w:val="center"/>
            <w:hideMark/>
          </w:tcPr>
          <w:p w14:paraId="609020A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0.67</w:t>
            </w:r>
          </w:p>
        </w:tc>
        <w:tc>
          <w:tcPr>
            <w:tcW w:w="1123" w:type="dxa"/>
            <w:tcBorders>
              <w:top w:val="nil"/>
              <w:left w:val="nil"/>
              <w:bottom w:val="nil"/>
              <w:right w:val="nil"/>
            </w:tcBorders>
            <w:shd w:val="clear" w:color="auto" w:fill="auto"/>
            <w:noWrap/>
            <w:vAlign w:val="center"/>
            <w:hideMark/>
          </w:tcPr>
          <w:p w14:paraId="14409AE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78</w:t>
            </w:r>
          </w:p>
        </w:tc>
        <w:tc>
          <w:tcPr>
            <w:tcW w:w="737" w:type="dxa"/>
            <w:tcBorders>
              <w:top w:val="nil"/>
              <w:left w:val="nil"/>
              <w:bottom w:val="nil"/>
              <w:right w:val="nil"/>
            </w:tcBorders>
            <w:shd w:val="clear" w:color="auto" w:fill="auto"/>
            <w:noWrap/>
            <w:vAlign w:val="center"/>
            <w:hideMark/>
          </w:tcPr>
          <w:p w14:paraId="0D84592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0.11</w:t>
            </w:r>
          </w:p>
        </w:tc>
        <w:tc>
          <w:tcPr>
            <w:tcW w:w="1123" w:type="dxa"/>
            <w:tcBorders>
              <w:top w:val="nil"/>
              <w:left w:val="nil"/>
              <w:bottom w:val="nil"/>
              <w:right w:val="nil"/>
            </w:tcBorders>
            <w:shd w:val="clear" w:color="auto" w:fill="auto"/>
            <w:noWrap/>
            <w:vAlign w:val="center"/>
            <w:hideMark/>
          </w:tcPr>
          <w:p w14:paraId="295D0BF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191</w:t>
            </w:r>
          </w:p>
        </w:tc>
        <w:tc>
          <w:tcPr>
            <w:tcW w:w="737" w:type="dxa"/>
            <w:tcBorders>
              <w:top w:val="nil"/>
              <w:left w:val="nil"/>
              <w:bottom w:val="nil"/>
              <w:right w:val="nil"/>
            </w:tcBorders>
            <w:shd w:val="clear" w:color="auto" w:fill="auto"/>
            <w:noWrap/>
            <w:vAlign w:val="center"/>
            <w:hideMark/>
          </w:tcPr>
          <w:p w14:paraId="71A060D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-0.83</w:t>
            </w:r>
          </w:p>
        </w:tc>
        <w:tc>
          <w:tcPr>
            <w:tcW w:w="1123" w:type="dxa"/>
            <w:tcBorders>
              <w:top w:val="nil"/>
              <w:left w:val="nil"/>
              <w:bottom w:val="nil"/>
              <w:right w:val="nil"/>
            </w:tcBorders>
            <w:shd w:val="clear" w:color="auto" w:fill="auto"/>
            <w:noWrap/>
            <w:vAlign w:val="center"/>
            <w:hideMark/>
          </w:tcPr>
          <w:p w14:paraId="30B0D43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241</w:t>
            </w:r>
          </w:p>
        </w:tc>
        <w:tc>
          <w:tcPr>
            <w:tcW w:w="737" w:type="dxa"/>
            <w:tcBorders>
              <w:top w:val="nil"/>
              <w:left w:val="nil"/>
              <w:bottom w:val="nil"/>
              <w:right w:val="nil"/>
            </w:tcBorders>
            <w:shd w:val="clear" w:color="auto" w:fill="auto"/>
            <w:noWrap/>
            <w:vAlign w:val="center"/>
            <w:hideMark/>
          </w:tcPr>
          <w:p w14:paraId="0ACA9C1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1.38</w:t>
            </w:r>
          </w:p>
        </w:tc>
      </w:tr>
      <w:tr w:rsidR="00837E11" w:rsidRPr="00022CA4" w14:paraId="7AC41DDD"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57A09392"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Tekeze</w:t>
            </w:r>
            <w:proofErr w:type="spellEnd"/>
          </w:p>
        </w:tc>
        <w:tc>
          <w:tcPr>
            <w:tcW w:w="1096" w:type="dxa"/>
            <w:tcBorders>
              <w:top w:val="nil"/>
              <w:left w:val="nil"/>
              <w:bottom w:val="nil"/>
              <w:right w:val="nil"/>
            </w:tcBorders>
            <w:shd w:val="clear" w:color="auto" w:fill="auto"/>
            <w:noWrap/>
            <w:vAlign w:val="center"/>
            <w:hideMark/>
          </w:tcPr>
          <w:p w14:paraId="464A31D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681</w:t>
            </w:r>
          </w:p>
        </w:tc>
        <w:tc>
          <w:tcPr>
            <w:tcW w:w="744" w:type="dxa"/>
            <w:tcBorders>
              <w:top w:val="nil"/>
              <w:left w:val="nil"/>
              <w:bottom w:val="nil"/>
              <w:right w:val="nil"/>
            </w:tcBorders>
            <w:shd w:val="clear" w:color="auto" w:fill="auto"/>
            <w:noWrap/>
            <w:vAlign w:val="center"/>
            <w:hideMark/>
          </w:tcPr>
          <w:p w14:paraId="2766CAD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1.37</w:t>
            </w:r>
          </w:p>
        </w:tc>
        <w:tc>
          <w:tcPr>
            <w:tcW w:w="1123" w:type="dxa"/>
            <w:tcBorders>
              <w:top w:val="nil"/>
              <w:left w:val="nil"/>
              <w:bottom w:val="nil"/>
              <w:right w:val="nil"/>
            </w:tcBorders>
            <w:shd w:val="clear" w:color="auto" w:fill="auto"/>
            <w:noWrap/>
            <w:vAlign w:val="center"/>
            <w:hideMark/>
          </w:tcPr>
          <w:p w14:paraId="2D815E3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56</w:t>
            </w:r>
          </w:p>
        </w:tc>
        <w:tc>
          <w:tcPr>
            <w:tcW w:w="737" w:type="dxa"/>
            <w:tcBorders>
              <w:top w:val="nil"/>
              <w:left w:val="nil"/>
              <w:bottom w:val="nil"/>
              <w:right w:val="nil"/>
            </w:tcBorders>
            <w:shd w:val="clear" w:color="auto" w:fill="auto"/>
            <w:noWrap/>
            <w:vAlign w:val="center"/>
            <w:hideMark/>
          </w:tcPr>
          <w:p w14:paraId="5709682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0.07</w:t>
            </w:r>
          </w:p>
        </w:tc>
        <w:tc>
          <w:tcPr>
            <w:tcW w:w="1123" w:type="dxa"/>
            <w:tcBorders>
              <w:top w:val="nil"/>
              <w:left w:val="nil"/>
              <w:bottom w:val="nil"/>
              <w:right w:val="nil"/>
            </w:tcBorders>
            <w:shd w:val="clear" w:color="auto" w:fill="auto"/>
            <w:noWrap/>
            <w:vAlign w:val="center"/>
            <w:hideMark/>
          </w:tcPr>
          <w:p w14:paraId="1EEEAFF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122</w:t>
            </w:r>
          </w:p>
        </w:tc>
        <w:tc>
          <w:tcPr>
            <w:tcW w:w="737" w:type="dxa"/>
            <w:tcBorders>
              <w:top w:val="nil"/>
              <w:left w:val="nil"/>
              <w:bottom w:val="nil"/>
              <w:right w:val="nil"/>
            </w:tcBorders>
            <w:shd w:val="clear" w:color="auto" w:fill="auto"/>
            <w:noWrap/>
            <w:vAlign w:val="center"/>
            <w:hideMark/>
          </w:tcPr>
          <w:p w14:paraId="45E2396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-0.86</w:t>
            </w:r>
          </w:p>
        </w:tc>
        <w:tc>
          <w:tcPr>
            <w:tcW w:w="1123" w:type="dxa"/>
            <w:tcBorders>
              <w:top w:val="nil"/>
              <w:left w:val="nil"/>
              <w:bottom w:val="nil"/>
              <w:right w:val="nil"/>
            </w:tcBorders>
            <w:shd w:val="clear" w:color="auto" w:fill="auto"/>
            <w:noWrap/>
            <w:vAlign w:val="center"/>
            <w:hideMark/>
          </w:tcPr>
          <w:p w14:paraId="12C0081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503</w:t>
            </w:r>
          </w:p>
        </w:tc>
        <w:tc>
          <w:tcPr>
            <w:tcW w:w="737" w:type="dxa"/>
            <w:tcBorders>
              <w:top w:val="nil"/>
              <w:left w:val="nil"/>
              <w:bottom w:val="nil"/>
              <w:right w:val="nil"/>
            </w:tcBorders>
            <w:shd w:val="clear" w:color="auto" w:fill="auto"/>
            <w:noWrap/>
            <w:vAlign w:val="center"/>
            <w:hideMark/>
          </w:tcPr>
          <w:p w14:paraId="6C04447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2.16</w:t>
            </w:r>
          </w:p>
        </w:tc>
      </w:tr>
      <w:tr w:rsidR="00837E11" w:rsidRPr="00022CA4" w14:paraId="7E4DF03B"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50BA98CD"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Omo</w:t>
            </w:r>
            <w:proofErr w:type="spellEnd"/>
            <w:r w:rsidRPr="00022CA4">
              <w:rPr>
                <w:rFonts w:ascii="Times New Roman" w:eastAsia="Times New Roman" w:hAnsi="Times New Roman" w:cs="Times New Roman"/>
                <w:color w:val="000000"/>
                <w:sz w:val="24"/>
                <w:szCs w:val="24"/>
                <w:lang w:eastAsia="en-GB"/>
              </w:rPr>
              <w:t>-Gibe</w:t>
            </w:r>
          </w:p>
        </w:tc>
        <w:tc>
          <w:tcPr>
            <w:tcW w:w="1096" w:type="dxa"/>
            <w:tcBorders>
              <w:top w:val="nil"/>
              <w:left w:val="nil"/>
              <w:bottom w:val="nil"/>
              <w:right w:val="nil"/>
            </w:tcBorders>
            <w:shd w:val="clear" w:color="auto" w:fill="auto"/>
            <w:noWrap/>
            <w:vAlign w:val="center"/>
            <w:hideMark/>
          </w:tcPr>
          <w:p w14:paraId="2184D18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1278</w:t>
            </w:r>
          </w:p>
        </w:tc>
        <w:tc>
          <w:tcPr>
            <w:tcW w:w="744" w:type="dxa"/>
            <w:tcBorders>
              <w:top w:val="nil"/>
              <w:left w:val="nil"/>
              <w:bottom w:val="nil"/>
              <w:right w:val="nil"/>
            </w:tcBorders>
            <w:shd w:val="clear" w:color="auto" w:fill="auto"/>
            <w:noWrap/>
            <w:vAlign w:val="center"/>
            <w:hideMark/>
          </w:tcPr>
          <w:p w14:paraId="7F66245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3.94</w:t>
            </w:r>
          </w:p>
        </w:tc>
        <w:tc>
          <w:tcPr>
            <w:tcW w:w="1123" w:type="dxa"/>
            <w:tcBorders>
              <w:top w:val="nil"/>
              <w:left w:val="nil"/>
              <w:bottom w:val="nil"/>
              <w:right w:val="nil"/>
            </w:tcBorders>
            <w:shd w:val="clear" w:color="auto" w:fill="auto"/>
            <w:noWrap/>
            <w:vAlign w:val="center"/>
            <w:hideMark/>
          </w:tcPr>
          <w:p w14:paraId="0C8C2B3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243</w:t>
            </w:r>
          </w:p>
        </w:tc>
        <w:tc>
          <w:tcPr>
            <w:tcW w:w="737" w:type="dxa"/>
            <w:tcBorders>
              <w:top w:val="nil"/>
              <w:left w:val="nil"/>
              <w:bottom w:val="nil"/>
              <w:right w:val="nil"/>
            </w:tcBorders>
            <w:shd w:val="clear" w:color="auto" w:fill="auto"/>
            <w:noWrap/>
            <w:vAlign w:val="center"/>
            <w:hideMark/>
          </w:tcPr>
          <w:p w14:paraId="7861C2B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1.34</w:t>
            </w:r>
          </w:p>
        </w:tc>
        <w:tc>
          <w:tcPr>
            <w:tcW w:w="1123" w:type="dxa"/>
            <w:tcBorders>
              <w:top w:val="nil"/>
              <w:left w:val="nil"/>
              <w:bottom w:val="nil"/>
              <w:right w:val="nil"/>
            </w:tcBorders>
            <w:shd w:val="clear" w:color="auto" w:fill="auto"/>
            <w:noWrap/>
            <w:vAlign w:val="center"/>
            <w:hideMark/>
          </w:tcPr>
          <w:p w14:paraId="59774D4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429</w:t>
            </w:r>
          </w:p>
        </w:tc>
        <w:tc>
          <w:tcPr>
            <w:tcW w:w="737" w:type="dxa"/>
            <w:tcBorders>
              <w:top w:val="nil"/>
              <w:left w:val="nil"/>
              <w:bottom w:val="nil"/>
              <w:right w:val="nil"/>
            </w:tcBorders>
            <w:shd w:val="clear" w:color="auto" w:fill="auto"/>
            <w:noWrap/>
            <w:vAlign w:val="center"/>
            <w:hideMark/>
          </w:tcPr>
          <w:p w14:paraId="50DD81F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0.49</w:t>
            </w:r>
          </w:p>
        </w:tc>
        <w:tc>
          <w:tcPr>
            <w:tcW w:w="1123" w:type="dxa"/>
            <w:tcBorders>
              <w:top w:val="nil"/>
              <w:left w:val="nil"/>
              <w:bottom w:val="nil"/>
              <w:right w:val="nil"/>
            </w:tcBorders>
            <w:shd w:val="clear" w:color="auto" w:fill="auto"/>
            <w:noWrap/>
            <w:vAlign w:val="center"/>
            <w:hideMark/>
          </w:tcPr>
          <w:p w14:paraId="5CD0291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606</w:t>
            </w:r>
          </w:p>
        </w:tc>
        <w:tc>
          <w:tcPr>
            <w:tcW w:w="737" w:type="dxa"/>
            <w:tcBorders>
              <w:top w:val="nil"/>
              <w:left w:val="nil"/>
              <w:bottom w:val="nil"/>
              <w:right w:val="nil"/>
            </w:tcBorders>
            <w:shd w:val="clear" w:color="auto" w:fill="auto"/>
            <w:noWrap/>
            <w:vAlign w:val="center"/>
            <w:hideMark/>
          </w:tcPr>
          <w:p w14:paraId="38C525F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2.11</w:t>
            </w:r>
          </w:p>
        </w:tc>
      </w:tr>
      <w:tr w:rsidR="00837E11" w:rsidRPr="00022CA4" w14:paraId="564EBE15"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0F060B89"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Ogaden</w:t>
            </w:r>
            <w:proofErr w:type="spellEnd"/>
          </w:p>
        </w:tc>
        <w:tc>
          <w:tcPr>
            <w:tcW w:w="1096" w:type="dxa"/>
            <w:tcBorders>
              <w:top w:val="nil"/>
              <w:left w:val="nil"/>
              <w:bottom w:val="nil"/>
              <w:right w:val="nil"/>
            </w:tcBorders>
            <w:shd w:val="clear" w:color="auto" w:fill="auto"/>
            <w:noWrap/>
            <w:vAlign w:val="center"/>
            <w:hideMark/>
          </w:tcPr>
          <w:p w14:paraId="75F5433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266</w:t>
            </w:r>
          </w:p>
        </w:tc>
        <w:tc>
          <w:tcPr>
            <w:tcW w:w="744" w:type="dxa"/>
            <w:tcBorders>
              <w:top w:val="nil"/>
              <w:left w:val="nil"/>
              <w:bottom w:val="nil"/>
              <w:right w:val="nil"/>
            </w:tcBorders>
            <w:shd w:val="clear" w:color="auto" w:fill="auto"/>
            <w:noWrap/>
            <w:vAlign w:val="center"/>
            <w:hideMark/>
          </w:tcPr>
          <w:p w14:paraId="5D21450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1.42</w:t>
            </w:r>
          </w:p>
        </w:tc>
        <w:tc>
          <w:tcPr>
            <w:tcW w:w="1123" w:type="dxa"/>
            <w:tcBorders>
              <w:top w:val="nil"/>
              <w:left w:val="nil"/>
              <w:bottom w:val="nil"/>
              <w:right w:val="nil"/>
            </w:tcBorders>
            <w:shd w:val="clear" w:color="auto" w:fill="auto"/>
            <w:noWrap/>
            <w:vAlign w:val="center"/>
            <w:hideMark/>
          </w:tcPr>
          <w:p w14:paraId="60626E3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80</w:t>
            </w:r>
          </w:p>
        </w:tc>
        <w:tc>
          <w:tcPr>
            <w:tcW w:w="737" w:type="dxa"/>
            <w:tcBorders>
              <w:top w:val="nil"/>
              <w:left w:val="nil"/>
              <w:bottom w:val="nil"/>
              <w:right w:val="nil"/>
            </w:tcBorders>
            <w:shd w:val="clear" w:color="auto" w:fill="auto"/>
            <w:noWrap/>
            <w:vAlign w:val="center"/>
            <w:hideMark/>
          </w:tcPr>
          <w:p w14:paraId="3B2B2F2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0.5</w:t>
            </w:r>
          </w:p>
        </w:tc>
        <w:tc>
          <w:tcPr>
            <w:tcW w:w="1123" w:type="dxa"/>
            <w:tcBorders>
              <w:top w:val="nil"/>
              <w:left w:val="nil"/>
              <w:bottom w:val="nil"/>
              <w:right w:val="nil"/>
            </w:tcBorders>
            <w:shd w:val="clear" w:color="auto" w:fill="auto"/>
            <w:noWrap/>
            <w:vAlign w:val="center"/>
            <w:hideMark/>
          </w:tcPr>
          <w:p w14:paraId="02BD296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134</w:t>
            </w:r>
          </w:p>
        </w:tc>
        <w:tc>
          <w:tcPr>
            <w:tcW w:w="737" w:type="dxa"/>
            <w:tcBorders>
              <w:top w:val="nil"/>
              <w:left w:val="nil"/>
              <w:bottom w:val="nil"/>
              <w:right w:val="nil"/>
            </w:tcBorders>
            <w:shd w:val="clear" w:color="auto" w:fill="auto"/>
            <w:noWrap/>
            <w:vAlign w:val="center"/>
            <w:hideMark/>
          </w:tcPr>
          <w:p w14:paraId="2DEA821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0.84</w:t>
            </w:r>
          </w:p>
        </w:tc>
        <w:tc>
          <w:tcPr>
            <w:tcW w:w="1123" w:type="dxa"/>
            <w:tcBorders>
              <w:top w:val="nil"/>
              <w:left w:val="nil"/>
              <w:bottom w:val="nil"/>
              <w:right w:val="nil"/>
            </w:tcBorders>
            <w:shd w:val="clear" w:color="auto" w:fill="auto"/>
            <w:noWrap/>
            <w:vAlign w:val="center"/>
            <w:hideMark/>
          </w:tcPr>
          <w:p w14:paraId="188DFAF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53</w:t>
            </w:r>
          </w:p>
        </w:tc>
        <w:tc>
          <w:tcPr>
            <w:tcW w:w="737" w:type="dxa"/>
            <w:tcBorders>
              <w:top w:val="nil"/>
              <w:left w:val="nil"/>
              <w:bottom w:val="nil"/>
              <w:right w:val="nil"/>
            </w:tcBorders>
            <w:shd w:val="clear" w:color="auto" w:fill="auto"/>
            <w:noWrap/>
            <w:vAlign w:val="center"/>
            <w:hideMark/>
          </w:tcPr>
          <w:p w14:paraId="19E08B5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0.08</w:t>
            </w:r>
          </w:p>
        </w:tc>
      </w:tr>
      <w:tr w:rsidR="00837E11" w:rsidRPr="00022CA4" w14:paraId="16BF88D7"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25DF02EC"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Baro-Akobo</w:t>
            </w:r>
            <w:proofErr w:type="spellEnd"/>
          </w:p>
        </w:tc>
        <w:tc>
          <w:tcPr>
            <w:tcW w:w="1096" w:type="dxa"/>
            <w:tcBorders>
              <w:top w:val="nil"/>
              <w:left w:val="nil"/>
              <w:bottom w:val="nil"/>
              <w:right w:val="nil"/>
            </w:tcBorders>
            <w:shd w:val="clear" w:color="auto" w:fill="auto"/>
            <w:noWrap/>
            <w:vAlign w:val="center"/>
            <w:hideMark/>
          </w:tcPr>
          <w:p w14:paraId="777FE2A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1381</w:t>
            </w:r>
          </w:p>
        </w:tc>
        <w:tc>
          <w:tcPr>
            <w:tcW w:w="744" w:type="dxa"/>
            <w:tcBorders>
              <w:top w:val="nil"/>
              <w:left w:val="nil"/>
              <w:bottom w:val="nil"/>
              <w:right w:val="nil"/>
            </w:tcBorders>
            <w:shd w:val="clear" w:color="auto" w:fill="auto"/>
            <w:noWrap/>
            <w:vAlign w:val="center"/>
            <w:hideMark/>
          </w:tcPr>
          <w:p w14:paraId="00275FD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0.89</w:t>
            </w:r>
          </w:p>
        </w:tc>
        <w:tc>
          <w:tcPr>
            <w:tcW w:w="1123" w:type="dxa"/>
            <w:tcBorders>
              <w:top w:val="nil"/>
              <w:left w:val="nil"/>
              <w:bottom w:val="nil"/>
              <w:right w:val="nil"/>
            </w:tcBorders>
            <w:shd w:val="clear" w:color="auto" w:fill="auto"/>
            <w:noWrap/>
            <w:vAlign w:val="center"/>
            <w:hideMark/>
          </w:tcPr>
          <w:p w14:paraId="0193702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242</w:t>
            </w:r>
          </w:p>
        </w:tc>
        <w:tc>
          <w:tcPr>
            <w:tcW w:w="737" w:type="dxa"/>
            <w:tcBorders>
              <w:top w:val="nil"/>
              <w:left w:val="nil"/>
              <w:bottom w:val="nil"/>
              <w:right w:val="nil"/>
            </w:tcBorders>
            <w:shd w:val="clear" w:color="auto" w:fill="auto"/>
            <w:noWrap/>
            <w:vAlign w:val="center"/>
            <w:hideMark/>
          </w:tcPr>
          <w:p w14:paraId="104152F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0.53</w:t>
            </w:r>
          </w:p>
        </w:tc>
        <w:tc>
          <w:tcPr>
            <w:tcW w:w="1123" w:type="dxa"/>
            <w:tcBorders>
              <w:top w:val="nil"/>
              <w:left w:val="nil"/>
              <w:bottom w:val="nil"/>
              <w:right w:val="nil"/>
            </w:tcBorders>
            <w:shd w:val="clear" w:color="auto" w:fill="auto"/>
            <w:noWrap/>
            <w:vAlign w:val="center"/>
            <w:hideMark/>
          </w:tcPr>
          <w:p w14:paraId="3519BA8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362</w:t>
            </w:r>
          </w:p>
        </w:tc>
        <w:tc>
          <w:tcPr>
            <w:tcW w:w="737" w:type="dxa"/>
            <w:tcBorders>
              <w:top w:val="nil"/>
              <w:left w:val="nil"/>
              <w:bottom w:val="nil"/>
              <w:right w:val="nil"/>
            </w:tcBorders>
            <w:shd w:val="clear" w:color="auto" w:fill="auto"/>
            <w:noWrap/>
            <w:vAlign w:val="center"/>
            <w:hideMark/>
          </w:tcPr>
          <w:p w14:paraId="3716449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-0.69</w:t>
            </w:r>
          </w:p>
        </w:tc>
        <w:tc>
          <w:tcPr>
            <w:tcW w:w="1123" w:type="dxa"/>
            <w:tcBorders>
              <w:top w:val="nil"/>
              <w:left w:val="nil"/>
              <w:bottom w:val="nil"/>
              <w:right w:val="nil"/>
            </w:tcBorders>
            <w:shd w:val="clear" w:color="auto" w:fill="auto"/>
            <w:noWrap/>
            <w:vAlign w:val="center"/>
            <w:hideMark/>
          </w:tcPr>
          <w:p w14:paraId="6C52CD8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778</w:t>
            </w:r>
          </w:p>
        </w:tc>
        <w:tc>
          <w:tcPr>
            <w:tcW w:w="737" w:type="dxa"/>
            <w:tcBorders>
              <w:top w:val="nil"/>
              <w:left w:val="nil"/>
              <w:bottom w:val="nil"/>
              <w:right w:val="nil"/>
            </w:tcBorders>
            <w:shd w:val="clear" w:color="auto" w:fill="auto"/>
            <w:noWrap/>
            <w:vAlign w:val="center"/>
            <w:hideMark/>
          </w:tcPr>
          <w:p w14:paraId="3FA4222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1.05</w:t>
            </w:r>
          </w:p>
        </w:tc>
      </w:tr>
      <w:tr w:rsidR="00837E11" w:rsidRPr="00022CA4" w14:paraId="6B6B06AF"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4CF162F1"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Denakil</w:t>
            </w:r>
            <w:proofErr w:type="spellEnd"/>
          </w:p>
        </w:tc>
        <w:tc>
          <w:tcPr>
            <w:tcW w:w="1096" w:type="dxa"/>
            <w:tcBorders>
              <w:top w:val="nil"/>
              <w:left w:val="nil"/>
              <w:bottom w:val="nil"/>
              <w:right w:val="nil"/>
            </w:tcBorders>
            <w:shd w:val="clear" w:color="auto" w:fill="auto"/>
            <w:noWrap/>
            <w:vAlign w:val="center"/>
            <w:hideMark/>
          </w:tcPr>
          <w:p w14:paraId="636D924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285</w:t>
            </w:r>
          </w:p>
        </w:tc>
        <w:tc>
          <w:tcPr>
            <w:tcW w:w="744" w:type="dxa"/>
            <w:tcBorders>
              <w:top w:val="nil"/>
              <w:left w:val="nil"/>
              <w:bottom w:val="nil"/>
              <w:right w:val="nil"/>
            </w:tcBorders>
            <w:shd w:val="clear" w:color="auto" w:fill="auto"/>
            <w:noWrap/>
            <w:vAlign w:val="center"/>
            <w:hideMark/>
          </w:tcPr>
          <w:p w14:paraId="7D91F97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-0.11</w:t>
            </w:r>
          </w:p>
        </w:tc>
        <w:tc>
          <w:tcPr>
            <w:tcW w:w="1123" w:type="dxa"/>
            <w:tcBorders>
              <w:top w:val="nil"/>
              <w:left w:val="nil"/>
              <w:bottom w:val="nil"/>
              <w:right w:val="nil"/>
            </w:tcBorders>
            <w:shd w:val="clear" w:color="auto" w:fill="auto"/>
            <w:noWrap/>
            <w:vAlign w:val="center"/>
            <w:hideMark/>
          </w:tcPr>
          <w:p w14:paraId="641B7F1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49</w:t>
            </w:r>
          </w:p>
        </w:tc>
        <w:tc>
          <w:tcPr>
            <w:tcW w:w="737" w:type="dxa"/>
            <w:tcBorders>
              <w:top w:val="nil"/>
              <w:left w:val="nil"/>
              <w:bottom w:val="nil"/>
              <w:right w:val="nil"/>
            </w:tcBorders>
            <w:shd w:val="clear" w:color="auto" w:fill="auto"/>
            <w:noWrap/>
            <w:vAlign w:val="center"/>
            <w:hideMark/>
          </w:tcPr>
          <w:p w14:paraId="0DE6F51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-0.02</w:t>
            </w:r>
          </w:p>
        </w:tc>
        <w:tc>
          <w:tcPr>
            <w:tcW w:w="1123" w:type="dxa"/>
            <w:tcBorders>
              <w:top w:val="nil"/>
              <w:left w:val="nil"/>
              <w:bottom w:val="nil"/>
              <w:right w:val="nil"/>
            </w:tcBorders>
            <w:shd w:val="clear" w:color="auto" w:fill="auto"/>
            <w:noWrap/>
            <w:vAlign w:val="center"/>
            <w:hideMark/>
          </w:tcPr>
          <w:p w14:paraId="705435A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98</w:t>
            </w:r>
          </w:p>
        </w:tc>
        <w:tc>
          <w:tcPr>
            <w:tcW w:w="737" w:type="dxa"/>
            <w:tcBorders>
              <w:top w:val="nil"/>
              <w:left w:val="nil"/>
              <w:bottom w:val="nil"/>
              <w:right w:val="nil"/>
            </w:tcBorders>
            <w:shd w:val="clear" w:color="auto" w:fill="auto"/>
            <w:noWrap/>
            <w:vAlign w:val="center"/>
            <w:hideMark/>
          </w:tcPr>
          <w:p w14:paraId="699A8B5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-1.23</w:t>
            </w:r>
          </w:p>
        </w:tc>
        <w:tc>
          <w:tcPr>
            <w:tcW w:w="1123" w:type="dxa"/>
            <w:tcBorders>
              <w:top w:val="nil"/>
              <w:left w:val="nil"/>
              <w:bottom w:val="nil"/>
              <w:right w:val="nil"/>
            </w:tcBorders>
            <w:shd w:val="clear" w:color="auto" w:fill="auto"/>
            <w:noWrap/>
            <w:vAlign w:val="center"/>
            <w:hideMark/>
          </w:tcPr>
          <w:p w14:paraId="68E0CD2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138</w:t>
            </w:r>
          </w:p>
        </w:tc>
        <w:tc>
          <w:tcPr>
            <w:tcW w:w="737" w:type="dxa"/>
            <w:tcBorders>
              <w:top w:val="nil"/>
              <w:left w:val="nil"/>
              <w:bottom w:val="nil"/>
              <w:right w:val="nil"/>
            </w:tcBorders>
            <w:shd w:val="clear" w:color="auto" w:fill="auto"/>
            <w:noWrap/>
            <w:vAlign w:val="center"/>
            <w:hideMark/>
          </w:tcPr>
          <w:p w14:paraId="132AC8E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1.14</w:t>
            </w:r>
          </w:p>
        </w:tc>
      </w:tr>
      <w:tr w:rsidR="00837E11" w:rsidRPr="00022CA4" w14:paraId="20AD0456"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03EC5892"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Rift-Valley</w:t>
            </w:r>
          </w:p>
        </w:tc>
        <w:tc>
          <w:tcPr>
            <w:tcW w:w="1096" w:type="dxa"/>
            <w:tcBorders>
              <w:top w:val="nil"/>
              <w:left w:val="nil"/>
              <w:bottom w:val="nil"/>
              <w:right w:val="nil"/>
            </w:tcBorders>
            <w:shd w:val="clear" w:color="auto" w:fill="auto"/>
            <w:noWrap/>
            <w:vAlign w:val="center"/>
            <w:hideMark/>
          </w:tcPr>
          <w:p w14:paraId="1D0E893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1088</w:t>
            </w:r>
          </w:p>
        </w:tc>
        <w:tc>
          <w:tcPr>
            <w:tcW w:w="744" w:type="dxa"/>
            <w:tcBorders>
              <w:top w:val="nil"/>
              <w:left w:val="nil"/>
              <w:bottom w:val="nil"/>
              <w:right w:val="nil"/>
            </w:tcBorders>
            <w:shd w:val="clear" w:color="auto" w:fill="auto"/>
            <w:noWrap/>
            <w:vAlign w:val="center"/>
            <w:hideMark/>
          </w:tcPr>
          <w:p w14:paraId="51B2FB5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5.77</w:t>
            </w:r>
          </w:p>
        </w:tc>
        <w:tc>
          <w:tcPr>
            <w:tcW w:w="1123" w:type="dxa"/>
            <w:tcBorders>
              <w:top w:val="nil"/>
              <w:left w:val="nil"/>
              <w:bottom w:val="nil"/>
              <w:right w:val="nil"/>
            </w:tcBorders>
            <w:shd w:val="clear" w:color="auto" w:fill="auto"/>
            <w:noWrap/>
            <w:vAlign w:val="center"/>
            <w:hideMark/>
          </w:tcPr>
          <w:p w14:paraId="5A60215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244</w:t>
            </w:r>
          </w:p>
        </w:tc>
        <w:tc>
          <w:tcPr>
            <w:tcW w:w="737" w:type="dxa"/>
            <w:tcBorders>
              <w:top w:val="nil"/>
              <w:left w:val="nil"/>
              <w:bottom w:val="nil"/>
              <w:right w:val="nil"/>
            </w:tcBorders>
            <w:shd w:val="clear" w:color="auto" w:fill="auto"/>
            <w:noWrap/>
            <w:vAlign w:val="center"/>
            <w:hideMark/>
          </w:tcPr>
          <w:p w14:paraId="34EB514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2.66</w:t>
            </w:r>
          </w:p>
        </w:tc>
        <w:tc>
          <w:tcPr>
            <w:tcW w:w="1123" w:type="dxa"/>
            <w:tcBorders>
              <w:top w:val="nil"/>
              <w:left w:val="nil"/>
              <w:bottom w:val="nil"/>
              <w:right w:val="nil"/>
            </w:tcBorders>
            <w:shd w:val="clear" w:color="auto" w:fill="auto"/>
            <w:noWrap/>
            <w:vAlign w:val="center"/>
            <w:hideMark/>
          </w:tcPr>
          <w:p w14:paraId="42991E3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417</w:t>
            </w:r>
          </w:p>
        </w:tc>
        <w:tc>
          <w:tcPr>
            <w:tcW w:w="737" w:type="dxa"/>
            <w:tcBorders>
              <w:top w:val="nil"/>
              <w:left w:val="nil"/>
              <w:bottom w:val="nil"/>
              <w:right w:val="nil"/>
            </w:tcBorders>
            <w:shd w:val="clear" w:color="auto" w:fill="auto"/>
            <w:noWrap/>
            <w:vAlign w:val="center"/>
            <w:hideMark/>
          </w:tcPr>
          <w:p w14:paraId="07297B5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1.5</w:t>
            </w:r>
          </w:p>
        </w:tc>
        <w:tc>
          <w:tcPr>
            <w:tcW w:w="1123" w:type="dxa"/>
            <w:tcBorders>
              <w:top w:val="nil"/>
              <w:left w:val="nil"/>
              <w:bottom w:val="nil"/>
              <w:right w:val="nil"/>
            </w:tcBorders>
            <w:shd w:val="clear" w:color="auto" w:fill="auto"/>
            <w:noWrap/>
            <w:vAlign w:val="center"/>
            <w:hideMark/>
          </w:tcPr>
          <w:p w14:paraId="5D6CFA5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427</w:t>
            </w:r>
          </w:p>
        </w:tc>
        <w:tc>
          <w:tcPr>
            <w:tcW w:w="737" w:type="dxa"/>
            <w:tcBorders>
              <w:top w:val="nil"/>
              <w:left w:val="nil"/>
              <w:bottom w:val="nil"/>
              <w:right w:val="nil"/>
            </w:tcBorders>
            <w:shd w:val="clear" w:color="auto" w:fill="auto"/>
            <w:noWrap/>
            <w:vAlign w:val="center"/>
            <w:hideMark/>
          </w:tcPr>
          <w:p w14:paraId="38CCB79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1.61</w:t>
            </w:r>
          </w:p>
        </w:tc>
      </w:tr>
      <w:tr w:rsidR="00837E11" w:rsidRPr="00022CA4" w14:paraId="358ED907"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288C2C36"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Mereb</w:t>
            </w:r>
            <w:proofErr w:type="spellEnd"/>
            <w:r w:rsidRPr="00022CA4">
              <w:rPr>
                <w:rFonts w:ascii="Times New Roman" w:eastAsia="Times New Roman" w:hAnsi="Times New Roman" w:cs="Times New Roman"/>
                <w:color w:val="000000"/>
                <w:sz w:val="24"/>
                <w:szCs w:val="24"/>
                <w:lang w:eastAsia="en-GB"/>
              </w:rPr>
              <w:t>-G</w:t>
            </w:r>
          </w:p>
        </w:tc>
        <w:tc>
          <w:tcPr>
            <w:tcW w:w="1096" w:type="dxa"/>
            <w:tcBorders>
              <w:top w:val="nil"/>
              <w:left w:val="nil"/>
              <w:bottom w:val="nil"/>
              <w:right w:val="nil"/>
            </w:tcBorders>
            <w:shd w:val="clear" w:color="auto" w:fill="auto"/>
            <w:noWrap/>
            <w:vAlign w:val="center"/>
            <w:hideMark/>
          </w:tcPr>
          <w:p w14:paraId="2488ECB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489</w:t>
            </w:r>
          </w:p>
        </w:tc>
        <w:tc>
          <w:tcPr>
            <w:tcW w:w="744" w:type="dxa"/>
            <w:tcBorders>
              <w:top w:val="nil"/>
              <w:left w:val="nil"/>
              <w:bottom w:val="nil"/>
              <w:right w:val="nil"/>
            </w:tcBorders>
            <w:shd w:val="clear" w:color="auto" w:fill="auto"/>
            <w:noWrap/>
            <w:vAlign w:val="center"/>
            <w:hideMark/>
          </w:tcPr>
          <w:p w14:paraId="33EDB47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-0.04</w:t>
            </w:r>
          </w:p>
        </w:tc>
        <w:tc>
          <w:tcPr>
            <w:tcW w:w="1123" w:type="dxa"/>
            <w:tcBorders>
              <w:top w:val="nil"/>
              <w:left w:val="nil"/>
              <w:bottom w:val="nil"/>
              <w:right w:val="nil"/>
            </w:tcBorders>
            <w:shd w:val="clear" w:color="auto" w:fill="auto"/>
            <w:noWrap/>
            <w:vAlign w:val="center"/>
            <w:hideMark/>
          </w:tcPr>
          <w:p w14:paraId="41313BD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23</w:t>
            </w:r>
          </w:p>
        </w:tc>
        <w:tc>
          <w:tcPr>
            <w:tcW w:w="737" w:type="dxa"/>
            <w:tcBorders>
              <w:top w:val="nil"/>
              <w:left w:val="nil"/>
              <w:bottom w:val="nil"/>
              <w:right w:val="nil"/>
            </w:tcBorders>
            <w:shd w:val="clear" w:color="auto" w:fill="auto"/>
            <w:noWrap/>
            <w:vAlign w:val="center"/>
            <w:hideMark/>
          </w:tcPr>
          <w:p w14:paraId="18D124D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-0.06</w:t>
            </w:r>
          </w:p>
        </w:tc>
        <w:tc>
          <w:tcPr>
            <w:tcW w:w="1123" w:type="dxa"/>
            <w:tcBorders>
              <w:top w:val="nil"/>
              <w:left w:val="nil"/>
              <w:bottom w:val="nil"/>
              <w:right w:val="nil"/>
            </w:tcBorders>
            <w:shd w:val="clear" w:color="auto" w:fill="auto"/>
            <w:noWrap/>
            <w:vAlign w:val="center"/>
            <w:hideMark/>
          </w:tcPr>
          <w:p w14:paraId="2A7FD48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58</w:t>
            </w:r>
          </w:p>
        </w:tc>
        <w:tc>
          <w:tcPr>
            <w:tcW w:w="737" w:type="dxa"/>
            <w:tcBorders>
              <w:top w:val="nil"/>
              <w:left w:val="nil"/>
              <w:bottom w:val="nil"/>
              <w:right w:val="nil"/>
            </w:tcBorders>
            <w:shd w:val="clear" w:color="auto" w:fill="auto"/>
            <w:noWrap/>
            <w:vAlign w:val="center"/>
            <w:hideMark/>
          </w:tcPr>
          <w:p w14:paraId="0509194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-0.55</w:t>
            </w:r>
          </w:p>
        </w:tc>
        <w:tc>
          <w:tcPr>
            <w:tcW w:w="1123" w:type="dxa"/>
            <w:tcBorders>
              <w:top w:val="nil"/>
              <w:left w:val="nil"/>
              <w:bottom w:val="nil"/>
              <w:right w:val="nil"/>
            </w:tcBorders>
            <w:shd w:val="clear" w:color="auto" w:fill="auto"/>
            <w:noWrap/>
            <w:vAlign w:val="center"/>
            <w:hideMark/>
          </w:tcPr>
          <w:p w14:paraId="491AC72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407</w:t>
            </w:r>
          </w:p>
        </w:tc>
        <w:tc>
          <w:tcPr>
            <w:tcW w:w="737" w:type="dxa"/>
            <w:tcBorders>
              <w:top w:val="nil"/>
              <w:left w:val="nil"/>
              <w:bottom w:val="nil"/>
              <w:right w:val="nil"/>
            </w:tcBorders>
            <w:shd w:val="clear" w:color="auto" w:fill="auto"/>
            <w:noWrap/>
            <w:vAlign w:val="center"/>
            <w:hideMark/>
          </w:tcPr>
          <w:p w14:paraId="235601C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0.57</w:t>
            </w:r>
          </w:p>
        </w:tc>
      </w:tr>
      <w:tr w:rsidR="00837E11" w:rsidRPr="00022CA4" w14:paraId="4DCA5CBF" w14:textId="77777777" w:rsidTr="001B5A9B">
        <w:trPr>
          <w:trHeight w:val="199"/>
          <w:jc w:val="center"/>
        </w:trPr>
        <w:tc>
          <w:tcPr>
            <w:tcW w:w="1831" w:type="dxa"/>
            <w:tcBorders>
              <w:top w:val="nil"/>
              <w:left w:val="nil"/>
              <w:bottom w:val="single" w:sz="8" w:space="0" w:color="auto"/>
              <w:right w:val="nil"/>
            </w:tcBorders>
            <w:shd w:val="clear" w:color="auto" w:fill="auto"/>
            <w:noWrap/>
            <w:vAlign w:val="center"/>
            <w:hideMark/>
          </w:tcPr>
          <w:p w14:paraId="4428C20D"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Aysha</w:t>
            </w:r>
            <w:proofErr w:type="spellEnd"/>
          </w:p>
        </w:tc>
        <w:tc>
          <w:tcPr>
            <w:tcW w:w="1096" w:type="dxa"/>
            <w:tcBorders>
              <w:top w:val="nil"/>
              <w:left w:val="nil"/>
              <w:bottom w:val="single" w:sz="8" w:space="0" w:color="auto"/>
              <w:right w:val="nil"/>
            </w:tcBorders>
            <w:shd w:val="clear" w:color="auto" w:fill="auto"/>
            <w:noWrap/>
            <w:vAlign w:val="center"/>
            <w:hideMark/>
          </w:tcPr>
          <w:p w14:paraId="6AA944C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222</w:t>
            </w:r>
          </w:p>
        </w:tc>
        <w:tc>
          <w:tcPr>
            <w:tcW w:w="744" w:type="dxa"/>
            <w:tcBorders>
              <w:top w:val="nil"/>
              <w:left w:val="nil"/>
              <w:bottom w:val="single" w:sz="8" w:space="0" w:color="auto"/>
              <w:right w:val="nil"/>
            </w:tcBorders>
            <w:shd w:val="clear" w:color="auto" w:fill="auto"/>
            <w:noWrap/>
            <w:vAlign w:val="center"/>
            <w:hideMark/>
          </w:tcPr>
          <w:p w14:paraId="7ABFD71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-0.48</w:t>
            </w:r>
          </w:p>
        </w:tc>
        <w:tc>
          <w:tcPr>
            <w:tcW w:w="1123" w:type="dxa"/>
            <w:tcBorders>
              <w:top w:val="nil"/>
              <w:left w:val="nil"/>
              <w:bottom w:val="single" w:sz="8" w:space="0" w:color="auto"/>
              <w:right w:val="nil"/>
            </w:tcBorders>
            <w:shd w:val="clear" w:color="auto" w:fill="auto"/>
            <w:noWrap/>
            <w:vAlign w:val="center"/>
            <w:hideMark/>
          </w:tcPr>
          <w:p w14:paraId="2CAB569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44</w:t>
            </w:r>
          </w:p>
        </w:tc>
        <w:tc>
          <w:tcPr>
            <w:tcW w:w="737" w:type="dxa"/>
            <w:tcBorders>
              <w:top w:val="nil"/>
              <w:left w:val="nil"/>
              <w:bottom w:val="single" w:sz="8" w:space="0" w:color="auto"/>
              <w:right w:val="nil"/>
            </w:tcBorders>
            <w:shd w:val="clear" w:color="auto" w:fill="auto"/>
            <w:noWrap/>
            <w:vAlign w:val="center"/>
            <w:hideMark/>
          </w:tcPr>
          <w:p w14:paraId="4424979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-0.13</w:t>
            </w:r>
          </w:p>
        </w:tc>
        <w:tc>
          <w:tcPr>
            <w:tcW w:w="1123" w:type="dxa"/>
            <w:tcBorders>
              <w:top w:val="nil"/>
              <w:left w:val="nil"/>
              <w:bottom w:val="single" w:sz="8" w:space="0" w:color="auto"/>
              <w:right w:val="nil"/>
            </w:tcBorders>
            <w:shd w:val="clear" w:color="auto" w:fill="auto"/>
            <w:noWrap/>
            <w:vAlign w:val="center"/>
            <w:hideMark/>
          </w:tcPr>
          <w:p w14:paraId="4AD9894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90</w:t>
            </w:r>
          </w:p>
        </w:tc>
        <w:tc>
          <w:tcPr>
            <w:tcW w:w="737" w:type="dxa"/>
            <w:tcBorders>
              <w:top w:val="nil"/>
              <w:left w:val="nil"/>
              <w:bottom w:val="single" w:sz="8" w:space="0" w:color="auto"/>
              <w:right w:val="nil"/>
            </w:tcBorders>
            <w:shd w:val="clear" w:color="auto" w:fill="auto"/>
            <w:noWrap/>
            <w:vAlign w:val="center"/>
            <w:hideMark/>
          </w:tcPr>
          <w:p w14:paraId="16742C7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-0.89</w:t>
            </w:r>
          </w:p>
        </w:tc>
        <w:tc>
          <w:tcPr>
            <w:tcW w:w="1123" w:type="dxa"/>
            <w:tcBorders>
              <w:top w:val="nil"/>
              <w:left w:val="nil"/>
              <w:bottom w:val="single" w:sz="8" w:space="0" w:color="auto"/>
              <w:right w:val="nil"/>
            </w:tcBorders>
            <w:shd w:val="clear" w:color="auto" w:fill="auto"/>
            <w:noWrap/>
            <w:vAlign w:val="center"/>
            <w:hideMark/>
          </w:tcPr>
          <w:p w14:paraId="01DA38C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88</w:t>
            </w:r>
          </w:p>
        </w:tc>
        <w:tc>
          <w:tcPr>
            <w:tcW w:w="737" w:type="dxa"/>
            <w:tcBorders>
              <w:top w:val="nil"/>
              <w:left w:val="nil"/>
              <w:bottom w:val="single" w:sz="8" w:space="0" w:color="auto"/>
              <w:right w:val="nil"/>
            </w:tcBorders>
            <w:shd w:val="clear" w:color="auto" w:fill="auto"/>
            <w:noWrap/>
            <w:vAlign w:val="center"/>
            <w:hideMark/>
          </w:tcPr>
          <w:p w14:paraId="2BC2086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0.54</w:t>
            </w:r>
          </w:p>
        </w:tc>
      </w:tr>
    </w:tbl>
    <w:bookmarkEnd w:id="4"/>
    <w:p w14:paraId="519116FF" w14:textId="45F9C8BF" w:rsidR="005C6E2C" w:rsidRPr="00022CA4" w:rsidRDefault="005C6E2C" w:rsidP="00AB2631">
      <w:pPr>
        <w:spacing w:after="240"/>
        <w:rPr>
          <w:rFonts w:ascii="Times New Roman" w:hAnsi="Times New Roman" w:cs="Times New Roman"/>
          <w:sz w:val="24"/>
          <w:szCs w:val="24"/>
          <w:shd w:val="clear" w:color="auto" w:fill="FFFFFF"/>
        </w:rPr>
      </w:pPr>
      <w:r w:rsidRPr="00022CA4">
        <w:rPr>
          <w:rFonts w:ascii="Times New Roman" w:hAnsi="Times New Roman" w:cs="Times New Roman"/>
          <w:sz w:val="24"/>
          <w:szCs w:val="24"/>
          <w:shd w:val="clear" w:color="auto" w:fill="FFFFFF"/>
        </w:rPr>
        <w:t>Note: The bold number</w:t>
      </w:r>
      <w:r w:rsidR="0037586C" w:rsidRPr="00022CA4">
        <w:rPr>
          <w:rFonts w:ascii="Times New Roman" w:hAnsi="Times New Roman" w:cs="Times New Roman"/>
          <w:sz w:val="24"/>
          <w:szCs w:val="24"/>
          <w:shd w:val="clear" w:color="auto" w:fill="FFFFFF"/>
        </w:rPr>
        <w:t>s</w:t>
      </w:r>
      <w:r w:rsidRPr="00022CA4">
        <w:rPr>
          <w:rFonts w:ascii="Times New Roman" w:hAnsi="Times New Roman" w:cs="Times New Roman"/>
          <w:sz w:val="24"/>
          <w:szCs w:val="24"/>
          <w:shd w:val="clear" w:color="auto" w:fill="FFFFFF"/>
        </w:rPr>
        <w:t xml:space="preserve"> indicate the trend is significant </w:t>
      </w:r>
      <w:r w:rsidR="00436ECE" w:rsidRPr="00022CA4">
        <w:rPr>
          <w:rFonts w:ascii="Times New Roman" w:hAnsi="Times New Roman" w:cs="Times New Roman"/>
          <w:sz w:val="24"/>
          <w:szCs w:val="24"/>
          <w:shd w:val="clear" w:color="auto" w:fill="FFFFFF"/>
        </w:rPr>
        <w:t xml:space="preserve">at </w:t>
      </w:r>
      <w:r w:rsidR="00E93810" w:rsidRPr="00022CA4">
        <w:rPr>
          <w:rFonts w:ascii="Times New Roman" w:hAnsi="Times New Roman" w:cs="Times New Roman"/>
          <w:sz w:val="24"/>
          <w:szCs w:val="24"/>
          <w:shd w:val="clear" w:color="auto" w:fill="FFFFFF"/>
        </w:rPr>
        <w:t xml:space="preserve">a </w:t>
      </w:r>
      <w:r w:rsidR="00436ECE" w:rsidRPr="00022CA4">
        <w:rPr>
          <w:rFonts w:ascii="Times New Roman" w:hAnsi="Times New Roman" w:cs="Times New Roman"/>
          <w:sz w:val="24"/>
          <w:szCs w:val="24"/>
          <w:shd w:val="clear" w:color="auto" w:fill="FFFFFF"/>
        </w:rPr>
        <w:t>95 % confidence level (</w:t>
      </w:r>
      <w:r w:rsidRPr="00022CA4">
        <w:rPr>
          <w:rFonts w:ascii="Times New Roman" w:hAnsi="Times New Roman" w:cs="Times New Roman"/>
          <w:i/>
          <w:sz w:val="24"/>
          <w:szCs w:val="24"/>
          <w:shd w:val="clear" w:color="auto" w:fill="FFFFFF"/>
        </w:rPr>
        <w:t>p</w:t>
      </w:r>
      <w:r w:rsidR="0037586C" w:rsidRPr="00022CA4">
        <w:rPr>
          <w:rFonts w:ascii="Times New Roman" w:hAnsi="Times New Roman" w:cs="Times New Roman"/>
          <w:i/>
          <w:sz w:val="24"/>
          <w:szCs w:val="24"/>
          <w:shd w:val="clear" w:color="auto" w:fill="FFFFFF"/>
        </w:rPr>
        <w:t xml:space="preserve">-value </w:t>
      </w:r>
      <w:r w:rsidRPr="00022CA4">
        <w:rPr>
          <w:rFonts w:ascii="Times New Roman" w:hAnsi="Times New Roman" w:cs="Times New Roman"/>
          <w:sz w:val="24"/>
          <w:szCs w:val="24"/>
          <w:shd w:val="clear" w:color="auto" w:fill="FFFFFF"/>
        </w:rPr>
        <w:t>&lt; 0.05</w:t>
      </w:r>
      <w:r w:rsidR="00436ECE" w:rsidRPr="00022CA4">
        <w:rPr>
          <w:rFonts w:ascii="Times New Roman" w:hAnsi="Times New Roman" w:cs="Times New Roman"/>
          <w:sz w:val="24"/>
          <w:szCs w:val="24"/>
          <w:shd w:val="clear" w:color="auto" w:fill="FFFFFF"/>
        </w:rPr>
        <w:t>)</w:t>
      </w:r>
      <w:r w:rsidRPr="00022CA4">
        <w:rPr>
          <w:rFonts w:ascii="Times New Roman" w:hAnsi="Times New Roman" w:cs="Times New Roman"/>
          <w:sz w:val="24"/>
          <w:szCs w:val="24"/>
          <w:shd w:val="clear" w:color="auto" w:fill="FFFFFF"/>
        </w:rPr>
        <w:t xml:space="preserve">.  </w:t>
      </w:r>
      <w:r w:rsidR="00436ECE" w:rsidRPr="00022CA4">
        <w:rPr>
          <w:rFonts w:ascii="Times New Roman" w:hAnsi="Times New Roman" w:cs="Times New Roman"/>
          <w:sz w:val="24"/>
          <w:szCs w:val="24"/>
          <w:shd w:val="clear" w:color="auto" w:fill="FFFFFF"/>
        </w:rPr>
        <w:t xml:space="preserve">Positive and negative values of the slope indicate increasing and decreasing trends, respectively. </w:t>
      </w:r>
    </w:p>
    <w:p w14:paraId="0BD23C3A" w14:textId="6167A79E" w:rsidR="005C6E2C" w:rsidRPr="00022CA4" w:rsidRDefault="00837E11" w:rsidP="00EE4D7D">
      <w:pPr>
        <w:spacing w:line="360" w:lineRule="auto"/>
        <w:jc w:val="center"/>
        <w:rPr>
          <w:rFonts w:ascii="Times New Roman" w:hAnsi="Times New Roman" w:cs="Times New Roman"/>
          <w:sz w:val="24"/>
          <w:szCs w:val="24"/>
        </w:rPr>
      </w:pPr>
      <w:r w:rsidRPr="00022CA4">
        <w:rPr>
          <w:rFonts w:ascii="Times New Roman" w:hAnsi="Times New Roman" w:cs="Times New Roman"/>
          <w:noProof/>
          <w:sz w:val="24"/>
          <w:szCs w:val="24"/>
          <w:shd w:val="clear" w:color="auto" w:fill="FFFFFF"/>
        </w:rPr>
        <w:drawing>
          <wp:inline distT="0" distB="0" distL="0" distR="0" wp14:anchorId="60965108" wp14:editId="01AF8AAF">
            <wp:extent cx="5852161" cy="3145537"/>
            <wp:effectExtent l="0" t="0" r="0" b="0"/>
            <wp:docPr id="12" name="Picture 2" descr="D:\Part-I\2024\2024-Part-III\Pub_4\Data-2\Fig_a-b_ETo\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Part-I\2024\2024-Part-III\Pub_4\Data-2\Fig_a-b_ETo\Fig.8.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1404" t="6801" r="14585" b="47321"/>
                    <a:stretch/>
                  </pic:blipFill>
                  <pic:spPr bwMode="auto">
                    <a:xfrm>
                      <a:off x="0" y="0"/>
                      <a:ext cx="5852161" cy="31455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94CE9D0" w14:textId="394F4EB7" w:rsidR="0096478F" w:rsidRDefault="005C6E2C" w:rsidP="00EE4D7D">
      <w:pPr>
        <w:spacing w:after="240" w:line="360" w:lineRule="auto"/>
        <w:rPr>
          <w:rFonts w:ascii="Times New Roman" w:hAnsi="Times New Roman" w:cs="Times New Roman"/>
          <w:sz w:val="24"/>
          <w:szCs w:val="24"/>
        </w:rPr>
      </w:pPr>
      <w:r w:rsidRPr="00022CA4">
        <w:rPr>
          <w:rFonts w:ascii="Times New Roman" w:hAnsi="Times New Roman" w:cs="Times New Roman"/>
          <w:b/>
          <w:sz w:val="24"/>
          <w:szCs w:val="24"/>
        </w:rPr>
        <w:t>Fig.8</w:t>
      </w:r>
      <w:r w:rsidRPr="00022CA4">
        <w:rPr>
          <w:rFonts w:ascii="Times New Roman" w:hAnsi="Times New Roman" w:cs="Times New Roman"/>
          <w:sz w:val="24"/>
          <w:szCs w:val="24"/>
        </w:rPr>
        <w:t xml:space="preserve"> </w:t>
      </w:r>
      <w:r w:rsidR="00AB2631" w:rsidRPr="00022CA4">
        <w:rPr>
          <w:rFonts w:ascii="Times New Roman" w:hAnsi="Times New Roman" w:cs="Times New Roman"/>
          <w:sz w:val="24"/>
          <w:szCs w:val="24"/>
        </w:rPr>
        <w:t xml:space="preserve">Annual </w:t>
      </w:r>
      <w:r w:rsidRPr="00022CA4">
        <w:rPr>
          <w:rFonts w:ascii="Times New Roman" w:hAnsi="Times New Roman" w:cs="Times New Roman"/>
          <w:sz w:val="24"/>
          <w:szCs w:val="24"/>
        </w:rPr>
        <w:t xml:space="preserve">and seasonal </w:t>
      </w:r>
      <w:r w:rsidR="00AB2631" w:rsidRPr="00022CA4">
        <w:rPr>
          <w:rFonts w:ascii="Times New Roman" w:hAnsi="Times New Roman" w:cs="Times New Roman"/>
          <w:sz w:val="24"/>
          <w:szCs w:val="24"/>
        </w:rPr>
        <w:t xml:space="preserve">reference </w:t>
      </w:r>
      <w:r w:rsidRPr="00022CA4">
        <w:rPr>
          <w:rFonts w:ascii="Times New Roman" w:hAnsi="Times New Roman" w:cs="Times New Roman"/>
          <w:sz w:val="24"/>
          <w:szCs w:val="24"/>
        </w:rPr>
        <w:t>evapotranspiration (</w:t>
      </w:r>
      <w:proofErr w:type="spellStart"/>
      <w:proofErr w:type="gramStart"/>
      <w:r w:rsidRPr="00022CA4">
        <w:rPr>
          <w:rFonts w:ascii="Times New Roman" w:hAnsi="Times New Roman" w:cs="Times New Roman"/>
          <w:sz w:val="24"/>
          <w:szCs w:val="24"/>
        </w:rPr>
        <w:t>ET</w:t>
      </w:r>
      <w:r w:rsidRPr="00022CA4">
        <w:rPr>
          <w:rFonts w:ascii="Times New Roman" w:hAnsi="Times New Roman" w:cs="Times New Roman"/>
          <w:sz w:val="24"/>
          <w:szCs w:val="24"/>
          <w:vertAlign w:val="subscript"/>
        </w:rPr>
        <w:t>o</w:t>
      </w:r>
      <w:proofErr w:type="spellEnd"/>
      <w:proofErr w:type="gramEnd"/>
      <w:r w:rsidRPr="00022CA4">
        <w:rPr>
          <w:rFonts w:ascii="Times New Roman" w:hAnsi="Times New Roman" w:cs="Times New Roman"/>
          <w:sz w:val="24"/>
          <w:szCs w:val="24"/>
        </w:rPr>
        <w:t>)</w:t>
      </w:r>
      <w:r w:rsidR="00AB2631" w:rsidRPr="00022CA4">
        <w:rPr>
          <w:rFonts w:ascii="Times New Roman" w:hAnsi="Times New Roman" w:cs="Times New Roman"/>
          <w:sz w:val="24"/>
          <w:szCs w:val="24"/>
        </w:rPr>
        <w:t xml:space="preserve"> trend</w:t>
      </w:r>
      <w:r w:rsidRPr="00022CA4">
        <w:rPr>
          <w:rFonts w:ascii="Times New Roman" w:hAnsi="Times New Roman" w:cs="Times New Roman"/>
          <w:sz w:val="24"/>
          <w:szCs w:val="24"/>
        </w:rPr>
        <w:t xml:space="preserve"> over Ethiopia </w:t>
      </w:r>
      <w:r w:rsidR="00AB2631" w:rsidRPr="00022CA4">
        <w:rPr>
          <w:rFonts w:ascii="Times New Roman" w:hAnsi="Times New Roman" w:cs="Times New Roman"/>
          <w:sz w:val="24"/>
          <w:szCs w:val="24"/>
        </w:rPr>
        <w:t>during</w:t>
      </w:r>
      <w:r w:rsidRPr="00022CA4">
        <w:rPr>
          <w:rFonts w:ascii="Times New Roman" w:hAnsi="Times New Roman" w:cs="Times New Roman"/>
          <w:sz w:val="24"/>
          <w:szCs w:val="24"/>
        </w:rPr>
        <w:t xml:space="preserve"> 1980 to 2021</w:t>
      </w:r>
    </w:p>
    <w:p w14:paraId="788A691A" w14:textId="77777777" w:rsidR="00C0343E" w:rsidRPr="00022CA4" w:rsidRDefault="00C0343E" w:rsidP="00EE4D7D">
      <w:pPr>
        <w:spacing w:after="240" w:line="360" w:lineRule="auto"/>
        <w:rPr>
          <w:rFonts w:ascii="Times New Roman" w:hAnsi="Times New Roman" w:cs="Times New Roman"/>
          <w:sz w:val="24"/>
          <w:szCs w:val="24"/>
        </w:rPr>
      </w:pPr>
    </w:p>
    <w:p w14:paraId="1811666A" w14:textId="5F73D966" w:rsidR="00837E11" w:rsidRPr="00022CA4" w:rsidRDefault="00224A4B" w:rsidP="00EE4D7D">
      <w:pPr>
        <w:pStyle w:val="BodyText"/>
        <w:spacing w:line="360" w:lineRule="auto"/>
        <w:jc w:val="both"/>
        <w:rPr>
          <w:rFonts w:ascii="Times New Roman" w:hAnsi="Times New Roman" w:cs="Times New Roman"/>
          <w:sz w:val="24"/>
          <w:szCs w:val="24"/>
        </w:rPr>
      </w:pPr>
      <w:proofErr w:type="gramStart"/>
      <w:r w:rsidRPr="00224A4B">
        <w:rPr>
          <w:rFonts w:ascii="Times New Roman" w:hAnsi="Times New Roman" w:cs="Times New Roman"/>
          <w:sz w:val="24"/>
          <w:szCs w:val="24"/>
        </w:rPr>
        <w:lastRenderedPageBreak/>
        <w:t>Table</w:t>
      </w:r>
      <w:r>
        <w:rPr>
          <w:rFonts w:ascii="Times New Roman" w:hAnsi="Times New Roman" w:cs="Times New Roman"/>
          <w:b/>
          <w:sz w:val="24"/>
          <w:szCs w:val="24"/>
        </w:rPr>
        <w:t xml:space="preserve"> </w:t>
      </w:r>
      <w:r>
        <w:rPr>
          <w:rFonts w:ascii="Times New Roman" w:hAnsi="Times New Roman" w:cs="Times New Roman"/>
          <w:sz w:val="24"/>
          <w:szCs w:val="24"/>
        </w:rPr>
        <w:t>5</w:t>
      </w:r>
      <w:r w:rsidRPr="00224A4B">
        <w:rPr>
          <w:rFonts w:ascii="Times New Roman" w:hAnsi="Times New Roman" w:cs="Times New Roman"/>
          <w:sz w:val="24"/>
          <w:szCs w:val="24"/>
        </w:rPr>
        <w:t> |  </w:t>
      </w:r>
      <w:r w:rsidR="00652644" w:rsidRPr="00022CA4">
        <w:rPr>
          <w:rFonts w:ascii="Times New Roman" w:hAnsi="Times New Roman" w:cs="Times New Roman"/>
          <w:b/>
          <w:sz w:val="24"/>
          <w:szCs w:val="24"/>
        </w:rPr>
        <w:t xml:space="preserve"> </w:t>
      </w:r>
      <w:r w:rsidR="00652644" w:rsidRPr="00022CA4">
        <w:rPr>
          <w:rFonts w:ascii="Times New Roman" w:hAnsi="Times New Roman" w:cs="Times New Roman"/>
          <w:sz w:val="24"/>
          <w:szCs w:val="24"/>
        </w:rPr>
        <w:t xml:space="preserve">Mean annual &amp; seasonal </w:t>
      </w:r>
      <w:r w:rsidR="00D27065" w:rsidRPr="00022CA4">
        <w:rPr>
          <w:rFonts w:ascii="Times New Roman" w:hAnsi="Times New Roman" w:cs="Times New Roman"/>
          <w:sz w:val="24"/>
          <w:szCs w:val="24"/>
        </w:rPr>
        <w:t xml:space="preserve">reference </w:t>
      </w:r>
      <w:r w:rsidR="00652644" w:rsidRPr="00022CA4">
        <w:rPr>
          <w:rFonts w:ascii="Times New Roman" w:hAnsi="Times New Roman" w:cs="Times New Roman"/>
          <w:sz w:val="24"/>
          <w:szCs w:val="24"/>
        </w:rPr>
        <w:t xml:space="preserve">evapotranspiration amount [mm] &amp; </w:t>
      </w:r>
      <w:r w:rsidR="00D27065" w:rsidRPr="00022CA4">
        <w:rPr>
          <w:rFonts w:ascii="Times New Roman" w:hAnsi="Times New Roman" w:cs="Times New Roman"/>
          <w:sz w:val="24"/>
          <w:szCs w:val="24"/>
        </w:rPr>
        <w:t>t</w:t>
      </w:r>
      <w:r w:rsidR="005358E9">
        <w:rPr>
          <w:rFonts w:ascii="Times New Roman" w:hAnsi="Times New Roman" w:cs="Times New Roman"/>
          <w:sz w:val="24"/>
          <w:szCs w:val="24"/>
        </w:rPr>
        <w:t>r</w:t>
      </w:r>
      <w:r w:rsidR="00D27065" w:rsidRPr="00022CA4">
        <w:rPr>
          <w:rFonts w:ascii="Times New Roman" w:hAnsi="Times New Roman" w:cs="Times New Roman"/>
          <w:sz w:val="24"/>
          <w:szCs w:val="24"/>
        </w:rPr>
        <w:t>end</w:t>
      </w:r>
      <w:r w:rsidR="0096478F">
        <w:rPr>
          <w:rFonts w:ascii="Times New Roman" w:hAnsi="Times New Roman" w:cs="Times New Roman"/>
          <w:sz w:val="24"/>
          <w:szCs w:val="24"/>
        </w:rPr>
        <w:t xml:space="preserve"> [mm/year] in Ethiopia (1980 to </w:t>
      </w:r>
      <w:r w:rsidR="00652644" w:rsidRPr="00022CA4">
        <w:rPr>
          <w:rFonts w:ascii="Times New Roman" w:hAnsi="Times New Roman" w:cs="Times New Roman"/>
          <w:sz w:val="24"/>
          <w:szCs w:val="24"/>
        </w:rPr>
        <w:t>2021).</w:t>
      </w:r>
      <w:proofErr w:type="gramEnd"/>
    </w:p>
    <w:tbl>
      <w:tblPr>
        <w:tblW w:w="9284" w:type="dxa"/>
        <w:jc w:val="center"/>
        <w:tblLook w:val="04A0" w:firstRow="1" w:lastRow="0" w:firstColumn="1" w:lastColumn="0" w:noHBand="0" w:noVBand="1"/>
      </w:tblPr>
      <w:tblGrid>
        <w:gridCol w:w="1831"/>
        <w:gridCol w:w="1096"/>
        <w:gridCol w:w="777"/>
        <w:gridCol w:w="1123"/>
        <w:gridCol w:w="737"/>
        <w:gridCol w:w="1123"/>
        <w:gridCol w:w="737"/>
        <w:gridCol w:w="1123"/>
        <w:gridCol w:w="737"/>
      </w:tblGrid>
      <w:tr w:rsidR="00837E11" w:rsidRPr="00022CA4" w14:paraId="68DF4FB8" w14:textId="77777777" w:rsidTr="001B5A9B">
        <w:trPr>
          <w:trHeight w:val="199"/>
          <w:jc w:val="center"/>
        </w:trPr>
        <w:tc>
          <w:tcPr>
            <w:tcW w:w="1831" w:type="dxa"/>
            <w:tcBorders>
              <w:top w:val="single" w:sz="8" w:space="0" w:color="auto"/>
              <w:left w:val="nil"/>
              <w:bottom w:val="single" w:sz="8" w:space="0" w:color="auto"/>
              <w:right w:val="nil"/>
            </w:tcBorders>
            <w:shd w:val="clear" w:color="auto" w:fill="auto"/>
            <w:noWrap/>
            <w:vAlign w:val="bottom"/>
            <w:hideMark/>
          </w:tcPr>
          <w:p w14:paraId="6E929D3D" w14:textId="77777777" w:rsidR="00837E11" w:rsidRPr="00022CA4" w:rsidRDefault="00837E11" w:rsidP="001B5A9B">
            <w:pPr>
              <w:widowControl/>
              <w:autoSpaceDE/>
              <w:autoSpaceDN/>
              <w:spacing w:line="360" w:lineRule="auto"/>
              <w:rPr>
                <w:rFonts w:ascii="Calibri" w:eastAsia="Times New Roman" w:hAnsi="Calibri" w:cs="Calibri"/>
                <w:color w:val="000000"/>
                <w:sz w:val="24"/>
                <w:szCs w:val="24"/>
                <w:lang w:val="en-GB" w:eastAsia="en-GB"/>
              </w:rPr>
            </w:pPr>
            <w:r w:rsidRPr="00022CA4">
              <w:rPr>
                <w:rFonts w:ascii="Calibri" w:eastAsia="Times New Roman" w:hAnsi="Calibri" w:cs="Calibri"/>
                <w:color w:val="000000"/>
                <w:sz w:val="24"/>
                <w:szCs w:val="24"/>
                <w:lang w:val="en-GB" w:eastAsia="en-GB"/>
              </w:rPr>
              <w:t> </w:t>
            </w:r>
          </w:p>
        </w:tc>
        <w:tc>
          <w:tcPr>
            <w:tcW w:w="1873" w:type="dxa"/>
            <w:gridSpan w:val="2"/>
            <w:tcBorders>
              <w:top w:val="single" w:sz="8" w:space="0" w:color="auto"/>
              <w:left w:val="nil"/>
              <w:bottom w:val="single" w:sz="8" w:space="0" w:color="auto"/>
              <w:right w:val="nil"/>
            </w:tcBorders>
            <w:shd w:val="clear" w:color="auto" w:fill="auto"/>
            <w:noWrap/>
            <w:vAlign w:val="center"/>
            <w:hideMark/>
          </w:tcPr>
          <w:p w14:paraId="09A717D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Annual</w:t>
            </w:r>
          </w:p>
        </w:tc>
        <w:tc>
          <w:tcPr>
            <w:tcW w:w="1860" w:type="dxa"/>
            <w:gridSpan w:val="2"/>
            <w:tcBorders>
              <w:top w:val="single" w:sz="8" w:space="0" w:color="auto"/>
              <w:left w:val="nil"/>
              <w:bottom w:val="single" w:sz="8" w:space="0" w:color="auto"/>
              <w:right w:val="nil"/>
            </w:tcBorders>
            <w:shd w:val="clear" w:color="auto" w:fill="auto"/>
            <w:noWrap/>
            <w:vAlign w:val="center"/>
            <w:hideMark/>
          </w:tcPr>
          <w:p w14:paraId="6A4B1F9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Bega</w:t>
            </w:r>
          </w:p>
        </w:tc>
        <w:tc>
          <w:tcPr>
            <w:tcW w:w="1860" w:type="dxa"/>
            <w:gridSpan w:val="2"/>
            <w:tcBorders>
              <w:top w:val="single" w:sz="8" w:space="0" w:color="auto"/>
              <w:left w:val="nil"/>
              <w:bottom w:val="single" w:sz="8" w:space="0" w:color="auto"/>
              <w:right w:val="nil"/>
            </w:tcBorders>
            <w:shd w:val="clear" w:color="auto" w:fill="auto"/>
            <w:noWrap/>
            <w:vAlign w:val="center"/>
            <w:hideMark/>
          </w:tcPr>
          <w:p w14:paraId="5F071D4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Belg</w:t>
            </w:r>
          </w:p>
        </w:tc>
        <w:tc>
          <w:tcPr>
            <w:tcW w:w="1860" w:type="dxa"/>
            <w:gridSpan w:val="2"/>
            <w:tcBorders>
              <w:top w:val="single" w:sz="8" w:space="0" w:color="auto"/>
              <w:left w:val="nil"/>
              <w:bottom w:val="single" w:sz="8" w:space="0" w:color="auto"/>
              <w:right w:val="nil"/>
            </w:tcBorders>
            <w:shd w:val="clear" w:color="auto" w:fill="auto"/>
            <w:noWrap/>
            <w:vAlign w:val="center"/>
            <w:hideMark/>
          </w:tcPr>
          <w:p w14:paraId="2EFADC3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Kiremt</w:t>
            </w:r>
          </w:p>
        </w:tc>
      </w:tr>
      <w:tr w:rsidR="00837E11" w:rsidRPr="00022CA4" w14:paraId="7FE1CF14" w14:textId="77777777" w:rsidTr="001B5A9B">
        <w:trPr>
          <w:trHeight w:val="199"/>
          <w:jc w:val="center"/>
        </w:trPr>
        <w:tc>
          <w:tcPr>
            <w:tcW w:w="1831" w:type="dxa"/>
            <w:tcBorders>
              <w:top w:val="nil"/>
              <w:left w:val="nil"/>
              <w:bottom w:val="single" w:sz="8" w:space="0" w:color="auto"/>
              <w:right w:val="nil"/>
            </w:tcBorders>
            <w:shd w:val="clear" w:color="auto" w:fill="auto"/>
            <w:noWrap/>
            <w:vAlign w:val="center"/>
            <w:hideMark/>
          </w:tcPr>
          <w:p w14:paraId="5A023DF4" w14:textId="77777777" w:rsidR="00837E11" w:rsidRPr="00022CA4" w:rsidRDefault="00837E11" w:rsidP="001B5A9B">
            <w:pPr>
              <w:widowControl/>
              <w:autoSpaceDE/>
              <w:autoSpaceDN/>
              <w:spacing w:line="360" w:lineRule="auto"/>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Ethiopia/Basins</w:t>
            </w:r>
          </w:p>
        </w:tc>
        <w:tc>
          <w:tcPr>
            <w:tcW w:w="1096" w:type="dxa"/>
            <w:tcBorders>
              <w:top w:val="nil"/>
              <w:left w:val="nil"/>
              <w:bottom w:val="single" w:sz="8" w:space="0" w:color="auto"/>
              <w:right w:val="nil"/>
            </w:tcBorders>
            <w:shd w:val="clear" w:color="auto" w:fill="auto"/>
            <w:noWrap/>
            <w:vAlign w:val="center"/>
            <w:hideMark/>
          </w:tcPr>
          <w:p w14:paraId="230F9A0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77" w:type="dxa"/>
            <w:tcBorders>
              <w:top w:val="nil"/>
              <w:left w:val="nil"/>
              <w:bottom w:val="single" w:sz="8" w:space="0" w:color="auto"/>
              <w:right w:val="nil"/>
            </w:tcBorders>
            <w:shd w:val="clear" w:color="auto" w:fill="auto"/>
            <w:noWrap/>
            <w:vAlign w:val="center"/>
            <w:hideMark/>
          </w:tcPr>
          <w:p w14:paraId="2893BC1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c>
          <w:tcPr>
            <w:tcW w:w="1123" w:type="dxa"/>
            <w:tcBorders>
              <w:top w:val="nil"/>
              <w:left w:val="nil"/>
              <w:bottom w:val="single" w:sz="8" w:space="0" w:color="auto"/>
              <w:right w:val="nil"/>
            </w:tcBorders>
            <w:shd w:val="clear" w:color="auto" w:fill="auto"/>
            <w:noWrap/>
            <w:vAlign w:val="center"/>
            <w:hideMark/>
          </w:tcPr>
          <w:p w14:paraId="46A423F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37" w:type="dxa"/>
            <w:tcBorders>
              <w:top w:val="nil"/>
              <w:left w:val="nil"/>
              <w:bottom w:val="single" w:sz="8" w:space="0" w:color="auto"/>
              <w:right w:val="nil"/>
            </w:tcBorders>
            <w:shd w:val="clear" w:color="auto" w:fill="auto"/>
            <w:noWrap/>
            <w:vAlign w:val="center"/>
            <w:hideMark/>
          </w:tcPr>
          <w:p w14:paraId="220376A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c>
          <w:tcPr>
            <w:tcW w:w="1123" w:type="dxa"/>
            <w:tcBorders>
              <w:top w:val="nil"/>
              <w:left w:val="nil"/>
              <w:bottom w:val="single" w:sz="8" w:space="0" w:color="auto"/>
              <w:right w:val="nil"/>
            </w:tcBorders>
            <w:shd w:val="clear" w:color="auto" w:fill="auto"/>
            <w:noWrap/>
            <w:vAlign w:val="center"/>
            <w:hideMark/>
          </w:tcPr>
          <w:p w14:paraId="79EB643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37" w:type="dxa"/>
            <w:tcBorders>
              <w:top w:val="nil"/>
              <w:left w:val="nil"/>
              <w:bottom w:val="single" w:sz="8" w:space="0" w:color="auto"/>
              <w:right w:val="nil"/>
            </w:tcBorders>
            <w:shd w:val="clear" w:color="auto" w:fill="auto"/>
            <w:noWrap/>
            <w:vAlign w:val="center"/>
            <w:hideMark/>
          </w:tcPr>
          <w:p w14:paraId="56708EB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c>
          <w:tcPr>
            <w:tcW w:w="1123" w:type="dxa"/>
            <w:tcBorders>
              <w:top w:val="nil"/>
              <w:left w:val="nil"/>
              <w:bottom w:val="single" w:sz="8" w:space="0" w:color="auto"/>
              <w:right w:val="nil"/>
            </w:tcBorders>
            <w:shd w:val="clear" w:color="auto" w:fill="auto"/>
            <w:noWrap/>
            <w:vAlign w:val="center"/>
            <w:hideMark/>
          </w:tcPr>
          <w:p w14:paraId="3720ACC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37" w:type="dxa"/>
            <w:tcBorders>
              <w:top w:val="nil"/>
              <w:left w:val="nil"/>
              <w:bottom w:val="single" w:sz="8" w:space="0" w:color="auto"/>
              <w:right w:val="nil"/>
            </w:tcBorders>
            <w:shd w:val="clear" w:color="auto" w:fill="auto"/>
            <w:noWrap/>
            <w:vAlign w:val="center"/>
            <w:hideMark/>
          </w:tcPr>
          <w:p w14:paraId="7B90DFA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r>
      <w:tr w:rsidR="00837E11" w:rsidRPr="00022CA4" w14:paraId="75DDAEAF"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14D22D60"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Ethiopia</w:t>
            </w:r>
          </w:p>
        </w:tc>
        <w:tc>
          <w:tcPr>
            <w:tcW w:w="1096" w:type="dxa"/>
            <w:tcBorders>
              <w:top w:val="nil"/>
              <w:left w:val="nil"/>
              <w:bottom w:val="nil"/>
              <w:right w:val="nil"/>
            </w:tcBorders>
            <w:shd w:val="clear" w:color="auto" w:fill="auto"/>
            <w:noWrap/>
            <w:vAlign w:val="bottom"/>
            <w:hideMark/>
          </w:tcPr>
          <w:p w14:paraId="5E23802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958</w:t>
            </w:r>
          </w:p>
        </w:tc>
        <w:tc>
          <w:tcPr>
            <w:tcW w:w="777" w:type="dxa"/>
            <w:tcBorders>
              <w:top w:val="nil"/>
              <w:left w:val="nil"/>
              <w:bottom w:val="nil"/>
              <w:right w:val="nil"/>
            </w:tcBorders>
            <w:shd w:val="clear" w:color="auto" w:fill="auto"/>
            <w:noWrap/>
            <w:vAlign w:val="bottom"/>
            <w:hideMark/>
          </w:tcPr>
          <w:p w14:paraId="12F7846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0.40</w:t>
            </w:r>
          </w:p>
        </w:tc>
        <w:tc>
          <w:tcPr>
            <w:tcW w:w="1123" w:type="dxa"/>
            <w:tcBorders>
              <w:top w:val="nil"/>
              <w:left w:val="nil"/>
              <w:bottom w:val="nil"/>
              <w:right w:val="nil"/>
            </w:tcBorders>
            <w:shd w:val="clear" w:color="auto" w:fill="auto"/>
            <w:noWrap/>
            <w:vAlign w:val="bottom"/>
            <w:hideMark/>
          </w:tcPr>
          <w:p w14:paraId="3C9F140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309</w:t>
            </w:r>
          </w:p>
        </w:tc>
        <w:tc>
          <w:tcPr>
            <w:tcW w:w="737" w:type="dxa"/>
            <w:tcBorders>
              <w:top w:val="nil"/>
              <w:left w:val="nil"/>
              <w:bottom w:val="nil"/>
              <w:right w:val="nil"/>
            </w:tcBorders>
            <w:shd w:val="clear" w:color="auto" w:fill="auto"/>
            <w:noWrap/>
            <w:vAlign w:val="bottom"/>
            <w:hideMark/>
          </w:tcPr>
          <w:p w14:paraId="3DD0E5C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0.16</w:t>
            </w:r>
          </w:p>
        </w:tc>
        <w:tc>
          <w:tcPr>
            <w:tcW w:w="1123" w:type="dxa"/>
            <w:tcBorders>
              <w:top w:val="nil"/>
              <w:left w:val="nil"/>
              <w:bottom w:val="nil"/>
              <w:right w:val="nil"/>
            </w:tcBorders>
            <w:shd w:val="clear" w:color="auto" w:fill="auto"/>
            <w:noWrap/>
            <w:vAlign w:val="bottom"/>
            <w:hideMark/>
          </w:tcPr>
          <w:p w14:paraId="120BDFD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338.2</w:t>
            </w:r>
          </w:p>
        </w:tc>
        <w:tc>
          <w:tcPr>
            <w:tcW w:w="737" w:type="dxa"/>
            <w:tcBorders>
              <w:top w:val="nil"/>
              <w:left w:val="nil"/>
              <w:bottom w:val="nil"/>
              <w:right w:val="nil"/>
            </w:tcBorders>
            <w:shd w:val="clear" w:color="auto" w:fill="auto"/>
            <w:noWrap/>
            <w:vAlign w:val="bottom"/>
            <w:hideMark/>
          </w:tcPr>
          <w:p w14:paraId="6C96AE5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0.18</w:t>
            </w:r>
          </w:p>
        </w:tc>
        <w:tc>
          <w:tcPr>
            <w:tcW w:w="1123" w:type="dxa"/>
            <w:tcBorders>
              <w:top w:val="nil"/>
              <w:left w:val="nil"/>
              <w:bottom w:val="nil"/>
              <w:right w:val="nil"/>
            </w:tcBorders>
            <w:shd w:val="clear" w:color="auto" w:fill="auto"/>
            <w:noWrap/>
            <w:vAlign w:val="bottom"/>
            <w:hideMark/>
          </w:tcPr>
          <w:p w14:paraId="6BAC2AA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310</w:t>
            </w:r>
          </w:p>
        </w:tc>
        <w:tc>
          <w:tcPr>
            <w:tcW w:w="737" w:type="dxa"/>
            <w:tcBorders>
              <w:top w:val="nil"/>
              <w:left w:val="nil"/>
              <w:bottom w:val="nil"/>
              <w:right w:val="nil"/>
            </w:tcBorders>
            <w:shd w:val="clear" w:color="auto" w:fill="auto"/>
            <w:noWrap/>
            <w:vAlign w:val="bottom"/>
            <w:hideMark/>
          </w:tcPr>
          <w:p w14:paraId="46EC64A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0.05</w:t>
            </w:r>
          </w:p>
        </w:tc>
      </w:tr>
      <w:tr w:rsidR="00837E11" w:rsidRPr="00022CA4" w14:paraId="3F96250F"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548357E0"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Wabi-Shebele</w:t>
            </w:r>
            <w:proofErr w:type="spellEnd"/>
          </w:p>
        </w:tc>
        <w:tc>
          <w:tcPr>
            <w:tcW w:w="1096" w:type="dxa"/>
            <w:tcBorders>
              <w:top w:val="nil"/>
              <w:left w:val="nil"/>
              <w:bottom w:val="nil"/>
              <w:right w:val="nil"/>
            </w:tcBorders>
            <w:shd w:val="clear" w:color="auto" w:fill="auto"/>
            <w:noWrap/>
            <w:vAlign w:val="bottom"/>
            <w:hideMark/>
          </w:tcPr>
          <w:p w14:paraId="4DCF003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966</w:t>
            </w:r>
          </w:p>
        </w:tc>
        <w:tc>
          <w:tcPr>
            <w:tcW w:w="777" w:type="dxa"/>
            <w:tcBorders>
              <w:top w:val="nil"/>
              <w:left w:val="nil"/>
              <w:bottom w:val="nil"/>
              <w:right w:val="nil"/>
            </w:tcBorders>
            <w:shd w:val="clear" w:color="auto" w:fill="auto"/>
            <w:noWrap/>
            <w:vAlign w:val="bottom"/>
            <w:hideMark/>
          </w:tcPr>
          <w:p w14:paraId="1948480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0.10</w:t>
            </w:r>
          </w:p>
        </w:tc>
        <w:tc>
          <w:tcPr>
            <w:tcW w:w="1123" w:type="dxa"/>
            <w:tcBorders>
              <w:top w:val="nil"/>
              <w:left w:val="nil"/>
              <w:bottom w:val="nil"/>
              <w:right w:val="nil"/>
            </w:tcBorders>
            <w:shd w:val="clear" w:color="auto" w:fill="auto"/>
            <w:noWrap/>
            <w:vAlign w:val="bottom"/>
            <w:hideMark/>
          </w:tcPr>
          <w:p w14:paraId="04FEF1C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310</w:t>
            </w:r>
          </w:p>
        </w:tc>
        <w:tc>
          <w:tcPr>
            <w:tcW w:w="737" w:type="dxa"/>
            <w:tcBorders>
              <w:top w:val="nil"/>
              <w:left w:val="nil"/>
              <w:bottom w:val="nil"/>
              <w:right w:val="nil"/>
            </w:tcBorders>
            <w:shd w:val="clear" w:color="auto" w:fill="auto"/>
            <w:noWrap/>
            <w:vAlign w:val="bottom"/>
            <w:hideMark/>
          </w:tcPr>
          <w:p w14:paraId="438F427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0.09</w:t>
            </w:r>
          </w:p>
        </w:tc>
        <w:tc>
          <w:tcPr>
            <w:tcW w:w="1123" w:type="dxa"/>
            <w:tcBorders>
              <w:top w:val="nil"/>
              <w:left w:val="nil"/>
              <w:bottom w:val="nil"/>
              <w:right w:val="nil"/>
            </w:tcBorders>
            <w:shd w:val="clear" w:color="auto" w:fill="auto"/>
            <w:noWrap/>
            <w:vAlign w:val="bottom"/>
            <w:hideMark/>
          </w:tcPr>
          <w:p w14:paraId="69F5351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340.1</w:t>
            </w:r>
          </w:p>
        </w:tc>
        <w:tc>
          <w:tcPr>
            <w:tcW w:w="737" w:type="dxa"/>
            <w:tcBorders>
              <w:top w:val="nil"/>
              <w:left w:val="nil"/>
              <w:bottom w:val="nil"/>
              <w:right w:val="nil"/>
            </w:tcBorders>
            <w:shd w:val="clear" w:color="auto" w:fill="auto"/>
            <w:noWrap/>
            <w:vAlign w:val="bottom"/>
            <w:hideMark/>
          </w:tcPr>
          <w:p w14:paraId="7F02316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0.01</w:t>
            </w:r>
          </w:p>
        </w:tc>
        <w:tc>
          <w:tcPr>
            <w:tcW w:w="1123" w:type="dxa"/>
            <w:tcBorders>
              <w:top w:val="nil"/>
              <w:left w:val="nil"/>
              <w:bottom w:val="nil"/>
              <w:right w:val="nil"/>
            </w:tcBorders>
            <w:shd w:val="clear" w:color="auto" w:fill="auto"/>
            <w:noWrap/>
            <w:vAlign w:val="bottom"/>
            <w:hideMark/>
          </w:tcPr>
          <w:p w14:paraId="122E474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316</w:t>
            </w:r>
          </w:p>
        </w:tc>
        <w:tc>
          <w:tcPr>
            <w:tcW w:w="737" w:type="dxa"/>
            <w:tcBorders>
              <w:top w:val="nil"/>
              <w:left w:val="nil"/>
              <w:bottom w:val="nil"/>
              <w:right w:val="nil"/>
            </w:tcBorders>
            <w:shd w:val="clear" w:color="auto" w:fill="auto"/>
            <w:noWrap/>
            <w:vAlign w:val="bottom"/>
            <w:hideMark/>
          </w:tcPr>
          <w:p w14:paraId="14709F2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0.00</w:t>
            </w:r>
          </w:p>
        </w:tc>
      </w:tr>
      <w:tr w:rsidR="00837E11" w:rsidRPr="00022CA4" w14:paraId="625ACB16"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7E188963"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Abbay</w:t>
            </w:r>
            <w:proofErr w:type="spellEnd"/>
          </w:p>
        </w:tc>
        <w:tc>
          <w:tcPr>
            <w:tcW w:w="1096" w:type="dxa"/>
            <w:tcBorders>
              <w:top w:val="nil"/>
              <w:left w:val="nil"/>
              <w:bottom w:val="nil"/>
              <w:right w:val="nil"/>
            </w:tcBorders>
            <w:shd w:val="clear" w:color="auto" w:fill="auto"/>
            <w:noWrap/>
            <w:vAlign w:val="bottom"/>
            <w:hideMark/>
          </w:tcPr>
          <w:p w14:paraId="0E5B8C1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923</w:t>
            </w:r>
          </w:p>
        </w:tc>
        <w:tc>
          <w:tcPr>
            <w:tcW w:w="777" w:type="dxa"/>
            <w:tcBorders>
              <w:top w:val="nil"/>
              <w:left w:val="nil"/>
              <w:bottom w:val="nil"/>
              <w:right w:val="nil"/>
            </w:tcBorders>
            <w:shd w:val="clear" w:color="auto" w:fill="auto"/>
            <w:noWrap/>
            <w:vAlign w:val="bottom"/>
            <w:hideMark/>
          </w:tcPr>
          <w:p w14:paraId="691ACC4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0.76</w:t>
            </w:r>
          </w:p>
        </w:tc>
        <w:tc>
          <w:tcPr>
            <w:tcW w:w="1123" w:type="dxa"/>
            <w:tcBorders>
              <w:top w:val="nil"/>
              <w:left w:val="nil"/>
              <w:bottom w:val="nil"/>
              <w:right w:val="nil"/>
            </w:tcBorders>
            <w:shd w:val="clear" w:color="auto" w:fill="auto"/>
            <w:noWrap/>
            <w:vAlign w:val="bottom"/>
            <w:hideMark/>
          </w:tcPr>
          <w:p w14:paraId="441BFC9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299</w:t>
            </w:r>
          </w:p>
        </w:tc>
        <w:tc>
          <w:tcPr>
            <w:tcW w:w="737" w:type="dxa"/>
            <w:tcBorders>
              <w:top w:val="nil"/>
              <w:left w:val="nil"/>
              <w:bottom w:val="nil"/>
              <w:right w:val="nil"/>
            </w:tcBorders>
            <w:shd w:val="clear" w:color="auto" w:fill="auto"/>
            <w:noWrap/>
            <w:vAlign w:val="bottom"/>
            <w:hideMark/>
          </w:tcPr>
          <w:p w14:paraId="00B6E2B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0.24</w:t>
            </w:r>
          </w:p>
        </w:tc>
        <w:tc>
          <w:tcPr>
            <w:tcW w:w="1123" w:type="dxa"/>
            <w:tcBorders>
              <w:top w:val="nil"/>
              <w:left w:val="nil"/>
              <w:bottom w:val="nil"/>
              <w:right w:val="nil"/>
            </w:tcBorders>
            <w:shd w:val="clear" w:color="auto" w:fill="auto"/>
            <w:noWrap/>
            <w:vAlign w:val="bottom"/>
            <w:hideMark/>
          </w:tcPr>
          <w:p w14:paraId="032330A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335.2</w:t>
            </w:r>
          </w:p>
        </w:tc>
        <w:tc>
          <w:tcPr>
            <w:tcW w:w="737" w:type="dxa"/>
            <w:tcBorders>
              <w:top w:val="nil"/>
              <w:left w:val="nil"/>
              <w:bottom w:val="nil"/>
              <w:right w:val="nil"/>
            </w:tcBorders>
            <w:shd w:val="clear" w:color="auto" w:fill="auto"/>
            <w:noWrap/>
            <w:vAlign w:val="bottom"/>
            <w:hideMark/>
          </w:tcPr>
          <w:p w14:paraId="780DA79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0.39</w:t>
            </w:r>
          </w:p>
        </w:tc>
        <w:tc>
          <w:tcPr>
            <w:tcW w:w="1123" w:type="dxa"/>
            <w:tcBorders>
              <w:top w:val="nil"/>
              <w:left w:val="nil"/>
              <w:bottom w:val="nil"/>
              <w:right w:val="nil"/>
            </w:tcBorders>
            <w:shd w:val="clear" w:color="auto" w:fill="auto"/>
            <w:noWrap/>
            <w:vAlign w:val="bottom"/>
            <w:hideMark/>
          </w:tcPr>
          <w:p w14:paraId="3EE44BE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289</w:t>
            </w:r>
          </w:p>
        </w:tc>
        <w:tc>
          <w:tcPr>
            <w:tcW w:w="737" w:type="dxa"/>
            <w:tcBorders>
              <w:top w:val="nil"/>
              <w:left w:val="nil"/>
              <w:bottom w:val="nil"/>
              <w:right w:val="nil"/>
            </w:tcBorders>
            <w:shd w:val="clear" w:color="auto" w:fill="auto"/>
            <w:noWrap/>
            <w:vAlign w:val="bottom"/>
            <w:hideMark/>
          </w:tcPr>
          <w:p w14:paraId="57408C7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0.13</w:t>
            </w:r>
          </w:p>
        </w:tc>
      </w:tr>
      <w:tr w:rsidR="00837E11" w:rsidRPr="00022CA4" w14:paraId="24B95C74"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502DFADC"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Genale-Dawa</w:t>
            </w:r>
            <w:proofErr w:type="spellEnd"/>
          </w:p>
        </w:tc>
        <w:tc>
          <w:tcPr>
            <w:tcW w:w="1096" w:type="dxa"/>
            <w:tcBorders>
              <w:top w:val="nil"/>
              <w:left w:val="nil"/>
              <w:bottom w:val="nil"/>
              <w:right w:val="nil"/>
            </w:tcBorders>
            <w:shd w:val="clear" w:color="auto" w:fill="auto"/>
            <w:noWrap/>
            <w:vAlign w:val="bottom"/>
            <w:hideMark/>
          </w:tcPr>
          <w:p w14:paraId="0EFDAB0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946</w:t>
            </w:r>
          </w:p>
        </w:tc>
        <w:tc>
          <w:tcPr>
            <w:tcW w:w="777" w:type="dxa"/>
            <w:tcBorders>
              <w:top w:val="nil"/>
              <w:left w:val="nil"/>
              <w:bottom w:val="nil"/>
              <w:right w:val="nil"/>
            </w:tcBorders>
            <w:shd w:val="clear" w:color="auto" w:fill="auto"/>
            <w:noWrap/>
            <w:vAlign w:val="bottom"/>
            <w:hideMark/>
          </w:tcPr>
          <w:p w14:paraId="349714F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0.25</w:t>
            </w:r>
          </w:p>
        </w:tc>
        <w:tc>
          <w:tcPr>
            <w:tcW w:w="1123" w:type="dxa"/>
            <w:tcBorders>
              <w:top w:val="nil"/>
              <w:left w:val="nil"/>
              <w:bottom w:val="nil"/>
              <w:right w:val="nil"/>
            </w:tcBorders>
            <w:shd w:val="clear" w:color="auto" w:fill="auto"/>
            <w:noWrap/>
            <w:vAlign w:val="bottom"/>
            <w:hideMark/>
          </w:tcPr>
          <w:p w14:paraId="230C376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311</w:t>
            </w:r>
          </w:p>
        </w:tc>
        <w:tc>
          <w:tcPr>
            <w:tcW w:w="737" w:type="dxa"/>
            <w:tcBorders>
              <w:top w:val="nil"/>
              <w:left w:val="nil"/>
              <w:bottom w:val="nil"/>
              <w:right w:val="nil"/>
            </w:tcBorders>
            <w:shd w:val="clear" w:color="auto" w:fill="auto"/>
            <w:noWrap/>
            <w:vAlign w:val="bottom"/>
            <w:hideMark/>
          </w:tcPr>
          <w:p w14:paraId="26B52A1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0.10</w:t>
            </w:r>
          </w:p>
        </w:tc>
        <w:tc>
          <w:tcPr>
            <w:tcW w:w="1123" w:type="dxa"/>
            <w:tcBorders>
              <w:top w:val="nil"/>
              <w:left w:val="nil"/>
              <w:bottom w:val="nil"/>
              <w:right w:val="nil"/>
            </w:tcBorders>
            <w:shd w:val="clear" w:color="auto" w:fill="auto"/>
            <w:noWrap/>
            <w:vAlign w:val="bottom"/>
            <w:hideMark/>
          </w:tcPr>
          <w:p w14:paraId="0F1C10B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331.3</w:t>
            </w:r>
          </w:p>
        </w:tc>
        <w:tc>
          <w:tcPr>
            <w:tcW w:w="737" w:type="dxa"/>
            <w:tcBorders>
              <w:top w:val="nil"/>
              <w:left w:val="nil"/>
              <w:bottom w:val="nil"/>
              <w:right w:val="nil"/>
            </w:tcBorders>
            <w:shd w:val="clear" w:color="auto" w:fill="auto"/>
            <w:noWrap/>
            <w:vAlign w:val="bottom"/>
            <w:hideMark/>
          </w:tcPr>
          <w:p w14:paraId="42B91E7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0.04</w:t>
            </w:r>
          </w:p>
        </w:tc>
        <w:tc>
          <w:tcPr>
            <w:tcW w:w="1123" w:type="dxa"/>
            <w:tcBorders>
              <w:top w:val="nil"/>
              <w:left w:val="nil"/>
              <w:bottom w:val="nil"/>
              <w:right w:val="nil"/>
            </w:tcBorders>
            <w:shd w:val="clear" w:color="auto" w:fill="auto"/>
            <w:noWrap/>
            <w:vAlign w:val="bottom"/>
            <w:hideMark/>
          </w:tcPr>
          <w:p w14:paraId="52D2454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304</w:t>
            </w:r>
          </w:p>
        </w:tc>
        <w:tc>
          <w:tcPr>
            <w:tcW w:w="737" w:type="dxa"/>
            <w:tcBorders>
              <w:top w:val="nil"/>
              <w:left w:val="nil"/>
              <w:bottom w:val="nil"/>
              <w:right w:val="nil"/>
            </w:tcBorders>
            <w:shd w:val="clear" w:color="auto" w:fill="auto"/>
            <w:noWrap/>
            <w:vAlign w:val="bottom"/>
            <w:hideMark/>
          </w:tcPr>
          <w:p w14:paraId="67B84EF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0.11</w:t>
            </w:r>
          </w:p>
        </w:tc>
      </w:tr>
      <w:tr w:rsidR="00837E11" w:rsidRPr="00022CA4" w14:paraId="07CAD717"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761C8D01"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Awash</w:t>
            </w:r>
          </w:p>
        </w:tc>
        <w:tc>
          <w:tcPr>
            <w:tcW w:w="1096" w:type="dxa"/>
            <w:tcBorders>
              <w:top w:val="nil"/>
              <w:left w:val="nil"/>
              <w:bottom w:val="nil"/>
              <w:right w:val="nil"/>
            </w:tcBorders>
            <w:shd w:val="clear" w:color="auto" w:fill="auto"/>
            <w:noWrap/>
            <w:vAlign w:val="bottom"/>
            <w:hideMark/>
          </w:tcPr>
          <w:p w14:paraId="405A486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991</w:t>
            </w:r>
          </w:p>
        </w:tc>
        <w:tc>
          <w:tcPr>
            <w:tcW w:w="777" w:type="dxa"/>
            <w:tcBorders>
              <w:top w:val="nil"/>
              <w:left w:val="nil"/>
              <w:bottom w:val="nil"/>
              <w:right w:val="nil"/>
            </w:tcBorders>
            <w:shd w:val="clear" w:color="auto" w:fill="auto"/>
            <w:noWrap/>
            <w:vAlign w:val="bottom"/>
            <w:hideMark/>
          </w:tcPr>
          <w:p w14:paraId="6298D74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0.46</w:t>
            </w:r>
          </w:p>
        </w:tc>
        <w:tc>
          <w:tcPr>
            <w:tcW w:w="1123" w:type="dxa"/>
            <w:tcBorders>
              <w:top w:val="nil"/>
              <w:left w:val="nil"/>
              <w:bottom w:val="nil"/>
              <w:right w:val="nil"/>
            </w:tcBorders>
            <w:shd w:val="clear" w:color="auto" w:fill="auto"/>
            <w:noWrap/>
            <w:vAlign w:val="bottom"/>
            <w:hideMark/>
          </w:tcPr>
          <w:p w14:paraId="1C88D28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311</w:t>
            </w:r>
          </w:p>
        </w:tc>
        <w:tc>
          <w:tcPr>
            <w:tcW w:w="737" w:type="dxa"/>
            <w:tcBorders>
              <w:top w:val="nil"/>
              <w:left w:val="nil"/>
              <w:bottom w:val="nil"/>
              <w:right w:val="nil"/>
            </w:tcBorders>
            <w:shd w:val="clear" w:color="auto" w:fill="auto"/>
            <w:noWrap/>
            <w:vAlign w:val="bottom"/>
            <w:hideMark/>
          </w:tcPr>
          <w:p w14:paraId="480092C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0.19</w:t>
            </w:r>
          </w:p>
        </w:tc>
        <w:tc>
          <w:tcPr>
            <w:tcW w:w="1123" w:type="dxa"/>
            <w:tcBorders>
              <w:top w:val="nil"/>
              <w:left w:val="nil"/>
              <w:bottom w:val="nil"/>
              <w:right w:val="nil"/>
            </w:tcBorders>
            <w:shd w:val="clear" w:color="auto" w:fill="auto"/>
            <w:noWrap/>
            <w:vAlign w:val="bottom"/>
            <w:hideMark/>
          </w:tcPr>
          <w:p w14:paraId="590BB60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345.9</w:t>
            </w:r>
          </w:p>
        </w:tc>
        <w:tc>
          <w:tcPr>
            <w:tcW w:w="737" w:type="dxa"/>
            <w:tcBorders>
              <w:top w:val="nil"/>
              <w:left w:val="nil"/>
              <w:bottom w:val="nil"/>
              <w:right w:val="nil"/>
            </w:tcBorders>
            <w:shd w:val="clear" w:color="auto" w:fill="auto"/>
            <w:noWrap/>
            <w:vAlign w:val="bottom"/>
            <w:hideMark/>
          </w:tcPr>
          <w:p w14:paraId="3154282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0.21</w:t>
            </w:r>
          </w:p>
        </w:tc>
        <w:tc>
          <w:tcPr>
            <w:tcW w:w="1123" w:type="dxa"/>
            <w:tcBorders>
              <w:top w:val="nil"/>
              <w:left w:val="nil"/>
              <w:bottom w:val="nil"/>
              <w:right w:val="nil"/>
            </w:tcBorders>
            <w:shd w:val="clear" w:color="auto" w:fill="auto"/>
            <w:noWrap/>
            <w:vAlign w:val="bottom"/>
            <w:hideMark/>
          </w:tcPr>
          <w:p w14:paraId="04953DA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334</w:t>
            </w:r>
          </w:p>
        </w:tc>
        <w:tc>
          <w:tcPr>
            <w:tcW w:w="737" w:type="dxa"/>
            <w:tcBorders>
              <w:top w:val="nil"/>
              <w:left w:val="nil"/>
              <w:bottom w:val="nil"/>
              <w:right w:val="nil"/>
            </w:tcBorders>
            <w:shd w:val="clear" w:color="auto" w:fill="auto"/>
            <w:noWrap/>
            <w:vAlign w:val="bottom"/>
            <w:hideMark/>
          </w:tcPr>
          <w:p w14:paraId="6C6C0A0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0.07</w:t>
            </w:r>
          </w:p>
        </w:tc>
      </w:tr>
      <w:tr w:rsidR="00837E11" w:rsidRPr="00022CA4" w14:paraId="67EB5777"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0BAA4794"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Tekeze</w:t>
            </w:r>
            <w:proofErr w:type="spellEnd"/>
          </w:p>
        </w:tc>
        <w:tc>
          <w:tcPr>
            <w:tcW w:w="1096" w:type="dxa"/>
            <w:tcBorders>
              <w:top w:val="nil"/>
              <w:left w:val="nil"/>
              <w:bottom w:val="nil"/>
              <w:right w:val="nil"/>
            </w:tcBorders>
            <w:shd w:val="clear" w:color="auto" w:fill="auto"/>
            <w:noWrap/>
            <w:vAlign w:val="bottom"/>
            <w:hideMark/>
          </w:tcPr>
          <w:p w14:paraId="1E88B16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975</w:t>
            </w:r>
          </w:p>
        </w:tc>
        <w:tc>
          <w:tcPr>
            <w:tcW w:w="777" w:type="dxa"/>
            <w:tcBorders>
              <w:top w:val="nil"/>
              <w:left w:val="nil"/>
              <w:bottom w:val="nil"/>
              <w:right w:val="nil"/>
            </w:tcBorders>
            <w:shd w:val="clear" w:color="auto" w:fill="auto"/>
            <w:noWrap/>
            <w:vAlign w:val="bottom"/>
            <w:hideMark/>
          </w:tcPr>
          <w:p w14:paraId="7D0AEF4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0.64</w:t>
            </w:r>
          </w:p>
        </w:tc>
        <w:tc>
          <w:tcPr>
            <w:tcW w:w="1123" w:type="dxa"/>
            <w:tcBorders>
              <w:top w:val="nil"/>
              <w:left w:val="nil"/>
              <w:bottom w:val="nil"/>
              <w:right w:val="nil"/>
            </w:tcBorders>
            <w:shd w:val="clear" w:color="auto" w:fill="auto"/>
            <w:noWrap/>
            <w:vAlign w:val="bottom"/>
            <w:hideMark/>
          </w:tcPr>
          <w:p w14:paraId="278A1A0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308</w:t>
            </w:r>
          </w:p>
        </w:tc>
        <w:tc>
          <w:tcPr>
            <w:tcW w:w="737" w:type="dxa"/>
            <w:tcBorders>
              <w:top w:val="nil"/>
              <w:left w:val="nil"/>
              <w:bottom w:val="nil"/>
              <w:right w:val="nil"/>
            </w:tcBorders>
            <w:shd w:val="clear" w:color="auto" w:fill="auto"/>
            <w:noWrap/>
            <w:vAlign w:val="bottom"/>
            <w:hideMark/>
          </w:tcPr>
          <w:p w14:paraId="7814A6C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0.22</w:t>
            </w:r>
          </w:p>
        </w:tc>
        <w:tc>
          <w:tcPr>
            <w:tcW w:w="1123" w:type="dxa"/>
            <w:tcBorders>
              <w:top w:val="nil"/>
              <w:left w:val="nil"/>
              <w:bottom w:val="nil"/>
              <w:right w:val="nil"/>
            </w:tcBorders>
            <w:shd w:val="clear" w:color="auto" w:fill="auto"/>
            <w:noWrap/>
            <w:vAlign w:val="bottom"/>
            <w:hideMark/>
          </w:tcPr>
          <w:p w14:paraId="4B4FEBC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352.8</w:t>
            </w:r>
          </w:p>
        </w:tc>
        <w:tc>
          <w:tcPr>
            <w:tcW w:w="737" w:type="dxa"/>
            <w:tcBorders>
              <w:top w:val="nil"/>
              <w:left w:val="nil"/>
              <w:bottom w:val="nil"/>
              <w:right w:val="nil"/>
            </w:tcBorders>
            <w:shd w:val="clear" w:color="auto" w:fill="auto"/>
            <w:noWrap/>
            <w:vAlign w:val="bottom"/>
            <w:hideMark/>
          </w:tcPr>
          <w:p w14:paraId="5414FAF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0.40</w:t>
            </w:r>
          </w:p>
        </w:tc>
        <w:tc>
          <w:tcPr>
            <w:tcW w:w="1123" w:type="dxa"/>
            <w:tcBorders>
              <w:top w:val="nil"/>
              <w:left w:val="nil"/>
              <w:bottom w:val="nil"/>
              <w:right w:val="nil"/>
            </w:tcBorders>
            <w:shd w:val="clear" w:color="auto" w:fill="auto"/>
            <w:noWrap/>
            <w:vAlign w:val="bottom"/>
            <w:hideMark/>
          </w:tcPr>
          <w:p w14:paraId="43EC04F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314</w:t>
            </w:r>
          </w:p>
        </w:tc>
        <w:tc>
          <w:tcPr>
            <w:tcW w:w="737" w:type="dxa"/>
            <w:tcBorders>
              <w:top w:val="nil"/>
              <w:left w:val="nil"/>
              <w:bottom w:val="nil"/>
              <w:right w:val="nil"/>
            </w:tcBorders>
            <w:shd w:val="clear" w:color="auto" w:fill="auto"/>
            <w:noWrap/>
            <w:vAlign w:val="bottom"/>
            <w:hideMark/>
          </w:tcPr>
          <w:p w14:paraId="50870C2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0.02</w:t>
            </w:r>
          </w:p>
        </w:tc>
      </w:tr>
      <w:tr w:rsidR="00837E11" w:rsidRPr="00022CA4" w14:paraId="293D4626"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4A875BC1"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Omo</w:t>
            </w:r>
            <w:proofErr w:type="spellEnd"/>
            <w:r w:rsidRPr="00022CA4">
              <w:rPr>
                <w:rFonts w:ascii="Times New Roman" w:eastAsia="Times New Roman" w:hAnsi="Times New Roman" w:cs="Times New Roman"/>
                <w:color w:val="000000"/>
                <w:sz w:val="24"/>
                <w:szCs w:val="24"/>
                <w:lang w:eastAsia="en-GB"/>
              </w:rPr>
              <w:t>-Gibe</w:t>
            </w:r>
          </w:p>
        </w:tc>
        <w:tc>
          <w:tcPr>
            <w:tcW w:w="1096" w:type="dxa"/>
            <w:tcBorders>
              <w:top w:val="nil"/>
              <w:left w:val="nil"/>
              <w:bottom w:val="nil"/>
              <w:right w:val="nil"/>
            </w:tcBorders>
            <w:shd w:val="clear" w:color="auto" w:fill="auto"/>
            <w:noWrap/>
            <w:vAlign w:val="bottom"/>
            <w:hideMark/>
          </w:tcPr>
          <w:p w14:paraId="45D7C7B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927</w:t>
            </w:r>
          </w:p>
        </w:tc>
        <w:tc>
          <w:tcPr>
            <w:tcW w:w="777" w:type="dxa"/>
            <w:tcBorders>
              <w:top w:val="nil"/>
              <w:left w:val="nil"/>
              <w:bottom w:val="nil"/>
              <w:right w:val="nil"/>
            </w:tcBorders>
            <w:shd w:val="clear" w:color="auto" w:fill="auto"/>
            <w:noWrap/>
            <w:vAlign w:val="bottom"/>
            <w:hideMark/>
          </w:tcPr>
          <w:p w14:paraId="02149D3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0.32</w:t>
            </w:r>
          </w:p>
        </w:tc>
        <w:tc>
          <w:tcPr>
            <w:tcW w:w="1123" w:type="dxa"/>
            <w:tcBorders>
              <w:top w:val="nil"/>
              <w:left w:val="nil"/>
              <w:bottom w:val="nil"/>
              <w:right w:val="nil"/>
            </w:tcBorders>
            <w:shd w:val="clear" w:color="auto" w:fill="auto"/>
            <w:noWrap/>
            <w:vAlign w:val="bottom"/>
            <w:hideMark/>
          </w:tcPr>
          <w:p w14:paraId="6BDFADC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308</w:t>
            </w:r>
          </w:p>
        </w:tc>
        <w:tc>
          <w:tcPr>
            <w:tcW w:w="737" w:type="dxa"/>
            <w:tcBorders>
              <w:top w:val="nil"/>
              <w:left w:val="nil"/>
              <w:bottom w:val="nil"/>
              <w:right w:val="nil"/>
            </w:tcBorders>
            <w:shd w:val="clear" w:color="auto" w:fill="auto"/>
            <w:noWrap/>
            <w:vAlign w:val="bottom"/>
            <w:hideMark/>
          </w:tcPr>
          <w:p w14:paraId="7F1B907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0.13</w:t>
            </w:r>
          </w:p>
        </w:tc>
        <w:tc>
          <w:tcPr>
            <w:tcW w:w="1123" w:type="dxa"/>
            <w:tcBorders>
              <w:top w:val="nil"/>
              <w:left w:val="nil"/>
              <w:bottom w:val="nil"/>
              <w:right w:val="nil"/>
            </w:tcBorders>
            <w:shd w:val="clear" w:color="auto" w:fill="auto"/>
            <w:noWrap/>
            <w:vAlign w:val="bottom"/>
            <w:hideMark/>
          </w:tcPr>
          <w:p w14:paraId="5F82849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323.6</w:t>
            </w:r>
          </w:p>
        </w:tc>
        <w:tc>
          <w:tcPr>
            <w:tcW w:w="737" w:type="dxa"/>
            <w:tcBorders>
              <w:top w:val="nil"/>
              <w:left w:val="nil"/>
              <w:bottom w:val="nil"/>
              <w:right w:val="nil"/>
            </w:tcBorders>
            <w:shd w:val="clear" w:color="auto" w:fill="auto"/>
            <w:noWrap/>
            <w:vAlign w:val="bottom"/>
            <w:hideMark/>
          </w:tcPr>
          <w:p w14:paraId="2D2580D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0.13</w:t>
            </w:r>
          </w:p>
        </w:tc>
        <w:tc>
          <w:tcPr>
            <w:tcW w:w="1123" w:type="dxa"/>
            <w:tcBorders>
              <w:top w:val="nil"/>
              <w:left w:val="nil"/>
              <w:bottom w:val="nil"/>
              <w:right w:val="nil"/>
            </w:tcBorders>
            <w:shd w:val="clear" w:color="auto" w:fill="auto"/>
            <w:noWrap/>
            <w:vAlign w:val="bottom"/>
            <w:hideMark/>
          </w:tcPr>
          <w:p w14:paraId="12CC150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295</w:t>
            </w:r>
          </w:p>
        </w:tc>
        <w:tc>
          <w:tcPr>
            <w:tcW w:w="737" w:type="dxa"/>
            <w:tcBorders>
              <w:top w:val="nil"/>
              <w:left w:val="nil"/>
              <w:bottom w:val="nil"/>
              <w:right w:val="nil"/>
            </w:tcBorders>
            <w:shd w:val="clear" w:color="auto" w:fill="auto"/>
            <w:noWrap/>
            <w:vAlign w:val="bottom"/>
            <w:hideMark/>
          </w:tcPr>
          <w:p w14:paraId="3A4FFA2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0.06</w:t>
            </w:r>
          </w:p>
        </w:tc>
      </w:tr>
      <w:tr w:rsidR="00837E11" w:rsidRPr="00022CA4" w14:paraId="51925424"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2EB8E351"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Ogaden</w:t>
            </w:r>
            <w:proofErr w:type="spellEnd"/>
          </w:p>
        </w:tc>
        <w:tc>
          <w:tcPr>
            <w:tcW w:w="1096" w:type="dxa"/>
            <w:tcBorders>
              <w:top w:val="nil"/>
              <w:left w:val="nil"/>
              <w:bottom w:val="nil"/>
              <w:right w:val="nil"/>
            </w:tcBorders>
            <w:shd w:val="clear" w:color="auto" w:fill="auto"/>
            <w:noWrap/>
            <w:vAlign w:val="bottom"/>
            <w:hideMark/>
          </w:tcPr>
          <w:p w14:paraId="05F5672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977</w:t>
            </w:r>
          </w:p>
        </w:tc>
        <w:tc>
          <w:tcPr>
            <w:tcW w:w="777" w:type="dxa"/>
            <w:tcBorders>
              <w:top w:val="nil"/>
              <w:left w:val="nil"/>
              <w:bottom w:val="nil"/>
              <w:right w:val="nil"/>
            </w:tcBorders>
            <w:shd w:val="clear" w:color="auto" w:fill="auto"/>
            <w:noWrap/>
            <w:vAlign w:val="bottom"/>
            <w:hideMark/>
          </w:tcPr>
          <w:p w14:paraId="32831D0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0.02</w:t>
            </w:r>
          </w:p>
        </w:tc>
        <w:tc>
          <w:tcPr>
            <w:tcW w:w="1123" w:type="dxa"/>
            <w:tcBorders>
              <w:top w:val="nil"/>
              <w:left w:val="nil"/>
              <w:bottom w:val="nil"/>
              <w:right w:val="nil"/>
            </w:tcBorders>
            <w:shd w:val="clear" w:color="auto" w:fill="auto"/>
            <w:noWrap/>
            <w:vAlign w:val="bottom"/>
            <w:hideMark/>
          </w:tcPr>
          <w:p w14:paraId="6AFCA76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319</w:t>
            </w:r>
          </w:p>
        </w:tc>
        <w:tc>
          <w:tcPr>
            <w:tcW w:w="737" w:type="dxa"/>
            <w:tcBorders>
              <w:top w:val="nil"/>
              <w:left w:val="nil"/>
              <w:bottom w:val="nil"/>
              <w:right w:val="nil"/>
            </w:tcBorders>
            <w:shd w:val="clear" w:color="auto" w:fill="auto"/>
            <w:noWrap/>
            <w:vAlign w:val="bottom"/>
            <w:hideMark/>
          </w:tcPr>
          <w:p w14:paraId="79AECD7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0.08</w:t>
            </w:r>
          </w:p>
        </w:tc>
        <w:tc>
          <w:tcPr>
            <w:tcW w:w="1123" w:type="dxa"/>
            <w:tcBorders>
              <w:top w:val="nil"/>
              <w:left w:val="nil"/>
              <w:bottom w:val="nil"/>
              <w:right w:val="nil"/>
            </w:tcBorders>
            <w:shd w:val="clear" w:color="auto" w:fill="auto"/>
            <w:noWrap/>
            <w:vAlign w:val="bottom"/>
            <w:hideMark/>
          </w:tcPr>
          <w:p w14:paraId="420C5CB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346.8</w:t>
            </w:r>
          </w:p>
        </w:tc>
        <w:tc>
          <w:tcPr>
            <w:tcW w:w="737" w:type="dxa"/>
            <w:tcBorders>
              <w:top w:val="nil"/>
              <w:left w:val="nil"/>
              <w:bottom w:val="nil"/>
              <w:right w:val="nil"/>
            </w:tcBorders>
            <w:shd w:val="clear" w:color="auto" w:fill="auto"/>
            <w:noWrap/>
            <w:vAlign w:val="bottom"/>
            <w:hideMark/>
          </w:tcPr>
          <w:p w14:paraId="6F4DAB4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-0.06</w:t>
            </w:r>
          </w:p>
        </w:tc>
        <w:tc>
          <w:tcPr>
            <w:tcW w:w="1123" w:type="dxa"/>
            <w:tcBorders>
              <w:top w:val="nil"/>
              <w:left w:val="nil"/>
              <w:bottom w:val="nil"/>
              <w:right w:val="nil"/>
            </w:tcBorders>
            <w:shd w:val="clear" w:color="auto" w:fill="auto"/>
            <w:noWrap/>
            <w:vAlign w:val="bottom"/>
            <w:hideMark/>
          </w:tcPr>
          <w:p w14:paraId="11B0919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311</w:t>
            </w:r>
          </w:p>
        </w:tc>
        <w:tc>
          <w:tcPr>
            <w:tcW w:w="737" w:type="dxa"/>
            <w:tcBorders>
              <w:top w:val="nil"/>
              <w:left w:val="nil"/>
              <w:bottom w:val="nil"/>
              <w:right w:val="nil"/>
            </w:tcBorders>
            <w:shd w:val="clear" w:color="auto" w:fill="auto"/>
            <w:noWrap/>
            <w:vAlign w:val="bottom"/>
            <w:hideMark/>
          </w:tcPr>
          <w:p w14:paraId="3DCF378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0.00</w:t>
            </w:r>
          </w:p>
        </w:tc>
      </w:tr>
      <w:tr w:rsidR="00837E11" w:rsidRPr="00022CA4" w14:paraId="72891120"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75B2CCF4"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Baro-Akobo</w:t>
            </w:r>
            <w:proofErr w:type="spellEnd"/>
          </w:p>
        </w:tc>
        <w:tc>
          <w:tcPr>
            <w:tcW w:w="1096" w:type="dxa"/>
            <w:tcBorders>
              <w:top w:val="nil"/>
              <w:left w:val="nil"/>
              <w:bottom w:val="nil"/>
              <w:right w:val="nil"/>
            </w:tcBorders>
            <w:shd w:val="clear" w:color="auto" w:fill="auto"/>
            <w:noWrap/>
            <w:vAlign w:val="bottom"/>
            <w:hideMark/>
          </w:tcPr>
          <w:p w14:paraId="676DB1B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922</w:t>
            </w:r>
          </w:p>
        </w:tc>
        <w:tc>
          <w:tcPr>
            <w:tcW w:w="777" w:type="dxa"/>
            <w:tcBorders>
              <w:top w:val="nil"/>
              <w:left w:val="nil"/>
              <w:bottom w:val="nil"/>
              <w:right w:val="nil"/>
            </w:tcBorders>
            <w:shd w:val="clear" w:color="auto" w:fill="auto"/>
            <w:noWrap/>
            <w:vAlign w:val="bottom"/>
            <w:hideMark/>
          </w:tcPr>
          <w:p w14:paraId="764783B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0.62</w:t>
            </w:r>
          </w:p>
        </w:tc>
        <w:tc>
          <w:tcPr>
            <w:tcW w:w="1123" w:type="dxa"/>
            <w:tcBorders>
              <w:top w:val="nil"/>
              <w:left w:val="nil"/>
              <w:bottom w:val="nil"/>
              <w:right w:val="nil"/>
            </w:tcBorders>
            <w:shd w:val="clear" w:color="auto" w:fill="auto"/>
            <w:noWrap/>
            <w:vAlign w:val="bottom"/>
            <w:hideMark/>
          </w:tcPr>
          <w:p w14:paraId="30959D5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307</w:t>
            </w:r>
          </w:p>
        </w:tc>
        <w:tc>
          <w:tcPr>
            <w:tcW w:w="737" w:type="dxa"/>
            <w:tcBorders>
              <w:top w:val="nil"/>
              <w:left w:val="nil"/>
              <w:bottom w:val="nil"/>
              <w:right w:val="nil"/>
            </w:tcBorders>
            <w:shd w:val="clear" w:color="auto" w:fill="auto"/>
            <w:noWrap/>
            <w:vAlign w:val="bottom"/>
            <w:hideMark/>
          </w:tcPr>
          <w:p w14:paraId="76C2B8F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0.26</w:t>
            </w:r>
          </w:p>
        </w:tc>
        <w:tc>
          <w:tcPr>
            <w:tcW w:w="1123" w:type="dxa"/>
            <w:tcBorders>
              <w:top w:val="nil"/>
              <w:left w:val="nil"/>
              <w:bottom w:val="nil"/>
              <w:right w:val="nil"/>
            </w:tcBorders>
            <w:shd w:val="clear" w:color="auto" w:fill="auto"/>
            <w:noWrap/>
            <w:vAlign w:val="bottom"/>
            <w:hideMark/>
          </w:tcPr>
          <w:p w14:paraId="2740020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324.9</w:t>
            </w:r>
          </w:p>
        </w:tc>
        <w:tc>
          <w:tcPr>
            <w:tcW w:w="737" w:type="dxa"/>
            <w:tcBorders>
              <w:top w:val="nil"/>
              <w:left w:val="nil"/>
              <w:bottom w:val="nil"/>
              <w:right w:val="nil"/>
            </w:tcBorders>
            <w:shd w:val="clear" w:color="auto" w:fill="auto"/>
            <w:noWrap/>
            <w:vAlign w:val="bottom"/>
            <w:hideMark/>
          </w:tcPr>
          <w:p w14:paraId="5D9A95E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0.33</w:t>
            </w:r>
          </w:p>
        </w:tc>
        <w:tc>
          <w:tcPr>
            <w:tcW w:w="1123" w:type="dxa"/>
            <w:tcBorders>
              <w:top w:val="nil"/>
              <w:left w:val="nil"/>
              <w:bottom w:val="nil"/>
              <w:right w:val="nil"/>
            </w:tcBorders>
            <w:shd w:val="clear" w:color="auto" w:fill="auto"/>
            <w:noWrap/>
            <w:vAlign w:val="bottom"/>
            <w:hideMark/>
          </w:tcPr>
          <w:p w14:paraId="0E75336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290</w:t>
            </w:r>
          </w:p>
        </w:tc>
        <w:tc>
          <w:tcPr>
            <w:tcW w:w="737" w:type="dxa"/>
            <w:tcBorders>
              <w:top w:val="nil"/>
              <w:left w:val="nil"/>
              <w:bottom w:val="nil"/>
              <w:right w:val="nil"/>
            </w:tcBorders>
            <w:shd w:val="clear" w:color="auto" w:fill="auto"/>
            <w:noWrap/>
            <w:vAlign w:val="bottom"/>
            <w:hideMark/>
          </w:tcPr>
          <w:p w14:paraId="4140EB2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0.03</w:t>
            </w:r>
          </w:p>
        </w:tc>
      </w:tr>
      <w:tr w:rsidR="00837E11" w:rsidRPr="00022CA4" w14:paraId="16FDBC7C"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0F62E50D"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Denakil</w:t>
            </w:r>
            <w:proofErr w:type="spellEnd"/>
          </w:p>
        </w:tc>
        <w:tc>
          <w:tcPr>
            <w:tcW w:w="1096" w:type="dxa"/>
            <w:tcBorders>
              <w:top w:val="nil"/>
              <w:left w:val="nil"/>
              <w:bottom w:val="nil"/>
              <w:right w:val="nil"/>
            </w:tcBorders>
            <w:shd w:val="clear" w:color="auto" w:fill="auto"/>
            <w:noWrap/>
            <w:vAlign w:val="bottom"/>
            <w:hideMark/>
          </w:tcPr>
          <w:p w14:paraId="5FF9D0E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1059</w:t>
            </w:r>
          </w:p>
        </w:tc>
        <w:tc>
          <w:tcPr>
            <w:tcW w:w="777" w:type="dxa"/>
            <w:tcBorders>
              <w:top w:val="nil"/>
              <w:left w:val="nil"/>
              <w:bottom w:val="nil"/>
              <w:right w:val="nil"/>
            </w:tcBorders>
            <w:shd w:val="clear" w:color="auto" w:fill="auto"/>
            <w:noWrap/>
            <w:vAlign w:val="bottom"/>
            <w:hideMark/>
          </w:tcPr>
          <w:p w14:paraId="0DD01C1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0.52</w:t>
            </w:r>
          </w:p>
        </w:tc>
        <w:tc>
          <w:tcPr>
            <w:tcW w:w="1123" w:type="dxa"/>
            <w:tcBorders>
              <w:top w:val="nil"/>
              <w:left w:val="nil"/>
              <w:bottom w:val="nil"/>
              <w:right w:val="nil"/>
            </w:tcBorders>
            <w:shd w:val="clear" w:color="auto" w:fill="auto"/>
            <w:noWrap/>
            <w:vAlign w:val="bottom"/>
            <w:hideMark/>
          </w:tcPr>
          <w:p w14:paraId="03D16C1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321</w:t>
            </w:r>
          </w:p>
        </w:tc>
        <w:tc>
          <w:tcPr>
            <w:tcW w:w="737" w:type="dxa"/>
            <w:tcBorders>
              <w:top w:val="nil"/>
              <w:left w:val="nil"/>
              <w:bottom w:val="nil"/>
              <w:right w:val="nil"/>
            </w:tcBorders>
            <w:shd w:val="clear" w:color="auto" w:fill="auto"/>
            <w:noWrap/>
            <w:vAlign w:val="bottom"/>
            <w:hideMark/>
          </w:tcPr>
          <w:p w14:paraId="142CF69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0.21</w:t>
            </w:r>
          </w:p>
        </w:tc>
        <w:tc>
          <w:tcPr>
            <w:tcW w:w="1123" w:type="dxa"/>
            <w:tcBorders>
              <w:top w:val="nil"/>
              <w:left w:val="nil"/>
              <w:bottom w:val="nil"/>
              <w:right w:val="nil"/>
            </w:tcBorders>
            <w:shd w:val="clear" w:color="auto" w:fill="auto"/>
            <w:noWrap/>
            <w:vAlign w:val="bottom"/>
            <w:hideMark/>
          </w:tcPr>
          <w:p w14:paraId="1BFBD95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363.6</w:t>
            </w:r>
          </w:p>
        </w:tc>
        <w:tc>
          <w:tcPr>
            <w:tcW w:w="737" w:type="dxa"/>
            <w:tcBorders>
              <w:top w:val="nil"/>
              <w:left w:val="nil"/>
              <w:bottom w:val="nil"/>
              <w:right w:val="nil"/>
            </w:tcBorders>
            <w:shd w:val="clear" w:color="auto" w:fill="auto"/>
            <w:noWrap/>
            <w:vAlign w:val="bottom"/>
            <w:hideMark/>
          </w:tcPr>
          <w:p w14:paraId="27CDAF1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0.34</w:t>
            </w:r>
          </w:p>
        </w:tc>
        <w:tc>
          <w:tcPr>
            <w:tcW w:w="1123" w:type="dxa"/>
            <w:tcBorders>
              <w:top w:val="nil"/>
              <w:left w:val="nil"/>
              <w:bottom w:val="nil"/>
              <w:right w:val="nil"/>
            </w:tcBorders>
            <w:shd w:val="clear" w:color="auto" w:fill="auto"/>
            <w:noWrap/>
            <w:vAlign w:val="bottom"/>
            <w:hideMark/>
          </w:tcPr>
          <w:p w14:paraId="18C26F4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374</w:t>
            </w:r>
          </w:p>
        </w:tc>
        <w:tc>
          <w:tcPr>
            <w:tcW w:w="737" w:type="dxa"/>
            <w:tcBorders>
              <w:top w:val="nil"/>
              <w:left w:val="nil"/>
              <w:bottom w:val="nil"/>
              <w:right w:val="nil"/>
            </w:tcBorders>
            <w:shd w:val="clear" w:color="auto" w:fill="auto"/>
            <w:noWrap/>
            <w:vAlign w:val="bottom"/>
            <w:hideMark/>
          </w:tcPr>
          <w:p w14:paraId="7632D40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-0.03</w:t>
            </w:r>
          </w:p>
        </w:tc>
      </w:tr>
      <w:tr w:rsidR="00837E11" w:rsidRPr="00022CA4" w14:paraId="1DF1FC1A"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1F3498B9"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Rift-Valley</w:t>
            </w:r>
          </w:p>
        </w:tc>
        <w:tc>
          <w:tcPr>
            <w:tcW w:w="1096" w:type="dxa"/>
            <w:tcBorders>
              <w:top w:val="nil"/>
              <w:left w:val="nil"/>
              <w:bottom w:val="nil"/>
              <w:right w:val="nil"/>
            </w:tcBorders>
            <w:shd w:val="clear" w:color="auto" w:fill="auto"/>
            <w:noWrap/>
            <w:vAlign w:val="bottom"/>
            <w:hideMark/>
          </w:tcPr>
          <w:p w14:paraId="3FD3A31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905</w:t>
            </w:r>
          </w:p>
        </w:tc>
        <w:tc>
          <w:tcPr>
            <w:tcW w:w="777" w:type="dxa"/>
            <w:tcBorders>
              <w:top w:val="nil"/>
              <w:left w:val="nil"/>
              <w:bottom w:val="nil"/>
              <w:right w:val="nil"/>
            </w:tcBorders>
            <w:shd w:val="clear" w:color="auto" w:fill="auto"/>
            <w:noWrap/>
            <w:vAlign w:val="bottom"/>
            <w:hideMark/>
          </w:tcPr>
          <w:p w14:paraId="352541F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0.31</w:t>
            </w:r>
          </w:p>
        </w:tc>
        <w:tc>
          <w:tcPr>
            <w:tcW w:w="1123" w:type="dxa"/>
            <w:tcBorders>
              <w:top w:val="nil"/>
              <w:left w:val="nil"/>
              <w:bottom w:val="nil"/>
              <w:right w:val="nil"/>
            </w:tcBorders>
            <w:shd w:val="clear" w:color="auto" w:fill="auto"/>
            <w:noWrap/>
            <w:vAlign w:val="bottom"/>
            <w:hideMark/>
          </w:tcPr>
          <w:p w14:paraId="71605D9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300</w:t>
            </w:r>
          </w:p>
        </w:tc>
        <w:tc>
          <w:tcPr>
            <w:tcW w:w="737" w:type="dxa"/>
            <w:tcBorders>
              <w:top w:val="nil"/>
              <w:left w:val="nil"/>
              <w:bottom w:val="nil"/>
              <w:right w:val="nil"/>
            </w:tcBorders>
            <w:shd w:val="clear" w:color="auto" w:fill="auto"/>
            <w:noWrap/>
            <w:vAlign w:val="bottom"/>
            <w:hideMark/>
          </w:tcPr>
          <w:p w14:paraId="18F296C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0.12</w:t>
            </w:r>
          </w:p>
        </w:tc>
        <w:tc>
          <w:tcPr>
            <w:tcW w:w="1123" w:type="dxa"/>
            <w:tcBorders>
              <w:top w:val="nil"/>
              <w:left w:val="nil"/>
              <w:bottom w:val="nil"/>
              <w:right w:val="nil"/>
            </w:tcBorders>
            <w:shd w:val="clear" w:color="auto" w:fill="auto"/>
            <w:noWrap/>
            <w:vAlign w:val="bottom"/>
            <w:hideMark/>
          </w:tcPr>
          <w:p w14:paraId="2D8E7FE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315.8</w:t>
            </w:r>
          </w:p>
        </w:tc>
        <w:tc>
          <w:tcPr>
            <w:tcW w:w="737" w:type="dxa"/>
            <w:tcBorders>
              <w:top w:val="nil"/>
              <w:left w:val="nil"/>
              <w:bottom w:val="nil"/>
              <w:right w:val="nil"/>
            </w:tcBorders>
            <w:shd w:val="clear" w:color="auto" w:fill="auto"/>
            <w:noWrap/>
            <w:vAlign w:val="bottom"/>
            <w:hideMark/>
          </w:tcPr>
          <w:p w14:paraId="4ECD51D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0.09</w:t>
            </w:r>
          </w:p>
        </w:tc>
        <w:tc>
          <w:tcPr>
            <w:tcW w:w="1123" w:type="dxa"/>
            <w:tcBorders>
              <w:top w:val="nil"/>
              <w:left w:val="nil"/>
              <w:bottom w:val="nil"/>
              <w:right w:val="nil"/>
            </w:tcBorders>
            <w:shd w:val="clear" w:color="auto" w:fill="auto"/>
            <w:noWrap/>
            <w:vAlign w:val="bottom"/>
            <w:hideMark/>
          </w:tcPr>
          <w:p w14:paraId="35C9F3F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289</w:t>
            </w:r>
          </w:p>
        </w:tc>
        <w:tc>
          <w:tcPr>
            <w:tcW w:w="737" w:type="dxa"/>
            <w:tcBorders>
              <w:top w:val="nil"/>
              <w:left w:val="nil"/>
              <w:bottom w:val="nil"/>
              <w:right w:val="nil"/>
            </w:tcBorders>
            <w:shd w:val="clear" w:color="auto" w:fill="auto"/>
            <w:noWrap/>
            <w:vAlign w:val="bottom"/>
            <w:hideMark/>
          </w:tcPr>
          <w:p w14:paraId="1FA1D19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0.10</w:t>
            </w:r>
          </w:p>
        </w:tc>
      </w:tr>
      <w:tr w:rsidR="00837E11" w:rsidRPr="00022CA4" w14:paraId="292963E6"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6761230C"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Mereb</w:t>
            </w:r>
            <w:proofErr w:type="spellEnd"/>
            <w:r w:rsidRPr="00022CA4">
              <w:rPr>
                <w:rFonts w:ascii="Times New Roman" w:eastAsia="Times New Roman" w:hAnsi="Times New Roman" w:cs="Times New Roman"/>
                <w:color w:val="000000"/>
                <w:sz w:val="24"/>
                <w:szCs w:val="24"/>
                <w:lang w:eastAsia="en-GB"/>
              </w:rPr>
              <w:t>-G</w:t>
            </w:r>
          </w:p>
        </w:tc>
        <w:tc>
          <w:tcPr>
            <w:tcW w:w="1096" w:type="dxa"/>
            <w:tcBorders>
              <w:top w:val="nil"/>
              <w:left w:val="nil"/>
              <w:bottom w:val="nil"/>
              <w:right w:val="nil"/>
            </w:tcBorders>
            <w:shd w:val="clear" w:color="auto" w:fill="auto"/>
            <w:noWrap/>
            <w:vAlign w:val="bottom"/>
            <w:hideMark/>
          </w:tcPr>
          <w:p w14:paraId="148A66A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1027</w:t>
            </w:r>
          </w:p>
        </w:tc>
        <w:tc>
          <w:tcPr>
            <w:tcW w:w="777" w:type="dxa"/>
            <w:tcBorders>
              <w:top w:val="nil"/>
              <w:left w:val="nil"/>
              <w:bottom w:val="nil"/>
              <w:right w:val="nil"/>
            </w:tcBorders>
            <w:shd w:val="clear" w:color="auto" w:fill="auto"/>
            <w:noWrap/>
            <w:vAlign w:val="bottom"/>
            <w:hideMark/>
          </w:tcPr>
          <w:p w14:paraId="1C906EE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0.64</w:t>
            </w:r>
          </w:p>
        </w:tc>
        <w:tc>
          <w:tcPr>
            <w:tcW w:w="1123" w:type="dxa"/>
            <w:tcBorders>
              <w:top w:val="nil"/>
              <w:left w:val="nil"/>
              <w:bottom w:val="nil"/>
              <w:right w:val="nil"/>
            </w:tcBorders>
            <w:shd w:val="clear" w:color="auto" w:fill="auto"/>
            <w:noWrap/>
            <w:vAlign w:val="bottom"/>
            <w:hideMark/>
          </w:tcPr>
          <w:p w14:paraId="6BFB7F2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321</w:t>
            </w:r>
          </w:p>
        </w:tc>
        <w:tc>
          <w:tcPr>
            <w:tcW w:w="737" w:type="dxa"/>
            <w:tcBorders>
              <w:top w:val="nil"/>
              <w:left w:val="nil"/>
              <w:bottom w:val="nil"/>
              <w:right w:val="nil"/>
            </w:tcBorders>
            <w:shd w:val="clear" w:color="auto" w:fill="auto"/>
            <w:noWrap/>
            <w:vAlign w:val="bottom"/>
            <w:hideMark/>
          </w:tcPr>
          <w:p w14:paraId="2A495F2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0.22</w:t>
            </w:r>
          </w:p>
        </w:tc>
        <w:tc>
          <w:tcPr>
            <w:tcW w:w="1123" w:type="dxa"/>
            <w:tcBorders>
              <w:top w:val="nil"/>
              <w:left w:val="nil"/>
              <w:bottom w:val="nil"/>
              <w:right w:val="nil"/>
            </w:tcBorders>
            <w:shd w:val="clear" w:color="auto" w:fill="auto"/>
            <w:noWrap/>
            <w:vAlign w:val="bottom"/>
            <w:hideMark/>
          </w:tcPr>
          <w:p w14:paraId="5BD3EAD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371.8</w:t>
            </w:r>
          </w:p>
        </w:tc>
        <w:tc>
          <w:tcPr>
            <w:tcW w:w="737" w:type="dxa"/>
            <w:tcBorders>
              <w:top w:val="nil"/>
              <w:left w:val="nil"/>
              <w:bottom w:val="nil"/>
              <w:right w:val="nil"/>
            </w:tcBorders>
            <w:shd w:val="clear" w:color="auto" w:fill="auto"/>
            <w:noWrap/>
            <w:vAlign w:val="bottom"/>
            <w:hideMark/>
          </w:tcPr>
          <w:p w14:paraId="6BE49F6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0.44</w:t>
            </w:r>
          </w:p>
        </w:tc>
        <w:tc>
          <w:tcPr>
            <w:tcW w:w="1123" w:type="dxa"/>
            <w:tcBorders>
              <w:top w:val="nil"/>
              <w:left w:val="nil"/>
              <w:bottom w:val="nil"/>
              <w:right w:val="nil"/>
            </w:tcBorders>
            <w:shd w:val="clear" w:color="auto" w:fill="auto"/>
            <w:noWrap/>
            <w:vAlign w:val="bottom"/>
            <w:hideMark/>
          </w:tcPr>
          <w:p w14:paraId="3CC525B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334</w:t>
            </w:r>
          </w:p>
        </w:tc>
        <w:tc>
          <w:tcPr>
            <w:tcW w:w="737" w:type="dxa"/>
            <w:tcBorders>
              <w:top w:val="nil"/>
              <w:left w:val="nil"/>
              <w:bottom w:val="nil"/>
              <w:right w:val="nil"/>
            </w:tcBorders>
            <w:shd w:val="clear" w:color="auto" w:fill="auto"/>
            <w:noWrap/>
            <w:vAlign w:val="bottom"/>
            <w:hideMark/>
          </w:tcPr>
          <w:p w14:paraId="7243ABF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-0.02</w:t>
            </w:r>
          </w:p>
        </w:tc>
      </w:tr>
      <w:tr w:rsidR="00837E11" w:rsidRPr="00022CA4" w14:paraId="2B1AC38F" w14:textId="77777777" w:rsidTr="001B5A9B">
        <w:trPr>
          <w:trHeight w:val="199"/>
          <w:jc w:val="center"/>
        </w:trPr>
        <w:tc>
          <w:tcPr>
            <w:tcW w:w="1831" w:type="dxa"/>
            <w:tcBorders>
              <w:top w:val="nil"/>
              <w:left w:val="nil"/>
              <w:bottom w:val="single" w:sz="8" w:space="0" w:color="auto"/>
              <w:right w:val="nil"/>
            </w:tcBorders>
            <w:shd w:val="clear" w:color="auto" w:fill="auto"/>
            <w:noWrap/>
            <w:vAlign w:val="center"/>
            <w:hideMark/>
          </w:tcPr>
          <w:p w14:paraId="33EA2C5F"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Aysha</w:t>
            </w:r>
            <w:proofErr w:type="spellEnd"/>
          </w:p>
        </w:tc>
        <w:tc>
          <w:tcPr>
            <w:tcW w:w="1096" w:type="dxa"/>
            <w:tcBorders>
              <w:top w:val="nil"/>
              <w:left w:val="nil"/>
              <w:bottom w:val="single" w:sz="8" w:space="0" w:color="auto"/>
              <w:right w:val="nil"/>
            </w:tcBorders>
            <w:shd w:val="clear" w:color="auto" w:fill="auto"/>
            <w:noWrap/>
            <w:vAlign w:val="bottom"/>
            <w:hideMark/>
          </w:tcPr>
          <w:p w14:paraId="39B50CB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1036</w:t>
            </w:r>
          </w:p>
        </w:tc>
        <w:tc>
          <w:tcPr>
            <w:tcW w:w="777" w:type="dxa"/>
            <w:tcBorders>
              <w:top w:val="nil"/>
              <w:left w:val="nil"/>
              <w:bottom w:val="single" w:sz="8" w:space="0" w:color="auto"/>
              <w:right w:val="nil"/>
            </w:tcBorders>
            <w:shd w:val="clear" w:color="auto" w:fill="auto"/>
            <w:noWrap/>
            <w:vAlign w:val="bottom"/>
            <w:hideMark/>
          </w:tcPr>
          <w:p w14:paraId="71B6421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0.39</w:t>
            </w:r>
          </w:p>
        </w:tc>
        <w:tc>
          <w:tcPr>
            <w:tcW w:w="1123" w:type="dxa"/>
            <w:tcBorders>
              <w:top w:val="nil"/>
              <w:left w:val="nil"/>
              <w:bottom w:val="single" w:sz="8" w:space="0" w:color="auto"/>
              <w:right w:val="nil"/>
            </w:tcBorders>
            <w:shd w:val="clear" w:color="auto" w:fill="auto"/>
            <w:noWrap/>
            <w:vAlign w:val="bottom"/>
            <w:hideMark/>
          </w:tcPr>
          <w:p w14:paraId="781161B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306</w:t>
            </w:r>
          </w:p>
        </w:tc>
        <w:tc>
          <w:tcPr>
            <w:tcW w:w="737" w:type="dxa"/>
            <w:tcBorders>
              <w:top w:val="nil"/>
              <w:left w:val="nil"/>
              <w:bottom w:val="single" w:sz="8" w:space="0" w:color="auto"/>
              <w:right w:val="nil"/>
            </w:tcBorders>
            <w:shd w:val="clear" w:color="auto" w:fill="auto"/>
            <w:noWrap/>
            <w:vAlign w:val="bottom"/>
            <w:hideMark/>
          </w:tcPr>
          <w:p w14:paraId="4DDF682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0.22</w:t>
            </w:r>
          </w:p>
        </w:tc>
        <w:tc>
          <w:tcPr>
            <w:tcW w:w="1123" w:type="dxa"/>
            <w:tcBorders>
              <w:top w:val="nil"/>
              <w:left w:val="nil"/>
              <w:bottom w:val="single" w:sz="8" w:space="0" w:color="auto"/>
              <w:right w:val="nil"/>
            </w:tcBorders>
            <w:shd w:val="clear" w:color="auto" w:fill="auto"/>
            <w:noWrap/>
            <w:vAlign w:val="bottom"/>
            <w:hideMark/>
          </w:tcPr>
          <w:p w14:paraId="0EAB679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347.3</w:t>
            </w:r>
          </w:p>
        </w:tc>
        <w:tc>
          <w:tcPr>
            <w:tcW w:w="737" w:type="dxa"/>
            <w:tcBorders>
              <w:top w:val="nil"/>
              <w:left w:val="nil"/>
              <w:bottom w:val="single" w:sz="8" w:space="0" w:color="auto"/>
              <w:right w:val="nil"/>
            </w:tcBorders>
            <w:shd w:val="clear" w:color="auto" w:fill="auto"/>
            <w:noWrap/>
            <w:vAlign w:val="bottom"/>
            <w:hideMark/>
          </w:tcPr>
          <w:p w14:paraId="60B1503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0.19</w:t>
            </w:r>
          </w:p>
        </w:tc>
        <w:tc>
          <w:tcPr>
            <w:tcW w:w="1123" w:type="dxa"/>
            <w:tcBorders>
              <w:top w:val="nil"/>
              <w:left w:val="nil"/>
              <w:bottom w:val="single" w:sz="8" w:space="0" w:color="auto"/>
              <w:right w:val="nil"/>
            </w:tcBorders>
            <w:shd w:val="clear" w:color="auto" w:fill="auto"/>
            <w:noWrap/>
            <w:vAlign w:val="bottom"/>
            <w:hideMark/>
          </w:tcPr>
          <w:p w14:paraId="0D5F115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383</w:t>
            </w:r>
          </w:p>
        </w:tc>
        <w:tc>
          <w:tcPr>
            <w:tcW w:w="737" w:type="dxa"/>
            <w:tcBorders>
              <w:top w:val="nil"/>
              <w:left w:val="nil"/>
              <w:bottom w:val="single" w:sz="8" w:space="0" w:color="auto"/>
              <w:right w:val="nil"/>
            </w:tcBorders>
            <w:shd w:val="clear" w:color="auto" w:fill="auto"/>
            <w:noWrap/>
            <w:vAlign w:val="bottom"/>
            <w:hideMark/>
          </w:tcPr>
          <w:p w14:paraId="13291BC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-0.02</w:t>
            </w:r>
          </w:p>
        </w:tc>
      </w:tr>
    </w:tbl>
    <w:p w14:paraId="60D0C2CB" w14:textId="72D53E0E" w:rsidR="00807106" w:rsidRDefault="00652644" w:rsidP="00AB2631">
      <w:pPr>
        <w:pStyle w:val="BodyText"/>
        <w:spacing w:after="240"/>
        <w:jc w:val="both"/>
        <w:rPr>
          <w:rFonts w:ascii="Times New Roman" w:hAnsi="Times New Roman" w:cs="Times New Roman"/>
          <w:sz w:val="24"/>
          <w:szCs w:val="24"/>
          <w:shd w:val="clear" w:color="auto" w:fill="FFFFFF"/>
        </w:rPr>
      </w:pPr>
      <w:r w:rsidRPr="00022CA4">
        <w:rPr>
          <w:rFonts w:ascii="Times New Roman" w:hAnsi="Times New Roman" w:cs="Times New Roman"/>
          <w:sz w:val="24"/>
          <w:szCs w:val="24"/>
          <w:shd w:val="clear" w:color="auto" w:fill="FFFFFF"/>
        </w:rPr>
        <w:t xml:space="preserve">Note: The bold numbers indicate the trend is significant at </w:t>
      </w:r>
      <w:r w:rsidR="00B87DB8" w:rsidRPr="00022CA4">
        <w:rPr>
          <w:rFonts w:ascii="Times New Roman" w:hAnsi="Times New Roman" w:cs="Times New Roman"/>
          <w:sz w:val="24"/>
          <w:szCs w:val="24"/>
          <w:shd w:val="clear" w:color="auto" w:fill="FFFFFF"/>
        </w:rPr>
        <w:t xml:space="preserve">a </w:t>
      </w:r>
      <w:r w:rsidRPr="00022CA4">
        <w:rPr>
          <w:rFonts w:ascii="Times New Roman" w:hAnsi="Times New Roman" w:cs="Times New Roman"/>
          <w:sz w:val="24"/>
          <w:szCs w:val="24"/>
          <w:shd w:val="clear" w:color="auto" w:fill="FFFFFF"/>
        </w:rPr>
        <w:t>95 % confidence level (</w:t>
      </w:r>
      <w:r w:rsidRPr="00022CA4">
        <w:rPr>
          <w:rFonts w:ascii="Times New Roman" w:hAnsi="Times New Roman" w:cs="Times New Roman"/>
          <w:i/>
          <w:sz w:val="24"/>
          <w:szCs w:val="24"/>
          <w:shd w:val="clear" w:color="auto" w:fill="FFFFFF"/>
        </w:rPr>
        <w:t xml:space="preserve">p-value </w:t>
      </w:r>
      <w:r w:rsidRPr="00022CA4">
        <w:rPr>
          <w:rFonts w:ascii="Times New Roman" w:hAnsi="Times New Roman" w:cs="Times New Roman"/>
          <w:sz w:val="24"/>
          <w:szCs w:val="24"/>
          <w:shd w:val="clear" w:color="auto" w:fill="FFFFFF"/>
        </w:rPr>
        <w:t>&lt; 0.05).  Positive and negative values of the slope indicate increasing and decreasing trends, respectively.</w:t>
      </w:r>
    </w:p>
    <w:p w14:paraId="343AC143" w14:textId="139763B6" w:rsidR="006750D5" w:rsidRPr="00305D96" w:rsidRDefault="00305D96" w:rsidP="00305D96">
      <w:pPr>
        <w:pStyle w:val="BodyText"/>
        <w:jc w:val="center"/>
        <w:rPr>
          <w:rFonts w:ascii="Times New Roman" w:hAnsi="Times New Roman" w:cs="Times New Roman"/>
          <w:sz w:val="20"/>
          <w:szCs w:val="20"/>
        </w:rPr>
      </w:pPr>
      <w:r w:rsidRPr="00305D96">
        <w:rPr>
          <w:rFonts w:ascii="Times New Roman" w:hAnsi="Times New Roman" w:cs="Times New Roman"/>
          <w:noProof/>
          <w:sz w:val="20"/>
          <w:szCs w:val="20"/>
        </w:rPr>
        <w:drawing>
          <wp:inline distT="0" distB="0" distL="0" distR="0" wp14:anchorId="50C786B9" wp14:editId="11884159">
            <wp:extent cx="5943600" cy="2555240"/>
            <wp:effectExtent l="0" t="0" r="0" b="0"/>
            <wp:docPr id="14" name="Picture 2" descr="D:\Part-I\2025\Pub_4\Data-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Part-I\2025\Pub_4\Data-2\9-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8468" t="28673" r="3116" b="20648"/>
                    <a:stretch/>
                  </pic:blipFill>
                  <pic:spPr bwMode="auto">
                    <a:xfrm>
                      <a:off x="0" y="0"/>
                      <a:ext cx="5943600" cy="2555240"/>
                    </a:xfrm>
                    <a:prstGeom prst="rect">
                      <a:avLst/>
                    </a:prstGeom>
                    <a:noFill/>
                    <a:extLst/>
                  </pic:spPr>
                </pic:pic>
              </a:graphicData>
            </a:graphic>
          </wp:inline>
        </w:drawing>
      </w:r>
    </w:p>
    <w:p w14:paraId="4716FC85" w14:textId="49B6DEFF" w:rsidR="00E65E29" w:rsidRPr="00022CA4" w:rsidRDefault="0006566A" w:rsidP="00EE4D7D">
      <w:pPr>
        <w:pStyle w:val="BodyText"/>
        <w:spacing w:after="240" w:line="360" w:lineRule="auto"/>
        <w:jc w:val="both"/>
        <w:rPr>
          <w:rFonts w:ascii="Times New Roman" w:hAnsi="Times New Roman" w:cs="Times New Roman"/>
          <w:b/>
          <w:sz w:val="24"/>
          <w:szCs w:val="24"/>
        </w:rPr>
      </w:pPr>
      <w:r w:rsidRPr="00022CA4">
        <w:rPr>
          <w:rFonts w:ascii="Times New Roman" w:hAnsi="Times New Roman" w:cs="Times New Roman"/>
          <w:b/>
          <w:sz w:val="24"/>
          <w:szCs w:val="24"/>
        </w:rPr>
        <w:t>Fig.</w:t>
      </w:r>
      <w:r w:rsidRPr="00022CA4">
        <w:rPr>
          <w:rFonts w:ascii="Times New Roman" w:hAnsi="Times New Roman" w:cs="Times New Roman"/>
          <w:b/>
          <w:spacing w:val="-3"/>
          <w:sz w:val="24"/>
          <w:szCs w:val="24"/>
        </w:rPr>
        <w:t xml:space="preserve"> </w:t>
      </w:r>
      <w:proofErr w:type="gramStart"/>
      <w:r w:rsidR="00777F15" w:rsidRPr="00022CA4">
        <w:rPr>
          <w:rFonts w:ascii="Times New Roman" w:hAnsi="Times New Roman" w:cs="Times New Roman"/>
          <w:b/>
          <w:sz w:val="24"/>
          <w:szCs w:val="24"/>
        </w:rPr>
        <w:t>9</w:t>
      </w:r>
      <w:r w:rsidR="004057F8" w:rsidRPr="00022CA4">
        <w:rPr>
          <w:rFonts w:ascii="Times New Roman" w:hAnsi="Times New Roman" w:cs="Times New Roman"/>
          <w:b/>
          <w:sz w:val="24"/>
          <w:szCs w:val="24"/>
        </w:rPr>
        <w:t xml:space="preserve"> </w:t>
      </w:r>
      <w:r w:rsidRPr="00022CA4">
        <w:rPr>
          <w:rFonts w:ascii="Times New Roman" w:hAnsi="Times New Roman" w:cs="Times New Roman"/>
          <w:b/>
          <w:spacing w:val="-3"/>
          <w:sz w:val="24"/>
          <w:szCs w:val="24"/>
        </w:rPr>
        <w:t xml:space="preserve"> </w:t>
      </w:r>
      <w:r w:rsidR="00D33052" w:rsidRPr="00022CA4">
        <w:rPr>
          <w:rFonts w:ascii="Times New Roman" w:hAnsi="Times New Roman" w:cs="Times New Roman"/>
          <w:spacing w:val="-3"/>
          <w:sz w:val="24"/>
          <w:szCs w:val="24"/>
        </w:rPr>
        <w:t>R</w:t>
      </w:r>
      <w:r w:rsidRPr="00022CA4">
        <w:rPr>
          <w:rFonts w:ascii="Times New Roman" w:hAnsi="Times New Roman" w:cs="Times New Roman"/>
          <w:sz w:val="24"/>
          <w:szCs w:val="24"/>
        </w:rPr>
        <w:t>ainfall</w:t>
      </w:r>
      <w:proofErr w:type="gramEnd"/>
      <w:r w:rsidR="00800976" w:rsidRPr="00022CA4">
        <w:rPr>
          <w:rFonts w:ascii="Times New Roman" w:hAnsi="Times New Roman" w:cs="Times New Roman"/>
          <w:sz w:val="24"/>
          <w:szCs w:val="24"/>
        </w:rPr>
        <w:t xml:space="preserve"> (P)</w:t>
      </w:r>
      <w:r w:rsidRPr="00022CA4">
        <w:rPr>
          <w:rFonts w:ascii="Times New Roman" w:hAnsi="Times New Roman" w:cs="Times New Roman"/>
          <w:spacing w:val="-3"/>
          <w:sz w:val="24"/>
          <w:szCs w:val="24"/>
        </w:rPr>
        <w:t xml:space="preserve"> </w:t>
      </w:r>
      <w:r w:rsidRPr="00022CA4">
        <w:rPr>
          <w:rFonts w:ascii="Times New Roman" w:hAnsi="Times New Roman" w:cs="Times New Roman"/>
          <w:sz w:val="24"/>
          <w:szCs w:val="24"/>
        </w:rPr>
        <w:t>and</w:t>
      </w:r>
      <w:r w:rsidRPr="00022CA4">
        <w:rPr>
          <w:rFonts w:ascii="Times New Roman" w:hAnsi="Times New Roman" w:cs="Times New Roman"/>
          <w:spacing w:val="-3"/>
          <w:sz w:val="24"/>
          <w:szCs w:val="24"/>
        </w:rPr>
        <w:t xml:space="preserve"> </w:t>
      </w:r>
      <w:r w:rsidR="005A6C07" w:rsidRPr="00022CA4">
        <w:rPr>
          <w:rFonts w:ascii="Times New Roman" w:hAnsi="Times New Roman" w:cs="Times New Roman"/>
          <w:spacing w:val="-3"/>
          <w:sz w:val="24"/>
          <w:szCs w:val="24"/>
        </w:rPr>
        <w:t xml:space="preserve">reference </w:t>
      </w:r>
      <w:r w:rsidRPr="00022CA4">
        <w:rPr>
          <w:rFonts w:ascii="Times New Roman" w:hAnsi="Times New Roman" w:cs="Times New Roman"/>
          <w:sz w:val="24"/>
          <w:szCs w:val="24"/>
        </w:rPr>
        <w:t>evapotranspiration</w:t>
      </w:r>
      <w:r w:rsidRPr="00022CA4">
        <w:rPr>
          <w:rFonts w:ascii="Times New Roman" w:hAnsi="Times New Roman" w:cs="Times New Roman"/>
          <w:spacing w:val="-4"/>
          <w:sz w:val="24"/>
          <w:szCs w:val="24"/>
        </w:rPr>
        <w:t xml:space="preserve"> </w:t>
      </w:r>
      <w:r w:rsidRPr="00022CA4">
        <w:rPr>
          <w:rFonts w:ascii="Times New Roman" w:hAnsi="Times New Roman" w:cs="Times New Roman"/>
          <w:sz w:val="24"/>
          <w:szCs w:val="24"/>
        </w:rPr>
        <w:t>(</w:t>
      </w:r>
      <w:proofErr w:type="spellStart"/>
      <w:r w:rsidR="00254FB4" w:rsidRPr="00022CA4">
        <w:rPr>
          <w:rFonts w:ascii="Times New Roman" w:hAnsi="Times New Roman" w:cs="Times New Roman"/>
          <w:sz w:val="24"/>
          <w:szCs w:val="24"/>
        </w:rPr>
        <w:t>ET</w:t>
      </w:r>
      <w:r w:rsidR="00254FB4" w:rsidRPr="00022CA4">
        <w:rPr>
          <w:rFonts w:ascii="Times New Roman" w:hAnsi="Times New Roman" w:cs="Times New Roman"/>
          <w:sz w:val="24"/>
          <w:szCs w:val="24"/>
          <w:vertAlign w:val="subscript"/>
        </w:rPr>
        <w:t>o</w:t>
      </w:r>
      <w:proofErr w:type="spellEnd"/>
      <w:r w:rsidRPr="00022CA4">
        <w:rPr>
          <w:rFonts w:ascii="Times New Roman" w:hAnsi="Times New Roman" w:cs="Times New Roman"/>
          <w:sz w:val="24"/>
          <w:szCs w:val="24"/>
        </w:rPr>
        <w:t>)</w:t>
      </w:r>
      <w:r w:rsidRPr="00022CA4">
        <w:rPr>
          <w:rFonts w:ascii="Times New Roman" w:hAnsi="Times New Roman" w:cs="Times New Roman"/>
          <w:spacing w:val="-3"/>
          <w:sz w:val="24"/>
          <w:szCs w:val="24"/>
        </w:rPr>
        <w:t xml:space="preserve"> </w:t>
      </w:r>
      <w:r w:rsidR="00D33052" w:rsidRPr="00022CA4">
        <w:rPr>
          <w:rFonts w:ascii="Times New Roman" w:hAnsi="Times New Roman" w:cs="Times New Roman"/>
          <w:spacing w:val="-3"/>
          <w:sz w:val="24"/>
          <w:szCs w:val="24"/>
        </w:rPr>
        <w:t xml:space="preserve">time series </w:t>
      </w:r>
      <w:r w:rsidRPr="00022CA4">
        <w:rPr>
          <w:rFonts w:ascii="Times New Roman" w:hAnsi="Times New Roman" w:cs="Times New Roman"/>
          <w:sz w:val="24"/>
          <w:szCs w:val="24"/>
        </w:rPr>
        <w:t xml:space="preserve">over Ethiopia </w:t>
      </w:r>
      <w:r w:rsidR="005A6C07" w:rsidRPr="00022CA4">
        <w:rPr>
          <w:rFonts w:ascii="Times New Roman" w:hAnsi="Times New Roman" w:cs="Times New Roman"/>
          <w:sz w:val="24"/>
          <w:szCs w:val="24"/>
        </w:rPr>
        <w:t xml:space="preserve">during </w:t>
      </w:r>
      <w:r w:rsidR="0096478F">
        <w:rPr>
          <w:rFonts w:ascii="Times New Roman" w:hAnsi="Times New Roman" w:cs="Times New Roman"/>
          <w:sz w:val="24"/>
          <w:szCs w:val="24"/>
        </w:rPr>
        <w:t xml:space="preserve">1980 to </w:t>
      </w:r>
      <w:r w:rsidRPr="00022CA4">
        <w:rPr>
          <w:rFonts w:ascii="Times New Roman" w:hAnsi="Times New Roman" w:cs="Times New Roman"/>
          <w:sz w:val="24"/>
          <w:szCs w:val="24"/>
        </w:rPr>
        <w:t>2021.</w:t>
      </w:r>
    </w:p>
    <w:p w14:paraId="4B45CE9B" w14:textId="4C3D4906" w:rsidR="003207E2" w:rsidRPr="00022CA4" w:rsidRDefault="003207E2" w:rsidP="00EE4D7D">
      <w:pPr>
        <w:pStyle w:val="Heading3"/>
        <w:spacing w:after="240" w:line="360" w:lineRule="auto"/>
        <w:rPr>
          <w:rFonts w:ascii="Times New Roman" w:hAnsi="Times New Roman" w:cs="Times New Roman"/>
          <w:b/>
          <w:bCs/>
          <w:color w:val="auto"/>
        </w:rPr>
      </w:pPr>
      <w:r w:rsidRPr="00022CA4">
        <w:rPr>
          <w:rFonts w:ascii="Times New Roman" w:hAnsi="Times New Roman" w:cs="Times New Roman"/>
          <w:b/>
          <w:bCs/>
          <w:color w:val="auto"/>
        </w:rPr>
        <w:t xml:space="preserve">3.2.2 Spatiotemporal </w:t>
      </w:r>
      <w:r w:rsidR="00327163" w:rsidRPr="00022CA4">
        <w:rPr>
          <w:rFonts w:ascii="Times New Roman" w:hAnsi="Times New Roman" w:cs="Times New Roman"/>
          <w:b/>
          <w:bCs/>
          <w:color w:val="auto"/>
        </w:rPr>
        <w:t>Trends</w:t>
      </w:r>
      <w:r w:rsidRPr="00022CA4">
        <w:rPr>
          <w:rFonts w:ascii="Times New Roman" w:hAnsi="Times New Roman" w:cs="Times New Roman"/>
          <w:b/>
          <w:bCs/>
          <w:color w:val="auto"/>
        </w:rPr>
        <w:t xml:space="preserve"> in Climatic Water Balance</w:t>
      </w:r>
      <w:r w:rsidR="00CA183B" w:rsidRPr="00022CA4">
        <w:rPr>
          <w:rFonts w:ascii="Times New Roman" w:hAnsi="Times New Roman" w:cs="Times New Roman"/>
          <w:b/>
          <w:bCs/>
          <w:color w:val="auto"/>
        </w:rPr>
        <w:t xml:space="preserve"> in</w:t>
      </w:r>
      <w:r w:rsidRPr="00022CA4">
        <w:rPr>
          <w:rFonts w:ascii="Times New Roman" w:hAnsi="Times New Roman" w:cs="Times New Roman"/>
          <w:b/>
          <w:bCs/>
          <w:color w:val="auto"/>
        </w:rPr>
        <w:t xml:space="preserve"> Ethiopia</w:t>
      </w:r>
    </w:p>
    <w:p w14:paraId="1BE104BB" w14:textId="701DFD0F" w:rsidR="00722F0F" w:rsidRPr="00022CA4" w:rsidRDefault="002C3A5E" w:rsidP="00D33052">
      <w:pPr>
        <w:pStyle w:val="NormalWeb"/>
        <w:spacing w:after="240" w:afterAutospacing="0" w:line="360" w:lineRule="auto"/>
        <w:jc w:val="both"/>
      </w:pPr>
      <w:r w:rsidRPr="00022CA4">
        <w:t>Fig</w:t>
      </w:r>
      <w:r w:rsidR="00C00B1E" w:rsidRPr="00022CA4">
        <w:t>.</w:t>
      </w:r>
      <w:r w:rsidRPr="00022CA4">
        <w:t xml:space="preserve"> </w:t>
      </w:r>
      <w:r w:rsidR="00C00B1E" w:rsidRPr="00022CA4">
        <w:t>10</w:t>
      </w:r>
      <w:r w:rsidRPr="00022CA4">
        <w:t xml:space="preserve"> presents the</w:t>
      </w:r>
      <w:r w:rsidR="00661526" w:rsidRPr="00022CA4">
        <w:t xml:space="preserve"> </w:t>
      </w:r>
      <w:r w:rsidR="001B2B24" w:rsidRPr="00022CA4">
        <w:t xml:space="preserve">spatiotemporal </w:t>
      </w:r>
      <w:r w:rsidR="00661526" w:rsidRPr="00022CA4">
        <w:t>changes in the</w:t>
      </w:r>
      <w:r w:rsidRPr="00022CA4">
        <w:t xml:space="preserve"> </w:t>
      </w:r>
      <w:r w:rsidR="00C00B1E" w:rsidRPr="00022CA4">
        <w:t xml:space="preserve">climatic </w:t>
      </w:r>
      <w:r w:rsidRPr="00022CA4">
        <w:t xml:space="preserve">water balance </w:t>
      </w:r>
      <w:r w:rsidR="008270B5" w:rsidRPr="00022CA4">
        <w:t xml:space="preserve">(CWB) </w:t>
      </w:r>
      <w:r w:rsidR="00C00B1E" w:rsidRPr="00022CA4">
        <w:t>of Ethiopia</w:t>
      </w:r>
      <w:r w:rsidRPr="00022CA4">
        <w:t xml:space="preserve"> from 1980 to 2021. </w:t>
      </w:r>
      <w:r w:rsidR="00D12581" w:rsidRPr="00022CA4">
        <w:t>Similarly, Fig. 4, which primar</w:t>
      </w:r>
      <w:r w:rsidR="00B87DB8" w:rsidRPr="00022CA4">
        <w:t>i</w:t>
      </w:r>
      <w:r w:rsidR="00D12581" w:rsidRPr="00022CA4">
        <w:t xml:space="preserve">ly illustrates the relationship between mean monthly rainfall and </w:t>
      </w:r>
      <w:r w:rsidR="00CA183B" w:rsidRPr="00022CA4">
        <w:t xml:space="preserve">reference </w:t>
      </w:r>
      <w:r w:rsidR="00CA183B" w:rsidRPr="00022CA4">
        <w:lastRenderedPageBreak/>
        <w:t>evapotranspiration (</w:t>
      </w:r>
      <w:proofErr w:type="spellStart"/>
      <w:proofErr w:type="gramStart"/>
      <w:r w:rsidR="00CA183B" w:rsidRPr="00022CA4">
        <w:t>ET</w:t>
      </w:r>
      <w:r w:rsidR="00CA183B" w:rsidRPr="00022CA4">
        <w:rPr>
          <w:vertAlign w:val="subscript"/>
        </w:rPr>
        <w:t>o</w:t>
      </w:r>
      <w:proofErr w:type="spellEnd"/>
      <w:proofErr w:type="gramEnd"/>
      <w:r w:rsidR="00CA183B" w:rsidRPr="00022CA4">
        <w:t>)</w:t>
      </w:r>
      <w:r w:rsidR="00D12581" w:rsidRPr="00022CA4">
        <w:t xml:space="preserve"> in Ethiopia, can also be used to describe climatic water balance. </w:t>
      </w:r>
      <w:r w:rsidR="001B2B24" w:rsidRPr="00022CA4">
        <w:t xml:space="preserve">Generally, the patterns of the CWB trends </w:t>
      </w:r>
      <w:r w:rsidR="00B87DB8" w:rsidRPr="00022CA4">
        <w:t>had</w:t>
      </w:r>
      <w:r w:rsidR="001B2B24" w:rsidRPr="00022CA4">
        <w:t xml:space="preserve"> some similarity with rainfall trends (see Fig. 7). The annual and seasonal distribution </w:t>
      </w:r>
      <w:proofErr w:type="gramStart"/>
      <w:r w:rsidR="001B2B24" w:rsidRPr="00022CA4">
        <w:t>of  CWB</w:t>
      </w:r>
      <w:proofErr w:type="gramEnd"/>
      <w:r w:rsidR="001B2B24" w:rsidRPr="00022CA4">
        <w:t xml:space="preserve"> was dominated by increasing trends except in Belg season where decreasing trends dominate, particularly in the northern</w:t>
      </w:r>
      <w:r w:rsidR="00CA183B" w:rsidRPr="00022CA4">
        <w:t xml:space="preserve"> </w:t>
      </w:r>
      <w:r w:rsidR="001B2B24" w:rsidRPr="00022CA4">
        <w:t>half of Ethiopia. The annual and Bega CWB trends were significantly increasing in most parts of southern Ethiopia</w:t>
      </w:r>
      <w:r w:rsidR="00D12581" w:rsidRPr="00022CA4">
        <w:t>; in contrast,</w:t>
      </w:r>
      <w:r w:rsidR="001B2B24" w:rsidRPr="00022CA4">
        <w:t xml:space="preserve"> </w:t>
      </w:r>
      <w:r w:rsidR="00D12581" w:rsidRPr="00022CA4">
        <w:t xml:space="preserve">the Belg CWB trend was significantly decreasing in northern </w:t>
      </w:r>
      <w:r w:rsidR="00450480" w:rsidRPr="00022CA4">
        <w:t xml:space="preserve">Ethiopia (Fig. 10). </w:t>
      </w:r>
      <w:r w:rsidR="000C0DEE" w:rsidRPr="00022CA4">
        <w:t xml:space="preserve">The rainfall amount in Ethiopia was higher than </w:t>
      </w:r>
      <w:r w:rsidR="00450480" w:rsidRPr="00022CA4">
        <w:t xml:space="preserve">the reference </w:t>
      </w:r>
      <w:r w:rsidR="000C0DEE" w:rsidRPr="00022CA4">
        <w:t>evapotranspiration during Kiremt</w:t>
      </w:r>
      <w:r w:rsidR="00AC12F2" w:rsidRPr="00022CA4">
        <w:t xml:space="preserve"> (June-September)</w:t>
      </w:r>
      <w:r w:rsidR="000C0DEE" w:rsidRPr="00022CA4">
        <w:t xml:space="preserve"> and </w:t>
      </w:r>
      <w:r w:rsidR="00AC12F2" w:rsidRPr="00022CA4">
        <w:t>partially in Belg (in the two months</w:t>
      </w:r>
      <w:proofErr w:type="gramStart"/>
      <w:r w:rsidR="00AC12F2" w:rsidRPr="00022CA4">
        <w:t>,  April</w:t>
      </w:r>
      <w:proofErr w:type="gramEnd"/>
      <w:r w:rsidR="00AC12F2" w:rsidRPr="00022CA4">
        <w:t xml:space="preserve"> and May, of Belg season)</w:t>
      </w:r>
      <w:r w:rsidR="000C0DEE" w:rsidRPr="00022CA4">
        <w:t xml:space="preserve"> </w:t>
      </w:r>
      <w:r w:rsidR="00AC12F2" w:rsidRPr="00022CA4">
        <w:t>i</w:t>
      </w:r>
      <w:r w:rsidR="000C0DEE" w:rsidRPr="00022CA4">
        <w:t>ndicating the prevalence of surplus moisture or positive CWB (Fig. 4). In contrast, the annual mean CWB was negative (</w:t>
      </w:r>
      <w:smartTag w:uri="urn:schemas-microsoft-com:office:smarttags" w:element="metricconverter">
        <w:smartTagPr>
          <w:attr w:name="ProductID" w:val="-185 mm"/>
        </w:smartTagPr>
        <w:r w:rsidR="000C0DEE" w:rsidRPr="00022CA4">
          <w:t>-185 mm</w:t>
        </w:r>
      </w:smartTag>
      <w:r w:rsidR="000C0DEE" w:rsidRPr="00022CA4">
        <w:t>) as it was in Bega (</w:t>
      </w:r>
      <w:smartTag w:uri="urn:schemas-microsoft-com:office:smarttags" w:element="metricconverter">
        <w:smartTagPr>
          <w:attr w:name="ProductID" w:val="-171 mm"/>
        </w:smartTagPr>
        <w:r w:rsidR="000C0DEE" w:rsidRPr="00022CA4">
          <w:t>-171 mm</w:t>
        </w:r>
      </w:smartTag>
      <w:r w:rsidR="000C0DEE" w:rsidRPr="00022CA4">
        <w:t>) and Belg (</w:t>
      </w:r>
      <w:smartTag w:uri="urn:schemas-microsoft-com:office:smarttags" w:element="metricconverter">
        <w:smartTagPr>
          <w:attr w:name="ProductID" w:val="-97 mm"/>
        </w:smartTagPr>
        <w:r w:rsidR="000C0DEE" w:rsidRPr="00022CA4">
          <w:t>-97 mm</w:t>
        </w:r>
      </w:smartTag>
      <w:r w:rsidR="000C0DEE" w:rsidRPr="00022CA4">
        <w:t>) seasons and seven months, October to March and June (Fig. 4</w:t>
      </w:r>
      <w:r w:rsidR="00F3154B" w:rsidRPr="00022CA4">
        <w:t xml:space="preserve"> &amp; Fig. 6</w:t>
      </w:r>
      <w:r w:rsidR="000C0DEE" w:rsidRPr="00022CA4">
        <w:t xml:space="preserve">). </w:t>
      </w:r>
      <w:r w:rsidR="004C1CD7">
        <w:t xml:space="preserve">The mean monthly rainfall exceeds the mean monthly </w:t>
      </w:r>
      <w:proofErr w:type="spellStart"/>
      <w:proofErr w:type="gramStart"/>
      <w:r w:rsidR="009528F8">
        <w:t>ET</w:t>
      </w:r>
      <w:r w:rsidR="009528F8" w:rsidRPr="008F0EFE">
        <w:rPr>
          <w:vertAlign w:val="subscript"/>
        </w:rPr>
        <w:t>o</w:t>
      </w:r>
      <w:proofErr w:type="spellEnd"/>
      <w:proofErr w:type="gramEnd"/>
      <w:r w:rsidR="004C1CD7">
        <w:t xml:space="preserve"> during July to September and April to May, creating a water surplus for these five months and a deficit during the other seven months. </w:t>
      </w:r>
      <w:proofErr w:type="gramStart"/>
      <w:r w:rsidR="004C1CD7">
        <w:t>The surplus period supports agricultural, hydrological, and forestry activities, indirectly promoting food security and livelihoods, which are critical determinants of community health.</w:t>
      </w:r>
      <w:proofErr w:type="gramEnd"/>
      <w:r w:rsidR="004C1CD7">
        <w:t xml:space="preserve"> However, excessive moisture during these months may also increase the risk of waterborne diseases and flooding, posing health hazards. In contrast, the water deficit months can reduce soil moisture and hinder groundwater recharge, compromising crop and tree growth, and potentially limiting access to safe domestic water. This scarcity can exacerbate malnutrition, increase reliance on unsafe water sources, and elevate the risk of water-related illnesses, particularly affecting rural populations and a significant portion of urban residents.</w:t>
      </w:r>
      <w:r w:rsidR="00CA183B" w:rsidRPr="00022CA4">
        <w:t xml:space="preserve"> </w:t>
      </w:r>
    </w:p>
    <w:p w14:paraId="055FA6A2" w14:textId="3B47014E" w:rsidR="00522AA6" w:rsidRPr="00022CA4" w:rsidRDefault="00837E11" w:rsidP="00EE4D7D">
      <w:pPr>
        <w:spacing w:line="360" w:lineRule="auto"/>
        <w:jc w:val="center"/>
        <w:rPr>
          <w:rFonts w:ascii="Times New Roman" w:hAnsi="Times New Roman" w:cs="Times New Roman"/>
          <w:sz w:val="24"/>
          <w:szCs w:val="24"/>
        </w:rPr>
      </w:pPr>
      <w:r w:rsidRPr="00022CA4">
        <w:rPr>
          <w:rFonts w:ascii="Times New Roman" w:hAnsi="Times New Roman" w:cs="Times New Roman"/>
          <w:noProof/>
          <w:sz w:val="24"/>
          <w:szCs w:val="24"/>
        </w:rPr>
        <w:drawing>
          <wp:inline distT="0" distB="0" distL="0" distR="0" wp14:anchorId="2E09CF59" wp14:editId="49646425">
            <wp:extent cx="5833873" cy="3090673"/>
            <wp:effectExtent l="0" t="0" r="0" b="0"/>
            <wp:docPr id="4" name="Picture 2" descr="D:\Part-I\2024\2024-Part-III\Pub_4\Data-2\Fig_a-b_cwb\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Part-I\2024\2024-Part-III\Pub_4\Data-2\Fig_a-b_cwb\Fig.10.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1603" t="7202" r="14585" b="47721"/>
                    <a:stretch/>
                  </pic:blipFill>
                  <pic:spPr bwMode="auto">
                    <a:xfrm>
                      <a:off x="0" y="0"/>
                      <a:ext cx="5833873" cy="309067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9D10441" w14:textId="67CCC7E8" w:rsidR="00436ECE" w:rsidRDefault="0057714F" w:rsidP="00D33052">
      <w:pPr>
        <w:spacing w:after="240" w:line="360" w:lineRule="auto"/>
        <w:jc w:val="center"/>
        <w:rPr>
          <w:rFonts w:ascii="Times New Roman" w:hAnsi="Times New Roman" w:cs="Times New Roman"/>
          <w:sz w:val="24"/>
          <w:szCs w:val="24"/>
        </w:rPr>
      </w:pPr>
      <w:r w:rsidRPr="00022CA4">
        <w:rPr>
          <w:rFonts w:ascii="Times New Roman" w:hAnsi="Times New Roman" w:cs="Times New Roman"/>
          <w:b/>
          <w:sz w:val="24"/>
          <w:szCs w:val="24"/>
        </w:rPr>
        <w:t>Fig</w:t>
      </w:r>
      <w:r w:rsidR="0007281E" w:rsidRPr="00022CA4">
        <w:rPr>
          <w:rFonts w:ascii="Times New Roman" w:hAnsi="Times New Roman" w:cs="Times New Roman"/>
          <w:b/>
          <w:sz w:val="24"/>
          <w:szCs w:val="24"/>
        </w:rPr>
        <w:t>.10</w:t>
      </w:r>
      <w:r w:rsidRPr="00022CA4">
        <w:rPr>
          <w:rFonts w:ascii="Times New Roman" w:hAnsi="Times New Roman" w:cs="Times New Roman"/>
          <w:sz w:val="24"/>
          <w:szCs w:val="24"/>
        </w:rPr>
        <w:t xml:space="preserve"> </w:t>
      </w:r>
      <w:r w:rsidR="00D33052" w:rsidRPr="00022CA4">
        <w:rPr>
          <w:rFonts w:ascii="Times New Roman" w:hAnsi="Times New Roman" w:cs="Times New Roman"/>
          <w:sz w:val="24"/>
          <w:szCs w:val="24"/>
        </w:rPr>
        <w:t>Trend of</w:t>
      </w:r>
      <w:r w:rsidRPr="00022CA4">
        <w:rPr>
          <w:rFonts w:ascii="Times New Roman" w:hAnsi="Times New Roman" w:cs="Times New Roman"/>
          <w:sz w:val="24"/>
          <w:szCs w:val="24"/>
        </w:rPr>
        <w:t xml:space="preserve"> annual and seasonal </w:t>
      </w:r>
      <w:r w:rsidR="00652F15" w:rsidRPr="00022CA4">
        <w:rPr>
          <w:rFonts w:ascii="Times New Roman" w:hAnsi="Times New Roman" w:cs="Times New Roman"/>
          <w:sz w:val="24"/>
          <w:szCs w:val="24"/>
        </w:rPr>
        <w:t>climatic water balance</w:t>
      </w:r>
      <w:r w:rsidRPr="00022CA4">
        <w:rPr>
          <w:rFonts w:ascii="Times New Roman" w:hAnsi="Times New Roman" w:cs="Times New Roman"/>
          <w:sz w:val="24"/>
          <w:szCs w:val="24"/>
        </w:rPr>
        <w:t xml:space="preserve"> over Ethiopia </w:t>
      </w:r>
      <w:r w:rsidR="0096478F">
        <w:rPr>
          <w:rFonts w:ascii="Times New Roman" w:hAnsi="Times New Roman" w:cs="Times New Roman"/>
          <w:sz w:val="24"/>
          <w:szCs w:val="24"/>
        </w:rPr>
        <w:t xml:space="preserve">during 1980 to </w:t>
      </w:r>
      <w:r w:rsidRPr="00022CA4">
        <w:rPr>
          <w:rFonts w:ascii="Times New Roman" w:hAnsi="Times New Roman" w:cs="Times New Roman"/>
          <w:sz w:val="24"/>
          <w:szCs w:val="24"/>
        </w:rPr>
        <w:t>2021</w:t>
      </w:r>
    </w:p>
    <w:p w14:paraId="60D1703A" w14:textId="77777777" w:rsidR="00560D57" w:rsidRPr="00022CA4" w:rsidRDefault="00560D57" w:rsidP="00D33052">
      <w:pPr>
        <w:spacing w:after="240" w:line="360" w:lineRule="auto"/>
        <w:jc w:val="center"/>
        <w:rPr>
          <w:rFonts w:ascii="Times New Roman" w:hAnsi="Times New Roman" w:cs="Times New Roman"/>
          <w:sz w:val="24"/>
          <w:szCs w:val="24"/>
        </w:rPr>
      </w:pPr>
    </w:p>
    <w:p w14:paraId="1A391D91" w14:textId="1403CA21" w:rsidR="00837E11" w:rsidRPr="00022CA4" w:rsidRDefault="00224A4B" w:rsidP="00EE4D7D">
      <w:pPr>
        <w:pStyle w:val="BodyText"/>
        <w:spacing w:line="360" w:lineRule="auto"/>
        <w:jc w:val="both"/>
        <w:rPr>
          <w:rFonts w:ascii="Times New Roman" w:hAnsi="Times New Roman" w:cs="Times New Roman"/>
          <w:sz w:val="24"/>
          <w:szCs w:val="24"/>
        </w:rPr>
      </w:pPr>
      <w:r w:rsidRPr="003D57E5">
        <w:rPr>
          <w:rFonts w:ascii="Times New Roman" w:hAnsi="Times New Roman" w:cs="Times New Roman"/>
          <w:sz w:val="24"/>
          <w:szCs w:val="24"/>
        </w:rPr>
        <w:lastRenderedPageBreak/>
        <w:t xml:space="preserve">Table </w:t>
      </w:r>
      <w:r w:rsidR="003D57E5" w:rsidRPr="003D57E5">
        <w:rPr>
          <w:rFonts w:ascii="Times New Roman" w:hAnsi="Times New Roman" w:cs="Times New Roman"/>
          <w:sz w:val="24"/>
          <w:szCs w:val="24"/>
        </w:rPr>
        <w:t>6</w:t>
      </w:r>
      <w:r>
        <w:rPr>
          <w:rFonts w:ascii="Times New Roman" w:hAnsi="Times New Roman" w:cs="Times New Roman"/>
          <w:b/>
          <w:sz w:val="24"/>
          <w:szCs w:val="24"/>
        </w:rPr>
        <w:t xml:space="preserve"> </w:t>
      </w:r>
      <w:r w:rsidRPr="00224A4B">
        <w:rPr>
          <w:rFonts w:ascii="Times New Roman" w:hAnsi="Times New Roman" w:cs="Times New Roman"/>
          <w:sz w:val="24"/>
          <w:szCs w:val="24"/>
        </w:rPr>
        <w:t> |  </w:t>
      </w:r>
      <w:r w:rsidR="00436ECE" w:rsidRPr="00022CA4">
        <w:rPr>
          <w:rFonts w:ascii="Times New Roman" w:hAnsi="Times New Roman" w:cs="Times New Roman"/>
          <w:b/>
          <w:sz w:val="24"/>
          <w:szCs w:val="24"/>
        </w:rPr>
        <w:t xml:space="preserve"> </w:t>
      </w:r>
      <w:r w:rsidR="00436ECE" w:rsidRPr="00022CA4">
        <w:rPr>
          <w:rFonts w:ascii="Times New Roman" w:hAnsi="Times New Roman" w:cs="Times New Roman"/>
          <w:sz w:val="24"/>
          <w:szCs w:val="24"/>
        </w:rPr>
        <w:t xml:space="preserve">Mean </w:t>
      </w:r>
      <w:r w:rsidR="00F268AB" w:rsidRPr="00022CA4">
        <w:rPr>
          <w:rFonts w:ascii="Times New Roman" w:hAnsi="Times New Roman" w:cs="Times New Roman"/>
          <w:sz w:val="24"/>
          <w:szCs w:val="24"/>
        </w:rPr>
        <w:t>a</w:t>
      </w:r>
      <w:r w:rsidR="00436ECE" w:rsidRPr="00022CA4">
        <w:rPr>
          <w:rFonts w:ascii="Times New Roman" w:hAnsi="Times New Roman" w:cs="Times New Roman"/>
          <w:sz w:val="24"/>
          <w:szCs w:val="24"/>
        </w:rPr>
        <w:t xml:space="preserve">nnual </w:t>
      </w:r>
      <w:r w:rsidR="00F268AB" w:rsidRPr="00022CA4">
        <w:rPr>
          <w:rFonts w:ascii="Times New Roman" w:hAnsi="Times New Roman" w:cs="Times New Roman"/>
          <w:sz w:val="24"/>
          <w:szCs w:val="24"/>
        </w:rPr>
        <w:t>Climatic Water Balance amount</w:t>
      </w:r>
      <w:r w:rsidR="00436ECE" w:rsidRPr="00022CA4">
        <w:rPr>
          <w:rFonts w:ascii="Times New Roman" w:hAnsi="Times New Roman" w:cs="Times New Roman"/>
          <w:sz w:val="24"/>
          <w:szCs w:val="24"/>
        </w:rPr>
        <w:t xml:space="preserve"> [mm] and sl</w:t>
      </w:r>
      <w:r w:rsidR="0096478F">
        <w:rPr>
          <w:rFonts w:ascii="Times New Roman" w:hAnsi="Times New Roman" w:cs="Times New Roman"/>
          <w:sz w:val="24"/>
          <w:szCs w:val="24"/>
        </w:rPr>
        <w:t xml:space="preserve">ope [mm/year] in Ethiopia (1980 to </w:t>
      </w:r>
      <w:r w:rsidR="00436ECE" w:rsidRPr="00022CA4">
        <w:rPr>
          <w:rFonts w:ascii="Times New Roman" w:hAnsi="Times New Roman" w:cs="Times New Roman"/>
          <w:sz w:val="24"/>
          <w:szCs w:val="24"/>
        </w:rPr>
        <w:t>2021).</w:t>
      </w:r>
    </w:p>
    <w:tbl>
      <w:tblPr>
        <w:tblW w:w="9251" w:type="dxa"/>
        <w:jc w:val="center"/>
        <w:tblLook w:val="04A0" w:firstRow="1" w:lastRow="0" w:firstColumn="1" w:lastColumn="0" w:noHBand="0" w:noVBand="1"/>
      </w:tblPr>
      <w:tblGrid>
        <w:gridCol w:w="1831"/>
        <w:gridCol w:w="1096"/>
        <w:gridCol w:w="777"/>
        <w:gridCol w:w="1123"/>
        <w:gridCol w:w="737"/>
        <w:gridCol w:w="1123"/>
        <w:gridCol w:w="737"/>
        <w:gridCol w:w="1123"/>
        <w:gridCol w:w="737"/>
      </w:tblGrid>
      <w:tr w:rsidR="00837E11" w:rsidRPr="00022CA4" w14:paraId="24DC6542" w14:textId="77777777" w:rsidTr="001B5A9B">
        <w:trPr>
          <w:trHeight w:val="199"/>
          <w:jc w:val="center"/>
        </w:trPr>
        <w:tc>
          <w:tcPr>
            <w:tcW w:w="1831" w:type="dxa"/>
            <w:tcBorders>
              <w:top w:val="single" w:sz="8" w:space="0" w:color="auto"/>
              <w:left w:val="nil"/>
              <w:bottom w:val="single" w:sz="8" w:space="0" w:color="auto"/>
              <w:right w:val="nil"/>
            </w:tcBorders>
            <w:shd w:val="clear" w:color="auto" w:fill="auto"/>
            <w:noWrap/>
            <w:vAlign w:val="bottom"/>
            <w:hideMark/>
          </w:tcPr>
          <w:p w14:paraId="1C3012E1" w14:textId="77777777" w:rsidR="00837E11" w:rsidRPr="00022CA4" w:rsidRDefault="00837E11" w:rsidP="001B5A9B">
            <w:pPr>
              <w:widowControl/>
              <w:autoSpaceDE/>
              <w:autoSpaceDN/>
              <w:spacing w:line="360" w:lineRule="auto"/>
              <w:rPr>
                <w:rFonts w:ascii="Calibri" w:eastAsia="Times New Roman" w:hAnsi="Calibri" w:cs="Calibri"/>
                <w:color w:val="000000"/>
                <w:sz w:val="24"/>
                <w:szCs w:val="24"/>
                <w:lang w:val="en-GB" w:eastAsia="en-GB"/>
              </w:rPr>
            </w:pPr>
            <w:r w:rsidRPr="00022CA4">
              <w:rPr>
                <w:rFonts w:ascii="Calibri" w:eastAsia="Times New Roman" w:hAnsi="Calibri" w:cs="Calibri"/>
                <w:color w:val="000000"/>
                <w:sz w:val="24"/>
                <w:szCs w:val="24"/>
                <w:lang w:val="en-GB" w:eastAsia="en-GB"/>
              </w:rPr>
              <w:t> </w:t>
            </w:r>
          </w:p>
        </w:tc>
        <w:tc>
          <w:tcPr>
            <w:tcW w:w="1840" w:type="dxa"/>
            <w:gridSpan w:val="2"/>
            <w:tcBorders>
              <w:top w:val="single" w:sz="8" w:space="0" w:color="auto"/>
              <w:left w:val="nil"/>
              <w:bottom w:val="single" w:sz="8" w:space="0" w:color="auto"/>
              <w:right w:val="nil"/>
            </w:tcBorders>
            <w:shd w:val="clear" w:color="auto" w:fill="auto"/>
            <w:noWrap/>
            <w:vAlign w:val="center"/>
            <w:hideMark/>
          </w:tcPr>
          <w:p w14:paraId="7B50F4F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Annual</w:t>
            </w:r>
          </w:p>
        </w:tc>
        <w:tc>
          <w:tcPr>
            <w:tcW w:w="1860" w:type="dxa"/>
            <w:gridSpan w:val="2"/>
            <w:tcBorders>
              <w:top w:val="single" w:sz="8" w:space="0" w:color="auto"/>
              <w:left w:val="nil"/>
              <w:bottom w:val="single" w:sz="8" w:space="0" w:color="auto"/>
              <w:right w:val="nil"/>
            </w:tcBorders>
            <w:shd w:val="clear" w:color="auto" w:fill="auto"/>
            <w:noWrap/>
            <w:vAlign w:val="center"/>
            <w:hideMark/>
          </w:tcPr>
          <w:p w14:paraId="6BD3710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Bega</w:t>
            </w:r>
          </w:p>
        </w:tc>
        <w:tc>
          <w:tcPr>
            <w:tcW w:w="1860" w:type="dxa"/>
            <w:gridSpan w:val="2"/>
            <w:tcBorders>
              <w:top w:val="single" w:sz="8" w:space="0" w:color="auto"/>
              <w:left w:val="nil"/>
              <w:bottom w:val="single" w:sz="8" w:space="0" w:color="auto"/>
              <w:right w:val="nil"/>
            </w:tcBorders>
            <w:shd w:val="clear" w:color="auto" w:fill="auto"/>
            <w:noWrap/>
            <w:vAlign w:val="center"/>
            <w:hideMark/>
          </w:tcPr>
          <w:p w14:paraId="29A4727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Belg</w:t>
            </w:r>
          </w:p>
        </w:tc>
        <w:tc>
          <w:tcPr>
            <w:tcW w:w="1860" w:type="dxa"/>
            <w:gridSpan w:val="2"/>
            <w:tcBorders>
              <w:top w:val="single" w:sz="8" w:space="0" w:color="auto"/>
              <w:left w:val="nil"/>
              <w:bottom w:val="single" w:sz="8" w:space="0" w:color="auto"/>
              <w:right w:val="nil"/>
            </w:tcBorders>
            <w:shd w:val="clear" w:color="auto" w:fill="auto"/>
            <w:noWrap/>
            <w:vAlign w:val="center"/>
            <w:hideMark/>
          </w:tcPr>
          <w:p w14:paraId="24C7ED0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Kiremt</w:t>
            </w:r>
          </w:p>
        </w:tc>
      </w:tr>
      <w:tr w:rsidR="00837E11" w:rsidRPr="00022CA4" w14:paraId="34BCDED5" w14:textId="77777777" w:rsidTr="001B5A9B">
        <w:trPr>
          <w:trHeight w:val="199"/>
          <w:jc w:val="center"/>
        </w:trPr>
        <w:tc>
          <w:tcPr>
            <w:tcW w:w="1831" w:type="dxa"/>
            <w:tcBorders>
              <w:top w:val="nil"/>
              <w:left w:val="nil"/>
              <w:bottom w:val="single" w:sz="8" w:space="0" w:color="auto"/>
              <w:right w:val="nil"/>
            </w:tcBorders>
            <w:shd w:val="clear" w:color="auto" w:fill="auto"/>
            <w:noWrap/>
            <w:vAlign w:val="center"/>
            <w:hideMark/>
          </w:tcPr>
          <w:p w14:paraId="36254E4C" w14:textId="77777777" w:rsidR="00837E11" w:rsidRPr="00022CA4" w:rsidRDefault="00837E11" w:rsidP="001B5A9B">
            <w:pPr>
              <w:widowControl/>
              <w:autoSpaceDE/>
              <w:autoSpaceDN/>
              <w:spacing w:line="360" w:lineRule="auto"/>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Ethiopia/Basins</w:t>
            </w:r>
          </w:p>
        </w:tc>
        <w:tc>
          <w:tcPr>
            <w:tcW w:w="1096" w:type="dxa"/>
            <w:tcBorders>
              <w:top w:val="nil"/>
              <w:left w:val="nil"/>
              <w:bottom w:val="single" w:sz="8" w:space="0" w:color="auto"/>
              <w:right w:val="nil"/>
            </w:tcBorders>
            <w:shd w:val="clear" w:color="auto" w:fill="auto"/>
            <w:noWrap/>
            <w:vAlign w:val="center"/>
            <w:hideMark/>
          </w:tcPr>
          <w:p w14:paraId="503991B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44" w:type="dxa"/>
            <w:tcBorders>
              <w:top w:val="nil"/>
              <w:left w:val="nil"/>
              <w:bottom w:val="single" w:sz="8" w:space="0" w:color="auto"/>
              <w:right w:val="nil"/>
            </w:tcBorders>
            <w:shd w:val="clear" w:color="auto" w:fill="auto"/>
            <w:noWrap/>
            <w:vAlign w:val="center"/>
            <w:hideMark/>
          </w:tcPr>
          <w:p w14:paraId="4B98576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c>
          <w:tcPr>
            <w:tcW w:w="1123" w:type="dxa"/>
            <w:tcBorders>
              <w:top w:val="nil"/>
              <w:left w:val="nil"/>
              <w:bottom w:val="single" w:sz="8" w:space="0" w:color="auto"/>
              <w:right w:val="nil"/>
            </w:tcBorders>
            <w:shd w:val="clear" w:color="auto" w:fill="auto"/>
            <w:noWrap/>
            <w:vAlign w:val="center"/>
            <w:hideMark/>
          </w:tcPr>
          <w:p w14:paraId="2E5EB5A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37" w:type="dxa"/>
            <w:tcBorders>
              <w:top w:val="nil"/>
              <w:left w:val="nil"/>
              <w:bottom w:val="single" w:sz="8" w:space="0" w:color="auto"/>
              <w:right w:val="nil"/>
            </w:tcBorders>
            <w:shd w:val="clear" w:color="auto" w:fill="auto"/>
            <w:noWrap/>
            <w:vAlign w:val="center"/>
            <w:hideMark/>
          </w:tcPr>
          <w:p w14:paraId="026CC03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c>
          <w:tcPr>
            <w:tcW w:w="1123" w:type="dxa"/>
            <w:tcBorders>
              <w:top w:val="nil"/>
              <w:left w:val="nil"/>
              <w:bottom w:val="single" w:sz="8" w:space="0" w:color="auto"/>
              <w:right w:val="nil"/>
            </w:tcBorders>
            <w:shd w:val="clear" w:color="auto" w:fill="auto"/>
            <w:noWrap/>
            <w:vAlign w:val="center"/>
            <w:hideMark/>
          </w:tcPr>
          <w:p w14:paraId="21159B1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37" w:type="dxa"/>
            <w:tcBorders>
              <w:top w:val="nil"/>
              <w:left w:val="nil"/>
              <w:bottom w:val="single" w:sz="8" w:space="0" w:color="auto"/>
              <w:right w:val="nil"/>
            </w:tcBorders>
            <w:shd w:val="clear" w:color="auto" w:fill="auto"/>
            <w:noWrap/>
            <w:vAlign w:val="center"/>
            <w:hideMark/>
          </w:tcPr>
          <w:p w14:paraId="54EBE79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c>
          <w:tcPr>
            <w:tcW w:w="1123" w:type="dxa"/>
            <w:tcBorders>
              <w:top w:val="nil"/>
              <w:left w:val="nil"/>
              <w:bottom w:val="single" w:sz="8" w:space="0" w:color="auto"/>
              <w:right w:val="nil"/>
            </w:tcBorders>
            <w:shd w:val="clear" w:color="auto" w:fill="auto"/>
            <w:noWrap/>
            <w:vAlign w:val="center"/>
            <w:hideMark/>
          </w:tcPr>
          <w:p w14:paraId="7921B1E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 xml:space="preserve">Amount </w:t>
            </w:r>
          </w:p>
        </w:tc>
        <w:tc>
          <w:tcPr>
            <w:tcW w:w="737" w:type="dxa"/>
            <w:tcBorders>
              <w:top w:val="nil"/>
              <w:left w:val="nil"/>
              <w:bottom w:val="single" w:sz="8" w:space="0" w:color="auto"/>
              <w:right w:val="nil"/>
            </w:tcBorders>
            <w:shd w:val="clear" w:color="auto" w:fill="auto"/>
            <w:noWrap/>
            <w:vAlign w:val="center"/>
            <w:hideMark/>
          </w:tcPr>
          <w:p w14:paraId="1CB3B1E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eastAsia="Times New Roman" w:hAnsi="Times New Roman" w:cs="Times New Roman"/>
                <w:b/>
                <w:bCs/>
                <w:color w:val="000000"/>
                <w:sz w:val="24"/>
                <w:szCs w:val="24"/>
                <w:lang w:eastAsia="en-GB"/>
              </w:rPr>
              <w:t>slope</w:t>
            </w:r>
          </w:p>
        </w:tc>
      </w:tr>
      <w:tr w:rsidR="00837E11" w:rsidRPr="00022CA4" w14:paraId="77D1228B"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4CBD6B24"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Ethiopia</w:t>
            </w:r>
          </w:p>
        </w:tc>
        <w:tc>
          <w:tcPr>
            <w:tcW w:w="1096" w:type="dxa"/>
            <w:tcBorders>
              <w:top w:val="nil"/>
              <w:left w:val="nil"/>
              <w:bottom w:val="nil"/>
              <w:right w:val="nil"/>
            </w:tcBorders>
            <w:shd w:val="clear" w:color="auto" w:fill="auto"/>
            <w:noWrap/>
            <w:vAlign w:val="bottom"/>
            <w:hideMark/>
          </w:tcPr>
          <w:p w14:paraId="19C4352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-185</w:t>
            </w:r>
          </w:p>
        </w:tc>
        <w:tc>
          <w:tcPr>
            <w:tcW w:w="744" w:type="dxa"/>
            <w:tcBorders>
              <w:top w:val="nil"/>
              <w:left w:val="nil"/>
              <w:bottom w:val="nil"/>
              <w:right w:val="nil"/>
            </w:tcBorders>
            <w:shd w:val="clear" w:color="auto" w:fill="auto"/>
            <w:noWrap/>
            <w:vAlign w:val="bottom"/>
            <w:hideMark/>
          </w:tcPr>
          <w:p w14:paraId="1737A9F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1.61</w:t>
            </w:r>
          </w:p>
        </w:tc>
        <w:tc>
          <w:tcPr>
            <w:tcW w:w="1123" w:type="dxa"/>
            <w:tcBorders>
              <w:top w:val="nil"/>
              <w:left w:val="nil"/>
              <w:bottom w:val="nil"/>
              <w:right w:val="nil"/>
            </w:tcBorders>
            <w:shd w:val="clear" w:color="auto" w:fill="auto"/>
            <w:noWrap/>
            <w:vAlign w:val="bottom"/>
            <w:hideMark/>
          </w:tcPr>
          <w:p w14:paraId="4D7FC37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-171</w:t>
            </w:r>
          </w:p>
        </w:tc>
        <w:tc>
          <w:tcPr>
            <w:tcW w:w="737" w:type="dxa"/>
            <w:tcBorders>
              <w:top w:val="nil"/>
              <w:left w:val="nil"/>
              <w:bottom w:val="nil"/>
              <w:right w:val="nil"/>
            </w:tcBorders>
            <w:shd w:val="clear" w:color="auto" w:fill="auto"/>
            <w:noWrap/>
            <w:vAlign w:val="bottom"/>
            <w:hideMark/>
          </w:tcPr>
          <w:p w14:paraId="397B880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0.68</w:t>
            </w:r>
          </w:p>
        </w:tc>
        <w:tc>
          <w:tcPr>
            <w:tcW w:w="1123" w:type="dxa"/>
            <w:tcBorders>
              <w:top w:val="nil"/>
              <w:left w:val="nil"/>
              <w:bottom w:val="nil"/>
              <w:right w:val="nil"/>
            </w:tcBorders>
            <w:shd w:val="clear" w:color="auto" w:fill="auto"/>
            <w:noWrap/>
            <w:vAlign w:val="bottom"/>
            <w:hideMark/>
          </w:tcPr>
          <w:p w14:paraId="531F14F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-97</w:t>
            </w:r>
          </w:p>
        </w:tc>
        <w:tc>
          <w:tcPr>
            <w:tcW w:w="737" w:type="dxa"/>
            <w:tcBorders>
              <w:top w:val="nil"/>
              <w:left w:val="nil"/>
              <w:bottom w:val="nil"/>
              <w:right w:val="nil"/>
            </w:tcBorders>
            <w:shd w:val="clear" w:color="auto" w:fill="auto"/>
            <w:noWrap/>
            <w:vAlign w:val="bottom"/>
            <w:hideMark/>
          </w:tcPr>
          <w:p w14:paraId="6A73408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-0.22</w:t>
            </w:r>
          </w:p>
        </w:tc>
        <w:tc>
          <w:tcPr>
            <w:tcW w:w="1123" w:type="dxa"/>
            <w:tcBorders>
              <w:top w:val="nil"/>
              <w:left w:val="nil"/>
              <w:bottom w:val="nil"/>
              <w:right w:val="nil"/>
            </w:tcBorders>
            <w:shd w:val="clear" w:color="auto" w:fill="auto"/>
            <w:noWrap/>
            <w:vAlign w:val="bottom"/>
            <w:hideMark/>
          </w:tcPr>
          <w:p w14:paraId="6280941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83</w:t>
            </w:r>
          </w:p>
        </w:tc>
        <w:tc>
          <w:tcPr>
            <w:tcW w:w="737" w:type="dxa"/>
            <w:tcBorders>
              <w:top w:val="nil"/>
              <w:left w:val="nil"/>
              <w:bottom w:val="nil"/>
              <w:right w:val="nil"/>
            </w:tcBorders>
            <w:shd w:val="clear" w:color="auto" w:fill="auto"/>
            <w:noWrap/>
            <w:vAlign w:val="bottom"/>
            <w:hideMark/>
          </w:tcPr>
          <w:p w14:paraId="79BD8CD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1.16</w:t>
            </w:r>
          </w:p>
        </w:tc>
      </w:tr>
      <w:tr w:rsidR="00837E11" w:rsidRPr="00022CA4" w14:paraId="5734ADE1"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2D2713E0"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Wabi-Shebele</w:t>
            </w:r>
            <w:proofErr w:type="spellEnd"/>
          </w:p>
        </w:tc>
        <w:tc>
          <w:tcPr>
            <w:tcW w:w="1096" w:type="dxa"/>
            <w:tcBorders>
              <w:top w:val="nil"/>
              <w:left w:val="nil"/>
              <w:bottom w:val="nil"/>
              <w:right w:val="nil"/>
            </w:tcBorders>
            <w:shd w:val="clear" w:color="auto" w:fill="auto"/>
            <w:noWrap/>
            <w:vAlign w:val="bottom"/>
            <w:hideMark/>
          </w:tcPr>
          <w:p w14:paraId="4F32491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-376</w:t>
            </w:r>
          </w:p>
        </w:tc>
        <w:tc>
          <w:tcPr>
            <w:tcW w:w="744" w:type="dxa"/>
            <w:tcBorders>
              <w:top w:val="nil"/>
              <w:left w:val="nil"/>
              <w:bottom w:val="nil"/>
              <w:right w:val="nil"/>
            </w:tcBorders>
            <w:shd w:val="clear" w:color="auto" w:fill="auto"/>
            <w:noWrap/>
            <w:vAlign w:val="bottom"/>
            <w:hideMark/>
          </w:tcPr>
          <w:p w14:paraId="572A296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2.11</w:t>
            </w:r>
          </w:p>
        </w:tc>
        <w:tc>
          <w:tcPr>
            <w:tcW w:w="1123" w:type="dxa"/>
            <w:tcBorders>
              <w:top w:val="nil"/>
              <w:left w:val="nil"/>
              <w:bottom w:val="nil"/>
              <w:right w:val="nil"/>
            </w:tcBorders>
            <w:shd w:val="clear" w:color="auto" w:fill="auto"/>
            <w:noWrap/>
            <w:vAlign w:val="bottom"/>
            <w:hideMark/>
          </w:tcPr>
          <w:p w14:paraId="07843E6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-183</w:t>
            </w:r>
          </w:p>
        </w:tc>
        <w:tc>
          <w:tcPr>
            <w:tcW w:w="737" w:type="dxa"/>
            <w:tcBorders>
              <w:top w:val="nil"/>
              <w:left w:val="nil"/>
              <w:bottom w:val="nil"/>
              <w:right w:val="nil"/>
            </w:tcBorders>
            <w:shd w:val="clear" w:color="auto" w:fill="auto"/>
            <w:noWrap/>
            <w:vAlign w:val="bottom"/>
            <w:hideMark/>
          </w:tcPr>
          <w:p w14:paraId="775A95E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1.08</w:t>
            </w:r>
          </w:p>
        </w:tc>
        <w:tc>
          <w:tcPr>
            <w:tcW w:w="1123" w:type="dxa"/>
            <w:tcBorders>
              <w:top w:val="nil"/>
              <w:left w:val="nil"/>
              <w:bottom w:val="nil"/>
              <w:right w:val="nil"/>
            </w:tcBorders>
            <w:shd w:val="clear" w:color="auto" w:fill="auto"/>
            <w:noWrap/>
            <w:vAlign w:val="bottom"/>
            <w:hideMark/>
          </w:tcPr>
          <w:p w14:paraId="6936EB9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-111</w:t>
            </w:r>
          </w:p>
        </w:tc>
        <w:tc>
          <w:tcPr>
            <w:tcW w:w="737" w:type="dxa"/>
            <w:tcBorders>
              <w:top w:val="nil"/>
              <w:left w:val="nil"/>
              <w:bottom w:val="nil"/>
              <w:right w:val="nil"/>
            </w:tcBorders>
            <w:shd w:val="clear" w:color="auto" w:fill="auto"/>
            <w:noWrap/>
            <w:vAlign w:val="bottom"/>
            <w:hideMark/>
          </w:tcPr>
          <w:p w14:paraId="7AF8936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0.63</w:t>
            </w:r>
          </w:p>
        </w:tc>
        <w:tc>
          <w:tcPr>
            <w:tcW w:w="1123" w:type="dxa"/>
            <w:tcBorders>
              <w:top w:val="nil"/>
              <w:left w:val="nil"/>
              <w:bottom w:val="nil"/>
              <w:right w:val="nil"/>
            </w:tcBorders>
            <w:shd w:val="clear" w:color="auto" w:fill="auto"/>
            <w:noWrap/>
            <w:vAlign w:val="bottom"/>
            <w:hideMark/>
          </w:tcPr>
          <w:p w14:paraId="2D3C0CA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-82</w:t>
            </w:r>
          </w:p>
        </w:tc>
        <w:tc>
          <w:tcPr>
            <w:tcW w:w="737" w:type="dxa"/>
            <w:tcBorders>
              <w:top w:val="nil"/>
              <w:left w:val="nil"/>
              <w:bottom w:val="nil"/>
              <w:right w:val="nil"/>
            </w:tcBorders>
            <w:shd w:val="clear" w:color="auto" w:fill="auto"/>
            <w:noWrap/>
            <w:vAlign w:val="bottom"/>
            <w:hideMark/>
          </w:tcPr>
          <w:p w14:paraId="73BDE63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0.40</w:t>
            </w:r>
          </w:p>
        </w:tc>
      </w:tr>
      <w:tr w:rsidR="00837E11" w:rsidRPr="00022CA4" w14:paraId="6E052AA5"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1AFF86E7"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Abbay</w:t>
            </w:r>
            <w:proofErr w:type="spellEnd"/>
          </w:p>
        </w:tc>
        <w:tc>
          <w:tcPr>
            <w:tcW w:w="1096" w:type="dxa"/>
            <w:tcBorders>
              <w:top w:val="nil"/>
              <w:left w:val="nil"/>
              <w:bottom w:val="nil"/>
              <w:right w:val="nil"/>
            </w:tcBorders>
            <w:shd w:val="clear" w:color="auto" w:fill="auto"/>
            <w:noWrap/>
            <w:vAlign w:val="bottom"/>
            <w:hideMark/>
          </w:tcPr>
          <w:p w14:paraId="57E7108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248</w:t>
            </w:r>
          </w:p>
        </w:tc>
        <w:tc>
          <w:tcPr>
            <w:tcW w:w="744" w:type="dxa"/>
            <w:tcBorders>
              <w:top w:val="nil"/>
              <w:left w:val="nil"/>
              <w:bottom w:val="nil"/>
              <w:right w:val="nil"/>
            </w:tcBorders>
            <w:shd w:val="clear" w:color="auto" w:fill="auto"/>
            <w:noWrap/>
            <w:vAlign w:val="bottom"/>
            <w:hideMark/>
          </w:tcPr>
          <w:p w14:paraId="5672D9B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1.16</w:t>
            </w:r>
          </w:p>
        </w:tc>
        <w:tc>
          <w:tcPr>
            <w:tcW w:w="1123" w:type="dxa"/>
            <w:tcBorders>
              <w:top w:val="nil"/>
              <w:left w:val="nil"/>
              <w:bottom w:val="nil"/>
              <w:right w:val="nil"/>
            </w:tcBorders>
            <w:shd w:val="clear" w:color="auto" w:fill="auto"/>
            <w:noWrap/>
            <w:vAlign w:val="bottom"/>
            <w:hideMark/>
          </w:tcPr>
          <w:p w14:paraId="0F185D2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-172</w:t>
            </w:r>
          </w:p>
        </w:tc>
        <w:tc>
          <w:tcPr>
            <w:tcW w:w="737" w:type="dxa"/>
            <w:tcBorders>
              <w:top w:val="nil"/>
              <w:left w:val="nil"/>
              <w:bottom w:val="nil"/>
              <w:right w:val="nil"/>
            </w:tcBorders>
            <w:shd w:val="clear" w:color="auto" w:fill="auto"/>
            <w:noWrap/>
            <w:vAlign w:val="bottom"/>
            <w:hideMark/>
          </w:tcPr>
          <w:p w14:paraId="34B9DF0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-0.27</w:t>
            </w:r>
          </w:p>
        </w:tc>
        <w:tc>
          <w:tcPr>
            <w:tcW w:w="1123" w:type="dxa"/>
            <w:tcBorders>
              <w:top w:val="nil"/>
              <w:left w:val="nil"/>
              <w:bottom w:val="nil"/>
              <w:right w:val="nil"/>
            </w:tcBorders>
            <w:shd w:val="clear" w:color="auto" w:fill="auto"/>
            <w:noWrap/>
            <w:vAlign w:val="bottom"/>
            <w:hideMark/>
          </w:tcPr>
          <w:p w14:paraId="59AD1AA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-103</w:t>
            </w:r>
          </w:p>
        </w:tc>
        <w:tc>
          <w:tcPr>
            <w:tcW w:w="737" w:type="dxa"/>
            <w:tcBorders>
              <w:top w:val="nil"/>
              <w:left w:val="nil"/>
              <w:bottom w:val="nil"/>
              <w:right w:val="nil"/>
            </w:tcBorders>
            <w:shd w:val="clear" w:color="auto" w:fill="auto"/>
            <w:noWrap/>
            <w:vAlign w:val="bottom"/>
            <w:hideMark/>
          </w:tcPr>
          <w:p w14:paraId="60E46B1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-1.07</w:t>
            </w:r>
          </w:p>
        </w:tc>
        <w:tc>
          <w:tcPr>
            <w:tcW w:w="1123" w:type="dxa"/>
            <w:tcBorders>
              <w:top w:val="nil"/>
              <w:left w:val="nil"/>
              <w:bottom w:val="nil"/>
              <w:right w:val="nil"/>
            </w:tcBorders>
            <w:shd w:val="clear" w:color="auto" w:fill="auto"/>
            <w:noWrap/>
            <w:vAlign w:val="bottom"/>
            <w:hideMark/>
          </w:tcPr>
          <w:p w14:paraId="35ECEC7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523</w:t>
            </w:r>
          </w:p>
        </w:tc>
        <w:tc>
          <w:tcPr>
            <w:tcW w:w="737" w:type="dxa"/>
            <w:tcBorders>
              <w:top w:val="nil"/>
              <w:left w:val="nil"/>
              <w:bottom w:val="nil"/>
              <w:right w:val="nil"/>
            </w:tcBorders>
            <w:shd w:val="clear" w:color="auto" w:fill="auto"/>
            <w:noWrap/>
            <w:vAlign w:val="bottom"/>
            <w:hideMark/>
          </w:tcPr>
          <w:p w14:paraId="5D38FB1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2.50</w:t>
            </w:r>
          </w:p>
        </w:tc>
      </w:tr>
      <w:tr w:rsidR="00837E11" w:rsidRPr="00022CA4" w14:paraId="10416C8B"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5741E9DC"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Genale-Dawa</w:t>
            </w:r>
            <w:proofErr w:type="spellEnd"/>
          </w:p>
        </w:tc>
        <w:tc>
          <w:tcPr>
            <w:tcW w:w="1096" w:type="dxa"/>
            <w:tcBorders>
              <w:top w:val="nil"/>
              <w:left w:val="nil"/>
              <w:bottom w:val="nil"/>
              <w:right w:val="nil"/>
            </w:tcBorders>
            <w:shd w:val="clear" w:color="auto" w:fill="auto"/>
            <w:noWrap/>
            <w:vAlign w:val="bottom"/>
            <w:hideMark/>
          </w:tcPr>
          <w:p w14:paraId="16B588B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-349</w:t>
            </w:r>
          </w:p>
        </w:tc>
        <w:tc>
          <w:tcPr>
            <w:tcW w:w="744" w:type="dxa"/>
            <w:tcBorders>
              <w:top w:val="nil"/>
              <w:left w:val="nil"/>
              <w:bottom w:val="nil"/>
              <w:right w:val="nil"/>
            </w:tcBorders>
            <w:shd w:val="clear" w:color="auto" w:fill="auto"/>
            <w:noWrap/>
            <w:vAlign w:val="bottom"/>
            <w:hideMark/>
          </w:tcPr>
          <w:p w14:paraId="4D4BC97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2.56</w:t>
            </w:r>
          </w:p>
        </w:tc>
        <w:tc>
          <w:tcPr>
            <w:tcW w:w="1123" w:type="dxa"/>
            <w:tcBorders>
              <w:top w:val="nil"/>
              <w:left w:val="nil"/>
              <w:bottom w:val="nil"/>
              <w:right w:val="nil"/>
            </w:tcBorders>
            <w:shd w:val="clear" w:color="auto" w:fill="auto"/>
            <w:noWrap/>
            <w:vAlign w:val="bottom"/>
            <w:hideMark/>
          </w:tcPr>
          <w:p w14:paraId="6F7D08B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-132</w:t>
            </w:r>
          </w:p>
        </w:tc>
        <w:tc>
          <w:tcPr>
            <w:tcW w:w="737" w:type="dxa"/>
            <w:tcBorders>
              <w:top w:val="nil"/>
              <w:left w:val="nil"/>
              <w:bottom w:val="nil"/>
              <w:right w:val="nil"/>
            </w:tcBorders>
            <w:shd w:val="clear" w:color="auto" w:fill="auto"/>
            <w:noWrap/>
            <w:vAlign w:val="bottom"/>
            <w:hideMark/>
          </w:tcPr>
          <w:p w14:paraId="2AC5161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2.09</w:t>
            </w:r>
          </w:p>
        </w:tc>
        <w:tc>
          <w:tcPr>
            <w:tcW w:w="1123" w:type="dxa"/>
            <w:tcBorders>
              <w:top w:val="nil"/>
              <w:left w:val="nil"/>
              <w:bottom w:val="nil"/>
              <w:right w:val="nil"/>
            </w:tcBorders>
            <w:shd w:val="clear" w:color="auto" w:fill="auto"/>
            <w:noWrap/>
            <w:vAlign w:val="bottom"/>
            <w:hideMark/>
          </w:tcPr>
          <w:p w14:paraId="65ECA17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-50</w:t>
            </w:r>
          </w:p>
        </w:tc>
        <w:tc>
          <w:tcPr>
            <w:tcW w:w="737" w:type="dxa"/>
            <w:tcBorders>
              <w:top w:val="nil"/>
              <w:left w:val="nil"/>
              <w:bottom w:val="nil"/>
              <w:right w:val="nil"/>
            </w:tcBorders>
            <w:shd w:val="clear" w:color="auto" w:fill="auto"/>
            <w:noWrap/>
            <w:vAlign w:val="bottom"/>
            <w:hideMark/>
          </w:tcPr>
          <w:p w14:paraId="41FAD51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0.41</w:t>
            </w:r>
          </w:p>
        </w:tc>
        <w:tc>
          <w:tcPr>
            <w:tcW w:w="1123" w:type="dxa"/>
            <w:tcBorders>
              <w:top w:val="nil"/>
              <w:left w:val="nil"/>
              <w:bottom w:val="nil"/>
              <w:right w:val="nil"/>
            </w:tcBorders>
            <w:shd w:val="clear" w:color="auto" w:fill="auto"/>
            <w:noWrap/>
            <w:vAlign w:val="bottom"/>
            <w:hideMark/>
          </w:tcPr>
          <w:p w14:paraId="4ECD365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-168</w:t>
            </w:r>
          </w:p>
        </w:tc>
        <w:tc>
          <w:tcPr>
            <w:tcW w:w="737" w:type="dxa"/>
            <w:tcBorders>
              <w:top w:val="nil"/>
              <w:left w:val="nil"/>
              <w:bottom w:val="nil"/>
              <w:right w:val="nil"/>
            </w:tcBorders>
            <w:shd w:val="clear" w:color="auto" w:fill="auto"/>
            <w:noWrap/>
            <w:vAlign w:val="bottom"/>
            <w:hideMark/>
          </w:tcPr>
          <w:p w14:paraId="31AB35F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0.06</w:t>
            </w:r>
          </w:p>
        </w:tc>
      </w:tr>
      <w:tr w:rsidR="00837E11" w:rsidRPr="00022CA4" w14:paraId="7AE45420"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38EDCBFD"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Awash</w:t>
            </w:r>
          </w:p>
        </w:tc>
        <w:tc>
          <w:tcPr>
            <w:tcW w:w="1096" w:type="dxa"/>
            <w:tcBorders>
              <w:top w:val="nil"/>
              <w:left w:val="nil"/>
              <w:bottom w:val="nil"/>
              <w:right w:val="nil"/>
            </w:tcBorders>
            <w:shd w:val="clear" w:color="auto" w:fill="auto"/>
            <w:noWrap/>
            <w:vAlign w:val="bottom"/>
            <w:hideMark/>
          </w:tcPr>
          <w:p w14:paraId="15B78B4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-482</w:t>
            </w:r>
          </w:p>
        </w:tc>
        <w:tc>
          <w:tcPr>
            <w:tcW w:w="744" w:type="dxa"/>
            <w:tcBorders>
              <w:top w:val="nil"/>
              <w:left w:val="nil"/>
              <w:bottom w:val="nil"/>
              <w:right w:val="nil"/>
            </w:tcBorders>
            <w:shd w:val="clear" w:color="auto" w:fill="auto"/>
            <w:noWrap/>
            <w:vAlign w:val="bottom"/>
            <w:hideMark/>
          </w:tcPr>
          <w:p w14:paraId="3D6782A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0.20</w:t>
            </w:r>
          </w:p>
        </w:tc>
        <w:tc>
          <w:tcPr>
            <w:tcW w:w="1123" w:type="dxa"/>
            <w:tcBorders>
              <w:top w:val="nil"/>
              <w:left w:val="nil"/>
              <w:bottom w:val="nil"/>
              <w:right w:val="nil"/>
            </w:tcBorders>
            <w:shd w:val="clear" w:color="auto" w:fill="auto"/>
            <w:noWrap/>
            <w:vAlign w:val="bottom"/>
            <w:hideMark/>
          </w:tcPr>
          <w:p w14:paraId="470D1D2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-233</w:t>
            </w:r>
          </w:p>
        </w:tc>
        <w:tc>
          <w:tcPr>
            <w:tcW w:w="737" w:type="dxa"/>
            <w:tcBorders>
              <w:top w:val="nil"/>
              <w:left w:val="nil"/>
              <w:bottom w:val="nil"/>
              <w:right w:val="nil"/>
            </w:tcBorders>
            <w:shd w:val="clear" w:color="auto" w:fill="auto"/>
            <w:noWrap/>
            <w:vAlign w:val="bottom"/>
            <w:hideMark/>
          </w:tcPr>
          <w:p w14:paraId="5D24807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-0.08</w:t>
            </w:r>
          </w:p>
        </w:tc>
        <w:tc>
          <w:tcPr>
            <w:tcW w:w="1123" w:type="dxa"/>
            <w:tcBorders>
              <w:top w:val="nil"/>
              <w:left w:val="nil"/>
              <w:bottom w:val="nil"/>
              <w:right w:val="nil"/>
            </w:tcBorders>
            <w:shd w:val="clear" w:color="auto" w:fill="auto"/>
            <w:noWrap/>
            <w:vAlign w:val="bottom"/>
            <w:hideMark/>
          </w:tcPr>
          <w:p w14:paraId="5C61358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-155</w:t>
            </w:r>
          </w:p>
        </w:tc>
        <w:tc>
          <w:tcPr>
            <w:tcW w:w="737" w:type="dxa"/>
            <w:tcBorders>
              <w:top w:val="nil"/>
              <w:left w:val="nil"/>
              <w:bottom w:val="nil"/>
              <w:right w:val="nil"/>
            </w:tcBorders>
            <w:shd w:val="clear" w:color="auto" w:fill="auto"/>
            <w:noWrap/>
            <w:vAlign w:val="bottom"/>
            <w:hideMark/>
          </w:tcPr>
          <w:p w14:paraId="184ECC1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-1.04</w:t>
            </w:r>
          </w:p>
        </w:tc>
        <w:tc>
          <w:tcPr>
            <w:tcW w:w="1123" w:type="dxa"/>
            <w:tcBorders>
              <w:top w:val="nil"/>
              <w:left w:val="nil"/>
              <w:bottom w:val="nil"/>
              <w:right w:val="nil"/>
            </w:tcBorders>
            <w:shd w:val="clear" w:color="auto" w:fill="auto"/>
            <w:noWrap/>
            <w:vAlign w:val="bottom"/>
            <w:hideMark/>
          </w:tcPr>
          <w:p w14:paraId="21F85E9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-94</w:t>
            </w:r>
          </w:p>
        </w:tc>
        <w:tc>
          <w:tcPr>
            <w:tcW w:w="737" w:type="dxa"/>
            <w:tcBorders>
              <w:top w:val="nil"/>
              <w:left w:val="nil"/>
              <w:bottom w:val="nil"/>
              <w:right w:val="nil"/>
            </w:tcBorders>
            <w:shd w:val="clear" w:color="auto" w:fill="auto"/>
            <w:noWrap/>
            <w:vAlign w:val="bottom"/>
            <w:hideMark/>
          </w:tcPr>
          <w:p w14:paraId="5052286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1.32</w:t>
            </w:r>
          </w:p>
        </w:tc>
      </w:tr>
      <w:tr w:rsidR="00837E11" w:rsidRPr="00022CA4" w14:paraId="2B5824A7"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247C3AA0"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Tekeze</w:t>
            </w:r>
            <w:proofErr w:type="spellEnd"/>
          </w:p>
        </w:tc>
        <w:tc>
          <w:tcPr>
            <w:tcW w:w="1096" w:type="dxa"/>
            <w:tcBorders>
              <w:top w:val="nil"/>
              <w:left w:val="nil"/>
              <w:bottom w:val="nil"/>
              <w:right w:val="nil"/>
            </w:tcBorders>
            <w:shd w:val="clear" w:color="auto" w:fill="auto"/>
            <w:noWrap/>
            <w:vAlign w:val="bottom"/>
            <w:hideMark/>
          </w:tcPr>
          <w:p w14:paraId="4CE1CE4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-294</w:t>
            </w:r>
          </w:p>
        </w:tc>
        <w:tc>
          <w:tcPr>
            <w:tcW w:w="744" w:type="dxa"/>
            <w:tcBorders>
              <w:top w:val="nil"/>
              <w:left w:val="nil"/>
              <w:bottom w:val="nil"/>
              <w:right w:val="nil"/>
            </w:tcBorders>
            <w:shd w:val="clear" w:color="auto" w:fill="auto"/>
            <w:noWrap/>
            <w:vAlign w:val="bottom"/>
            <w:hideMark/>
          </w:tcPr>
          <w:p w14:paraId="0DB3AF4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0.73</w:t>
            </w:r>
          </w:p>
        </w:tc>
        <w:tc>
          <w:tcPr>
            <w:tcW w:w="1123" w:type="dxa"/>
            <w:tcBorders>
              <w:top w:val="nil"/>
              <w:left w:val="nil"/>
              <w:bottom w:val="nil"/>
              <w:right w:val="nil"/>
            </w:tcBorders>
            <w:shd w:val="clear" w:color="auto" w:fill="auto"/>
            <w:noWrap/>
            <w:vAlign w:val="bottom"/>
            <w:hideMark/>
          </w:tcPr>
          <w:p w14:paraId="4157C15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-253</w:t>
            </w:r>
          </w:p>
        </w:tc>
        <w:tc>
          <w:tcPr>
            <w:tcW w:w="737" w:type="dxa"/>
            <w:tcBorders>
              <w:top w:val="nil"/>
              <w:left w:val="nil"/>
              <w:bottom w:val="nil"/>
              <w:right w:val="nil"/>
            </w:tcBorders>
            <w:shd w:val="clear" w:color="auto" w:fill="auto"/>
            <w:noWrap/>
            <w:vAlign w:val="bottom"/>
            <w:hideMark/>
          </w:tcPr>
          <w:p w14:paraId="5EA1B15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-0.15</w:t>
            </w:r>
          </w:p>
        </w:tc>
        <w:tc>
          <w:tcPr>
            <w:tcW w:w="1123" w:type="dxa"/>
            <w:tcBorders>
              <w:top w:val="nil"/>
              <w:left w:val="nil"/>
              <w:bottom w:val="nil"/>
              <w:right w:val="nil"/>
            </w:tcBorders>
            <w:shd w:val="clear" w:color="auto" w:fill="auto"/>
            <w:noWrap/>
            <w:vAlign w:val="bottom"/>
            <w:hideMark/>
          </w:tcPr>
          <w:p w14:paraId="7C1D95B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-230</w:t>
            </w:r>
          </w:p>
        </w:tc>
        <w:tc>
          <w:tcPr>
            <w:tcW w:w="737" w:type="dxa"/>
            <w:tcBorders>
              <w:top w:val="nil"/>
              <w:left w:val="nil"/>
              <w:bottom w:val="nil"/>
              <w:right w:val="nil"/>
            </w:tcBorders>
            <w:shd w:val="clear" w:color="auto" w:fill="auto"/>
            <w:noWrap/>
            <w:vAlign w:val="bottom"/>
            <w:hideMark/>
          </w:tcPr>
          <w:p w14:paraId="1606A83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-1.26</w:t>
            </w:r>
          </w:p>
        </w:tc>
        <w:tc>
          <w:tcPr>
            <w:tcW w:w="1123" w:type="dxa"/>
            <w:tcBorders>
              <w:top w:val="nil"/>
              <w:left w:val="nil"/>
              <w:bottom w:val="nil"/>
              <w:right w:val="nil"/>
            </w:tcBorders>
            <w:shd w:val="clear" w:color="auto" w:fill="auto"/>
            <w:noWrap/>
            <w:vAlign w:val="bottom"/>
            <w:hideMark/>
          </w:tcPr>
          <w:p w14:paraId="1870FC9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189</w:t>
            </w:r>
          </w:p>
        </w:tc>
        <w:tc>
          <w:tcPr>
            <w:tcW w:w="737" w:type="dxa"/>
            <w:tcBorders>
              <w:top w:val="nil"/>
              <w:left w:val="nil"/>
              <w:bottom w:val="nil"/>
              <w:right w:val="nil"/>
            </w:tcBorders>
            <w:shd w:val="clear" w:color="auto" w:fill="auto"/>
            <w:noWrap/>
            <w:vAlign w:val="bottom"/>
            <w:hideMark/>
          </w:tcPr>
          <w:p w14:paraId="4195CFF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2.14</w:t>
            </w:r>
          </w:p>
        </w:tc>
      </w:tr>
      <w:tr w:rsidR="00837E11" w:rsidRPr="00022CA4" w14:paraId="4B9E5EA8"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6F82E00D"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Omo</w:t>
            </w:r>
            <w:proofErr w:type="spellEnd"/>
            <w:r w:rsidRPr="00022CA4">
              <w:rPr>
                <w:rFonts w:ascii="Times New Roman" w:eastAsia="Times New Roman" w:hAnsi="Times New Roman" w:cs="Times New Roman"/>
                <w:color w:val="000000"/>
                <w:sz w:val="24"/>
                <w:szCs w:val="24"/>
                <w:lang w:eastAsia="en-GB"/>
              </w:rPr>
              <w:t>-Gibe</w:t>
            </w:r>
          </w:p>
        </w:tc>
        <w:tc>
          <w:tcPr>
            <w:tcW w:w="1096" w:type="dxa"/>
            <w:tcBorders>
              <w:top w:val="nil"/>
              <w:left w:val="nil"/>
              <w:bottom w:val="nil"/>
              <w:right w:val="nil"/>
            </w:tcBorders>
            <w:shd w:val="clear" w:color="auto" w:fill="auto"/>
            <w:noWrap/>
            <w:vAlign w:val="bottom"/>
            <w:hideMark/>
          </w:tcPr>
          <w:p w14:paraId="0ADA343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351</w:t>
            </w:r>
          </w:p>
        </w:tc>
        <w:tc>
          <w:tcPr>
            <w:tcW w:w="744" w:type="dxa"/>
            <w:tcBorders>
              <w:top w:val="nil"/>
              <w:left w:val="nil"/>
              <w:bottom w:val="nil"/>
              <w:right w:val="nil"/>
            </w:tcBorders>
            <w:shd w:val="clear" w:color="auto" w:fill="auto"/>
            <w:noWrap/>
            <w:vAlign w:val="bottom"/>
            <w:hideMark/>
          </w:tcPr>
          <w:p w14:paraId="701194D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color w:val="000000"/>
                <w:sz w:val="24"/>
                <w:szCs w:val="24"/>
              </w:rPr>
              <w:t>3.62</w:t>
            </w:r>
          </w:p>
        </w:tc>
        <w:tc>
          <w:tcPr>
            <w:tcW w:w="1123" w:type="dxa"/>
            <w:tcBorders>
              <w:top w:val="nil"/>
              <w:left w:val="nil"/>
              <w:bottom w:val="nil"/>
              <w:right w:val="nil"/>
            </w:tcBorders>
            <w:shd w:val="clear" w:color="auto" w:fill="auto"/>
            <w:noWrap/>
            <w:vAlign w:val="bottom"/>
            <w:hideMark/>
          </w:tcPr>
          <w:p w14:paraId="6D88EAA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-65</w:t>
            </w:r>
          </w:p>
        </w:tc>
        <w:tc>
          <w:tcPr>
            <w:tcW w:w="737" w:type="dxa"/>
            <w:tcBorders>
              <w:top w:val="nil"/>
              <w:left w:val="nil"/>
              <w:bottom w:val="nil"/>
              <w:right w:val="nil"/>
            </w:tcBorders>
            <w:shd w:val="clear" w:color="auto" w:fill="auto"/>
            <w:noWrap/>
            <w:vAlign w:val="bottom"/>
            <w:hideMark/>
          </w:tcPr>
          <w:p w14:paraId="389EF8F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1.21</w:t>
            </w:r>
          </w:p>
        </w:tc>
        <w:tc>
          <w:tcPr>
            <w:tcW w:w="1123" w:type="dxa"/>
            <w:tcBorders>
              <w:top w:val="nil"/>
              <w:left w:val="nil"/>
              <w:bottom w:val="nil"/>
              <w:right w:val="nil"/>
            </w:tcBorders>
            <w:shd w:val="clear" w:color="auto" w:fill="auto"/>
            <w:noWrap/>
            <w:vAlign w:val="bottom"/>
            <w:hideMark/>
          </w:tcPr>
          <w:p w14:paraId="45C2C02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106</w:t>
            </w:r>
          </w:p>
        </w:tc>
        <w:tc>
          <w:tcPr>
            <w:tcW w:w="737" w:type="dxa"/>
            <w:tcBorders>
              <w:top w:val="nil"/>
              <w:left w:val="nil"/>
              <w:bottom w:val="nil"/>
              <w:right w:val="nil"/>
            </w:tcBorders>
            <w:shd w:val="clear" w:color="auto" w:fill="auto"/>
            <w:noWrap/>
            <w:vAlign w:val="bottom"/>
            <w:hideMark/>
          </w:tcPr>
          <w:p w14:paraId="5B53560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0.36</w:t>
            </w:r>
          </w:p>
        </w:tc>
        <w:tc>
          <w:tcPr>
            <w:tcW w:w="1123" w:type="dxa"/>
            <w:tcBorders>
              <w:top w:val="nil"/>
              <w:left w:val="nil"/>
              <w:bottom w:val="nil"/>
              <w:right w:val="nil"/>
            </w:tcBorders>
            <w:shd w:val="clear" w:color="auto" w:fill="auto"/>
            <w:noWrap/>
            <w:vAlign w:val="bottom"/>
            <w:hideMark/>
          </w:tcPr>
          <w:p w14:paraId="27179ED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311</w:t>
            </w:r>
          </w:p>
        </w:tc>
        <w:tc>
          <w:tcPr>
            <w:tcW w:w="737" w:type="dxa"/>
            <w:tcBorders>
              <w:top w:val="nil"/>
              <w:left w:val="nil"/>
              <w:bottom w:val="nil"/>
              <w:right w:val="nil"/>
            </w:tcBorders>
            <w:shd w:val="clear" w:color="auto" w:fill="auto"/>
            <w:noWrap/>
            <w:vAlign w:val="bottom"/>
            <w:hideMark/>
          </w:tcPr>
          <w:p w14:paraId="50363BB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2.05</w:t>
            </w:r>
          </w:p>
        </w:tc>
      </w:tr>
      <w:tr w:rsidR="00837E11" w:rsidRPr="00022CA4" w14:paraId="33D38442"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15A23830"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Ogaden</w:t>
            </w:r>
            <w:proofErr w:type="spellEnd"/>
          </w:p>
        </w:tc>
        <w:tc>
          <w:tcPr>
            <w:tcW w:w="1096" w:type="dxa"/>
            <w:tcBorders>
              <w:top w:val="nil"/>
              <w:left w:val="nil"/>
              <w:bottom w:val="nil"/>
              <w:right w:val="nil"/>
            </w:tcBorders>
            <w:shd w:val="clear" w:color="auto" w:fill="auto"/>
            <w:noWrap/>
            <w:vAlign w:val="bottom"/>
            <w:hideMark/>
          </w:tcPr>
          <w:p w14:paraId="0B52452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-711</w:t>
            </w:r>
          </w:p>
        </w:tc>
        <w:tc>
          <w:tcPr>
            <w:tcW w:w="744" w:type="dxa"/>
            <w:tcBorders>
              <w:top w:val="nil"/>
              <w:left w:val="nil"/>
              <w:bottom w:val="nil"/>
              <w:right w:val="nil"/>
            </w:tcBorders>
            <w:shd w:val="clear" w:color="auto" w:fill="auto"/>
            <w:noWrap/>
            <w:vAlign w:val="bottom"/>
            <w:hideMark/>
          </w:tcPr>
          <w:p w14:paraId="6E33E07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1.39</w:t>
            </w:r>
          </w:p>
        </w:tc>
        <w:tc>
          <w:tcPr>
            <w:tcW w:w="1123" w:type="dxa"/>
            <w:tcBorders>
              <w:top w:val="nil"/>
              <w:left w:val="nil"/>
              <w:bottom w:val="nil"/>
              <w:right w:val="nil"/>
            </w:tcBorders>
            <w:shd w:val="clear" w:color="auto" w:fill="auto"/>
            <w:noWrap/>
            <w:vAlign w:val="bottom"/>
            <w:hideMark/>
          </w:tcPr>
          <w:p w14:paraId="5736A29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-239</w:t>
            </w:r>
          </w:p>
        </w:tc>
        <w:tc>
          <w:tcPr>
            <w:tcW w:w="737" w:type="dxa"/>
            <w:tcBorders>
              <w:top w:val="nil"/>
              <w:left w:val="nil"/>
              <w:bottom w:val="nil"/>
              <w:right w:val="nil"/>
            </w:tcBorders>
            <w:shd w:val="clear" w:color="auto" w:fill="auto"/>
            <w:noWrap/>
            <w:vAlign w:val="bottom"/>
            <w:hideMark/>
          </w:tcPr>
          <w:p w14:paraId="6607B28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0.43</w:t>
            </w:r>
          </w:p>
        </w:tc>
        <w:tc>
          <w:tcPr>
            <w:tcW w:w="1123" w:type="dxa"/>
            <w:tcBorders>
              <w:top w:val="nil"/>
              <w:left w:val="nil"/>
              <w:bottom w:val="nil"/>
              <w:right w:val="nil"/>
            </w:tcBorders>
            <w:shd w:val="clear" w:color="auto" w:fill="auto"/>
            <w:noWrap/>
            <w:vAlign w:val="bottom"/>
            <w:hideMark/>
          </w:tcPr>
          <w:p w14:paraId="50599A3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-213</w:t>
            </w:r>
          </w:p>
        </w:tc>
        <w:tc>
          <w:tcPr>
            <w:tcW w:w="737" w:type="dxa"/>
            <w:tcBorders>
              <w:top w:val="nil"/>
              <w:left w:val="nil"/>
              <w:bottom w:val="nil"/>
              <w:right w:val="nil"/>
            </w:tcBorders>
            <w:shd w:val="clear" w:color="auto" w:fill="auto"/>
            <w:noWrap/>
            <w:vAlign w:val="bottom"/>
            <w:hideMark/>
          </w:tcPr>
          <w:p w14:paraId="187D5B3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0.89</w:t>
            </w:r>
          </w:p>
        </w:tc>
        <w:tc>
          <w:tcPr>
            <w:tcW w:w="1123" w:type="dxa"/>
            <w:tcBorders>
              <w:top w:val="nil"/>
              <w:left w:val="nil"/>
              <w:bottom w:val="nil"/>
              <w:right w:val="nil"/>
            </w:tcBorders>
            <w:shd w:val="clear" w:color="auto" w:fill="auto"/>
            <w:noWrap/>
            <w:vAlign w:val="bottom"/>
            <w:hideMark/>
          </w:tcPr>
          <w:p w14:paraId="1C21FC4B"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-259</w:t>
            </w:r>
          </w:p>
        </w:tc>
        <w:tc>
          <w:tcPr>
            <w:tcW w:w="737" w:type="dxa"/>
            <w:tcBorders>
              <w:top w:val="nil"/>
              <w:left w:val="nil"/>
              <w:bottom w:val="nil"/>
              <w:right w:val="nil"/>
            </w:tcBorders>
            <w:shd w:val="clear" w:color="auto" w:fill="auto"/>
            <w:noWrap/>
            <w:vAlign w:val="bottom"/>
            <w:hideMark/>
          </w:tcPr>
          <w:p w14:paraId="5ED8878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0.07</w:t>
            </w:r>
          </w:p>
        </w:tc>
      </w:tr>
      <w:tr w:rsidR="00837E11" w:rsidRPr="00022CA4" w14:paraId="697EC2C6"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54859F62"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Baro-Akobo</w:t>
            </w:r>
            <w:proofErr w:type="spellEnd"/>
          </w:p>
        </w:tc>
        <w:tc>
          <w:tcPr>
            <w:tcW w:w="1096" w:type="dxa"/>
            <w:tcBorders>
              <w:top w:val="nil"/>
              <w:left w:val="nil"/>
              <w:bottom w:val="nil"/>
              <w:right w:val="nil"/>
            </w:tcBorders>
            <w:shd w:val="clear" w:color="auto" w:fill="auto"/>
            <w:noWrap/>
            <w:vAlign w:val="bottom"/>
            <w:hideMark/>
          </w:tcPr>
          <w:p w14:paraId="2540506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459</w:t>
            </w:r>
          </w:p>
        </w:tc>
        <w:tc>
          <w:tcPr>
            <w:tcW w:w="744" w:type="dxa"/>
            <w:tcBorders>
              <w:top w:val="nil"/>
              <w:left w:val="nil"/>
              <w:bottom w:val="nil"/>
              <w:right w:val="nil"/>
            </w:tcBorders>
            <w:shd w:val="clear" w:color="auto" w:fill="auto"/>
            <w:noWrap/>
            <w:vAlign w:val="bottom"/>
            <w:hideMark/>
          </w:tcPr>
          <w:p w14:paraId="2F59B5D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0.27</w:t>
            </w:r>
          </w:p>
        </w:tc>
        <w:tc>
          <w:tcPr>
            <w:tcW w:w="1123" w:type="dxa"/>
            <w:tcBorders>
              <w:top w:val="nil"/>
              <w:left w:val="nil"/>
              <w:bottom w:val="nil"/>
              <w:right w:val="nil"/>
            </w:tcBorders>
            <w:shd w:val="clear" w:color="auto" w:fill="auto"/>
            <w:noWrap/>
            <w:vAlign w:val="bottom"/>
            <w:hideMark/>
          </w:tcPr>
          <w:p w14:paraId="1FA2EAC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-66</w:t>
            </w:r>
          </w:p>
        </w:tc>
        <w:tc>
          <w:tcPr>
            <w:tcW w:w="737" w:type="dxa"/>
            <w:tcBorders>
              <w:top w:val="nil"/>
              <w:left w:val="nil"/>
              <w:bottom w:val="nil"/>
              <w:right w:val="nil"/>
            </w:tcBorders>
            <w:shd w:val="clear" w:color="auto" w:fill="auto"/>
            <w:noWrap/>
            <w:vAlign w:val="bottom"/>
            <w:hideMark/>
          </w:tcPr>
          <w:p w14:paraId="48169C8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0.27</w:t>
            </w:r>
          </w:p>
        </w:tc>
        <w:tc>
          <w:tcPr>
            <w:tcW w:w="1123" w:type="dxa"/>
            <w:tcBorders>
              <w:top w:val="nil"/>
              <w:left w:val="nil"/>
              <w:bottom w:val="nil"/>
              <w:right w:val="nil"/>
            </w:tcBorders>
            <w:shd w:val="clear" w:color="auto" w:fill="auto"/>
            <w:noWrap/>
            <w:vAlign w:val="bottom"/>
            <w:hideMark/>
          </w:tcPr>
          <w:p w14:paraId="2680C48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37</w:t>
            </w:r>
          </w:p>
        </w:tc>
        <w:tc>
          <w:tcPr>
            <w:tcW w:w="737" w:type="dxa"/>
            <w:tcBorders>
              <w:top w:val="nil"/>
              <w:left w:val="nil"/>
              <w:bottom w:val="nil"/>
              <w:right w:val="nil"/>
            </w:tcBorders>
            <w:shd w:val="clear" w:color="auto" w:fill="auto"/>
            <w:noWrap/>
            <w:vAlign w:val="bottom"/>
            <w:hideMark/>
          </w:tcPr>
          <w:p w14:paraId="34FF8FA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-1.03</w:t>
            </w:r>
          </w:p>
        </w:tc>
        <w:tc>
          <w:tcPr>
            <w:tcW w:w="1123" w:type="dxa"/>
            <w:tcBorders>
              <w:top w:val="nil"/>
              <w:left w:val="nil"/>
              <w:bottom w:val="nil"/>
              <w:right w:val="nil"/>
            </w:tcBorders>
            <w:shd w:val="clear" w:color="auto" w:fill="auto"/>
            <w:noWrap/>
            <w:vAlign w:val="bottom"/>
            <w:hideMark/>
          </w:tcPr>
          <w:p w14:paraId="4B37177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488</w:t>
            </w:r>
          </w:p>
        </w:tc>
        <w:tc>
          <w:tcPr>
            <w:tcW w:w="737" w:type="dxa"/>
            <w:tcBorders>
              <w:top w:val="nil"/>
              <w:left w:val="nil"/>
              <w:bottom w:val="nil"/>
              <w:right w:val="nil"/>
            </w:tcBorders>
            <w:shd w:val="clear" w:color="auto" w:fill="auto"/>
            <w:noWrap/>
            <w:vAlign w:val="bottom"/>
            <w:hideMark/>
          </w:tcPr>
          <w:p w14:paraId="1B8C1E9A"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1.02</w:t>
            </w:r>
          </w:p>
        </w:tc>
      </w:tr>
      <w:tr w:rsidR="00837E11" w:rsidRPr="00022CA4" w14:paraId="2EE1173E"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3F03150C"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Denakil</w:t>
            </w:r>
            <w:proofErr w:type="spellEnd"/>
          </w:p>
        </w:tc>
        <w:tc>
          <w:tcPr>
            <w:tcW w:w="1096" w:type="dxa"/>
            <w:tcBorders>
              <w:top w:val="nil"/>
              <w:left w:val="nil"/>
              <w:bottom w:val="nil"/>
              <w:right w:val="nil"/>
            </w:tcBorders>
            <w:shd w:val="clear" w:color="auto" w:fill="auto"/>
            <w:noWrap/>
            <w:vAlign w:val="bottom"/>
            <w:hideMark/>
          </w:tcPr>
          <w:p w14:paraId="744B558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-775</w:t>
            </w:r>
          </w:p>
        </w:tc>
        <w:tc>
          <w:tcPr>
            <w:tcW w:w="744" w:type="dxa"/>
            <w:tcBorders>
              <w:top w:val="nil"/>
              <w:left w:val="nil"/>
              <w:bottom w:val="nil"/>
              <w:right w:val="nil"/>
            </w:tcBorders>
            <w:shd w:val="clear" w:color="auto" w:fill="auto"/>
            <w:noWrap/>
            <w:vAlign w:val="bottom"/>
            <w:hideMark/>
          </w:tcPr>
          <w:p w14:paraId="091C488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-0.63</w:t>
            </w:r>
          </w:p>
        </w:tc>
        <w:tc>
          <w:tcPr>
            <w:tcW w:w="1123" w:type="dxa"/>
            <w:tcBorders>
              <w:top w:val="nil"/>
              <w:left w:val="nil"/>
              <w:bottom w:val="nil"/>
              <w:right w:val="nil"/>
            </w:tcBorders>
            <w:shd w:val="clear" w:color="auto" w:fill="auto"/>
            <w:noWrap/>
            <w:vAlign w:val="bottom"/>
            <w:hideMark/>
          </w:tcPr>
          <w:p w14:paraId="1D161C1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-273</w:t>
            </w:r>
          </w:p>
        </w:tc>
        <w:tc>
          <w:tcPr>
            <w:tcW w:w="737" w:type="dxa"/>
            <w:tcBorders>
              <w:top w:val="nil"/>
              <w:left w:val="nil"/>
              <w:bottom w:val="nil"/>
              <w:right w:val="nil"/>
            </w:tcBorders>
            <w:shd w:val="clear" w:color="auto" w:fill="auto"/>
            <w:noWrap/>
            <w:vAlign w:val="bottom"/>
            <w:hideMark/>
          </w:tcPr>
          <w:p w14:paraId="74412E3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-0.23</w:t>
            </w:r>
          </w:p>
        </w:tc>
        <w:tc>
          <w:tcPr>
            <w:tcW w:w="1123" w:type="dxa"/>
            <w:tcBorders>
              <w:top w:val="nil"/>
              <w:left w:val="nil"/>
              <w:bottom w:val="nil"/>
              <w:right w:val="nil"/>
            </w:tcBorders>
            <w:shd w:val="clear" w:color="auto" w:fill="auto"/>
            <w:noWrap/>
            <w:vAlign w:val="bottom"/>
            <w:hideMark/>
          </w:tcPr>
          <w:p w14:paraId="03960DB5"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-266</w:t>
            </w:r>
          </w:p>
        </w:tc>
        <w:tc>
          <w:tcPr>
            <w:tcW w:w="737" w:type="dxa"/>
            <w:tcBorders>
              <w:top w:val="nil"/>
              <w:left w:val="nil"/>
              <w:bottom w:val="nil"/>
              <w:right w:val="nil"/>
            </w:tcBorders>
            <w:shd w:val="clear" w:color="auto" w:fill="auto"/>
            <w:noWrap/>
            <w:vAlign w:val="bottom"/>
            <w:hideMark/>
          </w:tcPr>
          <w:p w14:paraId="2E988EA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-1.57</w:t>
            </w:r>
          </w:p>
        </w:tc>
        <w:tc>
          <w:tcPr>
            <w:tcW w:w="1123" w:type="dxa"/>
            <w:tcBorders>
              <w:top w:val="nil"/>
              <w:left w:val="nil"/>
              <w:bottom w:val="nil"/>
              <w:right w:val="nil"/>
            </w:tcBorders>
            <w:shd w:val="clear" w:color="auto" w:fill="auto"/>
            <w:noWrap/>
            <w:vAlign w:val="bottom"/>
            <w:hideMark/>
          </w:tcPr>
          <w:p w14:paraId="2DA480F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-236</w:t>
            </w:r>
          </w:p>
        </w:tc>
        <w:tc>
          <w:tcPr>
            <w:tcW w:w="737" w:type="dxa"/>
            <w:tcBorders>
              <w:top w:val="nil"/>
              <w:left w:val="nil"/>
              <w:bottom w:val="nil"/>
              <w:right w:val="nil"/>
            </w:tcBorders>
            <w:shd w:val="clear" w:color="auto" w:fill="auto"/>
            <w:noWrap/>
            <w:vAlign w:val="bottom"/>
            <w:hideMark/>
          </w:tcPr>
          <w:p w14:paraId="1AF472B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1.17</w:t>
            </w:r>
          </w:p>
        </w:tc>
      </w:tr>
      <w:tr w:rsidR="00837E11" w:rsidRPr="00022CA4" w14:paraId="497B22EC"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0C4573AD"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r w:rsidRPr="00022CA4">
              <w:rPr>
                <w:rFonts w:ascii="Times New Roman" w:eastAsia="Times New Roman" w:hAnsi="Times New Roman" w:cs="Times New Roman"/>
                <w:color w:val="000000"/>
                <w:sz w:val="24"/>
                <w:szCs w:val="24"/>
                <w:lang w:eastAsia="en-GB"/>
              </w:rPr>
              <w:t>Rift-Valley</w:t>
            </w:r>
          </w:p>
        </w:tc>
        <w:tc>
          <w:tcPr>
            <w:tcW w:w="1096" w:type="dxa"/>
            <w:tcBorders>
              <w:top w:val="nil"/>
              <w:left w:val="nil"/>
              <w:bottom w:val="nil"/>
              <w:right w:val="nil"/>
            </w:tcBorders>
            <w:shd w:val="clear" w:color="auto" w:fill="auto"/>
            <w:noWrap/>
            <w:vAlign w:val="bottom"/>
            <w:hideMark/>
          </w:tcPr>
          <w:p w14:paraId="5F7378A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183</w:t>
            </w:r>
          </w:p>
        </w:tc>
        <w:tc>
          <w:tcPr>
            <w:tcW w:w="744" w:type="dxa"/>
            <w:tcBorders>
              <w:top w:val="nil"/>
              <w:left w:val="nil"/>
              <w:bottom w:val="nil"/>
              <w:right w:val="nil"/>
            </w:tcBorders>
            <w:shd w:val="clear" w:color="auto" w:fill="auto"/>
            <w:noWrap/>
            <w:vAlign w:val="bottom"/>
            <w:hideMark/>
          </w:tcPr>
          <w:p w14:paraId="6BE7AEF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5.46</w:t>
            </w:r>
          </w:p>
        </w:tc>
        <w:tc>
          <w:tcPr>
            <w:tcW w:w="1123" w:type="dxa"/>
            <w:tcBorders>
              <w:top w:val="nil"/>
              <w:left w:val="nil"/>
              <w:bottom w:val="nil"/>
              <w:right w:val="nil"/>
            </w:tcBorders>
            <w:shd w:val="clear" w:color="auto" w:fill="auto"/>
            <w:noWrap/>
            <w:vAlign w:val="bottom"/>
            <w:hideMark/>
          </w:tcPr>
          <w:p w14:paraId="322F80C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-55</w:t>
            </w:r>
          </w:p>
        </w:tc>
        <w:tc>
          <w:tcPr>
            <w:tcW w:w="737" w:type="dxa"/>
            <w:tcBorders>
              <w:top w:val="nil"/>
              <w:left w:val="nil"/>
              <w:bottom w:val="nil"/>
              <w:right w:val="nil"/>
            </w:tcBorders>
            <w:shd w:val="clear" w:color="auto" w:fill="auto"/>
            <w:noWrap/>
            <w:vAlign w:val="bottom"/>
            <w:hideMark/>
          </w:tcPr>
          <w:p w14:paraId="636C770F"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b/>
                <w:bCs/>
                <w:color w:val="000000"/>
                <w:sz w:val="24"/>
                <w:szCs w:val="24"/>
                <w:lang w:val="en-GB" w:eastAsia="en-GB"/>
              </w:rPr>
            </w:pPr>
            <w:r w:rsidRPr="00022CA4">
              <w:rPr>
                <w:rFonts w:ascii="Times New Roman" w:hAnsi="Times New Roman" w:cs="Times New Roman"/>
                <w:b/>
                <w:bCs/>
                <w:color w:val="000000"/>
                <w:sz w:val="24"/>
                <w:szCs w:val="24"/>
              </w:rPr>
              <w:t>2.54</w:t>
            </w:r>
          </w:p>
        </w:tc>
        <w:tc>
          <w:tcPr>
            <w:tcW w:w="1123" w:type="dxa"/>
            <w:tcBorders>
              <w:top w:val="nil"/>
              <w:left w:val="nil"/>
              <w:bottom w:val="nil"/>
              <w:right w:val="nil"/>
            </w:tcBorders>
            <w:shd w:val="clear" w:color="auto" w:fill="auto"/>
            <w:noWrap/>
            <w:vAlign w:val="bottom"/>
            <w:hideMark/>
          </w:tcPr>
          <w:p w14:paraId="532064B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101</w:t>
            </w:r>
          </w:p>
        </w:tc>
        <w:tc>
          <w:tcPr>
            <w:tcW w:w="737" w:type="dxa"/>
            <w:tcBorders>
              <w:top w:val="nil"/>
              <w:left w:val="nil"/>
              <w:bottom w:val="nil"/>
              <w:right w:val="nil"/>
            </w:tcBorders>
            <w:shd w:val="clear" w:color="auto" w:fill="auto"/>
            <w:noWrap/>
            <w:vAlign w:val="bottom"/>
            <w:hideMark/>
          </w:tcPr>
          <w:p w14:paraId="1CC3F03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1.41</w:t>
            </w:r>
          </w:p>
        </w:tc>
        <w:tc>
          <w:tcPr>
            <w:tcW w:w="1123" w:type="dxa"/>
            <w:tcBorders>
              <w:top w:val="nil"/>
              <w:left w:val="nil"/>
              <w:bottom w:val="nil"/>
              <w:right w:val="nil"/>
            </w:tcBorders>
            <w:shd w:val="clear" w:color="auto" w:fill="auto"/>
            <w:noWrap/>
            <w:vAlign w:val="bottom"/>
            <w:hideMark/>
          </w:tcPr>
          <w:p w14:paraId="23E3F30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137</w:t>
            </w:r>
          </w:p>
        </w:tc>
        <w:tc>
          <w:tcPr>
            <w:tcW w:w="737" w:type="dxa"/>
            <w:tcBorders>
              <w:top w:val="nil"/>
              <w:left w:val="nil"/>
              <w:bottom w:val="nil"/>
              <w:right w:val="nil"/>
            </w:tcBorders>
            <w:shd w:val="clear" w:color="auto" w:fill="auto"/>
            <w:noWrap/>
            <w:vAlign w:val="bottom"/>
            <w:hideMark/>
          </w:tcPr>
          <w:p w14:paraId="7AEF4D7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1.51</w:t>
            </w:r>
          </w:p>
        </w:tc>
      </w:tr>
      <w:tr w:rsidR="00837E11" w:rsidRPr="00022CA4" w14:paraId="6E277C61" w14:textId="77777777" w:rsidTr="001B5A9B">
        <w:trPr>
          <w:trHeight w:val="199"/>
          <w:jc w:val="center"/>
        </w:trPr>
        <w:tc>
          <w:tcPr>
            <w:tcW w:w="1831" w:type="dxa"/>
            <w:tcBorders>
              <w:top w:val="nil"/>
              <w:left w:val="nil"/>
              <w:bottom w:val="nil"/>
              <w:right w:val="nil"/>
            </w:tcBorders>
            <w:shd w:val="clear" w:color="auto" w:fill="auto"/>
            <w:noWrap/>
            <w:vAlign w:val="center"/>
            <w:hideMark/>
          </w:tcPr>
          <w:p w14:paraId="13F79207"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Mereb</w:t>
            </w:r>
            <w:proofErr w:type="spellEnd"/>
            <w:r w:rsidRPr="00022CA4">
              <w:rPr>
                <w:rFonts w:ascii="Times New Roman" w:eastAsia="Times New Roman" w:hAnsi="Times New Roman" w:cs="Times New Roman"/>
                <w:color w:val="000000"/>
                <w:sz w:val="24"/>
                <w:szCs w:val="24"/>
                <w:lang w:eastAsia="en-GB"/>
              </w:rPr>
              <w:t>-G</w:t>
            </w:r>
          </w:p>
        </w:tc>
        <w:tc>
          <w:tcPr>
            <w:tcW w:w="1096" w:type="dxa"/>
            <w:tcBorders>
              <w:top w:val="nil"/>
              <w:left w:val="nil"/>
              <w:bottom w:val="nil"/>
              <w:right w:val="nil"/>
            </w:tcBorders>
            <w:shd w:val="clear" w:color="auto" w:fill="auto"/>
            <w:noWrap/>
            <w:vAlign w:val="bottom"/>
            <w:hideMark/>
          </w:tcPr>
          <w:p w14:paraId="1BA9C54D"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-538</w:t>
            </w:r>
          </w:p>
        </w:tc>
        <w:tc>
          <w:tcPr>
            <w:tcW w:w="744" w:type="dxa"/>
            <w:tcBorders>
              <w:top w:val="nil"/>
              <w:left w:val="nil"/>
              <w:bottom w:val="nil"/>
              <w:right w:val="nil"/>
            </w:tcBorders>
            <w:shd w:val="clear" w:color="auto" w:fill="auto"/>
            <w:noWrap/>
            <w:vAlign w:val="bottom"/>
            <w:hideMark/>
          </w:tcPr>
          <w:p w14:paraId="5B02DBA2"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-0.67</w:t>
            </w:r>
          </w:p>
        </w:tc>
        <w:tc>
          <w:tcPr>
            <w:tcW w:w="1123" w:type="dxa"/>
            <w:tcBorders>
              <w:top w:val="nil"/>
              <w:left w:val="nil"/>
              <w:bottom w:val="nil"/>
              <w:right w:val="nil"/>
            </w:tcBorders>
            <w:shd w:val="clear" w:color="auto" w:fill="auto"/>
            <w:noWrap/>
            <w:vAlign w:val="bottom"/>
            <w:hideMark/>
          </w:tcPr>
          <w:p w14:paraId="17B0CCB1"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-298</w:t>
            </w:r>
          </w:p>
        </w:tc>
        <w:tc>
          <w:tcPr>
            <w:tcW w:w="737" w:type="dxa"/>
            <w:tcBorders>
              <w:top w:val="nil"/>
              <w:left w:val="nil"/>
              <w:bottom w:val="nil"/>
              <w:right w:val="nil"/>
            </w:tcBorders>
            <w:shd w:val="clear" w:color="auto" w:fill="auto"/>
            <w:noWrap/>
            <w:vAlign w:val="bottom"/>
            <w:hideMark/>
          </w:tcPr>
          <w:p w14:paraId="74A958E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-0.27</w:t>
            </w:r>
          </w:p>
        </w:tc>
        <w:tc>
          <w:tcPr>
            <w:tcW w:w="1123" w:type="dxa"/>
            <w:tcBorders>
              <w:top w:val="nil"/>
              <w:left w:val="nil"/>
              <w:bottom w:val="nil"/>
              <w:right w:val="nil"/>
            </w:tcBorders>
            <w:shd w:val="clear" w:color="auto" w:fill="auto"/>
            <w:noWrap/>
            <w:vAlign w:val="bottom"/>
            <w:hideMark/>
          </w:tcPr>
          <w:p w14:paraId="1FC53F8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-314</w:t>
            </w:r>
          </w:p>
        </w:tc>
        <w:tc>
          <w:tcPr>
            <w:tcW w:w="737" w:type="dxa"/>
            <w:tcBorders>
              <w:top w:val="nil"/>
              <w:left w:val="nil"/>
              <w:bottom w:val="nil"/>
              <w:right w:val="nil"/>
            </w:tcBorders>
            <w:shd w:val="clear" w:color="auto" w:fill="auto"/>
            <w:noWrap/>
            <w:vAlign w:val="bottom"/>
            <w:hideMark/>
          </w:tcPr>
          <w:p w14:paraId="6D233086"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b/>
                <w:bCs/>
                <w:color w:val="000000"/>
                <w:sz w:val="24"/>
                <w:szCs w:val="24"/>
              </w:rPr>
              <w:t>-0.99</w:t>
            </w:r>
          </w:p>
        </w:tc>
        <w:tc>
          <w:tcPr>
            <w:tcW w:w="1123" w:type="dxa"/>
            <w:tcBorders>
              <w:top w:val="nil"/>
              <w:left w:val="nil"/>
              <w:bottom w:val="nil"/>
              <w:right w:val="nil"/>
            </w:tcBorders>
            <w:shd w:val="clear" w:color="auto" w:fill="auto"/>
            <w:noWrap/>
            <w:vAlign w:val="bottom"/>
            <w:hideMark/>
          </w:tcPr>
          <w:p w14:paraId="7A09890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73</w:t>
            </w:r>
          </w:p>
        </w:tc>
        <w:tc>
          <w:tcPr>
            <w:tcW w:w="737" w:type="dxa"/>
            <w:tcBorders>
              <w:top w:val="nil"/>
              <w:left w:val="nil"/>
              <w:bottom w:val="nil"/>
              <w:right w:val="nil"/>
            </w:tcBorders>
            <w:shd w:val="clear" w:color="auto" w:fill="auto"/>
            <w:noWrap/>
            <w:vAlign w:val="bottom"/>
            <w:hideMark/>
          </w:tcPr>
          <w:p w14:paraId="5AD9BCA9"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0.59</w:t>
            </w:r>
          </w:p>
        </w:tc>
      </w:tr>
      <w:tr w:rsidR="00837E11" w:rsidRPr="00022CA4" w14:paraId="245E5325" w14:textId="77777777" w:rsidTr="001B5A9B">
        <w:trPr>
          <w:trHeight w:val="199"/>
          <w:jc w:val="center"/>
        </w:trPr>
        <w:tc>
          <w:tcPr>
            <w:tcW w:w="1831" w:type="dxa"/>
            <w:tcBorders>
              <w:top w:val="nil"/>
              <w:left w:val="nil"/>
              <w:bottom w:val="single" w:sz="8" w:space="0" w:color="auto"/>
              <w:right w:val="nil"/>
            </w:tcBorders>
            <w:shd w:val="clear" w:color="auto" w:fill="auto"/>
            <w:noWrap/>
            <w:vAlign w:val="center"/>
            <w:hideMark/>
          </w:tcPr>
          <w:p w14:paraId="7BDB7F09" w14:textId="77777777" w:rsidR="00837E11" w:rsidRPr="00022CA4" w:rsidRDefault="00837E11" w:rsidP="001B5A9B">
            <w:pPr>
              <w:widowControl/>
              <w:autoSpaceDE/>
              <w:autoSpaceDN/>
              <w:spacing w:line="360" w:lineRule="auto"/>
              <w:rPr>
                <w:rFonts w:ascii="Times New Roman" w:eastAsia="Times New Roman" w:hAnsi="Times New Roman" w:cs="Times New Roman"/>
                <w:color w:val="000000"/>
                <w:sz w:val="24"/>
                <w:szCs w:val="24"/>
                <w:lang w:val="en-GB" w:eastAsia="en-GB"/>
              </w:rPr>
            </w:pPr>
            <w:proofErr w:type="spellStart"/>
            <w:r w:rsidRPr="00022CA4">
              <w:rPr>
                <w:rFonts w:ascii="Times New Roman" w:eastAsia="Times New Roman" w:hAnsi="Times New Roman" w:cs="Times New Roman"/>
                <w:color w:val="000000"/>
                <w:sz w:val="24"/>
                <w:szCs w:val="24"/>
                <w:lang w:eastAsia="en-GB"/>
              </w:rPr>
              <w:t>Aysha</w:t>
            </w:r>
            <w:proofErr w:type="spellEnd"/>
          </w:p>
        </w:tc>
        <w:tc>
          <w:tcPr>
            <w:tcW w:w="1096" w:type="dxa"/>
            <w:tcBorders>
              <w:top w:val="nil"/>
              <w:left w:val="nil"/>
              <w:bottom w:val="single" w:sz="8" w:space="0" w:color="auto"/>
              <w:right w:val="nil"/>
            </w:tcBorders>
            <w:shd w:val="clear" w:color="auto" w:fill="auto"/>
            <w:noWrap/>
            <w:vAlign w:val="bottom"/>
            <w:hideMark/>
          </w:tcPr>
          <w:p w14:paraId="2EA56864"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-815</w:t>
            </w:r>
          </w:p>
        </w:tc>
        <w:tc>
          <w:tcPr>
            <w:tcW w:w="744" w:type="dxa"/>
            <w:tcBorders>
              <w:top w:val="nil"/>
              <w:left w:val="nil"/>
              <w:bottom w:val="single" w:sz="8" w:space="0" w:color="auto"/>
              <w:right w:val="nil"/>
            </w:tcBorders>
            <w:shd w:val="clear" w:color="auto" w:fill="auto"/>
            <w:noWrap/>
            <w:vAlign w:val="bottom"/>
            <w:hideMark/>
          </w:tcPr>
          <w:p w14:paraId="1AA2A25E"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-0.87</w:t>
            </w:r>
          </w:p>
        </w:tc>
        <w:tc>
          <w:tcPr>
            <w:tcW w:w="1123" w:type="dxa"/>
            <w:tcBorders>
              <w:top w:val="nil"/>
              <w:left w:val="nil"/>
              <w:bottom w:val="single" w:sz="8" w:space="0" w:color="auto"/>
              <w:right w:val="nil"/>
            </w:tcBorders>
            <w:shd w:val="clear" w:color="auto" w:fill="auto"/>
            <w:noWrap/>
            <w:vAlign w:val="bottom"/>
            <w:hideMark/>
          </w:tcPr>
          <w:p w14:paraId="6C3BA20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-263</w:t>
            </w:r>
          </w:p>
        </w:tc>
        <w:tc>
          <w:tcPr>
            <w:tcW w:w="737" w:type="dxa"/>
            <w:tcBorders>
              <w:top w:val="nil"/>
              <w:left w:val="nil"/>
              <w:bottom w:val="single" w:sz="8" w:space="0" w:color="auto"/>
              <w:right w:val="nil"/>
            </w:tcBorders>
            <w:shd w:val="clear" w:color="auto" w:fill="auto"/>
            <w:noWrap/>
            <w:vAlign w:val="bottom"/>
            <w:hideMark/>
          </w:tcPr>
          <w:p w14:paraId="46C4A583"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-0.34</w:t>
            </w:r>
          </w:p>
        </w:tc>
        <w:tc>
          <w:tcPr>
            <w:tcW w:w="1123" w:type="dxa"/>
            <w:tcBorders>
              <w:top w:val="nil"/>
              <w:left w:val="nil"/>
              <w:bottom w:val="single" w:sz="8" w:space="0" w:color="auto"/>
              <w:right w:val="nil"/>
            </w:tcBorders>
            <w:shd w:val="clear" w:color="auto" w:fill="auto"/>
            <w:noWrap/>
            <w:vAlign w:val="bottom"/>
            <w:hideMark/>
          </w:tcPr>
          <w:p w14:paraId="010E75E0"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-257</w:t>
            </w:r>
          </w:p>
        </w:tc>
        <w:tc>
          <w:tcPr>
            <w:tcW w:w="737" w:type="dxa"/>
            <w:tcBorders>
              <w:top w:val="nil"/>
              <w:left w:val="nil"/>
              <w:bottom w:val="single" w:sz="8" w:space="0" w:color="auto"/>
              <w:right w:val="nil"/>
            </w:tcBorders>
            <w:shd w:val="clear" w:color="auto" w:fill="auto"/>
            <w:noWrap/>
            <w:vAlign w:val="bottom"/>
            <w:hideMark/>
          </w:tcPr>
          <w:p w14:paraId="22CCB957"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-1.08</w:t>
            </w:r>
          </w:p>
        </w:tc>
        <w:tc>
          <w:tcPr>
            <w:tcW w:w="1123" w:type="dxa"/>
            <w:tcBorders>
              <w:top w:val="nil"/>
              <w:left w:val="nil"/>
              <w:bottom w:val="single" w:sz="8" w:space="0" w:color="auto"/>
              <w:right w:val="nil"/>
            </w:tcBorders>
            <w:shd w:val="clear" w:color="auto" w:fill="auto"/>
            <w:noWrap/>
            <w:vAlign w:val="bottom"/>
            <w:hideMark/>
          </w:tcPr>
          <w:p w14:paraId="22EF0378"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-295</w:t>
            </w:r>
          </w:p>
        </w:tc>
        <w:tc>
          <w:tcPr>
            <w:tcW w:w="737" w:type="dxa"/>
            <w:tcBorders>
              <w:top w:val="nil"/>
              <w:left w:val="nil"/>
              <w:bottom w:val="single" w:sz="8" w:space="0" w:color="auto"/>
              <w:right w:val="nil"/>
            </w:tcBorders>
            <w:shd w:val="clear" w:color="auto" w:fill="auto"/>
            <w:noWrap/>
            <w:vAlign w:val="bottom"/>
            <w:hideMark/>
          </w:tcPr>
          <w:p w14:paraId="4664CECC" w14:textId="77777777" w:rsidR="00837E11" w:rsidRPr="00022CA4" w:rsidRDefault="00837E11" w:rsidP="001B5A9B">
            <w:pPr>
              <w:widowControl/>
              <w:autoSpaceDE/>
              <w:autoSpaceDN/>
              <w:spacing w:line="360" w:lineRule="auto"/>
              <w:jc w:val="center"/>
              <w:rPr>
                <w:rFonts w:ascii="Times New Roman" w:eastAsia="Times New Roman" w:hAnsi="Times New Roman" w:cs="Times New Roman"/>
                <w:color w:val="000000"/>
                <w:sz w:val="24"/>
                <w:szCs w:val="24"/>
                <w:lang w:val="en-GB" w:eastAsia="en-GB"/>
              </w:rPr>
            </w:pPr>
            <w:r w:rsidRPr="00022CA4">
              <w:rPr>
                <w:rFonts w:ascii="Times New Roman" w:hAnsi="Times New Roman" w:cs="Times New Roman"/>
                <w:color w:val="000000"/>
                <w:sz w:val="24"/>
                <w:szCs w:val="24"/>
              </w:rPr>
              <w:t>0.56</w:t>
            </w:r>
          </w:p>
        </w:tc>
      </w:tr>
    </w:tbl>
    <w:p w14:paraId="29BCB2FC" w14:textId="67E7ACDE" w:rsidR="00B827D2" w:rsidRPr="00022CA4" w:rsidRDefault="00436ECE" w:rsidP="00D33052">
      <w:pPr>
        <w:spacing w:after="240"/>
        <w:jc w:val="both"/>
        <w:rPr>
          <w:rFonts w:ascii="Times New Roman" w:hAnsi="Times New Roman" w:cs="Times New Roman"/>
          <w:sz w:val="24"/>
          <w:szCs w:val="24"/>
          <w:shd w:val="clear" w:color="auto" w:fill="FFFFFF"/>
        </w:rPr>
      </w:pPr>
      <w:r w:rsidRPr="00022CA4">
        <w:rPr>
          <w:rFonts w:ascii="Times New Roman" w:hAnsi="Times New Roman" w:cs="Times New Roman"/>
          <w:sz w:val="24"/>
          <w:szCs w:val="24"/>
          <w:shd w:val="clear" w:color="auto" w:fill="FFFFFF"/>
        </w:rPr>
        <w:t xml:space="preserve">Note: The bold numbers indicate the trend is significant at </w:t>
      </w:r>
      <w:r w:rsidR="00CA183B" w:rsidRPr="00022CA4">
        <w:rPr>
          <w:rFonts w:ascii="Times New Roman" w:hAnsi="Times New Roman" w:cs="Times New Roman"/>
          <w:sz w:val="24"/>
          <w:szCs w:val="24"/>
          <w:shd w:val="clear" w:color="auto" w:fill="FFFFFF"/>
        </w:rPr>
        <w:t xml:space="preserve">a </w:t>
      </w:r>
      <w:r w:rsidRPr="00022CA4">
        <w:rPr>
          <w:rFonts w:ascii="Times New Roman" w:hAnsi="Times New Roman" w:cs="Times New Roman"/>
          <w:sz w:val="24"/>
          <w:szCs w:val="24"/>
          <w:shd w:val="clear" w:color="auto" w:fill="FFFFFF"/>
        </w:rPr>
        <w:t>95 % confidence level (</w:t>
      </w:r>
      <w:r w:rsidRPr="00022CA4">
        <w:rPr>
          <w:rFonts w:ascii="Times New Roman" w:hAnsi="Times New Roman" w:cs="Times New Roman"/>
          <w:i/>
          <w:sz w:val="24"/>
          <w:szCs w:val="24"/>
          <w:shd w:val="clear" w:color="auto" w:fill="FFFFFF"/>
        </w:rPr>
        <w:t xml:space="preserve">p-value </w:t>
      </w:r>
      <w:r w:rsidRPr="00022CA4">
        <w:rPr>
          <w:rFonts w:ascii="Times New Roman" w:hAnsi="Times New Roman" w:cs="Times New Roman"/>
          <w:sz w:val="24"/>
          <w:szCs w:val="24"/>
          <w:shd w:val="clear" w:color="auto" w:fill="FFFFFF"/>
        </w:rPr>
        <w:t xml:space="preserve">&lt; 0.05).  Positive and negative values of the slope indicate increasing and decreasing trends, respectively. Positive and negative CWB values indicate surplus and deficit moisture or </w:t>
      </w:r>
      <w:r w:rsidR="001C4477">
        <w:rPr>
          <w:rFonts w:ascii="Times New Roman" w:hAnsi="Times New Roman" w:cs="Times New Roman"/>
          <w:sz w:val="24"/>
          <w:szCs w:val="24"/>
          <w:shd w:val="clear" w:color="auto" w:fill="FFFFFF"/>
        </w:rPr>
        <w:t>rainfall</w:t>
      </w:r>
      <w:r w:rsidR="00F268AB" w:rsidRPr="00022CA4">
        <w:rPr>
          <w:rFonts w:ascii="Times New Roman" w:hAnsi="Times New Roman" w:cs="Times New Roman"/>
          <w:sz w:val="24"/>
          <w:szCs w:val="24"/>
          <w:shd w:val="clear" w:color="auto" w:fill="FFFFFF"/>
        </w:rPr>
        <w:t>.</w:t>
      </w:r>
    </w:p>
    <w:p w14:paraId="6B5A81F0" w14:textId="2CFF1BFB" w:rsidR="003207E2" w:rsidRPr="00022CA4" w:rsidRDefault="003207E2" w:rsidP="00EE4D7D">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t>3.3. Variability of Rainfall, Evapotranspiration, and Climatic Water Balance</w:t>
      </w:r>
    </w:p>
    <w:p w14:paraId="6898DDBB" w14:textId="7F3F0BFA" w:rsidR="000210A3" w:rsidRPr="00022CA4" w:rsidRDefault="003207E2" w:rsidP="00EE4D7D">
      <w:pPr>
        <w:pStyle w:val="Heading3"/>
        <w:spacing w:after="240" w:line="360" w:lineRule="auto"/>
        <w:rPr>
          <w:rFonts w:ascii="Times New Roman" w:hAnsi="Times New Roman" w:cs="Times New Roman"/>
          <w:b/>
          <w:bCs/>
          <w:color w:val="auto"/>
        </w:rPr>
      </w:pPr>
      <w:r w:rsidRPr="00022CA4">
        <w:rPr>
          <w:rFonts w:ascii="Times New Roman" w:hAnsi="Times New Roman" w:cs="Times New Roman"/>
          <w:b/>
          <w:bCs/>
          <w:color w:val="auto"/>
        </w:rPr>
        <w:t xml:space="preserve">3.3.1 Spatiotemporal Variability in Rainfall and </w:t>
      </w:r>
      <w:r w:rsidR="00E72364" w:rsidRPr="00022CA4">
        <w:rPr>
          <w:rFonts w:ascii="Times New Roman" w:hAnsi="Times New Roman" w:cs="Times New Roman"/>
          <w:b/>
          <w:bCs/>
          <w:color w:val="auto"/>
        </w:rPr>
        <w:t xml:space="preserve">Reference </w:t>
      </w:r>
      <w:r w:rsidRPr="00022CA4">
        <w:rPr>
          <w:rFonts w:ascii="Times New Roman" w:hAnsi="Times New Roman" w:cs="Times New Roman"/>
          <w:b/>
          <w:bCs/>
          <w:color w:val="auto"/>
        </w:rPr>
        <w:t>E</w:t>
      </w:r>
      <w:r w:rsidR="00CA183B" w:rsidRPr="00022CA4">
        <w:rPr>
          <w:rFonts w:ascii="Times New Roman" w:hAnsi="Times New Roman" w:cs="Times New Roman"/>
          <w:b/>
          <w:bCs/>
          <w:color w:val="auto"/>
        </w:rPr>
        <w:t>vapotranspiration in</w:t>
      </w:r>
      <w:r w:rsidRPr="00022CA4">
        <w:rPr>
          <w:rFonts w:ascii="Times New Roman" w:hAnsi="Times New Roman" w:cs="Times New Roman"/>
          <w:b/>
          <w:bCs/>
          <w:color w:val="auto"/>
        </w:rPr>
        <w:t xml:space="preserve"> Ethiopia</w:t>
      </w:r>
    </w:p>
    <w:p w14:paraId="28C4E6F8" w14:textId="10662E02" w:rsidR="00AF514A" w:rsidRPr="00022CA4" w:rsidRDefault="002A40FF" w:rsidP="00E93810">
      <w:pPr>
        <w:widowControl/>
        <w:adjustRightInd w:val="0"/>
        <w:spacing w:after="240"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The </w:t>
      </w:r>
      <w:r w:rsidR="00E32010" w:rsidRPr="00022CA4">
        <w:rPr>
          <w:rFonts w:ascii="Times New Roman" w:hAnsi="Times New Roman" w:cs="Times New Roman"/>
          <w:sz w:val="24"/>
          <w:szCs w:val="24"/>
        </w:rPr>
        <w:t>mean</w:t>
      </w:r>
      <w:r w:rsidRPr="00022CA4">
        <w:rPr>
          <w:rFonts w:ascii="Times New Roman" w:hAnsi="Times New Roman" w:cs="Times New Roman"/>
          <w:sz w:val="24"/>
          <w:szCs w:val="24"/>
        </w:rPr>
        <w:t xml:space="preserve"> </w:t>
      </w:r>
      <w:r w:rsidR="001A4B42" w:rsidRPr="00022CA4">
        <w:rPr>
          <w:rFonts w:ascii="Times New Roman" w:hAnsi="Times New Roman" w:cs="Times New Roman"/>
          <w:sz w:val="24"/>
          <w:szCs w:val="24"/>
        </w:rPr>
        <w:t xml:space="preserve">annual and seasonal </w:t>
      </w:r>
      <w:r w:rsidRPr="00022CA4">
        <w:rPr>
          <w:rFonts w:ascii="Times New Roman" w:hAnsi="Times New Roman" w:cs="Times New Roman"/>
          <w:sz w:val="24"/>
          <w:szCs w:val="24"/>
        </w:rPr>
        <w:t>rainfall</w:t>
      </w:r>
      <w:r w:rsidR="00E32010" w:rsidRPr="00022CA4">
        <w:rPr>
          <w:rFonts w:ascii="Times New Roman" w:hAnsi="Times New Roman" w:cs="Times New Roman"/>
          <w:sz w:val="24"/>
          <w:szCs w:val="24"/>
        </w:rPr>
        <w:t xml:space="preserve"> variability</w:t>
      </w:r>
      <w:r w:rsidRPr="00022CA4">
        <w:rPr>
          <w:rFonts w:ascii="Times New Roman" w:hAnsi="Times New Roman" w:cs="Times New Roman"/>
          <w:sz w:val="24"/>
          <w:szCs w:val="24"/>
        </w:rPr>
        <w:t xml:space="preserve"> </w:t>
      </w:r>
      <w:r w:rsidR="00FE7B82" w:rsidRPr="00022CA4">
        <w:rPr>
          <w:rFonts w:ascii="Times New Roman" w:hAnsi="Times New Roman" w:cs="Times New Roman"/>
          <w:sz w:val="24"/>
          <w:szCs w:val="24"/>
        </w:rPr>
        <w:t>expressed by the coefficient of variation</w:t>
      </w:r>
      <w:r w:rsidR="00653EB7" w:rsidRPr="00022CA4">
        <w:rPr>
          <w:rFonts w:ascii="Times New Roman" w:hAnsi="Times New Roman" w:cs="Times New Roman"/>
          <w:sz w:val="24"/>
          <w:szCs w:val="24"/>
        </w:rPr>
        <w:t xml:space="preserve"> (CV),</w:t>
      </w:r>
      <w:r w:rsidR="00FE7B82" w:rsidRPr="00022CA4">
        <w:rPr>
          <w:rFonts w:ascii="Times New Roman" w:hAnsi="Times New Roman" w:cs="Times New Roman"/>
          <w:sz w:val="24"/>
          <w:szCs w:val="24"/>
        </w:rPr>
        <w:t xml:space="preserve"> </w:t>
      </w:r>
      <w:r w:rsidR="00653EB7" w:rsidRPr="00022CA4">
        <w:rPr>
          <w:rFonts w:ascii="Times New Roman" w:hAnsi="Times New Roman" w:cs="Times New Roman"/>
          <w:sz w:val="24"/>
          <w:szCs w:val="24"/>
        </w:rPr>
        <w:t>by considering each of</w:t>
      </w:r>
      <w:r w:rsidRPr="00022CA4">
        <w:rPr>
          <w:rFonts w:ascii="Times New Roman" w:hAnsi="Times New Roman" w:cs="Times New Roman"/>
          <w:sz w:val="24"/>
          <w:szCs w:val="24"/>
        </w:rPr>
        <w:t xml:space="preserve"> </w:t>
      </w:r>
      <w:r w:rsidR="00653EB7" w:rsidRPr="00022CA4">
        <w:rPr>
          <w:rFonts w:ascii="Times New Roman" w:hAnsi="Times New Roman" w:cs="Times New Roman"/>
          <w:sz w:val="24"/>
          <w:szCs w:val="24"/>
        </w:rPr>
        <w:t xml:space="preserve">the 392 grid points, in </w:t>
      </w:r>
      <w:r w:rsidR="001A4B42" w:rsidRPr="00022CA4">
        <w:rPr>
          <w:rFonts w:ascii="Times New Roman" w:hAnsi="Times New Roman" w:cs="Times New Roman"/>
          <w:sz w:val="24"/>
          <w:szCs w:val="24"/>
        </w:rPr>
        <w:t>Ethiopia</w:t>
      </w:r>
      <w:r w:rsidRPr="00022CA4">
        <w:rPr>
          <w:rFonts w:ascii="Times New Roman" w:hAnsi="Times New Roman" w:cs="Times New Roman"/>
          <w:sz w:val="24"/>
          <w:szCs w:val="24"/>
        </w:rPr>
        <w:t xml:space="preserve"> ranged from </w:t>
      </w:r>
      <w:r w:rsidR="001A4B42" w:rsidRPr="00022CA4">
        <w:rPr>
          <w:rFonts w:ascii="Times New Roman" w:hAnsi="Times New Roman" w:cs="Times New Roman"/>
          <w:sz w:val="24"/>
          <w:szCs w:val="24"/>
        </w:rPr>
        <w:t>7.5</w:t>
      </w:r>
      <w:r w:rsidRPr="00022CA4">
        <w:rPr>
          <w:rFonts w:ascii="Times New Roman" w:hAnsi="Times New Roman" w:cs="Times New Roman"/>
          <w:sz w:val="24"/>
          <w:szCs w:val="24"/>
        </w:rPr>
        <w:t xml:space="preserve"> to </w:t>
      </w:r>
      <w:r w:rsidR="001A4B42" w:rsidRPr="00022CA4">
        <w:rPr>
          <w:rFonts w:ascii="Times New Roman" w:hAnsi="Times New Roman" w:cs="Times New Roman"/>
          <w:sz w:val="24"/>
          <w:szCs w:val="24"/>
        </w:rPr>
        <w:t>32.2</w:t>
      </w:r>
      <w:r w:rsidRPr="00022CA4">
        <w:rPr>
          <w:rFonts w:ascii="Times New Roman" w:hAnsi="Times New Roman" w:cs="Times New Roman"/>
          <w:sz w:val="24"/>
          <w:szCs w:val="24"/>
        </w:rPr>
        <w:t xml:space="preserve"> </w:t>
      </w:r>
      <w:r w:rsidR="001A4B42" w:rsidRPr="00022CA4">
        <w:rPr>
          <w:rFonts w:ascii="Times New Roman" w:hAnsi="Times New Roman" w:cs="Times New Roman"/>
          <w:sz w:val="24"/>
          <w:szCs w:val="24"/>
        </w:rPr>
        <w:t xml:space="preserve">and 6.5 to 74.9 </w:t>
      </w:r>
      <w:r w:rsidR="00FE7B82" w:rsidRPr="00022CA4">
        <w:rPr>
          <w:rFonts w:ascii="Times New Roman" w:hAnsi="Times New Roman" w:cs="Times New Roman"/>
          <w:sz w:val="24"/>
          <w:szCs w:val="24"/>
        </w:rPr>
        <w:t>%</w:t>
      </w:r>
      <w:r w:rsidR="001A4B42" w:rsidRPr="00022CA4">
        <w:rPr>
          <w:rFonts w:ascii="Times New Roman" w:hAnsi="Times New Roman" w:cs="Times New Roman"/>
          <w:sz w:val="24"/>
          <w:szCs w:val="24"/>
        </w:rPr>
        <w:t xml:space="preserve"> with </w:t>
      </w:r>
      <w:r w:rsidR="00B87DB8" w:rsidRPr="00022CA4">
        <w:rPr>
          <w:rFonts w:ascii="Times New Roman" w:hAnsi="Times New Roman" w:cs="Times New Roman"/>
          <w:sz w:val="24"/>
          <w:szCs w:val="24"/>
        </w:rPr>
        <w:t xml:space="preserve">a </w:t>
      </w:r>
      <w:r w:rsidR="001A4B42" w:rsidRPr="00022CA4">
        <w:rPr>
          <w:rFonts w:ascii="Times New Roman" w:hAnsi="Times New Roman" w:cs="Times New Roman"/>
          <w:sz w:val="24"/>
          <w:szCs w:val="24"/>
        </w:rPr>
        <w:t>mean value of 16.2</w:t>
      </w:r>
      <w:r w:rsidR="00FE7B82" w:rsidRPr="00022CA4">
        <w:rPr>
          <w:rFonts w:ascii="Times New Roman" w:hAnsi="Times New Roman" w:cs="Times New Roman"/>
          <w:sz w:val="24"/>
          <w:szCs w:val="24"/>
        </w:rPr>
        <w:t xml:space="preserve"> and 31.9</w:t>
      </w:r>
      <w:r w:rsidR="001A4B42" w:rsidRPr="00022CA4">
        <w:rPr>
          <w:rFonts w:ascii="Times New Roman" w:hAnsi="Times New Roman" w:cs="Times New Roman"/>
          <w:sz w:val="24"/>
          <w:szCs w:val="24"/>
        </w:rPr>
        <w:t xml:space="preserve"> </w:t>
      </w:r>
      <w:r w:rsidR="00FE7B82" w:rsidRPr="00022CA4">
        <w:rPr>
          <w:rFonts w:ascii="Times New Roman" w:hAnsi="Times New Roman" w:cs="Times New Roman"/>
          <w:sz w:val="24"/>
          <w:szCs w:val="24"/>
        </w:rPr>
        <w:t>%</w:t>
      </w:r>
      <w:r w:rsidRPr="00022CA4">
        <w:rPr>
          <w:rFonts w:ascii="Times New Roman" w:hAnsi="Times New Roman" w:cs="Times New Roman"/>
          <w:sz w:val="24"/>
          <w:szCs w:val="24"/>
        </w:rPr>
        <w:t>,</w:t>
      </w:r>
      <w:r w:rsidR="00FE7B82" w:rsidRPr="00022CA4">
        <w:rPr>
          <w:rFonts w:ascii="Times New Roman" w:hAnsi="Times New Roman" w:cs="Times New Roman"/>
          <w:sz w:val="24"/>
          <w:szCs w:val="24"/>
        </w:rPr>
        <w:t xml:space="preserve"> respectively. </w:t>
      </w:r>
      <w:r w:rsidR="00434CB4" w:rsidRPr="00022CA4">
        <w:rPr>
          <w:rFonts w:ascii="Times New Roman" w:hAnsi="Times New Roman" w:cs="Times New Roman"/>
          <w:sz w:val="24"/>
          <w:szCs w:val="24"/>
        </w:rPr>
        <w:t xml:space="preserve">The mean annual and Kiremt CV </w:t>
      </w:r>
      <w:r w:rsidR="00F72FD5" w:rsidRPr="00022CA4">
        <w:rPr>
          <w:rFonts w:ascii="Times New Roman" w:hAnsi="Times New Roman" w:cs="Times New Roman"/>
          <w:sz w:val="24"/>
          <w:szCs w:val="24"/>
        </w:rPr>
        <w:t xml:space="preserve">of rainfall </w:t>
      </w:r>
      <w:r w:rsidR="00434CB4" w:rsidRPr="00022CA4">
        <w:rPr>
          <w:rFonts w:ascii="Times New Roman" w:hAnsi="Times New Roman" w:cs="Times New Roman"/>
          <w:sz w:val="24"/>
          <w:szCs w:val="24"/>
        </w:rPr>
        <w:t>was lower than 18 % in most parts of Ethiopia (Fig. 11). T</w:t>
      </w:r>
      <w:r w:rsidR="00FE7B82" w:rsidRPr="00022CA4">
        <w:rPr>
          <w:rFonts w:ascii="Times New Roman" w:hAnsi="Times New Roman" w:cs="Times New Roman"/>
          <w:sz w:val="24"/>
          <w:szCs w:val="24"/>
        </w:rPr>
        <w:t>he rainfall variability was the highest in the dry season, Bega, followed by</w:t>
      </w:r>
      <w:r w:rsidR="00434CB4" w:rsidRPr="00022CA4">
        <w:rPr>
          <w:rFonts w:ascii="Times New Roman" w:hAnsi="Times New Roman" w:cs="Times New Roman"/>
          <w:sz w:val="24"/>
          <w:szCs w:val="24"/>
        </w:rPr>
        <w:t xml:space="preserve"> </w:t>
      </w:r>
      <w:r w:rsidR="00B87DB8" w:rsidRPr="00022CA4">
        <w:rPr>
          <w:rFonts w:ascii="Times New Roman" w:hAnsi="Times New Roman" w:cs="Times New Roman"/>
          <w:sz w:val="24"/>
          <w:szCs w:val="24"/>
        </w:rPr>
        <w:t xml:space="preserve">the </w:t>
      </w:r>
      <w:r w:rsidR="00434CB4" w:rsidRPr="00022CA4">
        <w:rPr>
          <w:rFonts w:ascii="Times New Roman" w:hAnsi="Times New Roman" w:cs="Times New Roman"/>
          <w:sz w:val="24"/>
          <w:szCs w:val="24"/>
        </w:rPr>
        <w:t>small rainy season,</w:t>
      </w:r>
      <w:r w:rsidR="00FE7B82" w:rsidRPr="00022CA4">
        <w:rPr>
          <w:rFonts w:ascii="Times New Roman" w:hAnsi="Times New Roman" w:cs="Times New Roman"/>
          <w:sz w:val="24"/>
          <w:szCs w:val="24"/>
        </w:rPr>
        <w:t xml:space="preserve"> Belg</w:t>
      </w:r>
      <w:r w:rsidR="00434CB4" w:rsidRPr="00022CA4">
        <w:rPr>
          <w:rFonts w:ascii="Times New Roman" w:hAnsi="Times New Roman" w:cs="Times New Roman"/>
          <w:sz w:val="24"/>
          <w:szCs w:val="24"/>
        </w:rPr>
        <w:t>,</w:t>
      </w:r>
      <w:r w:rsidR="00FE7B82" w:rsidRPr="00022CA4">
        <w:rPr>
          <w:rFonts w:ascii="Times New Roman" w:hAnsi="Times New Roman" w:cs="Times New Roman"/>
          <w:sz w:val="24"/>
          <w:szCs w:val="24"/>
        </w:rPr>
        <w:t xml:space="preserve"> and </w:t>
      </w:r>
      <w:r w:rsidR="00434CB4" w:rsidRPr="00022CA4">
        <w:rPr>
          <w:rFonts w:ascii="Times New Roman" w:hAnsi="Times New Roman" w:cs="Times New Roman"/>
          <w:sz w:val="24"/>
          <w:szCs w:val="24"/>
        </w:rPr>
        <w:t xml:space="preserve">main rainy season, </w:t>
      </w:r>
      <w:r w:rsidR="00FE7B82" w:rsidRPr="00022CA4">
        <w:rPr>
          <w:rFonts w:ascii="Times New Roman" w:hAnsi="Times New Roman" w:cs="Times New Roman"/>
          <w:sz w:val="24"/>
          <w:szCs w:val="24"/>
        </w:rPr>
        <w:t>Kiremt, with mean CV</w:t>
      </w:r>
      <w:r w:rsidRPr="00022CA4">
        <w:rPr>
          <w:rFonts w:ascii="Times New Roman" w:hAnsi="Times New Roman" w:cs="Times New Roman"/>
          <w:sz w:val="24"/>
          <w:szCs w:val="24"/>
        </w:rPr>
        <w:t xml:space="preserve"> </w:t>
      </w:r>
      <w:proofErr w:type="gramStart"/>
      <w:r w:rsidR="00FE7B82" w:rsidRPr="00022CA4">
        <w:rPr>
          <w:rFonts w:ascii="Times New Roman" w:hAnsi="Times New Roman" w:cs="Times New Roman"/>
          <w:sz w:val="24"/>
          <w:szCs w:val="24"/>
        </w:rPr>
        <w:t xml:space="preserve">of  </w:t>
      </w:r>
      <w:r w:rsidR="00434CB4" w:rsidRPr="00022CA4">
        <w:rPr>
          <w:rFonts w:ascii="Times New Roman" w:hAnsi="Times New Roman" w:cs="Times New Roman"/>
          <w:sz w:val="24"/>
          <w:szCs w:val="24"/>
        </w:rPr>
        <w:t>45.5</w:t>
      </w:r>
      <w:proofErr w:type="gramEnd"/>
      <w:r w:rsidR="00434CB4" w:rsidRPr="00022CA4">
        <w:rPr>
          <w:rFonts w:ascii="Times New Roman" w:hAnsi="Times New Roman" w:cs="Times New Roman"/>
          <w:sz w:val="24"/>
          <w:szCs w:val="24"/>
        </w:rPr>
        <w:t xml:space="preserve">, 28.2, and 21.9 %, respectively. </w:t>
      </w:r>
      <w:r w:rsidR="00F72FD5" w:rsidRPr="00022CA4">
        <w:rPr>
          <w:rFonts w:ascii="Times New Roman" w:hAnsi="Times New Roman" w:cs="Times New Roman"/>
          <w:sz w:val="24"/>
          <w:szCs w:val="24"/>
        </w:rPr>
        <w:t xml:space="preserve">The </w:t>
      </w:r>
      <w:proofErr w:type="spellStart"/>
      <w:r w:rsidR="00F72FD5" w:rsidRPr="00022CA4">
        <w:rPr>
          <w:rFonts w:ascii="Times New Roman" w:hAnsi="Times New Roman" w:cs="Times New Roman"/>
          <w:sz w:val="24"/>
          <w:szCs w:val="24"/>
        </w:rPr>
        <w:t>Denakil</w:t>
      </w:r>
      <w:proofErr w:type="spellEnd"/>
      <w:r w:rsidR="00F72FD5" w:rsidRPr="00022CA4">
        <w:rPr>
          <w:rFonts w:ascii="Times New Roman" w:hAnsi="Times New Roman" w:cs="Times New Roman"/>
          <w:sz w:val="24"/>
          <w:szCs w:val="24"/>
        </w:rPr>
        <w:t xml:space="preserve"> (67.8%) and </w:t>
      </w:r>
      <w:proofErr w:type="spellStart"/>
      <w:r w:rsidR="00F72FD5" w:rsidRPr="00022CA4">
        <w:rPr>
          <w:rFonts w:ascii="Times New Roman" w:hAnsi="Times New Roman" w:cs="Times New Roman"/>
          <w:sz w:val="24"/>
          <w:szCs w:val="24"/>
        </w:rPr>
        <w:t>Mereb</w:t>
      </w:r>
      <w:proofErr w:type="spellEnd"/>
      <w:r w:rsidR="00F72FD5" w:rsidRPr="00022CA4">
        <w:rPr>
          <w:rFonts w:ascii="Times New Roman" w:hAnsi="Times New Roman" w:cs="Times New Roman"/>
          <w:sz w:val="24"/>
          <w:szCs w:val="24"/>
        </w:rPr>
        <w:t xml:space="preserve">-Gash (8.5%) basins exhibited the highest and lowest rainfall variability, respectively, while the </w:t>
      </w:r>
      <w:proofErr w:type="spellStart"/>
      <w:r w:rsidR="00F72FD5" w:rsidRPr="00022CA4">
        <w:rPr>
          <w:rFonts w:ascii="Times New Roman" w:hAnsi="Times New Roman" w:cs="Times New Roman"/>
          <w:sz w:val="24"/>
          <w:szCs w:val="24"/>
        </w:rPr>
        <w:t>Denakil</w:t>
      </w:r>
      <w:proofErr w:type="spellEnd"/>
      <w:r w:rsidR="00F72FD5" w:rsidRPr="00022CA4">
        <w:rPr>
          <w:rFonts w:ascii="Times New Roman" w:hAnsi="Times New Roman" w:cs="Times New Roman"/>
          <w:sz w:val="24"/>
          <w:szCs w:val="24"/>
        </w:rPr>
        <w:t xml:space="preserve"> (6.2%) and </w:t>
      </w:r>
      <w:proofErr w:type="spellStart"/>
      <w:r w:rsidR="00F72FD5" w:rsidRPr="00022CA4">
        <w:rPr>
          <w:rFonts w:ascii="Times New Roman" w:hAnsi="Times New Roman" w:cs="Times New Roman"/>
          <w:sz w:val="24"/>
          <w:szCs w:val="24"/>
        </w:rPr>
        <w:t>Aysha</w:t>
      </w:r>
      <w:proofErr w:type="spellEnd"/>
      <w:r w:rsidR="00F72FD5" w:rsidRPr="00022CA4">
        <w:rPr>
          <w:rFonts w:ascii="Times New Roman" w:hAnsi="Times New Roman" w:cs="Times New Roman"/>
          <w:sz w:val="24"/>
          <w:szCs w:val="24"/>
        </w:rPr>
        <w:t xml:space="preserve"> (3.6%) basins exhibited the highest and lowest</w:t>
      </w:r>
      <w:r w:rsidR="00E72364" w:rsidRPr="00022CA4">
        <w:rPr>
          <w:rFonts w:ascii="Times New Roman" w:hAnsi="Times New Roman" w:cs="Times New Roman"/>
          <w:sz w:val="24"/>
          <w:szCs w:val="24"/>
        </w:rPr>
        <w:t xml:space="preserve"> reference evapotranspiration (</w:t>
      </w:r>
      <w:proofErr w:type="spellStart"/>
      <w:proofErr w:type="gramStart"/>
      <w:r w:rsidR="00E72364" w:rsidRPr="00022CA4">
        <w:rPr>
          <w:rFonts w:ascii="Times New Roman" w:hAnsi="Times New Roman" w:cs="Times New Roman"/>
          <w:sz w:val="24"/>
          <w:szCs w:val="24"/>
        </w:rPr>
        <w:t>ET</w:t>
      </w:r>
      <w:r w:rsidR="00E72364" w:rsidRPr="00022CA4">
        <w:rPr>
          <w:rFonts w:ascii="Times New Roman" w:hAnsi="Times New Roman" w:cs="Times New Roman"/>
          <w:sz w:val="24"/>
          <w:szCs w:val="24"/>
          <w:vertAlign w:val="subscript"/>
        </w:rPr>
        <w:t>o</w:t>
      </w:r>
      <w:proofErr w:type="spellEnd"/>
      <w:proofErr w:type="gramEnd"/>
      <w:r w:rsidR="00E72364" w:rsidRPr="00022CA4">
        <w:rPr>
          <w:rFonts w:ascii="Times New Roman" w:hAnsi="Times New Roman" w:cs="Times New Roman"/>
          <w:sz w:val="24"/>
          <w:szCs w:val="24"/>
        </w:rPr>
        <w:t xml:space="preserve">) </w:t>
      </w:r>
      <w:r w:rsidR="00F72FD5" w:rsidRPr="00022CA4">
        <w:rPr>
          <w:rFonts w:ascii="Times New Roman" w:hAnsi="Times New Roman" w:cs="Times New Roman"/>
          <w:sz w:val="24"/>
          <w:szCs w:val="24"/>
        </w:rPr>
        <w:t>variability, respectively (</w:t>
      </w:r>
      <w:r w:rsidR="00F85C4B">
        <w:rPr>
          <w:rFonts w:ascii="Times New Roman" w:hAnsi="Times New Roman" w:cs="Times New Roman"/>
          <w:sz w:val="24"/>
          <w:szCs w:val="24"/>
        </w:rPr>
        <w:t>Table 7</w:t>
      </w:r>
      <w:r w:rsidR="00F72FD5" w:rsidRPr="00022CA4">
        <w:rPr>
          <w:rFonts w:ascii="Times New Roman" w:hAnsi="Times New Roman" w:cs="Times New Roman"/>
          <w:sz w:val="24"/>
          <w:szCs w:val="24"/>
        </w:rPr>
        <w:t xml:space="preserve">). </w:t>
      </w:r>
      <w:r w:rsidR="001F346B" w:rsidRPr="00022CA4">
        <w:rPr>
          <w:rFonts w:ascii="Times New Roman" w:hAnsi="Times New Roman" w:cs="Times New Roman"/>
          <w:sz w:val="24"/>
          <w:szCs w:val="24"/>
        </w:rPr>
        <w:t xml:space="preserve">Compared to rainfall and CWB, the variability in annual as well as seasonal </w:t>
      </w:r>
      <w:proofErr w:type="spellStart"/>
      <w:proofErr w:type="gramStart"/>
      <w:r w:rsidR="001F346B" w:rsidRPr="00022CA4">
        <w:rPr>
          <w:rFonts w:ascii="Times New Roman" w:hAnsi="Times New Roman" w:cs="Times New Roman"/>
          <w:sz w:val="24"/>
          <w:szCs w:val="24"/>
        </w:rPr>
        <w:t>ET</w:t>
      </w:r>
      <w:r w:rsidR="001F346B" w:rsidRPr="00022CA4">
        <w:rPr>
          <w:rFonts w:ascii="Times New Roman" w:hAnsi="Times New Roman" w:cs="Times New Roman"/>
          <w:sz w:val="24"/>
          <w:szCs w:val="24"/>
          <w:vertAlign w:val="subscript"/>
        </w:rPr>
        <w:t>o</w:t>
      </w:r>
      <w:proofErr w:type="spellEnd"/>
      <w:proofErr w:type="gramEnd"/>
      <w:r w:rsidR="001F346B" w:rsidRPr="00022CA4">
        <w:rPr>
          <w:rFonts w:ascii="Times New Roman" w:hAnsi="Times New Roman" w:cs="Times New Roman"/>
          <w:sz w:val="24"/>
          <w:szCs w:val="24"/>
        </w:rPr>
        <w:t xml:space="preserve"> was minimal; it ranged between 0.7 and 3.1 % with ann</w:t>
      </w:r>
      <w:r w:rsidR="00B87DB8" w:rsidRPr="00022CA4">
        <w:rPr>
          <w:rFonts w:ascii="Times New Roman" w:hAnsi="Times New Roman" w:cs="Times New Roman"/>
          <w:sz w:val="24"/>
          <w:szCs w:val="24"/>
        </w:rPr>
        <w:t>u</w:t>
      </w:r>
      <w:r w:rsidR="001F346B" w:rsidRPr="00022CA4">
        <w:rPr>
          <w:rFonts w:ascii="Times New Roman" w:hAnsi="Times New Roman" w:cs="Times New Roman"/>
          <w:sz w:val="24"/>
          <w:szCs w:val="24"/>
        </w:rPr>
        <w:t xml:space="preserve">al </w:t>
      </w:r>
      <w:proofErr w:type="spellStart"/>
      <w:r w:rsidR="001F346B" w:rsidRPr="00022CA4">
        <w:rPr>
          <w:rFonts w:ascii="Times New Roman" w:hAnsi="Times New Roman" w:cs="Times New Roman"/>
          <w:sz w:val="24"/>
          <w:szCs w:val="24"/>
        </w:rPr>
        <w:t>ET</w:t>
      </w:r>
      <w:r w:rsidR="001F346B" w:rsidRPr="00022CA4">
        <w:rPr>
          <w:rFonts w:ascii="Times New Roman" w:hAnsi="Times New Roman" w:cs="Times New Roman"/>
          <w:sz w:val="24"/>
          <w:szCs w:val="24"/>
          <w:vertAlign w:val="subscript"/>
        </w:rPr>
        <w:t>o</w:t>
      </w:r>
      <w:proofErr w:type="spellEnd"/>
      <w:r w:rsidR="001F346B" w:rsidRPr="00022CA4">
        <w:rPr>
          <w:rFonts w:ascii="Times New Roman" w:hAnsi="Times New Roman" w:cs="Times New Roman"/>
          <w:sz w:val="24"/>
          <w:szCs w:val="24"/>
        </w:rPr>
        <w:t xml:space="preserve"> showing the least variability in</w:t>
      </w:r>
      <w:r w:rsidR="001F316E" w:rsidRPr="00022CA4">
        <w:rPr>
          <w:rFonts w:ascii="Times New Roman" w:hAnsi="Times New Roman" w:cs="Times New Roman"/>
          <w:sz w:val="24"/>
          <w:szCs w:val="24"/>
        </w:rPr>
        <w:t xml:space="preserve"> most parts of Ethiopia (Fig. 12</w:t>
      </w:r>
      <w:r w:rsidR="001F346B" w:rsidRPr="00022CA4">
        <w:rPr>
          <w:rFonts w:ascii="Times New Roman" w:hAnsi="Times New Roman" w:cs="Times New Roman"/>
          <w:sz w:val="24"/>
          <w:szCs w:val="24"/>
        </w:rPr>
        <w:t xml:space="preserve">).  </w:t>
      </w:r>
    </w:p>
    <w:p w14:paraId="7F8C7B32" w14:textId="70626972" w:rsidR="0092169E" w:rsidRPr="00022CA4" w:rsidRDefault="0092169E" w:rsidP="00EE4D7D">
      <w:pPr>
        <w:widowControl/>
        <w:adjustRightInd w:val="0"/>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lastRenderedPageBreak/>
        <w:t>The analysis of the standardized rainfall anomaly (SRA) over Ethiopia</w:t>
      </w:r>
      <w:r w:rsidR="001F316E" w:rsidRPr="00022CA4">
        <w:rPr>
          <w:rFonts w:ascii="Times New Roman" w:hAnsi="Times New Roman" w:cs="Times New Roman"/>
          <w:sz w:val="24"/>
          <w:szCs w:val="24"/>
        </w:rPr>
        <w:t xml:space="preserve"> (Fig. 13)</w:t>
      </w:r>
      <w:r w:rsidRPr="00022CA4">
        <w:rPr>
          <w:rFonts w:ascii="Times New Roman" w:hAnsi="Times New Roman" w:cs="Times New Roman"/>
          <w:sz w:val="24"/>
          <w:szCs w:val="24"/>
        </w:rPr>
        <w:t xml:space="preserve"> reveals the existence of moderate to </w:t>
      </w:r>
      <w:r w:rsidR="001D1A62" w:rsidRPr="00022CA4">
        <w:rPr>
          <w:rFonts w:ascii="Times New Roman" w:hAnsi="Times New Roman" w:cs="Times New Roman"/>
          <w:sz w:val="24"/>
          <w:szCs w:val="24"/>
        </w:rPr>
        <w:t>extreme</w:t>
      </w:r>
      <w:r w:rsidRPr="00022CA4">
        <w:rPr>
          <w:rFonts w:ascii="Times New Roman" w:hAnsi="Times New Roman" w:cs="Times New Roman"/>
          <w:sz w:val="24"/>
          <w:szCs w:val="24"/>
        </w:rPr>
        <w:t xml:space="preserve"> </w:t>
      </w:r>
      <w:r w:rsidR="001D1A62" w:rsidRPr="00022CA4">
        <w:rPr>
          <w:rFonts w:ascii="Times New Roman" w:hAnsi="Times New Roman" w:cs="Times New Roman"/>
          <w:sz w:val="24"/>
          <w:szCs w:val="24"/>
        </w:rPr>
        <w:t>dry</w:t>
      </w:r>
      <w:r w:rsidRPr="00022CA4">
        <w:rPr>
          <w:rFonts w:ascii="Times New Roman" w:hAnsi="Times New Roman" w:cs="Times New Roman"/>
          <w:sz w:val="24"/>
          <w:szCs w:val="24"/>
        </w:rPr>
        <w:t xml:space="preserve"> </w:t>
      </w:r>
      <w:r w:rsidR="001D1A62" w:rsidRPr="00022CA4">
        <w:rPr>
          <w:rFonts w:ascii="Times New Roman" w:hAnsi="Times New Roman" w:cs="Times New Roman"/>
          <w:sz w:val="24"/>
          <w:szCs w:val="24"/>
        </w:rPr>
        <w:t xml:space="preserve">as well as wet climate conditions </w:t>
      </w:r>
      <w:r w:rsidRPr="00022CA4">
        <w:rPr>
          <w:rFonts w:ascii="Times New Roman" w:hAnsi="Times New Roman" w:cs="Times New Roman"/>
          <w:sz w:val="24"/>
          <w:szCs w:val="24"/>
        </w:rPr>
        <w:t xml:space="preserve">in </w:t>
      </w:r>
      <w:r w:rsidR="001D1A62" w:rsidRPr="00022CA4">
        <w:rPr>
          <w:rFonts w:ascii="Times New Roman" w:hAnsi="Times New Roman" w:cs="Times New Roman"/>
          <w:sz w:val="24"/>
          <w:szCs w:val="24"/>
        </w:rPr>
        <w:t>nine</w:t>
      </w:r>
      <w:r w:rsidRPr="00022CA4">
        <w:rPr>
          <w:rFonts w:ascii="Times New Roman" w:hAnsi="Times New Roman" w:cs="Times New Roman"/>
          <w:sz w:val="24"/>
          <w:szCs w:val="24"/>
        </w:rPr>
        <w:t xml:space="preserve"> years</w:t>
      </w:r>
      <w:r w:rsidR="001D1A62" w:rsidRPr="00022CA4">
        <w:rPr>
          <w:rFonts w:ascii="Times New Roman" w:hAnsi="Times New Roman" w:cs="Times New Roman"/>
          <w:sz w:val="24"/>
          <w:szCs w:val="24"/>
        </w:rPr>
        <w:t xml:space="preserve"> in </w:t>
      </w:r>
      <w:r w:rsidRPr="00022CA4">
        <w:rPr>
          <w:rFonts w:ascii="Times New Roman" w:hAnsi="Times New Roman" w:cs="Times New Roman"/>
          <w:sz w:val="24"/>
          <w:szCs w:val="24"/>
        </w:rPr>
        <w:t xml:space="preserve">1980, 1984, </w:t>
      </w:r>
      <w:r w:rsidR="0046175E" w:rsidRPr="00022CA4">
        <w:rPr>
          <w:rFonts w:ascii="Times New Roman" w:hAnsi="Times New Roman" w:cs="Times New Roman"/>
          <w:sz w:val="24"/>
          <w:szCs w:val="24"/>
        </w:rPr>
        <w:t>1990, 1991, 1992, 1999, 2002, 2009, and 202</w:t>
      </w:r>
      <w:r w:rsidR="001D1A62" w:rsidRPr="00022CA4">
        <w:rPr>
          <w:rFonts w:ascii="Times New Roman" w:hAnsi="Times New Roman" w:cs="Times New Roman"/>
          <w:sz w:val="24"/>
          <w:szCs w:val="24"/>
        </w:rPr>
        <w:t xml:space="preserve">1 as well as </w:t>
      </w:r>
      <w:r w:rsidR="000464CD" w:rsidRPr="00022CA4">
        <w:rPr>
          <w:rFonts w:ascii="Times New Roman" w:hAnsi="Times New Roman" w:cs="Times New Roman"/>
          <w:sz w:val="24"/>
          <w:szCs w:val="24"/>
        </w:rPr>
        <w:t xml:space="preserve">1982, 1996, 1997, 2006, 2013, 2014, 2018, 2019, and 2020, respectively </w:t>
      </w:r>
      <w:r w:rsidR="001D1A62" w:rsidRPr="00022CA4">
        <w:rPr>
          <w:rFonts w:ascii="Times New Roman" w:hAnsi="Times New Roman" w:cs="Times New Roman"/>
          <w:sz w:val="24"/>
          <w:szCs w:val="24"/>
        </w:rPr>
        <w:t>in over 50</w:t>
      </w:r>
      <w:r w:rsidR="000464CD" w:rsidRPr="00022CA4">
        <w:rPr>
          <w:rFonts w:ascii="Times New Roman" w:hAnsi="Times New Roman" w:cs="Times New Roman"/>
          <w:sz w:val="24"/>
          <w:szCs w:val="24"/>
        </w:rPr>
        <w:t xml:space="preserve"> </w:t>
      </w:r>
      <w:r w:rsidR="001D1A62" w:rsidRPr="00022CA4">
        <w:rPr>
          <w:rFonts w:ascii="Times New Roman" w:hAnsi="Times New Roman" w:cs="Times New Roman"/>
          <w:sz w:val="24"/>
          <w:szCs w:val="24"/>
        </w:rPr>
        <w:t>% of Ethiopia during the study period</w:t>
      </w:r>
      <w:r w:rsidR="000464CD" w:rsidRPr="00022CA4">
        <w:rPr>
          <w:rFonts w:ascii="Times New Roman" w:hAnsi="Times New Roman" w:cs="Times New Roman"/>
          <w:sz w:val="24"/>
          <w:szCs w:val="24"/>
        </w:rPr>
        <w:t>. In the remaining 24 years</w:t>
      </w:r>
      <w:r w:rsidR="00AD12E9" w:rsidRPr="00022CA4">
        <w:rPr>
          <w:rFonts w:ascii="Times New Roman" w:hAnsi="Times New Roman" w:cs="Times New Roman"/>
          <w:sz w:val="24"/>
          <w:szCs w:val="24"/>
        </w:rPr>
        <w:t>,</w:t>
      </w:r>
      <w:r w:rsidR="000464CD" w:rsidRPr="00022CA4">
        <w:rPr>
          <w:rFonts w:ascii="Times New Roman" w:hAnsi="Times New Roman" w:cs="Times New Roman"/>
          <w:sz w:val="24"/>
          <w:szCs w:val="24"/>
        </w:rPr>
        <w:t xml:space="preserve"> out of a total of 42 years, normal conditions prevailed </w:t>
      </w:r>
      <w:r w:rsidR="00AD12E9" w:rsidRPr="00022CA4">
        <w:rPr>
          <w:rFonts w:ascii="Times New Roman" w:hAnsi="Times New Roman" w:cs="Times New Roman"/>
          <w:sz w:val="24"/>
          <w:szCs w:val="24"/>
        </w:rPr>
        <w:t>throughout</w:t>
      </w:r>
      <w:r w:rsidR="000464CD" w:rsidRPr="00022CA4">
        <w:rPr>
          <w:rFonts w:ascii="Times New Roman" w:hAnsi="Times New Roman" w:cs="Times New Roman"/>
          <w:sz w:val="24"/>
          <w:szCs w:val="24"/>
        </w:rPr>
        <w:t xml:space="preserve"> Ethiopia. </w:t>
      </w:r>
    </w:p>
    <w:p w14:paraId="077BA25E" w14:textId="2309162E" w:rsidR="00D425B0" w:rsidRPr="00022CA4" w:rsidRDefault="00837E11" w:rsidP="00D33052">
      <w:pPr>
        <w:spacing w:before="240" w:line="360" w:lineRule="auto"/>
        <w:jc w:val="center"/>
        <w:rPr>
          <w:rFonts w:ascii="Times New Roman" w:hAnsi="Times New Roman" w:cs="Times New Roman"/>
          <w:sz w:val="24"/>
          <w:szCs w:val="24"/>
        </w:rPr>
      </w:pPr>
      <w:r w:rsidRPr="00022CA4">
        <w:rPr>
          <w:rFonts w:ascii="Times New Roman" w:hAnsi="Times New Roman" w:cs="Times New Roman"/>
          <w:noProof/>
          <w:sz w:val="24"/>
          <w:szCs w:val="24"/>
        </w:rPr>
        <w:drawing>
          <wp:inline distT="0" distB="0" distL="0" distR="0" wp14:anchorId="2EA49BCF" wp14:editId="7BFA1768">
            <wp:extent cx="5769865" cy="3108961"/>
            <wp:effectExtent l="0" t="0" r="2540" b="0"/>
            <wp:docPr id="2050" name="Picture 2" descr="D:\Part-I\2024\2024-Part-III\Pub_4\Data-2\CV%\Fig.11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Part-I\2024\2024-Part-III\Pub_4\Data-2\CV%\Fig.11rf.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1504" t="6935" r="15385" b="47721"/>
                    <a:stretch/>
                  </pic:blipFill>
                  <pic:spPr bwMode="auto">
                    <a:xfrm>
                      <a:off x="0" y="0"/>
                      <a:ext cx="5769865" cy="31089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F916F44" w14:textId="1CD75376" w:rsidR="008C0BF5" w:rsidRPr="00022CA4" w:rsidRDefault="00A4500A" w:rsidP="001F316E">
      <w:pPr>
        <w:spacing w:after="240" w:line="360" w:lineRule="auto"/>
        <w:rPr>
          <w:rFonts w:ascii="Times New Roman" w:hAnsi="Times New Roman" w:cs="Times New Roman"/>
          <w:sz w:val="24"/>
          <w:szCs w:val="24"/>
        </w:rPr>
      </w:pPr>
      <w:r w:rsidRPr="00022CA4">
        <w:rPr>
          <w:rFonts w:ascii="Times New Roman" w:hAnsi="Times New Roman" w:cs="Times New Roman"/>
          <w:b/>
          <w:sz w:val="24"/>
          <w:szCs w:val="24"/>
        </w:rPr>
        <w:t>Fig.</w:t>
      </w:r>
      <w:r w:rsidR="002A40FF" w:rsidRPr="00022CA4">
        <w:rPr>
          <w:rFonts w:ascii="Times New Roman" w:hAnsi="Times New Roman" w:cs="Times New Roman"/>
          <w:b/>
          <w:sz w:val="24"/>
          <w:szCs w:val="24"/>
        </w:rPr>
        <w:t xml:space="preserve"> 11</w:t>
      </w:r>
      <w:r w:rsidR="00D33052" w:rsidRPr="00022CA4">
        <w:rPr>
          <w:rFonts w:ascii="Times New Roman" w:hAnsi="Times New Roman" w:cs="Times New Roman"/>
          <w:sz w:val="24"/>
          <w:szCs w:val="24"/>
        </w:rPr>
        <w:t xml:space="preserve"> Annual and s</w:t>
      </w:r>
      <w:r w:rsidR="00F85ECD" w:rsidRPr="00022CA4">
        <w:rPr>
          <w:rFonts w:ascii="Times New Roman" w:hAnsi="Times New Roman" w:cs="Times New Roman"/>
          <w:sz w:val="24"/>
          <w:szCs w:val="24"/>
        </w:rPr>
        <w:t>eason</w:t>
      </w:r>
      <w:r w:rsidR="00D33052" w:rsidRPr="00022CA4">
        <w:rPr>
          <w:rFonts w:ascii="Times New Roman" w:hAnsi="Times New Roman" w:cs="Times New Roman"/>
          <w:sz w:val="24"/>
          <w:szCs w:val="24"/>
        </w:rPr>
        <w:t>al</w:t>
      </w:r>
      <w:r w:rsidR="00F85ECD" w:rsidRPr="00022CA4">
        <w:rPr>
          <w:rFonts w:ascii="Times New Roman" w:hAnsi="Times New Roman" w:cs="Times New Roman"/>
          <w:sz w:val="24"/>
          <w:szCs w:val="24"/>
        </w:rPr>
        <w:t xml:space="preserve"> </w:t>
      </w:r>
      <w:r w:rsidR="00D33052" w:rsidRPr="00022CA4">
        <w:rPr>
          <w:rFonts w:ascii="Times New Roman" w:hAnsi="Times New Roman" w:cs="Times New Roman"/>
          <w:sz w:val="24"/>
          <w:szCs w:val="24"/>
        </w:rPr>
        <w:t>spatiotemporal v</w:t>
      </w:r>
      <w:r w:rsidR="00F85ECD" w:rsidRPr="00022CA4">
        <w:rPr>
          <w:rFonts w:ascii="Times New Roman" w:hAnsi="Times New Roman" w:cs="Times New Roman"/>
          <w:sz w:val="24"/>
          <w:szCs w:val="24"/>
        </w:rPr>
        <w:t>ariability</w:t>
      </w:r>
      <w:r w:rsidR="00DA37F7" w:rsidRPr="00022CA4">
        <w:rPr>
          <w:rFonts w:ascii="Times New Roman" w:hAnsi="Times New Roman" w:cs="Times New Roman"/>
          <w:sz w:val="24"/>
          <w:szCs w:val="24"/>
        </w:rPr>
        <w:t xml:space="preserve">, CV [%], </w:t>
      </w:r>
      <w:r w:rsidR="00F85ECD" w:rsidRPr="00022CA4">
        <w:rPr>
          <w:rFonts w:ascii="Times New Roman" w:hAnsi="Times New Roman" w:cs="Times New Roman"/>
          <w:sz w:val="24"/>
          <w:szCs w:val="24"/>
        </w:rPr>
        <w:t>of</w:t>
      </w:r>
      <w:r w:rsidR="00D33052" w:rsidRPr="00022CA4">
        <w:rPr>
          <w:rFonts w:ascii="Times New Roman" w:hAnsi="Times New Roman" w:cs="Times New Roman"/>
          <w:sz w:val="24"/>
          <w:szCs w:val="24"/>
        </w:rPr>
        <w:t xml:space="preserve"> r</w:t>
      </w:r>
      <w:r w:rsidR="00F85ECD" w:rsidRPr="00022CA4">
        <w:rPr>
          <w:rFonts w:ascii="Times New Roman" w:hAnsi="Times New Roman" w:cs="Times New Roman"/>
          <w:sz w:val="24"/>
          <w:szCs w:val="24"/>
        </w:rPr>
        <w:t>ainfall</w:t>
      </w:r>
      <w:r w:rsidR="00D33052" w:rsidRPr="00022CA4">
        <w:rPr>
          <w:rFonts w:ascii="Times New Roman" w:hAnsi="Times New Roman" w:cs="Times New Roman"/>
          <w:sz w:val="24"/>
          <w:szCs w:val="24"/>
        </w:rPr>
        <w:t xml:space="preserve"> in Ethiopia d</w:t>
      </w:r>
      <w:r w:rsidR="00F85ECD" w:rsidRPr="00022CA4">
        <w:rPr>
          <w:rFonts w:ascii="Times New Roman" w:hAnsi="Times New Roman" w:cs="Times New Roman"/>
          <w:sz w:val="24"/>
          <w:szCs w:val="24"/>
        </w:rPr>
        <w:t>uring 1980</w:t>
      </w:r>
      <w:r w:rsidR="008E0681">
        <w:rPr>
          <w:rFonts w:ascii="Times New Roman" w:hAnsi="Times New Roman" w:cs="Times New Roman"/>
          <w:sz w:val="24"/>
          <w:szCs w:val="24"/>
        </w:rPr>
        <w:t xml:space="preserve"> to </w:t>
      </w:r>
      <w:r w:rsidR="00F85ECD" w:rsidRPr="00022CA4">
        <w:rPr>
          <w:rFonts w:ascii="Times New Roman" w:hAnsi="Times New Roman" w:cs="Times New Roman"/>
          <w:sz w:val="24"/>
          <w:szCs w:val="24"/>
        </w:rPr>
        <w:t>2021</w:t>
      </w:r>
    </w:p>
    <w:p w14:paraId="2041686A" w14:textId="10165836" w:rsidR="009D2FF5" w:rsidRPr="00022CA4" w:rsidRDefault="00837E11" w:rsidP="00D33052">
      <w:pPr>
        <w:spacing w:line="360" w:lineRule="auto"/>
        <w:jc w:val="center"/>
        <w:rPr>
          <w:rFonts w:ascii="Times New Roman" w:hAnsi="Times New Roman" w:cs="Times New Roman"/>
          <w:sz w:val="24"/>
          <w:szCs w:val="24"/>
        </w:rPr>
      </w:pPr>
      <w:r w:rsidRPr="00022CA4">
        <w:rPr>
          <w:rFonts w:ascii="Times New Roman" w:hAnsi="Times New Roman" w:cs="Times New Roman"/>
          <w:noProof/>
          <w:sz w:val="24"/>
          <w:szCs w:val="24"/>
        </w:rPr>
        <w:drawing>
          <wp:inline distT="0" distB="0" distL="0" distR="0" wp14:anchorId="4442C950" wp14:editId="5131D6A8">
            <wp:extent cx="5824729" cy="3099817"/>
            <wp:effectExtent l="0" t="0" r="5080" b="5715"/>
            <wp:docPr id="4098" name="Picture 2" descr="D:\Part-I\2024\2024-Part-III\Pub_4\Data-2\CV%\Fig.12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Part-I\2024\2024-Part-III\Pub_4\Data-2\CV%\Fig.12eto.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1703" t="7202" r="14585" b="47588"/>
                    <a:stretch/>
                  </pic:blipFill>
                  <pic:spPr bwMode="auto">
                    <a:xfrm>
                      <a:off x="0" y="0"/>
                      <a:ext cx="5824729" cy="309981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9C72906" w14:textId="2D8CC620" w:rsidR="00D2440B" w:rsidRPr="00022CA4" w:rsidRDefault="00D33052" w:rsidP="00D33052">
      <w:pPr>
        <w:spacing w:after="240" w:line="360" w:lineRule="auto"/>
        <w:rPr>
          <w:rFonts w:ascii="Times New Roman" w:hAnsi="Times New Roman" w:cs="Times New Roman"/>
          <w:sz w:val="24"/>
          <w:szCs w:val="24"/>
        </w:rPr>
      </w:pPr>
      <w:r w:rsidRPr="00022CA4">
        <w:rPr>
          <w:rFonts w:ascii="Times New Roman" w:hAnsi="Times New Roman" w:cs="Times New Roman"/>
          <w:b/>
          <w:sz w:val="24"/>
          <w:szCs w:val="24"/>
        </w:rPr>
        <w:t>Fig. 12</w:t>
      </w:r>
      <w:r w:rsidRPr="00022CA4">
        <w:rPr>
          <w:rFonts w:ascii="Times New Roman" w:hAnsi="Times New Roman" w:cs="Times New Roman"/>
          <w:sz w:val="24"/>
          <w:szCs w:val="24"/>
        </w:rPr>
        <w:t xml:space="preserve"> </w:t>
      </w:r>
      <w:r w:rsidR="00A44675" w:rsidRPr="00022CA4">
        <w:rPr>
          <w:rFonts w:ascii="Times New Roman" w:hAnsi="Times New Roman" w:cs="Times New Roman"/>
          <w:sz w:val="24"/>
          <w:szCs w:val="24"/>
        </w:rPr>
        <w:t>Annual and s</w:t>
      </w:r>
      <w:r w:rsidR="008D2F21" w:rsidRPr="00022CA4">
        <w:rPr>
          <w:rFonts w:ascii="Times New Roman" w:hAnsi="Times New Roman" w:cs="Times New Roman"/>
          <w:sz w:val="24"/>
          <w:szCs w:val="24"/>
        </w:rPr>
        <w:t>eason</w:t>
      </w:r>
      <w:r w:rsidR="00A44675" w:rsidRPr="00022CA4">
        <w:rPr>
          <w:rFonts w:ascii="Times New Roman" w:hAnsi="Times New Roman" w:cs="Times New Roman"/>
          <w:sz w:val="24"/>
          <w:szCs w:val="24"/>
        </w:rPr>
        <w:t>al</w:t>
      </w:r>
      <w:r w:rsidR="008D2F21" w:rsidRPr="00022CA4">
        <w:rPr>
          <w:rFonts w:ascii="Times New Roman" w:hAnsi="Times New Roman" w:cs="Times New Roman"/>
          <w:sz w:val="24"/>
          <w:szCs w:val="24"/>
        </w:rPr>
        <w:t xml:space="preserve"> </w:t>
      </w:r>
      <w:r w:rsidR="00A44675" w:rsidRPr="00022CA4">
        <w:rPr>
          <w:rFonts w:ascii="Times New Roman" w:hAnsi="Times New Roman" w:cs="Times New Roman"/>
          <w:sz w:val="24"/>
          <w:szCs w:val="24"/>
        </w:rPr>
        <w:t>spatiotemporal v</w:t>
      </w:r>
      <w:r w:rsidR="008D2F21" w:rsidRPr="00022CA4">
        <w:rPr>
          <w:rFonts w:ascii="Times New Roman" w:hAnsi="Times New Roman" w:cs="Times New Roman"/>
          <w:sz w:val="24"/>
          <w:szCs w:val="24"/>
        </w:rPr>
        <w:t>ariability</w:t>
      </w:r>
      <w:r w:rsidR="00DA37F7" w:rsidRPr="00022CA4">
        <w:rPr>
          <w:rFonts w:ascii="Times New Roman" w:hAnsi="Times New Roman" w:cs="Times New Roman"/>
          <w:sz w:val="24"/>
          <w:szCs w:val="24"/>
        </w:rPr>
        <w:t xml:space="preserve"> reference evapotranspirat</w:t>
      </w:r>
      <w:r w:rsidR="00E93810" w:rsidRPr="00022CA4">
        <w:rPr>
          <w:rFonts w:ascii="Times New Roman" w:hAnsi="Times New Roman" w:cs="Times New Roman"/>
          <w:sz w:val="24"/>
          <w:szCs w:val="24"/>
        </w:rPr>
        <w:t>i</w:t>
      </w:r>
      <w:r w:rsidR="00DA37F7" w:rsidRPr="00022CA4">
        <w:rPr>
          <w:rFonts w:ascii="Times New Roman" w:hAnsi="Times New Roman" w:cs="Times New Roman"/>
          <w:sz w:val="24"/>
          <w:szCs w:val="24"/>
        </w:rPr>
        <w:t xml:space="preserve">on </w:t>
      </w:r>
      <w:r w:rsidR="00A44675" w:rsidRPr="00022CA4">
        <w:rPr>
          <w:rFonts w:ascii="Times New Roman" w:hAnsi="Times New Roman" w:cs="Times New Roman"/>
          <w:sz w:val="24"/>
          <w:szCs w:val="24"/>
        </w:rPr>
        <w:t xml:space="preserve">in Ethiopia </w:t>
      </w:r>
      <w:r w:rsidR="00DA37F7" w:rsidRPr="00022CA4">
        <w:rPr>
          <w:rFonts w:ascii="Times New Roman" w:hAnsi="Times New Roman" w:cs="Times New Roman"/>
          <w:sz w:val="24"/>
          <w:szCs w:val="24"/>
        </w:rPr>
        <w:t>(</w:t>
      </w:r>
      <w:r w:rsidR="00080E99">
        <w:rPr>
          <w:rFonts w:ascii="Times New Roman" w:hAnsi="Times New Roman" w:cs="Times New Roman"/>
          <w:sz w:val="24"/>
          <w:szCs w:val="24"/>
        </w:rPr>
        <w:t xml:space="preserve">1980 to </w:t>
      </w:r>
      <w:r w:rsidR="008D2F21" w:rsidRPr="00022CA4">
        <w:rPr>
          <w:rFonts w:ascii="Times New Roman" w:hAnsi="Times New Roman" w:cs="Times New Roman"/>
          <w:sz w:val="24"/>
          <w:szCs w:val="24"/>
        </w:rPr>
        <w:t>2021</w:t>
      </w:r>
      <w:r w:rsidR="00DA37F7" w:rsidRPr="00022CA4">
        <w:rPr>
          <w:rFonts w:ascii="Times New Roman" w:hAnsi="Times New Roman" w:cs="Times New Roman"/>
          <w:sz w:val="24"/>
          <w:szCs w:val="24"/>
        </w:rPr>
        <w:t>)</w:t>
      </w:r>
    </w:p>
    <w:p w14:paraId="20D5B1A3" w14:textId="1C03F656" w:rsidR="001F316E" w:rsidRPr="00022CA4" w:rsidRDefault="00837E11" w:rsidP="00837E11">
      <w:pPr>
        <w:spacing w:line="360" w:lineRule="auto"/>
        <w:jc w:val="center"/>
        <w:rPr>
          <w:rFonts w:ascii="Times New Roman" w:hAnsi="Times New Roman" w:cs="Times New Roman"/>
          <w:sz w:val="24"/>
          <w:szCs w:val="24"/>
        </w:rPr>
      </w:pPr>
      <w:r w:rsidRPr="00022CA4">
        <w:rPr>
          <w:noProof/>
        </w:rPr>
        <w:lastRenderedPageBreak/>
        <w:drawing>
          <wp:inline distT="0" distB="0" distL="0" distR="0" wp14:anchorId="5F0DFB16" wp14:editId="3E96A348">
            <wp:extent cx="6858000" cy="3173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858000" cy="3173095"/>
                    </a:xfrm>
                    <a:prstGeom prst="rect">
                      <a:avLst/>
                    </a:prstGeom>
                  </pic:spPr>
                </pic:pic>
              </a:graphicData>
            </a:graphic>
          </wp:inline>
        </w:drawing>
      </w:r>
    </w:p>
    <w:p w14:paraId="7C15DD7A" w14:textId="069B9774" w:rsidR="008C0BF5" w:rsidRPr="00022CA4" w:rsidRDefault="001F316E" w:rsidP="00D33052">
      <w:pPr>
        <w:spacing w:after="240" w:line="360" w:lineRule="auto"/>
        <w:rPr>
          <w:rFonts w:ascii="Times New Roman" w:hAnsi="Times New Roman" w:cs="Times New Roman"/>
          <w:sz w:val="24"/>
          <w:szCs w:val="24"/>
        </w:rPr>
      </w:pPr>
      <w:r w:rsidRPr="00022CA4">
        <w:rPr>
          <w:rFonts w:ascii="Times New Roman" w:hAnsi="Times New Roman" w:cs="Times New Roman"/>
          <w:b/>
          <w:sz w:val="24"/>
          <w:szCs w:val="24"/>
        </w:rPr>
        <w:t>Fig. 13</w:t>
      </w:r>
      <w:r w:rsidRPr="00022CA4">
        <w:rPr>
          <w:rFonts w:ascii="Times New Roman" w:hAnsi="Times New Roman" w:cs="Times New Roman"/>
          <w:sz w:val="24"/>
          <w:szCs w:val="24"/>
        </w:rPr>
        <w:t xml:space="preserve"> Annual rainfall spatiotemporal variability, expressed in the area percentage of standardized rainfall anomaly (SRA) [%] in Ethiopia during 1980</w:t>
      </w:r>
      <w:r w:rsidR="00080E99">
        <w:rPr>
          <w:rFonts w:ascii="Times New Roman" w:hAnsi="Times New Roman" w:cs="Times New Roman"/>
          <w:sz w:val="24"/>
          <w:szCs w:val="24"/>
        </w:rPr>
        <w:t xml:space="preserve"> to </w:t>
      </w:r>
      <w:r w:rsidRPr="00022CA4">
        <w:rPr>
          <w:rFonts w:ascii="Times New Roman" w:hAnsi="Times New Roman" w:cs="Times New Roman"/>
          <w:sz w:val="24"/>
          <w:szCs w:val="24"/>
        </w:rPr>
        <w:t>2021</w:t>
      </w:r>
    </w:p>
    <w:p w14:paraId="673BC623" w14:textId="4CFD52E7" w:rsidR="00837E11" w:rsidRPr="00022CA4" w:rsidRDefault="003D57E5" w:rsidP="00EE4D7D">
      <w:pPr>
        <w:pStyle w:val="BodyText"/>
        <w:spacing w:line="360" w:lineRule="auto"/>
        <w:jc w:val="both"/>
        <w:rPr>
          <w:rFonts w:ascii="Times New Roman" w:hAnsi="Times New Roman" w:cs="Times New Roman"/>
          <w:sz w:val="24"/>
          <w:szCs w:val="24"/>
        </w:rPr>
      </w:pPr>
      <w:r w:rsidRPr="003D57E5">
        <w:rPr>
          <w:rFonts w:ascii="Times New Roman" w:hAnsi="Times New Roman" w:cs="Times New Roman"/>
          <w:sz w:val="24"/>
          <w:szCs w:val="24"/>
        </w:rPr>
        <w:t xml:space="preserve">Table </w:t>
      </w:r>
      <w:r>
        <w:rPr>
          <w:rFonts w:ascii="Times New Roman" w:hAnsi="Times New Roman" w:cs="Times New Roman"/>
          <w:b/>
          <w:sz w:val="24"/>
          <w:szCs w:val="24"/>
        </w:rPr>
        <w:t>7</w:t>
      </w:r>
      <w:r w:rsidRPr="00224A4B">
        <w:rPr>
          <w:rFonts w:ascii="Times New Roman" w:hAnsi="Times New Roman" w:cs="Times New Roman"/>
          <w:sz w:val="24"/>
          <w:szCs w:val="24"/>
        </w:rPr>
        <w:t> |  </w:t>
      </w:r>
      <w:r w:rsidR="00CB1CF9" w:rsidRPr="00022CA4">
        <w:rPr>
          <w:rFonts w:ascii="Times New Roman" w:hAnsi="Times New Roman" w:cs="Times New Roman"/>
          <w:sz w:val="24"/>
          <w:szCs w:val="24"/>
        </w:rPr>
        <w:t xml:space="preserve"> Annual and seasonal (Bega, Belg, Kiremt) variability, CV [%], of rainfall (P), reference evapotranspiration (</w:t>
      </w:r>
      <w:proofErr w:type="spellStart"/>
      <w:proofErr w:type="gramStart"/>
      <w:r w:rsidR="00CB1CF9" w:rsidRPr="00022CA4">
        <w:rPr>
          <w:rFonts w:ascii="Times New Roman" w:hAnsi="Times New Roman" w:cs="Times New Roman"/>
          <w:sz w:val="24"/>
          <w:szCs w:val="24"/>
        </w:rPr>
        <w:t>ET</w:t>
      </w:r>
      <w:r w:rsidR="00CB1CF9" w:rsidRPr="00022CA4">
        <w:rPr>
          <w:rFonts w:ascii="Times New Roman" w:hAnsi="Times New Roman" w:cs="Times New Roman"/>
          <w:sz w:val="24"/>
          <w:szCs w:val="24"/>
          <w:vertAlign w:val="subscript"/>
        </w:rPr>
        <w:t>o</w:t>
      </w:r>
      <w:proofErr w:type="spellEnd"/>
      <w:proofErr w:type="gramEnd"/>
      <w:r w:rsidR="00CB1CF9" w:rsidRPr="00022CA4">
        <w:rPr>
          <w:rFonts w:ascii="Times New Roman" w:hAnsi="Times New Roman" w:cs="Times New Roman"/>
          <w:sz w:val="24"/>
          <w:szCs w:val="24"/>
        </w:rPr>
        <w:t>), and Climatic Water Balance (CWB) in Ethiopia (1980</w:t>
      </w:r>
      <w:r w:rsidR="00080E99">
        <w:rPr>
          <w:rFonts w:ascii="Times New Roman" w:eastAsia="TimesNewRoman" w:hAnsi="Times New Roman" w:cs="Times New Roman"/>
          <w:color w:val="000000" w:themeColor="text1"/>
          <w:sz w:val="24"/>
          <w:szCs w:val="24"/>
        </w:rPr>
        <w:t xml:space="preserve"> to </w:t>
      </w:r>
      <w:r w:rsidR="00CB1CF9" w:rsidRPr="00022CA4">
        <w:rPr>
          <w:rFonts w:ascii="Times New Roman" w:hAnsi="Times New Roman" w:cs="Times New Roman"/>
          <w:sz w:val="24"/>
          <w:szCs w:val="24"/>
        </w:rPr>
        <w:t>2021).</w:t>
      </w:r>
    </w:p>
    <w:tbl>
      <w:tblPr>
        <w:tblW w:w="10095" w:type="dxa"/>
        <w:jc w:val="center"/>
        <w:tblInd w:w="1440" w:type="dxa"/>
        <w:tblLayout w:type="fixed"/>
        <w:tblLook w:val="04A0" w:firstRow="1" w:lastRow="0" w:firstColumn="1" w:lastColumn="0" w:noHBand="0" w:noVBand="1"/>
      </w:tblPr>
      <w:tblGrid>
        <w:gridCol w:w="1343"/>
        <w:gridCol w:w="720"/>
        <w:gridCol w:w="720"/>
        <w:gridCol w:w="832"/>
        <w:gridCol w:w="518"/>
        <w:gridCol w:w="97"/>
        <w:gridCol w:w="623"/>
        <w:gridCol w:w="832"/>
        <w:gridCol w:w="615"/>
        <w:gridCol w:w="623"/>
        <w:gridCol w:w="922"/>
        <w:gridCol w:w="705"/>
        <w:gridCol w:w="630"/>
        <w:gridCol w:w="915"/>
      </w:tblGrid>
      <w:tr w:rsidR="00837E11" w:rsidRPr="00022CA4" w14:paraId="419D3D6A" w14:textId="77777777" w:rsidTr="001B5A9B">
        <w:trPr>
          <w:trHeight w:val="368"/>
          <w:jc w:val="center"/>
        </w:trPr>
        <w:tc>
          <w:tcPr>
            <w:tcW w:w="1343" w:type="dxa"/>
            <w:tcBorders>
              <w:top w:val="single" w:sz="4" w:space="0" w:color="auto"/>
              <w:left w:val="nil"/>
              <w:bottom w:val="single" w:sz="4" w:space="0" w:color="auto"/>
              <w:right w:val="nil"/>
            </w:tcBorders>
            <w:shd w:val="clear" w:color="auto" w:fill="auto"/>
            <w:noWrap/>
            <w:vAlign w:val="bottom"/>
            <w:hideMark/>
          </w:tcPr>
          <w:p w14:paraId="7B2D29FE" w14:textId="77777777" w:rsidR="00837E11" w:rsidRPr="00022CA4" w:rsidRDefault="00837E11" w:rsidP="001B5A9B">
            <w:pPr>
              <w:spacing w:line="360" w:lineRule="auto"/>
              <w:rPr>
                <w:rFonts w:ascii="Times New Roman" w:eastAsia="Times New Roman" w:hAnsi="Times New Roman" w:cs="Times New Roman"/>
                <w:color w:val="000000"/>
                <w:sz w:val="18"/>
                <w:szCs w:val="18"/>
              </w:rPr>
            </w:pPr>
          </w:p>
        </w:tc>
        <w:tc>
          <w:tcPr>
            <w:tcW w:w="2272" w:type="dxa"/>
            <w:gridSpan w:val="3"/>
            <w:tcBorders>
              <w:top w:val="single" w:sz="4" w:space="0" w:color="auto"/>
              <w:left w:val="nil"/>
              <w:bottom w:val="single" w:sz="4" w:space="0" w:color="auto"/>
              <w:right w:val="nil"/>
            </w:tcBorders>
            <w:shd w:val="clear" w:color="auto" w:fill="auto"/>
            <w:vAlign w:val="center"/>
            <w:hideMark/>
          </w:tcPr>
          <w:p w14:paraId="0EB0EA17"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Annual</w:t>
            </w:r>
          </w:p>
        </w:tc>
        <w:tc>
          <w:tcPr>
            <w:tcW w:w="2070" w:type="dxa"/>
            <w:gridSpan w:val="4"/>
            <w:tcBorders>
              <w:top w:val="single" w:sz="4" w:space="0" w:color="auto"/>
              <w:left w:val="nil"/>
              <w:bottom w:val="single" w:sz="4" w:space="0" w:color="auto"/>
              <w:right w:val="nil"/>
            </w:tcBorders>
            <w:shd w:val="clear" w:color="auto" w:fill="auto"/>
            <w:vAlign w:val="center"/>
            <w:hideMark/>
          </w:tcPr>
          <w:p w14:paraId="34112EBA"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 xml:space="preserve">Bega </w:t>
            </w:r>
          </w:p>
        </w:tc>
        <w:tc>
          <w:tcPr>
            <w:tcW w:w="2160" w:type="dxa"/>
            <w:gridSpan w:val="3"/>
            <w:tcBorders>
              <w:top w:val="single" w:sz="4" w:space="0" w:color="auto"/>
              <w:left w:val="nil"/>
              <w:bottom w:val="single" w:sz="4" w:space="0" w:color="auto"/>
              <w:right w:val="nil"/>
            </w:tcBorders>
            <w:shd w:val="clear" w:color="auto" w:fill="auto"/>
            <w:vAlign w:val="center"/>
            <w:hideMark/>
          </w:tcPr>
          <w:p w14:paraId="123A5C28"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Belg</w:t>
            </w:r>
          </w:p>
        </w:tc>
        <w:tc>
          <w:tcPr>
            <w:tcW w:w="2250" w:type="dxa"/>
            <w:gridSpan w:val="3"/>
            <w:tcBorders>
              <w:top w:val="single" w:sz="4" w:space="0" w:color="auto"/>
              <w:left w:val="nil"/>
              <w:bottom w:val="single" w:sz="4" w:space="0" w:color="auto"/>
              <w:right w:val="nil"/>
            </w:tcBorders>
            <w:shd w:val="clear" w:color="auto" w:fill="auto"/>
            <w:vAlign w:val="center"/>
            <w:hideMark/>
          </w:tcPr>
          <w:p w14:paraId="63EE220D"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Kiremt</w:t>
            </w:r>
          </w:p>
        </w:tc>
      </w:tr>
      <w:tr w:rsidR="00837E11" w:rsidRPr="00022CA4" w14:paraId="6A079FBF" w14:textId="77777777" w:rsidTr="001B5A9B">
        <w:trPr>
          <w:trHeight w:val="312"/>
          <w:jc w:val="center"/>
        </w:trPr>
        <w:tc>
          <w:tcPr>
            <w:tcW w:w="1343" w:type="dxa"/>
            <w:tcBorders>
              <w:top w:val="single" w:sz="4" w:space="0" w:color="auto"/>
              <w:left w:val="nil"/>
              <w:bottom w:val="single" w:sz="4" w:space="0" w:color="auto"/>
              <w:right w:val="nil"/>
            </w:tcBorders>
            <w:shd w:val="clear" w:color="auto" w:fill="auto"/>
            <w:vAlign w:val="bottom"/>
            <w:hideMark/>
          </w:tcPr>
          <w:p w14:paraId="4849EC8A" w14:textId="77777777" w:rsidR="00837E11" w:rsidRPr="00022CA4" w:rsidRDefault="00837E11" w:rsidP="001B5A9B">
            <w:pPr>
              <w:spacing w:line="360" w:lineRule="auto"/>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Basins</w:t>
            </w:r>
          </w:p>
        </w:tc>
        <w:tc>
          <w:tcPr>
            <w:tcW w:w="720" w:type="dxa"/>
            <w:tcBorders>
              <w:top w:val="single" w:sz="4" w:space="0" w:color="auto"/>
              <w:left w:val="nil"/>
              <w:bottom w:val="single" w:sz="4" w:space="0" w:color="auto"/>
              <w:right w:val="nil"/>
            </w:tcBorders>
            <w:shd w:val="clear" w:color="auto" w:fill="auto"/>
            <w:noWrap/>
            <w:vAlign w:val="bottom"/>
            <w:hideMark/>
          </w:tcPr>
          <w:p w14:paraId="57044C96"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P</w:t>
            </w:r>
          </w:p>
        </w:tc>
        <w:tc>
          <w:tcPr>
            <w:tcW w:w="720" w:type="dxa"/>
            <w:tcBorders>
              <w:top w:val="single" w:sz="4" w:space="0" w:color="auto"/>
              <w:left w:val="nil"/>
              <w:bottom w:val="single" w:sz="4" w:space="0" w:color="auto"/>
              <w:right w:val="nil"/>
            </w:tcBorders>
            <w:shd w:val="clear" w:color="auto" w:fill="auto"/>
            <w:noWrap/>
            <w:vAlign w:val="bottom"/>
            <w:hideMark/>
          </w:tcPr>
          <w:p w14:paraId="5AFB0A41"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proofErr w:type="spellStart"/>
            <w:r w:rsidRPr="00022CA4">
              <w:rPr>
                <w:rFonts w:ascii="Times New Roman" w:hAnsi="Times New Roman" w:cs="Times New Roman"/>
                <w:sz w:val="20"/>
                <w:szCs w:val="20"/>
              </w:rPr>
              <w:t>ET</w:t>
            </w:r>
            <w:r w:rsidRPr="00022CA4">
              <w:rPr>
                <w:rFonts w:ascii="Times New Roman" w:hAnsi="Times New Roman" w:cs="Times New Roman"/>
                <w:sz w:val="20"/>
                <w:szCs w:val="20"/>
                <w:vertAlign w:val="subscript"/>
              </w:rPr>
              <w:t>o</w:t>
            </w:r>
            <w:proofErr w:type="spellEnd"/>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14:paraId="6BC551CD"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CWB</w:t>
            </w:r>
          </w:p>
        </w:tc>
        <w:tc>
          <w:tcPr>
            <w:tcW w:w="518" w:type="dxa"/>
            <w:tcBorders>
              <w:top w:val="single" w:sz="4" w:space="0" w:color="auto"/>
              <w:left w:val="single" w:sz="4" w:space="0" w:color="auto"/>
              <w:bottom w:val="single" w:sz="4" w:space="0" w:color="auto"/>
              <w:right w:val="nil"/>
            </w:tcBorders>
            <w:shd w:val="clear" w:color="auto" w:fill="auto"/>
            <w:noWrap/>
            <w:vAlign w:val="bottom"/>
            <w:hideMark/>
          </w:tcPr>
          <w:p w14:paraId="0BE01EC9"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P</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3009BB7E"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proofErr w:type="spellStart"/>
            <w:r w:rsidRPr="00022CA4">
              <w:rPr>
                <w:rFonts w:ascii="Times New Roman" w:hAnsi="Times New Roman" w:cs="Times New Roman"/>
                <w:sz w:val="20"/>
                <w:szCs w:val="20"/>
              </w:rPr>
              <w:t>ET</w:t>
            </w:r>
            <w:r w:rsidRPr="00022CA4">
              <w:rPr>
                <w:rFonts w:ascii="Times New Roman" w:hAnsi="Times New Roman" w:cs="Times New Roman"/>
                <w:sz w:val="20"/>
                <w:szCs w:val="20"/>
                <w:vertAlign w:val="subscript"/>
              </w:rPr>
              <w:t>o</w:t>
            </w:r>
            <w:proofErr w:type="spellEnd"/>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14:paraId="006AACA4"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CWB</w:t>
            </w:r>
          </w:p>
        </w:tc>
        <w:tc>
          <w:tcPr>
            <w:tcW w:w="615" w:type="dxa"/>
            <w:tcBorders>
              <w:top w:val="single" w:sz="4" w:space="0" w:color="auto"/>
              <w:left w:val="single" w:sz="4" w:space="0" w:color="auto"/>
              <w:bottom w:val="single" w:sz="4" w:space="0" w:color="auto"/>
              <w:right w:val="nil"/>
            </w:tcBorders>
            <w:shd w:val="clear" w:color="auto" w:fill="auto"/>
            <w:noWrap/>
            <w:vAlign w:val="bottom"/>
            <w:hideMark/>
          </w:tcPr>
          <w:p w14:paraId="176DB738"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P</w:t>
            </w:r>
          </w:p>
        </w:tc>
        <w:tc>
          <w:tcPr>
            <w:tcW w:w="623" w:type="dxa"/>
            <w:tcBorders>
              <w:top w:val="single" w:sz="4" w:space="0" w:color="auto"/>
              <w:left w:val="nil"/>
              <w:bottom w:val="single" w:sz="4" w:space="0" w:color="auto"/>
              <w:right w:val="nil"/>
            </w:tcBorders>
            <w:shd w:val="clear" w:color="auto" w:fill="auto"/>
            <w:noWrap/>
            <w:vAlign w:val="bottom"/>
            <w:hideMark/>
          </w:tcPr>
          <w:p w14:paraId="671A9631"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proofErr w:type="spellStart"/>
            <w:r w:rsidRPr="00022CA4">
              <w:rPr>
                <w:rFonts w:ascii="Times New Roman" w:hAnsi="Times New Roman" w:cs="Times New Roman"/>
                <w:sz w:val="20"/>
                <w:szCs w:val="20"/>
              </w:rPr>
              <w:t>ET</w:t>
            </w:r>
            <w:r w:rsidRPr="00022CA4">
              <w:rPr>
                <w:rFonts w:ascii="Times New Roman" w:hAnsi="Times New Roman" w:cs="Times New Roman"/>
                <w:sz w:val="20"/>
                <w:szCs w:val="20"/>
                <w:vertAlign w:val="subscript"/>
              </w:rPr>
              <w:t>o</w:t>
            </w:r>
            <w:proofErr w:type="spellEnd"/>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14:paraId="0200B9A6"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CWB</w:t>
            </w:r>
          </w:p>
        </w:tc>
        <w:tc>
          <w:tcPr>
            <w:tcW w:w="705" w:type="dxa"/>
            <w:tcBorders>
              <w:top w:val="single" w:sz="4" w:space="0" w:color="auto"/>
              <w:left w:val="single" w:sz="4" w:space="0" w:color="auto"/>
              <w:bottom w:val="single" w:sz="4" w:space="0" w:color="auto"/>
              <w:right w:val="nil"/>
            </w:tcBorders>
            <w:shd w:val="clear" w:color="auto" w:fill="auto"/>
            <w:noWrap/>
            <w:vAlign w:val="bottom"/>
            <w:hideMark/>
          </w:tcPr>
          <w:p w14:paraId="70DEB705"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P</w:t>
            </w:r>
          </w:p>
        </w:tc>
        <w:tc>
          <w:tcPr>
            <w:tcW w:w="630" w:type="dxa"/>
            <w:tcBorders>
              <w:top w:val="single" w:sz="4" w:space="0" w:color="auto"/>
              <w:left w:val="nil"/>
              <w:bottom w:val="single" w:sz="4" w:space="0" w:color="auto"/>
              <w:right w:val="nil"/>
            </w:tcBorders>
            <w:shd w:val="clear" w:color="auto" w:fill="auto"/>
            <w:noWrap/>
            <w:vAlign w:val="bottom"/>
            <w:hideMark/>
          </w:tcPr>
          <w:p w14:paraId="2B2030FB"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proofErr w:type="spellStart"/>
            <w:r w:rsidRPr="00022CA4">
              <w:rPr>
                <w:rFonts w:ascii="Times New Roman" w:hAnsi="Times New Roman" w:cs="Times New Roman"/>
                <w:sz w:val="20"/>
                <w:szCs w:val="20"/>
              </w:rPr>
              <w:t>ET</w:t>
            </w:r>
            <w:r w:rsidRPr="00022CA4">
              <w:rPr>
                <w:rFonts w:ascii="Times New Roman" w:hAnsi="Times New Roman" w:cs="Times New Roman"/>
                <w:sz w:val="20"/>
                <w:szCs w:val="20"/>
                <w:vertAlign w:val="subscript"/>
              </w:rPr>
              <w:t>o</w:t>
            </w:r>
            <w:proofErr w:type="spellEnd"/>
          </w:p>
        </w:tc>
        <w:tc>
          <w:tcPr>
            <w:tcW w:w="915" w:type="dxa"/>
            <w:tcBorders>
              <w:top w:val="single" w:sz="4" w:space="0" w:color="auto"/>
              <w:left w:val="nil"/>
              <w:bottom w:val="single" w:sz="4" w:space="0" w:color="auto"/>
              <w:right w:val="nil"/>
            </w:tcBorders>
            <w:shd w:val="clear" w:color="auto" w:fill="auto"/>
            <w:noWrap/>
            <w:vAlign w:val="bottom"/>
            <w:hideMark/>
          </w:tcPr>
          <w:p w14:paraId="0D03E8D3" w14:textId="77777777" w:rsidR="00837E11" w:rsidRPr="00022CA4" w:rsidRDefault="00837E11" w:rsidP="001B5A9B">
            <w:pPr>
              <w:spacing w:line="360" w:lineRule="auto"/>
              <w:jc w:val="center"/>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z w:val="20"/>
                <w:szCs w:val="20"/>
              </w:rPr>
              <w:t>CWB</w:t>
            </w:r>
          </w:p>
        </w:tc>
      </w:tr>
      <w:tr w:rsidR="00837E11" w:rsidRPr="00022CA4" w14:paraId="789A84FE" w14:textId="77777777" w:rsidTr="001B5A9B">
        <w:trPr>
          <w:trHeight w:val="408"/>
          <w:jc w:val="center"/>
        </w:trPr>
        <w:tc>
          <w:tcPr>
            <w:tcW w:w="1343" w:type="dxa"/>
            <w:tcBorders>
              <w:top w:val="single" w:sz="4" w:space="0" w:color="auto"/>
              <w:left w:val="nil"/>
              <w:bottom w:val="nil"/>
              <w:right w:val="nil"/>
            </w:tcBorders>
            <w:shd w:val="clear" w:color="auto" w:fill="auto"/>
            <w:vAlign w:val="bottom"/>
            <w:hideMark/>
          </w:tcPr>
          <w:p w14:paraId="41884BF6" w14:textId="77777777" w:rsidR="00837E11" w:rsidRPr="00022CA4" w:rsidRDefault="00837E11" w:rsidP="001B5A9B">
            <w:pPr>
              <w:spacing w:line="360" w:lineRule="auto"/>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pacing w:val="-5"/>
                <w:sz w:val="20"/>
                <w:szCs w:val="20"/>
              </w:rPr>
              <w:t>Ethiopia</w:t>
            </w:r>
          </w:p>
        </w:tc>
        <w:tc>
          <w:tcPr>
            <w:tcW w:w="720" w:type="dxa"/>
            <w:tcBorders>
              <w:top w:val="single" w:sz="4" w:space="0" w:color="auto"/>
              <w:left w:val="nil"/>
              <w:bottom w:val="nil"/>
              <w:right w:val="nil"/>
            </w:tcBorders>
            <w:shd w:val="clear" w:color="auto" w:fill="auto"/>
            <w:noWrap/>
            <w:vAlign w:val="bottom"/>
            <w:hideMark/>
          </w:tcPr>
          <w:p w14:paraId="24D6F39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61.1</w:t>
            </w:r>
          </w:p>
        </w:tc>
        <w:tc>
          <w:tcPr>
            <w:tcW w:w="720" w:type="dxa"/>
            <w:tcBorders>
              <w:top w:val="single" w:sz="4" w:space="0" w:color="auto"/>
              <w:left w:val="nil"/>
              <w:bottom w:val="nil"/>
              <w:right w:val="nil"/>
            </w:tcBorders>
            <w:shd w:val="clear" w:color="auto" w:fill="auto"/>
            <w:noWrap/>
            <w:vAlign w:val="bottom"/>
          </w:tcPr>
          <w:p w14:paraId="654B8573"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6.1</w:t>
            </w:r>
          </w:p>
        </w:tc>
        <w:tc>
          <w:tcPr>
            <w:tcW w:w="832" w:type="dxa"/>
            <w:tcBorders>
              <w:top w:val="single" w:sz="4" w:space="0" w:color="auto"/>
              <w:left w:val="nil"/>
              <w:bottom w:val="nil"/>
              <w:right w:val="single" w:sz="4" w:space="0" w:color="auto"/>
            </w:tcBorders>
            <w:shd w:val="clear" w:color="auto" w:fill="auto"/>
            <w:noWrap/>
            <w:vAlign w:val="bottom"/>
          </w:tcPr>
          <w:p w14:paraId="1D4B835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278.3</w:t>
            </w:r>
          </w:p>
        </w:tc>
        <w:tc>
          <w:tcPr>
            <w:tcW w:w="615" w:type="dxa"/>
            <w:gridSpan w:val="2"/>
            <w:tcBorders>
              <w:top w:val="single" w:sz="4" w:space="0" w:color="auto"/>
              <w:left w:val="single" w:sz="4" w:space="0" w:color="auto"/>
              <w:bottom w:val="nil"/>
              <w:right w:val="nil"/>
            </w:tcBorders>
            <w:shd w:val="clear" w:color="auto" w:fill="auto"/>
            <w:noWrap/>
            <w:vAlign w:val="bottom"/>
          </w:tcPr>
          <w:p w14:paraId="74F97B89"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60.8</w:t>
            </w:r>
          </w:p>
        </w:tc>
        <w:tc>
          <w:tcPr>
            <w:tcW w:w="623" w:type="dxa"/>
            <w:tcBorders>
              <w:top w:val="single" w:sz="4" w:space="0" w:color="auto"/>
              <w:left w:val="nil"/>
              <w:bottom w:val="nil"/>
              <w:right w:val="nil"/>
            </w:tcBorders>
            <w:shd w:val="clear" w:color="auto" w:fill="auto"/>
            <w:noWrap/>
            <w:vAlign w:val="bottom"/>
          </w:tcPr>
          <w:p w14:paraId="2205310E"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5.2</w:t>
            </w:r>
          </w:p>
        </w:tc>
        <w:tc>
          <w:tcPr>
            <w:tcW w:w="832" w:type="dxa"/>
            <w:tcBorders>
              <w:top w:val="single" w:sz="4" w:space="0" w:color="auto"/>
              <w:left w:val="nil"/>
              <w:bottom w:val="nil"/>
              <w:right w:val="single" w:sz="4" w:space="0" w:color="auto"/>
            </w:tcBorders>
            <w:shd w:val="clear" w:color="auto" w:fill="auto"/>
            <w:noWrap/>
            <w:vAlign w:val="bottom"/>
          </w:tcPr>
          <w:p w14:paraId="3C37AA59"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52.3</w:t>
            </w:r>
          </w:p>
        </w:tc>
        <w:tc>
          <w:tcPr>
            <w:tcW w:w="615" w:type="dxa"/>
            <w:tcBorders>
              <w:top w:val="single" w:sz="4" w:space="0" w:color="auto"/>
              <w:left w:val="single" w:sz="4" w:space="0" w:color="auto"/>
              <w:bottom w:val="nil"/>
              <w:right w:val="nil"/>
            </w:tcBorders>
            <w:shd w:val="clear" w:color="auto" w:fill="auto"/>
            <w:noWrap/>
            <w:vAlign w:val="bottom"/>
          </w:tcPr>
          <w:p w14:paraId="3E8EDE0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54.2</w:t>
            </w:r>
          </w:p>
        </w:tc>
        <w:tc>
          <w:tcPr>
            <w:tcW w:w="623" w:type="dxa"/>
            <w:tcBorders>
              <w:top w:val="single" w:sz="4" w:space="0" w:color="auto"/>
              <w:left w:val="nil"/>
              <w:bottom w:val="nil"/>
              <w:right w:val="nil"/>
            </w:tcBorders>
            <w:shd w:val="clear" w:color="auto" w:fill="auto"/>
            <w:noWrap/>
            <w:vAlign w:val="bottom"/>
          </w:tcPr>
          <w:p w14:paraId="09E81673"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5.7</w:t>
            </w:r>
          </w:p>
        </w:tc>
        <w:tc>
          <w:tcPr>
            <w:tcW w:w="922" w:type="dxa"/>
            <w:tcBorders>
              <w:top w:val="single" w:sz="4" w:space="0" w:color="auto"/>
              <w:left w:val="nil"/>
              <w:bottom w:val="nil"/>
              <w:right w:val="single" w:sz="4" w:space="0" w:color="auto"/>
            </w:tcBorders>
            <w:shd w:val="clear" w:color="auto" w:fill="auto"/>
            <w:noWrap/>
            <w:vAlign w:val="bottom"/>
          </w:tcPr>
          <w:p w14:paraId="27B1E8D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151.7</w:t>
            </w:r>
          </w:p>
        </w:tc>
        <w:tc>
          <w:tcPr>
            <w:tcW w:w="705" w:type="dxa"/>
            <w:tcBorders>
              <w:top w:val="single" w:sz="4" w:space="0" w:color="auto"/>
              <w:left w:val="single" w:sz="4" w:space="0" w:color="auto"/>
              <w:bottom w:val="nil"/>
              <w:right w:val="nil"/>
            </w:tcBorders>
            <w:shd w:val="clear" w:color="auto" w:fill="auto"/>
            <w:noWrap/>
            <w:vAlign w:val="bottom"/>
          </w:tcPr>
          <w:p w14:paraId="6F3E0FEA"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86.1</w:t>
            </w:r>
          </w:p>
        </w:tc>
        <w:tc>
          <w:tcPr>
            <w:tcW w:w="630" w:type="dxa"/>
            <w:tcBorders>
              <w:top w:val="single" w:sz="4" w:space="0" w:color="auto"/>
              <w:left w:val="nil"/>
              <w:bottom w:val="nil"/>
              <w:right w:val="nil"/>
            </w:tcBorders>
            <w:shd w:val="clear" w:color="auto" w:fill="auto"/>
            <w:noWrap/>
            <w:vAlign w:val="bottom"/>
          </w:tcPr>
          <w:p w14:paraId="3AF56A5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9.0</w:t>
            </w:r>
          </w:p>
        </w:tc>
        <w:tc>
          <w:tcPr>
            <w:tcW w:w="915" w:type="dxa"/>
            <w:tcBorders>
              <w:top w:val="single" w:sz="4" w:space="0" w:color="auto"/>
              <w:left w:val="nil"/>
              <w:bottom w:val="nil"/>
              <w:right w:val="nil"/>
            </w:tcBorders>
            <w:shd w:val="clear" w:color="auto" w:fill="auto"/>
            <w:noWrap/>
            <w:vAlign w:val="bottom"/>
          </w:tcPr>
          <w:p w14:paraId="73FE29E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429.9</w:t>
            </w:r>
          </w:p>
        </w:tc>
      </w:tr>
      <w:tr w:rsidR="00837E11" w:rsidRPr="00022CA4" w14:paraId="446E660F" w14:textId="77777777" w:rsidTr="001B5A9B">
        <w:trPr>
          <w:trHeight w:val="312"/>
          <w:jc w:val="center"/>
        </w:trPr>
        <w:tc>
          <w:tcPr>
            <w:tcW w:w="1343" w:type="dxa"/>
            <w:tcBorders>
              <w:top w:val="nil"/>
              <w:left w:val="nil"/>
              <w:bottom w:val="nil"/>
              <w:right w:val="nil"/>
            </w:tcBorders>
            <w:shd w:val="clear" w:color="auto" w:fill="auto"/>
            <w:vAlign w:val="bottom"/>
            <w:hideMark/>
          </w:tcPr>
          <w:p w14:paraId="5AECEAB3"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Wabi-Shebele</w:t>
            </w:r>
            <w:proofErr w:type="spellEnd"/>
          </w:p>
        </w:tc>
        <w:tc>
          <w:tcPr>
            <w:tcW w:w="720" w:type="dxa"/>
            <w:tcBorders>
              <w:top w:val="nil"/>
              <w:left w:val="nil"/>
              <w:bottom w:val="nil"/>
              <w:right w:val="nil"/>
            </w:tcBorders>
            <w:shd w:val="clear" w:color="auto" w:fill="auto"/>
            <w:noWrap/>
            <w:vAlign w:val="bottom"/>
            <w:hideMark/>
          </w:tcPr>
          <w:p w14:paraId="4DF4BA8E"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48.4</w:t>
            </w:r>
          </w:p>
        </w:tc>
        <w:tc>
          <w:tcPr>
            <w:tcW w:w="720" w:type="dxa"/>
            <w:tcBorders>
              <w:top w:val="nil"/>
              <w:left w:val="nil"/>
              <w:bottom w:val="nil"/>
              <w:right w:val="nil"/>
            </w:tcBorders>
            <w:shd w:val="clear" w:color="auto" w:fill="auto"/>
            <w:noWrap/>
            <w:vAlign w:val="bottom"/>
          </w:tcPr>
          <w:p w14:paraId="40A5B825"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4.2</w:t>
            </w:r>
          </w:p>
        </w:tc>
        <w:tc>
          <w:tcPr>
            <w:tcW w:w="832" w:type="dxa"/>
            <w:tcBorders>
              <w:top w:val="nil"/>
              <w:left w:val="nil"/>
              <w:bottom w:val="nil"/>
              <w:right w:val="single" w:sz="4" w:space="0" w:color="auto"/>
            </w:tcBorders>
            <w:shd w:val="clear" w:color="auto" w:fill="auto"/>
            <w:noWrap/>
            <w:vAlign w:val="bottom"/>
          </w:tcPr>
          <w:p w14:paraId="30964620"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84.1</w:t>
            </w:r>
          </w:p>
        </w:tc>
        <w:tc>
          <w:tcPr>
            <w:tcW w:w="615" w:type="dxa"/>
            <w:gridSpan w:val="2"/>
            <w:tcBorders>
              <w:top w:val="nil"/>
              <w:left w:val="single" w:sz="4" w:space="0" w:color="auto"/>
              <w:bottom w:val="nil"/>
              <w:right w:val="nil"/>
            </w:tcBorders>
            <w:shd w:val="clear" w:color="auto" w:fill="auto"/>
            <w:noWrap/>
            <w:vAlign w:val="bottom"/>
          </w:tcPr>
          <w:p w14:paraId="100CF59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32.8</w:t>
            </w:r>
          </w:p>
        </w:tc>
        <w:tc>
          <w:tcPr>
            <w:tcW w:w="623" w:type="dxa"/>
            <w:tcBorders>
              <w:top w:val="nil"/>
              <w:left w:val="nil"/>
              <w:bottom w:val="nil"/>
              <w:right w:val="nil"/>
            </w:tcBorders>
            <w:shd w:val="clear" w:color="auto" w:fill="auto"/>
            <w:noWrap/>
            <w:vAlign w:val="bottom"/>
          </w:tcPr>
          <w:p w14:paraId="5C35A180"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4.9</w:t>
            </w:r>
          </w:p>
        </w:tc>
        <w:tc>
          <w:tcPr>
            <w:tcW w:w="832" w:type="dxa"/>
            <w:tcBorders>
              <w:top w:val="nil"/>
              <w:left w:val="nil"/>
              <w:bottom w:val="nil"/>
              <w:right w:val="single" w:sz="4" w:space="0" w:color="auto"/>
            </w:tcBorders>
            <w:shd w:val="clear" w:color="auto" w:fill="auto"/>
            <w:noWrap/>
            <w:vAlign w:val="bottom"/>
          </w:tcPr>
          <w:p w14:paraId="1081A5F0"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28.0</w:t>
            </w:r>
          </w:p>
        </w:tc>
        <w:tc>
          <w:tcPr>
            <w:tcW w:w="615" w:type="dxa"/>
            <w:tcBorders>
              <w:top w:val="nil"/>
              <w:left w:val="single" w:sz="4" w:space="0" w:color="auto"/>
              <w:bottom w:val="nil"/>
              <w:right w:val="nil"/>
            </w:tcBorders>
            <w:shd w:val="clear" w:color="auto" w:fill="auto"/>
            <w:noWrap/>
            <w:vAlign w:val="bottom"/>
          </w:tcPr>
          <w:p w14:paraId="58C79405"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31.8</w:t>
            </w:r>
          </w:p>
        </w:tc>
        <w:tc>
          <w:tcPr>
            <w:tcW w:w="623" w:type="dxa"/>
            <w:tcBorders>
              <w:top w:val="nil"/>
              <w:left w:val="nil"/>
              <w:bottom w:val="nil"/>
              <w:right w:val="nil"/>
            </w:tcBorders>
            <w:shd w:val="clear" w:color="auto" w:fill="auto"/>
            <w:noWrap/>
            <w:vAlign w:val="bottom"/>
          </w:tcPr>
          <w:p w14:paraId="7B86679E"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4.2</w:t>
            </w:r>
          </w:p>
        </w:tc>
        <w:tc>
          <w:tcPr>
            <w:tcW w:w="922" w:type="dxa"/>
            <w:tcBorders>
              <w:top w:val="nil"/>
              <w:left w:val="nil"/>
              <w:bottom w:val="nil"/>
              <w:right w:val="single" w:sz="4" w:space="0" w:color="auto"/>
            </w:tcBorders>
            <w:shd w:val="clear" w:color="auto" w:fill="auto"/>
            <w:noWrap/>
            <w:vAlign w:val="bottom"/>
          </w:tcPr>
          <w:p w14:paraId="6E421680"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76.3</w:t>
            </w:r>
          </w:p>
        </w:tc>
        <w:tc>
          <w:tcPr>
            <w:tcW w:w="705" w:type="dxa"/>
            <w:tcBorders>
              <w:top w:val="nil"/>
              <w:left w:val="single" w:sz="4" w:space="0" w:color="auto"/>
              <w:bottom w:val="nil"/>
              <w:right w:val="nil"/>
            </w:tcBorders>
            <w:shd w:val="clear" w:color="auto" w:fill="auto"/>
            <w:noWrap/>
            <w:vAlign w:val="bottom"/>
          </w:tcPr>
          <w:p w14:paraId="7866214F"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77.6</w:t>
            </w:r>
          </w:p>
        </w:tc>
        <w:tc>
          <w:tcPr>
            <w:tcW w:w="630" w:type="dxa"/>
            <w:tcBorders>
              <w:top w:val="nil"/>
              <w:left w:val="nil"/>
              <w:bottom w:val="nil"/>
              <w:right w:val="nil"/>
            </w:tcBorders>
            <w:shd w:val="clear" w:color="auto" w:fill="auto"/>
            <w:noWrap/>
            <w:vAlign w:val="bottom"/>
          </w:tcPr>
          <w:p w14:paraId="0118DAC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4.2</w:t>
            </w:r>
          </w:p>
        </w:tc>
        <w:tc>
          <w:tcPr>
            <w:tcW w:w="915" w:type="dxa"/>
            <w:tcBorders>
              <w:top w:val="nil"/>
              <w:left w:val="nil"/>
              <w:bottom w:val="nil"/>
              <w:right w:val="nil"/>
            </w:tcBorders>
            <w:shd w:val="clear" w:color="auto" w:fill="auto"/>
            <w:noWrap/>
            <w:vAlign w:val="bottom"/>
          </w:tcPr>
          <w:p w14:paraId="318E8AC5"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230.1</w:t>
            </w:r>
          </w:p>
        </w:tc>
      </w:tr>
      <w:tr w:rsidR="00837E11" w:rsidRPr="00022CA4" w14:paraId="18F309C0" w14:textId="77777777" w:rsidTr="001B5A9B">
        <w:trPr>
          <w:trHeight w:val="360"/>
          <w:jc w:val="center"/>
        </w:trPr>
        <w:tc>
          <w:tcPr>
            <w:tcW w:w="1343" w:type="dxa"/>
            <w:tcBorders>
              <w:top w:val="nil"/>
              <w:left w:val="nil"/>
              <w:bottom w:val="nil"/>
              <w:right w:val="nil"/>
            </w:tcBorders>
            <w:shd w:val="clear" w:color="auto" w:fill="auto"/>
            <w:vAlign w:val="bottom"/>
            <w:hideMark/>
          </w:tcPr>
          <w:p w14:paraId="5A4E1F28"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Abbay</w:t>
            </w:r>
            <w:proofErr w:type="spellEnd"/>
          </w:p>
        </w:tc>
        <w:tc>
          <w:tcPr>
            <w:tcW w:w="720" w:type="dxa"/>
            <w:tcBorders>
              <w:top w:val="nil"/>
              <w:left w:val="nil"/>
              <w:bottom w:val="nil"/>
              <w:right w:val="nil"/>
            </w:tcBorders>
            <w:shd w:val="clear" w:color="auto" w:fill="auto"/>
            <w:noWrap/>
            <w:vAlign w:val="bottom"/>
            <w:hideMark/>
          </w:tcPr>
          <w:p w14:paraId="020E31A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26.6</w:t>
            </w:r>
          </w:p>
        </w:tc>
        <w:tc>
          <w:tcPr>
            <w:tcW w:w="720" w:type="dxa"/>
            <w:tcBorders>
              <w:top w:val="nil"/>
              <w:left w:val="nil"/>
              <w:bottom w:val="nil"/>
              <w:right w:val="nil"/>
            </w:tcBorders>
            <w:shd w:val="clear" w:color="auto" w:fill="auto"/>
            <w:noWrap/>
            <w:vAlign w:val="bottom"/>
          </w:tcPr>
          <w:p w14:paraId="759296C5"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4.1</w:t>
            </w:r>
          </w:p>
        </w:tc>
        <w:tc>
          <w:tcPr>
            <w:tcW w:w="832" w:type="dxa"/>
            <w:tcBorders>
              <w:top w:val="nil"/>
              <w:left w:val="nil"/>
              <w:bottom w:val="nil"/>
              <w:right w:val="single" w:sz="4" w:space="0" w:color="auto"/>
            </w:tcBorders>
            <w:shd w:val="clear" w:color="auto" w:fill="auto"/>
            <w:noWrap/>
            <w:vAlign w:val="bottom"/>
          </w:tcPr>
          <w:p w14:paraId="13AF06FF"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132.8</w:t>
            </w:r>
          </w:p>
        </w:tc>
        <w:tc>
          <w:tcPr>
            <w:tcW w:w="615" w:type="dxa"/>
            <w:gridSpan w:val="2"/>
            <w:tcBorders>
              <w:top w:val="nil"/>
              <w:left w:val="single" w:sz="4" w:space="0" w:color="auto"/>
              <w:bottom w:val="nil"/>
              <w:right w:val="nil"/>
            </w:tcBorders>
            <w:shd w:val="clear" w:color="auto" w:fill="auto"/>
            <w:noWrap/>
            <w:vAlign w:val="bottom"/>
          </w:tcPr>
          <w:p w14:paraId="3CAC1F9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34.5</w:t>
            </w:r>
          </w:p>
        </w:tc>
        <w:tc>
          <w:tcPr>
            <w:tcW w:w="623" w:type="dxa"/>
            <w:tcBorders>
              <w:top w:val="nil"/>
              <w:left w:val="nil"/>
              <w:bottom w:val="nil"/>
              <w:right w:val="nil"/>
            </w:tcBorders>
            <w:shd w:val="clear" w:color="auto" w:fill="auto"/>
            <w:noWrap/>
            <w:vAlign w:val="bottom"/>
          </w:tcPr>
          <w:p w14:paraId="3245554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4.4</w:t>
            </w:r>
          </w:p>
        </w:tc>
        <w:tc>
          <w:tcPr>
            <w:tcW w:w="832" w:type="dxa"/>
            <w:tcBorders>
              <w:top w:val="nil"/>
              <w:left w:val="nil"/>
              <w:bottom w:val="nil"/>
              <w:right w:val="single" w:sz="4" w:space="0" w:color="auto"/>
            </w:tcBorders>
            <w:shd w:val="clear" w:color="auto" w:fill="auto"/>
            <w:noWrap/>
            <w:vAlign w:val="bottom"/>
          </w:tcPr>
          <w:p w14:paraId="28E541B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27.7</w:t>
            </w:r>
          </w:p>
        </w:tc>
        <w:tc>
          <w:tcPr>
            <w:tcW w:w="615" w:type="dxa"/>
            <w:tcBorders>
              <w:top w:val="nil"/>
              <w:left w:val="single" w:sz="4" w:space="0" w:color="auto"/>
              <w:bottom w:val="nil"/>
              <w:right w:val="nil"/>
            </w:tcBorders>
            <w:shd w:val="clear" w:color="auto" w:fill="auto"/>
            <w:noWrap/>
            <w:vAlign w:val="bottom"/>
          </w:tcPr>
          <w:p w14:paraId="7E16B07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35.4</w:t>
            </w:r>
          </w:p>
        </w:tc>
        <w:tc>
          <w:tcPr>
            <w:tcW w:w="623" w:type="dxa"/>
            <w:tcBorders>
              <w:top w:val="nil"/>
              <w:left w:val="nil"/>
              <w:bottom w:val="nil"/>
              <w:right w:val="nil"/>
            </w:tcBorders>
            <w:shd w:val="clear" w:color="auto" w:fill="auto"/>
            <w:noWrap/>
            <w:vAlign w:val="bottom"/>
          </w:tcPr>
          <w:p w14:paraId="477BCA4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4.7</w:t>
            </w:r>
          </w:p>
        </w:tc>
        <w:tc>
          <w:tcPr>
            <w:tcW w:w="922" w:type="dxa"/>
            <w:tcBorders>
              <w:top w:val="nil"/>
              <w:left w:val="nil"/>
              <w:bottom w:val="nil"/>
              <w:right w:val="single" w:sz="4" w:space="0" w:color="auto"/>
            </w:tcBorders>
            <w:shd w:val="clear" w:color="auto" w:fill="auto"/>
            <w:noWrap/>
            <w:vAlign w:val="bottom"/>
          </w:tcPr>
          <w:p w14:paraId="730BB69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92.0</w:t>
            </w:r>
          </w:p>
        </w:tc>
        <w:tc>
          <w:tcPr>
            <w:tcW w:w="705" w:type="dxa"/>
            <w:tcBorders>
              <w:top w:val="nil"/>
              <w:left w:val="single" w:sz="4" w:space="0" w:color="auto"/>
              <w:bottom w:val="nil"/>
              <w:right w:val="nil"/>
            </w:tcBorders>
            <w:shd w:val="clear" w:color="auto" w:fill="auto"/>
            <w:noWrap/>
            <w:vAlign w:val="bottom"/>
          </w:tcPr>
          <w:p w14:paraId="2367E265"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27.9</w:t>
            </w:r>
          </w:p>
        </w:tc>
        <w:tc>
          <w:tcPr>
            <w:tcW w:w="630" w:type="dxa"/>
            <w:tcBorders>
              <w:top w:val="nil"/>
              <w:left w:val="nil"/>
              <w:bottom w:val="nil"/>
              <w:right w:val="nil"/>
            </w:tcBorders>
            <w:shd w:val="clear" w:color="auto" w:fill="auto"/>
            <w:noWrap/>
            <w:vAlign w:val="bottom"/>
          </w:tcPr>
          <w:p w14:paraId="636510F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4.6</w:t>
            </w:r>
          </w:p>
        </w:tc>
        <w:tc>
          <w:tcPr>
            <w:tcW w:w="915" w:type="dxa"/>
            <w:tcBorders>
              <w:top w:val="nil"/>
              <w:left w:val="nil"/>
              <w:bottom w:val="nil"/>
              <w:right w:val="nil"/>
            </w:tcBorders>
            <w:shd w:val="clear" w:color="auto" w:fill="auto"/>
            <w:noWrap/>
            <w:vAlign w:val="bottom"/>
          </w:tcPr>
          <w:p w14:paraId="37497AA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44.8</w:t>
            </w:r>
          </w:p>
        </w:tc>
      </w:tr>
      <w:tr w:rsidR="00837E11" w:rsidRPr="00022CA4" w14:paraId="30B3B99A" w14:textId="77777777" w:rsidTr="001B5A9B">
        <w:trPr>
          <w:trHeight w:val="312"/>
          <w:jc w:val="center"/>
        </w:trPr>
        <w:tc>
          <w:tcPr>
            <w:tcW w:w="1343" w:type="dxa"/>
            <w:tcBorders>
              <w:top w:val="nil"/>
              <w:left w:val="nil"/>
              <w:bottom w:val="nil"/>
              <w:right w:val="nil"/>
            </w:tcBorders>
            <w:shd w:val="clear" w:color="auto" w:fill="auto"/>
            <w:vAlign w:val="bottom"/>
            <w:hideMark/>
          </w:tcPr>
          <w:p w14:paraId="3EC9BD41"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Genale-Dawa</w:t>
            </w:r>
            <w:proofErr w:type="spellEnd"/>
          </w:p>
        </w:tc>
        <w:tc>
          <w:tcPr>
            <w:tcW w:w="720" w:type="dxa"/>
            <w:tcBorders>
              <w:top w:val="nil"/>
              <w:left w:val="nil"/>
              <w:bottom w:val="nil"/>
              <w:right w:val="nil"/>
            </w:tcBorders>
            <w:shd w:val="clear" w:color="auto" w:fill="auto"/>
            <w:noWrap/>
            <w:vAlign w:val="bottom"/>
            <w:hideMark/>
          </w:tcPr>
          <w:p w14:paraId="5C6E2A6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60.8</w:t>
            </w:r>
          </w:p>
        </w:tc>
        <w:tc>
          <w:tcPr>
            <w:tcW w:w="720" w:type="dxa"/>
            <w:tcBorders>
              <w:top w:val="nil"/>
              <w:left w:val="nil"/>
              <w:bottom w:val="nil"/>
              <w:right w:val="nil"/>
            </w:tcBorders>
            <w:shd w:val="clear" w:color="auto" w:fill="auto"/>
            <w:noWrap/>
            <w:vAlign w:val="bottom"/>
          </w:tcPr>
          <w:p w14:paraId="095E59D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4.9</w:t>
            </w:r>
          </w:p>
        </w:tc>
        <w:tc>
          <w:tcPr>
            <w:tcW w:w="832" w:type="dxa"/>
            <w:tcBorders>
              <w:top w:val="nil"/>
              <w:left w:val="nil"/>
              <w:bottom w:val="nil"/>
              <w:right w:val="single" w:sz="4" w:space="0" w:color="auto"/>
            </w:tcBorders>
            <w:shd w:val="clear" w:color="auto" w:fill="auto"/>
            <w:noWrap/>
            <w:vAlign w:val="bottom"/>
          </w:tcPr>
          <w:p w14:paraId="03A9301A"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113.2</w:t>
            </w:r>
          </w:p>
        </w:tc>
        <w:tc>
          <w:tcPr>
            <w:tcW w:w="615" w:type="dxa"/>
            <w:gridSpan w:val="2"/>
            <w:tcBorders>
              <w:top w:val="nil"/>
              <w:left w:val="single" w:sz="4" w:space="0" w:color="auto"/>
              <w:bottom w:val="nil"/>
              <w:right w:val="nil"/>
            </w:tcBorders>
            <w:shd w:val="clear" w:color="auto" w:fill="auto"/>
            <w:noWrap/>
            <w:vAlign w:val="bottom"/>
          </w:tcPr>
          <w:p w14:paraId="0CA7024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37.0</w:t>
            </w:r>
          </w:p>
        </w:tc>
        <w:tc>
          <w:tcPr>
            <w:tcW w:w="623" w:type="dxa"/>
            <w:tcBorders>
              <w:top w:val="nil"/>
              <w:left w:val="nil"/>
              <w:bottom w:val="nil"/>
              <w:right w:val="nil"/>
            </w:tcBorders>
            <w:shd w:val="clear" w:color="auto" w:fill="auto"/>
            <w:noWrap/>
            <w:vAlign w:val="bottom"/>
          </w:tcPr>
          <w:p w14:paraId="7E0E42EA"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4.7</w:t>
            </w:r>
          </w:p>
        </w:tc>
        <w:tc>
          <w:tcPr>
            <w:tcW w:w="832" w:type="dxa"/>
            <w:tcBorders>
              <w:top w:val="nil"/>
              <w:left w:val="nil"/>
              <w:bottom w:val="nil"/>
              <w:right w:val="single" w:sz="4" w:space="0" w:color="auto"/>
            </w:tcBorders>
            <w:shd w:val="clear" w:color="auto" w:fill="auto"/>
            <w:noWrap/>
            <w:vAlign w:val="bottom"/>
          </w:tcPr>
          <w:p w14:paraId="0429F9E8"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59.3</w:t>
            </w:r>
          </w:p>
        </w:tc>
        <w:tc>
          <w:tcPr>
            <w:tcW w:w="615" w:type="dxa"/>
            <w:tcBorders>
              <w:top w:val="nil"/>
              <w:left w:val="single" w:sz="4" w:space="0" w:color="auto"/>
              <w:bottom w:val="nil"/>
              <w:right w:val="nil"/>
            </w:tcBorders>
            <w:shd w:val="clear" w:color="auto" w:fill="auto"/>
            <w:noWrap/>
            <w:vAlign w:val="bottom"/>
          </w:tcPr>
          <w:p w14:paraId="5964E629"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44.3</w:t>
            </w:r>
          </w:p>
        </w:tc>
        <w:tc>
          <w:tcPr>
            <w:tcW w:w="623" w:type="dxa"/>
            <w:tcBorders>
              <w:top w:val="nil"/>
              <w:left w:val="nil"/>
              <w:bottom w:val="nil"/>
              <w:right w:val="nil"/>
            </w:tcBorders>
            <w:shd w:val="clear" w:color="auto" w:fill="auto"/>
            <w:noWrap/>
            <w:vAlign w:val="bottom"/>
          </w:tcPr>
          <w:p w14:paraId="0EDEAB88"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5.3</w:t>
            </w:r>
          </w:p>
        </w:tc>
        <w:tc>
          <w:tcPr>
            <w:tcW w:w="922" w:type="dxa"/>
            <w:tcBorders>
              <w:top w:val="nil"/>
              <w:left w:val="nil"/>
              <w:bottom w:val="nil"/>
              <w:right w:val="single" w:sz="4" w:space="0" w:color="auto"/>
            </w:tcBorders>
            <w:shd w:val="clear" w:color="auto" w:fill="auto"/>
            <w:noWrap/>
            <w:vAlign w:val="bottom"/>
          </w:tcPr>
          <w:p w14:paraId="0F6744D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277.7</w:t>
            </w:r>
          </w:p>
        </w:tc>
        <w:tc>
          <w:tcPr>
            <w:tcW w:w="705" w:type="dxa"/>
            <w:tcBorders>
              <w:top w:val="nil"/>
              <w:left w:val="single" w:sz="4" w:space="0" w:color="auto"/>
              <w:bottom w:val="nil"/>
              <w:right w:val="nil"/>
            </w:tcBorders>
            <w:shd w:val="clear" w:color="auto" w:fill="auto"/>
            <w:noWrap/>
            <w:vAlign w:val="bottom"/>
          </w:tcPr>
          <w:p w14:paraId="07C7D98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128.9</w:t>
            </w:r>
          </w:p>
        </w:tc>
        <w:tc>
          <w:tcPr>
            <w:tcW w:w="630" w:type="dxa"/>
            <w:tcBorders>
              <w:top w:val="nil"/>
              <w:left w:val="nil"/>
              <w:bottom w:val="nil"/>
              <w:right w:val="nil"/>
            </w:tcBorders>
            <w:shd w:val="clear" w:color="auto" w:fill="auto"/>
            <w:noWrap/>
            <w:vAlign w:val="bottom"/>
          </w:tcPr>
          <w:p w14:paraId="18F19E9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5.1</w:t>
            </w:r>
          </w:p>
        </w:tc>
        <w:tc>
          <w:tcPr>
            <w:tcW w:w="915" w:type="dxa"/>
            <w:tcBorders>
              <w:top w:val="nil"/>
              <w:left w:val="nil"/>
              <w:bottom w:val="nil"/>
              <w:right w:val="nil"/>
            </w:tcBorders>
            <w:shd w:val="clear" w:color="auto" w:fill="auto"/>
            <w:noWrap/>
            <w:vAlign w:val="bottom"/>
          </w:tcPr>
          <w:p w14:paraId="085E9CD8"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109.6</w:t>
            </w:r>
          </w:p>
        </w:tc>
      </w:tr>
      <w:tr w:rsidR="00837E11" w:rsidRPr="00022CA4" w14:paraId="307D3529" w14:textId="77777777" w:rsidTr="001B5A9B">
        <w:trPr>
          <w:trHeight w:val="312"/>
          <w:jc w:val="center"/>
        </w:trPr>
        <w:tc>
          <w:tcPr>
            <w:tcW w:w="1343" w:type="dxa"/>
            <w:tcBorders>
              <w:top w:val="nil"/>
              <w:left w:val="nil"/>
              <w:bottom w:val="nil"/>
              <w:right w:val="nil"/>
            </w:tcBorders>
            <w:shd w:val="clear" w:color="auto" w:fill="auto"/>
            <w:vAlign w:val="bottom"/>
            <w:hideMark/>
          </w:tcPr>
          <w:p w14:paraId="79E40615" w14:textId="77777777" w:rsidR="00837E11" w:rsidRPr="00022CA4" w:rsidRDefault="00837E11" w:rsidP="001B5A9B">
            <w:pPr>
              <w:spacing w:line="360" w:lineRule="auto"/>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pacing w:val="-5"/>
                <w:sz w:val="20"/>
                <w:szCs w:val="20"/>
              </w:rPr>
              <w:t>Awash</w:t>
            </w:r>
          </w:p>
        </w:tc>
        <w:tc>
          <w:tcPr>
            <w:tcW w:w="720" w:type="dxa"/>
            <w:tcBorders>
              <w:top w:val="nil"/>
              <w:left w:val="nil"/>
              <w:bottom w:val="nil"/>
              <w:right w:val="nil"/>
            </w:tcBorders>
            <w:shd w:val="clear" w:color="auto" w:fill="auto"/>
            <w:noWrap/>
            <w:vAlign w:val="bottom"/>
            <w:hideMark/>
          </w:tcPr>
          <w:p w14:paraId="3BCA5C39"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41.3</w:t>
            </w:r>
          </w:p>
        </w:tc>
        <w:tc>
          <w:tcPr>
            <w:tcW w:w="720" w:type="dxa"/>
            <w:tcBorders>
              <w:top w:val="nil"/>
              <w:left w:val="nil"/>
              <w:bottom w:val="nil"/>
              <w:right w:val="nil"/>
            </w:tcBorders>
            <w:shd w:val="clear" w:color="auto" w:fill="auto"/>
            <w:noWrap/>
            <w:vAlign w:val="bottom"/>
          </w:tcPr>
          <w:p w14:paraId="5D40D5A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5.7</w:t>
            </w:r>
          </w:p>
        </w:tc>
        <w:tc>
          <w:tcPr>
            <w:tcW w:w="832" w:type="dxa"/>
            <w:tcBorders>
              <w:top w:val="nil"/>
              <w:left w:val="nil"/>
              <w:bottom w:val="nil"/>
              <w:right w:val="single" w:sz="4" w:space="0" w:color="auto"/>
            </w:tcBorders>
            <w:shd w:val="clear" w:color="auto" w:fill="auto"/>
            <w:noWrap/>
            <w:vAlign w:val="bottom"/>
          </w:tcPr>
          <w:p w14:paraId="1B50D3B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54.3</w:t>
            </w:r>
          </w:p>
        </w:tc>
        <w:tc>
          <w:tcPr>
            <w:tcW w:w="615" w:type="dxa"/>
            <w:gridSpan w:val="2"/>
            <w:tcBorders>
              <w:top w:val="nil"/>
              <w:left w:val="single" w:sz="4" w:space="0" w:color="auto"/>
              <w:bottom w:val="nil"/>
              <w:right w:val="nil"/>
            </w:tcBorders>
            <w:shd w:val="clear" w:color="auto" w:fill="auto"/>
            <w:noWrap/>
            <w:vAlign w:val="bottom"/>
          </w:tcPr>
          <w:p w14:paraId="06D7C75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32.8</w:t>
            </w:r>
          </w:p>
        </w:tc>
        <w:tc>
          <w:tcPr>
            <w:tcW w:w="623" w:type="dxa"/>
            <w:tcBorders>
              <w:top w:val="nil"/>
              <w:left w:val="nil"/>
              <w:bottom w:val="nil"/>
              <w:right w:val="nil"/>
            </w:tcBorders>
            <w:shd w:val="clear" w:color="auto" w:fill="auto"/>
            <w:noWrap/>
            <w:vAlign w:val="bottom"/>
          </w:tcPr>
          <w:p w14:paraId="1F07FC20"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4.8</w:t>
            </w:r>
          </w:p>
        </w:tc>
        <w:tc>
          <w:tcPr>
            <w:tcW w:w="832" w:type="dxa"/>
            <w:tcBorders>
              <w:top w:val="nil"/>
              <w:left w:val="nil"/>
              <w:bottom w:val="nil"/>
              <w:right w:val="single" w:sz="4" w:space="0" w:color="auto"/>
            </w:tcBorders>
            <w:shd w:val="clear" w:color="auto" w:fill="auto"/>
            <w:noWrap/>
            <w:vAlign w:val="bottom"/>
          </w:tcPr>
          <w:p w14:paraId="10601A1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14.9</w:t>
            </w:r>
          </w:p>
        </w:tc>
        <w:tc>
          <w:tcPr>
            <w:tcW w:w="615" w:type="dxa"/>
            <w:tcBorders>
              <w:top w:val="nil"/>
              <w:left w:val="single" w:sz="4" w:space="0" w:color="auto"/>
              <w:bottom w:val="nil"/>
              <w:right w:val="nil"/>
            </w:tcBorders>
            <w:shd w:val="clear" w:color="auto" w:fill="auto"/>
            <w:noWrap/>
            <w:vAlign w:val="bottom"/>
          </w:tcPr>
          <w:p w14:paraId="51D59C40"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30.0</w:t>
            </w:r>
          </w:p>
        </w:tc>
        <w:tc>
          <w:tcPr>
            <w:tcW w:w="623" w:type="dxa"/>
            <w:tcBorders>
              <w:top w:val="nil"/>
              <w:left w:val="nil"/>
              <w:bottom w:val="nil"/>
              <w:right w:val="nil"/>
            </w:tcBorders>
            <w:shd w:val="clear" w:color="auto" w:fill="auto"/>
            <w:noWrap/>
            <w:vAlign w:val="bottom"/>
          </w:tcPr>
          <w:p w14:paraId="0AD8306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5.0</w:t>
            </w:r>
          </w:p>
        </w:tc>
        <w:tc>
          <w:tcPr>
            <w:tcW w:w="922" w:type="dxa"/>
            <w:tcBorders>
              <w:top w:val="nil"/>
              <w:left w:val="nil"/>
              <w:bottom w:val="nil"/>
              <w:right w:val="single" w:sz="4" w:space="0" w:color="auto"/>
            </w:tcBorders>
            <w:shd w:val="clear" w:color="auto" w:fill="auto"/>
            <w:noWrap/>
            <w:vAlign w:val="bottom"/>
          </w:tcPr>
          <w:p w14:paraId="22C66BAA"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45.6</w:t>
            </w:r>
          </w:p>
        </w:tc>
        <w:tc>
          <w:tcPr>
            <w:tcW w:w="705" w:type="dxa"/>
            <w:tcBorders>
              <w:top w:val="nil"/>
              <w:left w:val="single" w:sz="4" w:space="0" w:color="auto"/>
              <w:bottom w:val="nil"/>
              <w:right w:val="nil"/>
            </w:tcBorders>
            <w:shd w:val="clear" w:color="auto" w:fill="auto"/>
            <w:noWrap/>
            <w:vAlign w:val="bottom"/>
          </w:tcPr>
          <w:p w14:paraId="311D16BA"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59.2</w:t>
            </w:r>
          </w:p>
        </w:tc>
        <w:tc>
          <w:tcPr>
            <w:tcW w:w="630" w:type="dxa"/>
            <w:tcBorders>
              <w:top w:val="nil"/>
              <w:left w:val="nil"/>
              <w:bottom w:val="nil"/>
              <w:right w:val="nil"/>
            </w:tcBorders>
            <w:shd w:val="clear" w:color="auto" w:fill="auto"/>
            <w:noWrap/>
            <w:vAlign w:val="bottom"/>
          </w:tcPr>
          <w:p w14:paraId="43FD995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7.9</w:t>
            </w:r>
          </w:p>
        </w:tc>
        <w:tc>
          <w:tcPr>
            <w:tcW w:w="915" w:type="dxa"/>
            <w:tcBorders>
              <w:top w:val="nil"/>
              <w:left w:val="nil"/>
              <w:bottom w:val="nil"/>
              <w:right w:val="nil"/>
            </w:tcBorders>
            <w:shd w:val="clear" w:color="auto" w:fill="auto"/>
            <w:noWrap/>
            <w:vAlign w:val="bottom"/>
          </w:tcPr>
          <w:p w14:paraId="72F15CA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177.7</w:t>
            </w:r>
          </w:p>
        </w:tc>
      </w:tr>
      <w:tr w:rsidR="00837E11" w:rsidRPr="00022CA4" w14:paraId="2A529BCD" w14:textId="77777777" w:rsidTr="001B5A9B">
        <w:trPr>
          <w:trHeight w:val="312"/>
          <w:jc w:val="center"/>
        </w:trPr>
        <w:tc>
          <w:tcPr>
            <w:tcW w:w="1343" w:type="dxa"/>
            <w:tcBorders>
              <w:top w:val="nil"/>
              <w:left w:val="nil"/>
              <w:bottom w:val="nil"/>
              <w:right w:val="nil"/>
            </w:tcBorders>
            <w:shd w:val="clear" w:color="auto" w:fill="auto"/>
            <w:vAlign w:val="bottom"/>
            <w:hideMark/>
          </w:tcPr>
          <w:p w14:paraId="4E6D3757"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Tekeze</w:t>
            </w:r>
            <w:proofErr w:type="spellEnd"/>
          </w:p>
        </w:tc>
        <w:tc>
          <w:tcPr>
            <w:tcW w:w="720" w:type="dxa"/>
            <w:tcBorders>
              <w:top w:val="nil"/>
              <w:left w:val="nil"/>
              <w:bottom w:val="nil"/>
              <w:right w:val="nil"/>
            </w:tcBorders>
            <w:shd w:val="clear" w:color="auto" w:fill="auto"/>
            <w:noWrap/>
            <w:vAlign w:val="bottom"/>
            <w:hideMark/>
          </w:tcPr>
          <w:p w14:paraId="4EF0EF7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30.8</w:t>
            </w:r>
          </w:p>
        </w:tc>
        <w:tc>
          <w:tcPr>
            <w:tcW w:w="720" w:type="dxa"/>
            <w:tcBorders>
              <w:top w:val="nil"/>
              <w:left w:val="nil"/>
              <w:bottom w:val="nil"/>
              <w:right w:val="nil"/>
            </w:tcBorders>
            <w:shd w:val="clear" w:color="auto" w:fill="auto"/>
            <w:noWrap/>
            <w:vAlign w:val="bottom"/>
          </w:tcPr>
          <w:p w14:paraId="0C1F0FB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3.7</w:t>
            </w:r>
          </w:p>
        </w:tc>
        <w:tc>
          <w:tcPr>
            <w:tcW w:w="832" w:type="dxa"/>
            <w:tcBorders>
              <w:top w:val="nil"/>
              <w:left w:val="nil"/>
              <w:bottom w:val="nil"/>
              <w:right w:val="single" w:sz="4" w:space="0" w:color="auto"/>
            </w:tcBorders>
            <w:shd w:val="clear" w:color="auto" w:fill="auto"/>
            <w:noWrap/>
            <w:vAlign w:val="bottom"/>
          </w:tcPr>
          <w:p w14:paraId="1EAB439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78.3</w:t>
            </w:r>
          </w:p>
        </w:tc>
        <w:tc>
          <w:tcPr>
            <w:tcW w:w="615" w:type="dxa"/>
            <w:gridSpan w:val="2"/>
            <w:tcBorders>
              <w:top w:val="nil"/>
              <w:left w:val="single" w:sz="4" w:space="0" w:color="auto"/>
              <w:bottom w:val="nil"/>
              <w:right w:val="nil"/>
            </w:tcBorders>
            <w:shd w:val="clear" w:color="auto" w:fill="auto"/>
            <w:noWrap/>
            <w:vAlign w:val="bottom"/>
          </w:tcPr>
          <w:p w14:paraId="2B4BC1D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26.9</w:t>
            </w:r>
          </w:p>
        </w:tc>
        <w:tc>
          <w:tcPr>
            <w:tcW w:w="623" w:type="dxa"/>
            <w:tcBorders>
              <w:top w:val="nil"/>
              <w:left w:val="nil"/>
              <w:bottom w:val="nil"/>
              <w:right w:val="nil"/>
            </w:tcBorders>
            <w:shd w:val="clear" w:color="auto" w:fill="auto"/>
            <w:noWrap/>
            <w:vAlign w:val="bottom"/>
          </w:tcPr>
          <w:p w14:paraId="1458C088"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5.3</w:t>
            </w:r>
          </w:p>
        </w:tc>
        <w:tc>
          <w:tcPr>
            <w:tcW w:w="832" w:type="dxa"/>
            <w:tcBorders>
              <w:top w:val="nil"/>
              <w:left w:val="nil"/>
              <w:bottom w:val="nil"/>
              <w:right w:val="single" w:sz="4" w:space="0" w:color="auto"/>
            </w:tcBorders>
            <w:shd w:val="clear" w:color="auto" w:fill="auto"/>
            <w:noWrap/>
            <w:vAlign w:val="bottom"/>
          </w:tcPr>
          <w:p w14:paraId="2BDEF04F"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9.7</w:t>
            </w:r>
          </w:p>
        </w:tc>
        <w:tc>
          <w:tcPr>
            <w:tcW w:w="615" w:type="dxa"/>
            <w:tcBorders>
              <w:top w:val="nil"/>
              <w:left w:val="single" w:sz="4" w:space="0" w:color="auto"/>
              <w:bottom w:val="nil"/>
              <w:right w:val="nil"/>
            </w:tcBorders>
            <w:shd w:val="clear" w:color="auto" w:fill="auto"/>
            <w:noWrap/>
            <w:vAlign w:val="bottom"/>
          </w:tcPr>
          <w:p w14:paraId="22B5C47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31.0</w:t>
            </w:r>
          </w:p>
        </w:tc>
        <w:tc>
          <w:tcPr>
            <w:tcW w:w="623" w:type="dxa"/>
            <w:tcBorders>
              <w:top w:val="nil"/>
              <w:left w:val="nil"/>
              <w:bottom w:val="nil"/>
              <w:right w:val="nil"/>
            </w:tcBorders>
            <w:shd w:val="clear" w:color="auto" w:fill="auto"/>
            <w:noWrap/>
            <w:vAlign w:val="bottom"/>
          </w:tcPr>
          <w:p w14:paraId="323DF04E"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4.6</w:t>
            </w:r>
          </w:p>
        </w:tc>
        <w:tc>
          <w:tcPr>
            <w:tcW w:w="922" w:type="dxa"/>
            <w:tcBorders>
              <w:top w:val="nil"/>
              <w:left w:val="nil"/>
              <w:bottom w:val="nil"/>
              <w:right w:val="single" w:sz="4" w:space="0" w:color="auto"/>
            </w:tcBorders>
            <w:shd w:val="clear" w:color="auto" w:fill="auto"/>
            <w:noWrap/>
            <w:vAlign w:val="bottom"/>
          </w:tcPr>
          <w:p w14:paraId="0D389E3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22.8</w:t>
            </w:r>
          </w:p>
        </w:tc>
        <w:tc>
          <w:tcPr>
            <w:tcW w:w="705" w:type="dxa"/>
            <w:tcBorders>
              <w:top w:val="nil"/>
              <w:left w:val="single" w:sz="4" w:space="0" w:color="auto"/>
              <w:bottom w:val="nil"/>
              <w:right w:val="nil"/>
            </w:tcBorders>
            <w:shd w:val="clear" w:color="auto" w:fill="auto"/>
            <w:noWrap/>
            <w:vAlign w:val="bottom"/>
          </w:tcPr>
          <w:p w14:paraId="501AF24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37.1</w:t>
            </w:r>
          </w:p>
        </w:tc>
        <w:tc>
          <w:tcPr>
            <w:tcW w:w="630" w:type="dxa"/>
            <w:tcBorders>
              <w:top w:val="nil"/>
              <w:left w:val="nil"/>
              <w:bottom w:val="nil"/>
              <w:right w:val="nil"/>
            </w:tcBorders>
            <w:shd w:val="clear" w:color="auto" w:fill="auto"/>
            <w:noWrap/>
            <w:vAlign w:val="bottom"/>
          </w:tcPr>
          <w:p w14:paraId="34CCA9F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3.0</w:t>
            </w:r>
          </w:p>
        </w:tc>
        <w:tc>
          <w:tcPr>
            <w:tcW w:w="915" w:type="dxa"/>
            <w:tcBorders>
              <w:top w:val="nil"/>
              <w:left w:val="nil"/>
              <w:bottom w:val="nil"/>
              <w:right w:val="nil"/>
            </w:tcBorders>
            <w:shd w:val="clear" w:color="auto" w:fill="auto"/>
            <w:noWrap/>
            <w:vAlign w:val="bottom"/>
          </w:tcPr>
          <w:p w14:paraId="2AA22AD9"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102.8</w:t>
            </w:r>
          </w:p>
        </w:tc>
      </w:tr>
      <w:tr w:rsidR="00837E11" w:rsidRPr="00022CA4" w14:paraId="65BADAE4" w14:textId="77777777" w:rsidTr="001B5A9B">
        <w:trPr>
          <w:trHeight w:val="312"/>
          <w:jc w:val="center"/>
        </w:trPr>
        <w:tc>
          <w:tcPr>
            <w:tcW w:w="1343" w:type="dxa"/>
            <w:tcBorders>
              <w:top w:val="nil"/>
              <w:left w:val="nil"/>
              <w:bottom w:val="nil"/>
              <w:right w:val="nil"/>
            </w:tcBorders>
            <w:shd w:val="clear" w:color="auto" w:fill="auto"/>
            <w:vAlign w:val="bottom"/>
            <w:hideMark/>
          </w:tcPr>
          <w:p w14:paraId="3E2FE090"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Omo</w:t>
            </w:r>
            <w:proofErr w:type="spellEnd"/>
            <w:r w:rsidRPr="00022CA4">
              <w:rPr>
                <w:rFonts w:ascii="Times New Roman" w:eastAsia="Times New Roman" w:hAnsi="Times New Roman" w:cs="Times New Roman"/>
                <w:color w:val="000000"/>
                <w:spacing w:val="-5"/>
                <w:sz w:val="20"/>
                <w:szCs w:val="20"/>
              </w:rPr>
              <w:t>-Gibe</w:t>
            </w:r>
          </w:p>
        </w:tc>
        <w:tc>
          <w:tcPr>
            <w:tcW w:w="720" w:type="dxa"/>
            <w:tcBorders>
              <w:top w:val="nil"/>
              <w:left w:val="nil"/>
              <w:bottom w:val="nil"/>
              <w:right w:val="nil"/>
            </w:tcBorders>
            <w:shd w:val="clear" w:color="auto" w:fill="auto"/>
            <w:noWrap/>
            <w:vAlign w:val="bottom"/>
            <w:hideMark/>
          </w:tcPr>
          <w:p w14:paraId="4DC6CD0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28.2</w:t>
            </w:r>
          </w:p>
        </w:tc>
        <w:tc>
          <w:tcPr>
            <w:tcW w:w="720" w:type="dxa"/>
            <w:tcBorders>
              <w:top w:val="nil"/>
              <w:left w:val="nil"/>
              <w:bottom w:val="nil"/>
              <w:right w:val="nil"/>
            </w:tcBorders>
            <w:shd w:val="clear" w:color="auto" w:fill="auto"/>
            <w:noWrap/>
            <w:vAlign w:val="bottom"/>
          </w:tcPr>
          <w:p w14:paraId="5EB461C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4.4</w:t>
            </w:r>
          </w:p>
        </w:tc>
        <w:tc>
          <w:tcPr>
            <w:tcW w:w="832" w:type="dxa"/>
            <w:tcBorders>
              <w:top w:val="nil"/>
              <w:left w:val="nil"/>
              <w:bottom w:val="nil"/>
              <w:right w:val="single" w:sz="4" w:space="0" w:color="auto"/>
            </w:tcBorders>
            <w:shd w:val="clear" w:color="auto" w:fill="auto"/>
            <w:noWrap/>
            <w:vAlign w:val="bottom"/>
          </w:tcPr>
          <w:p w14:paraId="4918002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111.5</w:t>
            </w:r>
          </w:p>
        </w:tc>
        <w:tc>
          <w:tcPr>
            <w:tcW w:w="615" w:type="dxa"/>
            <w:gridSpan w:val="2"/>
            <w:tcBorders>
              <w:top w:val="nil"/>
              <w:left w:val="single" w:sz="4" w:space="0" w:color="auto"/>
              <w:bottom w:val="nil"/>
              <w:right w:val="nil"/>
            </w:tcBorders>
            <w:shd w:val="clear" w:color="auto" w:fill="auto"/>
            <w:noWrap/>
            <w:vAlign w:val="bottom"/>
          </w:tcPr>
          <w:p w14:paraId="38CA075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32.3</w:t>
            </w:r>
          </w:p>
        </w:tc>
        <w:tc>
          <w:tcPr>
            <w:tcW w:w="623" w:type="dxa"/>
            <w:tcBorders>
              <w:top w:val="nil"/>
              <w:left w:val="nil"/>
              <w:bottom w:val="nil"/>
              <w:right w:val="nil"/>
            </w:tcBorders>
            <w:shd w:val="clear" w:color="auto" w:fill="auto"/>
            <w:noWrap/>
            <w:vAlign w:val="bottom"/>
          </w:tcPr>
          <w:p w14:paraId="3987AF0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5.5</w:t>
            </w:r>
          </w:p>
        </w:tc>
        <w:tc>
          <w:tcPr>
            <w:tcW w:w="832" w:type="dxa"/>
            <w:tcBorders>
              <w:top w:val="nil"/>
              <w:left w:val="nil"/>
              <w:bottom w:val="nil"/>
              <w:right w:val="single" w:sz="4" w:space="0" w:color="auto"/>
            </w:tcBorders>
            <w:shd w:val="clear" w:color="auto" w:fill="auto"/>
            <w:noWrap/>
            <w:vAlign w:val="bottom"/>
          </w:tcPr>
          <w:p w14:paraId="2551878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115.3</w:t>
            </w:r>
          </w:p>
        </w:tc>
        <w:tc>
          <w:tcPr>
            <w:tcW w:w="615" w:type="dxa"/>
            <w:tcBorders>
              <w:top w:val="nil"/>
              <w:left w:val="single" w:sz="4" w:space="0" w:color="auto"/>
              <w:bottom w:val="nil"/>
              <w:right w:val="nil"/>
            </w:tcBorders>
            <w:shd w:val="clear" w:color="auto" w:fill="auto"/>
            <w:noWrap/>
            <w:vAlign w:val="bottom"/>
          </w:tcPr>
          <w:p w14:paraId="43C897B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23.3</w:t>
            </w:r>
          </w:p>
        </w:tc>
        <w:tc>
          <w:tcPr>
            <w:tcW w:w="623" w:type="dxa"/>
            <w:tcBorders>
              <w:top w:val="nil"/>
              <w:left w:val="nil"/>
              <w:bottom w:val="nil"/>
              <w:right w:val="nil"/>
            </w:tcBorders>
            <w:shd w:val="clear" w:color="auto" w:fill="auto"/>
            <w:noWrap/>
            <w:vAlign w:val="bottom"/>
          </w:tcPr>
          <w:p w14:paraId="0171FDC3"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3.6</w:t>
            </w:r>
          </w:p>
        </w:tc>
        <w:tc>
          <w:tcPr>
            <w:tcW w:w="922" w:type="dxa"/>
            <w:tcBorders>
              <w:top w:val="nil"/>
              <w:left w:val="nil"/>
              <w:bottom w:val="nil"/>
              <w:right w:val="single" w:sz="4" w:space="0" w:color="auto"/>
            </w:tcBorders>
            <w:shd w:val="clear" w:color="auto" w:fill="auto"/>
            <w:noWrap/>
            <w:vAlign w:val="bottom"/>
          </w:tcPr>
          <w:p w14:paraId="0D20DBF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99.2</w:t>
            </w:r>
          </w:p>
        </w:tc>
        <w:tc>
          <w:tcPr>
            <w:tcW w:w="705" w:type="dxa"/>
            <w:tcBorders>
              <w:top w:val="nil"/>
              <w:left w:val="single" w:sz="4" w:space="0" w:color="auto"/>
              <w:bottom w:val="nil"/>
              <w:right w:val="nil"/>
            </w:tcBorders>
            <w:shd w:val="clear" w:color="auto" w:fill="auto"/>
            <w:noWrap/>
            <w:vAlign w:val="bottom"/>
          </w:tcPr>
          <w:p w14:paraId="40A42A9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52.7</w:t>
            </w:r>
          </w:p>
        </w:tc>
        <w:tc>
          <w:tcPr>
            <w:tcW w:w="630" w:type="dxa"/>
            <w:tcBorders>
              <w:top w:val="nil"/>
              <w:left w:val="nil"/>
              <w:bottom w:val="nil"/>
              <w:right w:val="nil"/>
            </w:tcBorders>
            <w:shd w:val="clear" w:color="auto" w:fill="auto"/>
            <w:noWrap/>
            <w:vAlign w:val="bottom"/>
          </w:tcPr>
          <w:p w14:paraId="7502B23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4.6</w:t>
            </w:r>
          </w:p>
        </w:tc>
        <w:tc>
          <w:tcPr>
            <w:tcW w:w="915" w:type="dxa"/>
            <w:tcBorders>
              <w:top w:val="nil"/>
              <w:left w:val="nil"/>
              <w:bottom w:val="nil"/>
              <w:right w:val="nil"/>
            </w:tcBorders>
            <w:shd w:val="clear" w:color="auto" w:fill="auto"/>
            <w:noWrap/>
            <w:vAlign w:val="bottom"/>
          </w:tcPr>
          <w:p w14:paraId="037CCC6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106.7</w:t>
            </w:r>
          </w:p>
        </w:tc>
      </w:tr>
      <w:tr w:rsidR="00837E11" w:rsidRPr="00022CA4" w14:paraId="52A98E5C" w14:textId="77777777" w:rsidTr="001B5A9B">
        <w:trPr>
          <w:trHeight w:val="270"/>
          <w:jc w:val="center"/>
        </w:trPr>
        <w:tc>
          <w:tcPr>
            <w:tcW w:w="1343" w:type="dxa"/>
            <w:tcBorders>
              <w:top w:val="nil"/>
              <w:left w:val="nil"/>
              <w:bottom w:val="nil"/>
              <w:right w:val="nil"/>
            </w:tcBorders>
            <w:shd w:val="clear" w:color="auto" w:fill="auto"/>
            <w:vAlign w:val="bottom"/>
            <w:hideMark/>
          </w:tcPr>
          <w:p w14:paraId="4C6C5B9B"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Ogaden</w:t>
            </w:r>
            <w:proofErr w:type="spellEnd"/>
          </w:p>
        </w:tc>
        <w:tc>
          <w:tcPr>
            <w:tcW w:w="720" w:type="dxa"/>
            <w:tcBorders>
              <w:top w:val="nil"/>
              <w:left w:val="nil"/>
              <w:bottom w:val="nil"/>
              <w:right w:val="nil"/>
            </w:tcBorders>
            <w:shd w:val="clear" w:color="auto" w:fill="auto"/>
            <w:noWrap/>
            <w:vAlign w:val="bottom"/>
            <w:hideMark/>
          </w:tcPr>
          <w:p w14:paraId="74033008"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29.6</w:t>
            </w:r>
          </w:p>
        </w:tc>
        <w:tc>
          <w:tcPr>
            <w:tcW w:w="720" w:type="dxa"/>
            <w:tcBorders>
              <w:top w:val="nil"/>
              <w:left w:val="nil"/>
              <w:bottom w:val="nil"/>
              <w:right w:val="nil"/>
            </w:tcBorders>
            <w:shd w:val="clear" w:color="auto" w:fill="auto"/>
            <w:noWrap/>
            <w:vAlign w:val="bottom"/>
          </w:tcPr>
          <w:p w14:paraId="3956A43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3.8</w:t>
            </w:r>
          </w:p>
        </w:tc>
        <w:tc>
          <w:tcPr>
            <w:tcW w:w="832" w:type="dxa"/>
            <w:tcBorders>
              <w:top w:val="nil"/>
              <w:left w:val="nil"/>
              <w:bottom w:val="nil"/>
              <w:right w:val="single" w:sz="4" w:space="0" w:color="auto"/>
            </w:tcBorders>
            <w:shd w:val="clear" w:color="auto" w:fill="auto"/>
            <w:noWrap/>
            <w:vAlign w:val="bottom"/>
          </w:tcPr>
          <w:p w14:paraId="4BE758E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16.0</w:t>
            </w:r>
          </w:p>
        </w:tc>
        <w:tc>
          <w:tcPr>
            <w:tcW w:w="615" w:type="dxa"/>
            <w:gridSpan w:val="2"/>
            <w:tcBorders>
              <w:top w:val="nil"/>
              <w:left w:val="single" w:sz="4" w:space="0" w:color="auto"/>
              <w:bottom w:val="nil"/>
              <w:right w:val="nil"/>
            </w:tcBorders>
            <w:shd w:val="clear" w:color="auto" w:fill="auto"/>
            <w:noWrap/>
            <w:vAlign w:val="bottom"/>
          </w:tcPr>
          <w:p w14:paraId="054A7E39"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17.6</w:t>
            </w:r>
          </w:p>
        </w:tc>
        <w:tc>
          <w:tcPr>
            <w:tcW w:w="623" w:type="dxa"/>
            <w:tcBorders>
              <w:top w:val="nil"/>
              <w:left w:val="nil"/>
              <w:bottom w:val="nil"/>
              <w:right w:val="nil"/>
            </w:tcBorders>
            <w:shd w:val="clear" w:color="auto" w:fill="auto"/>
            <w:noWrap/>
            <w:vAlign w:val="bottom"/>
          </w:tcPr>
          <w:p w14:paraId="15D8FE3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4.2</w:t>
            </w:r>
          </w:p>
        </w:tc>
        <w:tc>
          <w:tcPr>
            <w:tcW w:w="832" w:type="dxa"/>
            <w:tcBorders>
              <w:top w:val="nil"/>
              <w:left w:val="nil"/>
              <w:bottom w:val="nil"/>
              <w:right w:val="single" w:sz="4" w:space="0" w:color="auto"/>
            </w:tcBorders>
            <w:shd w:val="clear" w:color="auto" w:fill="auto"/>
            <w:noWrap/>
            <w:vAlign w:val="bottom"/>
          </w:tcPr>
          <w:p w14:paraId="409C5B18"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5.9</w:t>
            </w:r>
          </w:p>
        </w:tc>
        <w:tc>
          <w:tcPr>
            <w:tcW w:w="615" w:type="dxa"/>
            <w:tcBorders>
              <w:top w:val="nil"/>
              <w:left w:val="single" w:sz="4" w:space="0" w:color="auto"/>
              <w:bottom w:val="nil"/>
              <w:right w:val="nil"/>
            </w:tcBorders>
            <w:shd w:val="clear" w:color="auto" w:fill="auto"/>
            <w:noWrap/>
            <w:vAlign w:val="bottom"/>
          </w:tcPr>
          <w:p w14:paraId="495F718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23.3</w:t>
            </w:r>
          </w:p>
        </w:tc>
        <w:tc>
          <w:tcPr>
            <w:tcW w:w="623" w:type="dxa"/>
            <w:tcBorders>
              <w:top w:val="nil"/>
              <w:left w:val="nil"/>
              <w:bottom w:val="nil"/>
              <w:right w:val="nil"/>
            </w:tcBorders>
            <w:shd w:val="clear" w:color="auto" w:fill="auto"/>
            <w:noWrap/>
            <w:vAlign w:val="bottom"/>
          </w:tcPr>
          <w:p w14:paraId="6D92F84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3.0</w:t>
            </w:r>
          </w:p>
        </w:tc>
        <w:tc>
          <w:tcPr>
            <w:tcW w:w="922" w:type="dxa"/>
            <w:tcBorders>
              <w:top w:val="nil"/>
              <w:left w:val="nil"/>
              <w:bottom w:val="nil"/>
              <w:right w:val="single" w:sz="4" w:space="0" w:color="auto"/>
            </w:tcBorders>
            <w:shd w:val="clear" w:color="auto" w:fill="auto"/>
            <w:noWrap/>
            <w:vAlign w:val="bottom"/>
          </w:tcPr>
          <w:p w14:paraId="3A4C548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19.0</w:t>
            </w:r>
          </w:p>
        </w:tc>
        <w:tc>
          <w:tcPr>
            <w:tcW w:w="705" w:type="dxa"/>
            <w:tcBorders>
              <w:top w:val="nil"/>
              <w:left w:val="single" w:sz="4" w:space="0" w:color="auto"/>
              <w:bottom w:val="nil"/>
              <w:right w:val="nil"/>
            </w:tcBorders>
            <w:shd w:val="clear" w:color="auto" w:fill="auto"/>
            <w:noWrap/>
            <w:vAlign w:val="bottom"/>
          </w:tcPr>
          <w:p w14:paraId="1D54701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103.5</w:t>
            </w:r>
          </w:p>
        </w:tc>
        <w:tc>
          <w:tcPr>
            <w:tcW w:w="630" w:type="dxa"/>
            <w:tcBorders>
              <w:top w:val="nil"/>
              <w:left w:val="nil"/>
              <w:bottom w:val="nil"/>
              <w:right w:val="nil"/>
            </w:tcBorders>
            <w:shd w:val="clear" w:color="auto" w:fill="auto"/>
            <w:noWrap/>
            <w:vAlign w:val="bottom"/>
          </w:tcPr>
          <w:p w14:paraId="4B5C7459"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4.3</w:t>
            </w:r>
          </w:p>
        </w:tc>
        <w:tc>
          <w:tcPr>
            <w:tcW w:w="915" w:type="dxa"/>
            <w:tcBorders>
              <w:top w:val="nil"/>
              <w:left w:val="nil"/>
              <w:bottom w:val="nil"/>
              <w:right w:val="nil"/>
            </w:tcBorders>
            <w:shd w:val="clear" w:color="auto" w:fill="auto"/>
            <w:noWrap/>
            <w:vAlign w:val="bottom"/>
          </w:tcPr>
          <w:p w14:paraId="34E8664E"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25.8</w:t>
            </w:r>
          </w:p>
        </w:tc>
      </w:tr>
      <w:tr w:rsidR="00837E11" w:rsidRPr="00022CA4" w14:paraId="482DB1C9" w14:textId="77777777" w:rsidTr="001B5A9B">
        <w:trPr>
          <w:trHeight w:val="312"/>
          <w:jc w:val="center"/>
        </w:trPr>
        <w:tc>
          <w:tcPr>
            <w:tcW w:w="1343" w:type="dxa"/>
            <w:tcBorders>
              <w:top w:val="nil"/>
              <w:left w:val="nil"/>
              <w:bottom w:val="nil"/>
              <w:right w:val="nil"/>
            </w:tcBorders>
            <w:shd w:val="clear" w:color="auto" w:fill="auto"/>
            <w:vAlign w:val="bottom"/>
            <w:hideMark/>
          </w:tcPr>
          <w:p w14:paraId="4DC738F6"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Baro-Akobo</w:t>
            </w:r>
            <w:proofErr w:type="spellEnd"/>
          </w:p>
        </w:tc>
        <w:tc>
          <w:tcPr>
            <w:tcW w:w="720" w:type="dxa"/>
            <w:tcBorders>
              <w:top w:val="nil"/>
              <w:left w:val="nil"/>
              <w:bottom w:val="nil"/>
              <w:right w:val="nil"/>
            </w:tcBorders>
            <w:shd w:val="clear" w:color="auto" w:fill="auto"/>
            <w:noWrap/>
            <w:vAlign w:val="bottom"/>
            <w:hideMark/>
          </w:tcPr>
          <w:p w14:paraId="6EE1118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31.4</w:t>
            </w:r>
          </w:p>
        </w:tc>
        <w:tc>
          <w:tcPr>
            <w:tcW w:w="720" w:type="dxa"/>
            <w:tcBorders>
              <w:top w:val="nil"/>
              <w:left w:val="nil"/>
              <w:bottom w:val="nil"/>
              <w:right w:val="nil"/>
            </w:tcBorders>
            <w:shd w:val="clear" w:color="auto" w:fill="auto"/>
            <w:noWrap/>
            <w:vAlign w:val="bottom"/>
          </w:tcPr>
          <w:p w14:paraId="4B6A51E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4.9</w:t>
            </w:r>
          </w:p>
        </w:tc>
        <w:tc>
          <w:tcPr>
            <w:tcW w:w="832" w:type="dxa"/>
            <w:tcBorders>
              <w:top w:val="nil"/>
              <w:left w:val="nil"/>
              <w:bottom w:val="nil"/>
              <w:right w:val="single" w:sz="4" w:space="0" w:color="auto"/>
            </w:tcBorders>
            <w:shd w:val="clear" w:color="auto" w:fill="auto"/>
            <w:noWrap/>
            <w:vAlign w:val="bottom"/>
          </w:tcPr>
          <w:p w14:paraId="48D5712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103.2</w:t>
            </w:r>
          </w:p>
        </w:tc>
        <w:tc>
          <w:tcPr>
            <w:tcW w:w="615" w:type="dxa"/>
            <w:gridSpan w:val="2"/>
            <w:tcBorders>
              <w:top w:val="nil"/>
              <w:left w:val="single" w:sz="4" w:space="0" w:color="auto"/>
              <w:bottom w:val="nil"/>
              <w:right w:val="nil"/>
            </w:tcBorders>
            <w:shd w:val="clear" w:color="auto" w:fill="auto"/>
            <w:noWrap/>
            <w:vAlign w:val="bottom"/>
          </w:tcPr>
          <w:p w14:paraId="3F6385C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35.7</w:t>
            </w:r>
          </w:p>
        </w:tc>
        <w:tc>
          <w:tcPr>
            <w:tcW w:w="623" w:type="dxa"/>
            <w:tcBorders>
              <w:top w:val="nil"/>
              <w:left w:val="nil"/>
              <w:bottom w:val="nil"/>
              <w:right w:val="nil"/>
            </w:tcBorders>
            <w:shd w:val="clear" w:color="auto" w:fill="auto"/>
            <w:noWrap/>
            <w:vAlign w:val="bottom"/>
          </w:tcPr>
          <w:p w14:paraId="68108A4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4.7</w:t>
            </w:r>
          </w:p>
        </w:tc>
        <w:tc>
          <w:tcPr>
            <w:tcW w:w="832" w:type="dxa"/>
            <w:tcBorders>
              <w:top w:val="nil"/>
              <w:left w:val="nil"/>
              <w:bottom w:val="nil"/>
              <w:right w:val="single" w:sz="4" w:space="0" w:color="auto"/>
            </w:tcBorders>
            <w:shd w:val="clear" w:color="auto" w:fill="auto"/>
            <w:noWrap/>
            <w:vAlign w:val="bottom"/>
          </w:tcPr>
          <w:p w14:paraId="5D965F5F"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145.7</w:t>
            </w:r>
          </w:p>
        </w:tc>
        <w:tc>
          <w:tcPr>
            <w:tcW w:w="615" w:type="dxa"/>
            <w:tcBorders>
              <w:top w:val="nil"/>
              <w:left w:val="single" w:sz="4" w:space="0" w:color="auto"/>
              <w:bottom w:val="nil"/>
              <w:right w:val="nil"/>
            </w:tcBorders>
            <w:shd w:val="clear" w:color="auto" w:fill="auto"/>
            <w:noWrap/>
            <w:vAlign w:val="bottom"/>
          </w:tcPr>
          <w:p w14:paraId="6CD5B093"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37.7</w:t>
            </w:r>
          </w:p>
        </w:tc>
        <w:tc>
          <w:tcPr>
            <w:tcW w:w="623" w:type="dxa"/>
            <w:tcBorders>
              <w:top w:val="nil"/>
              <w:left w:val="nil"/>
              <w:bottom w:val="nil"/>
              <w:right w:val="nil"/>
            </w:tcBorders>
            <w:shd w:val="clear" w:color="auto" w:fill="auto"/>
            <w:noWrap/>
            <w:vAlign w:val="bottom"/>
          </w:tcPr>
          <w:p w14:paraId="5CE3FB4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5.4</w:t>
            </w:r>
          </w:p>
        </w:tc>
        <w:tc>
          <w:tcPr>
            <w:tcW w:w="922" w:type="dxa"/>
            <w:tcBorders>
              <w:top w:val="nil"/>
              <w:left w:val="nil"/>
              <w:bottom w:val="nil"/>
              <w:right w:val="single" w:sz="4" w:space="0" w:color="auto"/>
            </w:tcBorders>
            <w:shd w:val="clear" w:color="auto" w:fill="auto"/>
            <w:noWrap/>
            <w:vAlign w:val="bottom"/>
          </w:tcPr>
          <w:p w14:paraId="312BA0A5"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415.2</w:t>
            </w:r>
          </w:p>
        </w:tc>
        <w:tc>
          <w:tcPr>
            <w:tcW w:w="705" w:type="dxa"/>
            <w:tcBorders>
              <w:top w:val="nil"/>
              <w:left w:val="single" w:sz="4" w:space="0" w:color="auto"/>
              <w:bottom w:val="nil"/>
              <w:right w:val="nil"/>
            </w:tcBorders>
            <w:shd w:val="clear" w:color="auto" w:fill="auto"/>
            <w:noWrap/>
            <w:vAlign w:val="bottom"/>
          </w:tcPr>
          <w:p w14:paraId="71BEA93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36.6</w:t>
            </w:r>
          </w:p>
        </w:tc>
        <w:tc>
          <w:tcPr>
            <w:tcW w:w="630" w:type="dxa"/>
            <w:tcBorders>
              <w:top w:val="nil"/>
              <w:left w:val="nil"/>
              <w:bottom w:val="nil"/>
              <w:right w:val="nil"/>
            </w:tcBorders>
            <w:shd w:val="clear" w:color="auto" w:fill="auto"/>
            <w:noWrap/>
            <w:vAlign w:val="bottom"/>
          </w:tcPr>
          <w:p w14:paraId="3A6E8390"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5.3</w:t>
            </w:r>
          </w:p>
        </w:tc>
        <w:tc>
          <w:tcPr>
            <w:tcW w:w="915" w:type="dxa"/>
            <w:tcBorders>
              <w:top w:val="nil"/>
              <w:left w:val="nil"/>
              <w:bottom w:val="nil"/>
              <w:right w:val="nil"/>
            </w:tcBorders>
            <w:shd w:val="clear" w:color="auto" w:fill="auto"/>
            <w:noWrap/>
            <w:vAlign w:val="bottom"/>
          </w:tcPr>
          <w:p w14:paraId="3CBA0A6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61.2</w:t>
            </w:r>
          </w:p>
        </w:tc>
      </w:tr>
      <w:tr w:rsidR="00837E11" w:rsidRPr="00022CA4" w14:paraId="21392B83" w14:textId="77777777" w:rsidTr="001B5A9B">
        <w:trPr>
          <w:trHeight w:val="312"/>
          <w:jc w:val="center"/>
        </w:trPr>
        <w:tc>
          <w:tcPr>
            <w:tcW w:w="1343" w:type="dxa"/>
            <w:tcBorders>
              <w:top w:val="nil"/>
              <w:left w:val="nil"/>
              <w:bottom w:val="nil"/>
              <w:right w:val="nil"/>
            </w:tcBorders>
            <w:shd w:val="clear" w:color="auto" w:fill="auto"/>
            <w:vAlign w:val="bottom"/>
            <w:hideMark/>
          </w:tcPr>
          <w:p w14:paraId="1C0A57D8"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Denakil</w:t>
            </w:r>
            <w:proofErr w:type="spellEnd"/>
          </w:p>
        </w:tc>
        <w:tc>
          <w:tcPr>
            <w:tcW w:w="720" w:type="dxa"/>
            <w:tcBorders>
              <w:top w:val="nil"/>
              <w:left w:val="nil"/>
              <w:bottom w:val="nil"/>
              <w:right w:val="nil"/>
            </w:tcBorders>
            <w:shd w:val="clear" w:color="auto" w:fill="auto"/>
            <w:noWrap/>
            <w:vAlign w:val="bottom"/>
            <w:hideMark/>
          </w:tcPr>
          <w:p w14:paraId="53D8BB8E"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67.8</w:t>
            </w:r>
          </w:p>
        </w:tc>
        <w:tc>
          <w:tcPr>
            <w:tcW w:w="720" w:type="dxa"/>
            <w:tcBorders>
              <w:top w:val="nil"/>
              <w:left w:val="nil"/>
              <w:bottom w:val="nil"/>
              <w:right w:val="nil"/>
            </w:tcBorders>
            <w:shd w:val="clear" w:color="auto" w:fill="auto"/>
            <w:noWrap/>
            <w:vAlign w:val="bottom"/>
          </w:tcPr>
          <w:p w14:paraId="3CA0185E"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6.2</w:t>
            </w:r>
          </w:p>
        </w:tc>
        <w:tc>
          <w:tcPr>
            <w:tcW w:w="832" w:type="dxa"/>
            <w:tcBorders>
              <w:top w:val="nil"/>
              <w:left w:val="nil"/>
              <w:bottom w:val="nil"/>
              <w:right w:val="single" w:sz="4" w:space="0" w:color="auto"/>
            </w:tcBorders>
            <w:shd w:val="clear" w:color="auto" w:fill="auto"/>
            <w:noWrap/>
            <w:vAlign w:val="bottom"/>
          </w:tcPr>
          <w:p w14:paraId="64D3A98F"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33.0</w:t>
            </w:r>
          </w:p>
        </w:tc>
        <w:tc>
          <w:tcPr>
            <w:tcW w:w="615" w:type="dxa"/>
            <w:gridSpan w:val="2"/>
            <w:tcBorders>
              <w:top w:val="nil"/>
              <w:left w:val="single" w:sz="4" w:space="0" w:color="auto"/>
              <w:bottom w:val="nil"/>
              <w:right w:val="nil"/>
            </w:tcBorders>
            <w:shd w:val="clear" w:color="auto" w:fill="auto"/>
            <w:noWrap/>
            <w:vAlign w:val="bottom"/>
          </w:tcPr>
          <w:p w14:paraId="271CC3DE"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53.1</w:t>
            </w:r>
          </w:p>
        </w:tc>
        <w:tc>
          <w:tcPr>
            <w:tcW w:w="623" w:type="dxa"/>
            <w:tcBorders>
              <w:top w:val="nil"/>
              <w:left w:val="nil"/>
              <w:bottom w:val="nil"/>
              <w:right w:val="nil"/>
            </w:tcBorders>
            <w:shd w:val="clear" w:color="auto" w:fill="auto"/>
            <w:noWrap/>
            <w:vAlign w:val="bottom"/>
          </w:tcPr>
          <w:p w14:paraId="1592EB3A"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5.8</w:t>
            </w:r>
          </w:p>
        </w:tc>
        <w:tc>
          <w:tcPr>
            <w:tcW w:w="832" w:type="dxa"/>
            <w:tcBorders>
              <w:top w:val="nil"/>
              <w:left w:val="nil"/>
              <w:bottom w:val="nil"/>
              <w:right w:val="single" w:sz="4" w:space="0" w:color="auto"/>
            </w:tcBorders>
            <w:shd w:val="clear" w:color="auto" w:fill="auto"/>
            <w:noWrap/>
            <w:vAlign w:val="bottom"/>
          </w:tcPr>
          <w:p w14:paraId="4056BFC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14.2</w:t>
            </w:r>
          </w:p>
        </w:tc>
        <w:tc>
          <w:tcPr>
            <w:tcW w:w="615" w:type="dxa"/>
            <w:tcBorders>
              <w:top w:val="nil"/>
              <w:left w:val="single" w:sz="4" w:space="0" w:color="auto"/>
              <w:bottom w:val="nil"/>
              <w:right w:val="nil"/>
            </w:tcBorders>
            <w:shd w:val="clear" w:color="auto" w:fill="auto"/>
            <w:noWrap/>
            <w:vAlign w:val="bottom"/>
          </w:tcPr>
          <w:p w14:paraId="5B08E9FF"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57.8</w:t>
            </w:r>
          </w:p>
        </w:tc>
        <w:tc>
          <w:tcPr>
            <w:tcW w:w="623" w:type="dxa"/>
            <w:tcBorders>
              <w:top w:val="nil"/>
              <w:left w:val="nil"/>
              <w:bottom w:val="nil"/>
              <w:right w:val="nil"/>
            </w:tcBorders>
            <w:shd w:val="clear" w:color="auto" w:fill="auto"/>
            <w:noWrap/>
            <w:vAlign w:val="bottom"/>
          </w:tcPr>
          <w:p w14:paraId="0005C34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5.6</w:t>
            </w:r>
          </w:p>
        </w:tc>
        <w:tc>
          <w:tcPr>
            <w:tcW w:w="922" w:type="dxa"/>
            <w:tcBorders>
              <w:top w:val="nil"/>
              <w:left w:val="nil"/>
              <w:bottom w:val="nil"/>
              <w:right w:val="single" w:sz="4" w:space="0" w:color="auto"/>
            </w:tcBorders>
            <w:shd w:val="clear" w:color="auto" w:fill="auto"/>
            <w:noWrap/>
            <w:vAlign w:val="bottom"/>
          </w:tcPr>
          <w:p w14:paraId="7820C33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27.8</w:t>
            </w:r>
          </w:p>
        </w:tc>
        <w:tc>
          <w:tcPr>
            <w:tcW w:w="705" w:type="dxa"/>
            <w:tcBorders>
              <w:top w:val="nil"/>
              <w:left w:val="single" w:sz="4" w:space="0" w:color="auto"/>
              <w:bottom w:val="nil"/>
              <w:right w:val="nil"/>
            </w:tcBorders>
            <w:shd w:val="clear" w:color="auto" w:fill="auto"/>
            <w:noWrap/>
            <w:vAlign w:val="bottom"/>
          </w:tcPr>
          <w:p w14:paraId="1BED378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89.4</w:t>
            </w:r>
          </w:p>
        </w:tc>
        <w:tc>
          <w:tcPr>
            <w:tcW w:w="630" w:type="dxa"/>
            <w:tcBorders>
              <w:top w:val="nil"/>
              <w:left w:val="nil"/>
              <w:bottom w:val="nil"/>
              <w:right w:val="nil"/>
            </w:tcBorders>
            <w:shd w:val="clear" w:color="auto" w:fill="auto"/>
            <w:noWrap/>
            <w:vAlign w:val="bottom"/>
          </w:tcPr>
          <w:p w14:paraId="7678CA2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7.4</w:t>
            </w:r>
          </w:p>
        </w:tc>
        <w:tc>
          <w:tcPr>
            <w:tcW w:w="915" w:type="dxa"/>
            <w:tcBorders>
              <w:top w:val="nil"/>
              <w:left w:val="nil"/>
              <w:bottom w:val="nil"/>
              <w:right w:val="nil"/>
            </w:tcBorders>
            <w:shd w:val="clear" w:color="auto" w:fill="auto"/>
            <w:noWrap/>
            <w:vAlign w:val="bottom"/>
          </w:tcPr>
          <w:p w14:paraId="12F02146"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63.7</w:t>
            </w:r>
          </w:p>
        </w:tc>
      </w:tr>
      <w:tr w:rsidR="00837E11" w:rsidRPr="00022CA4" w14:paraId="4ED810FE" w14:textId="77777777" w:rsidTr="001B5A9B">
        <w:trPr>
          <w:trHeight w:val="312"/>
          <w:jc w:val="center"/>
        </w:trPr>
        <w:tc>
          <w:tcPr>
            <w:tcW w:w="1343" w:type="dxa"/>
            <w:tcBorders>
              <w:top w:val="nil"/>
              <w:left w:val="nil"/>
              <w:bottom w:val="nil"/>
              <w:right w:val="nil"/>
            </w:tcBorders>
            <w:shd w:val="clear" w:color="auto" w:fill="auto"/>
            <w:vAlign w:val="bottom"/>
            <w:hideMark/>
          </w:tcPr>
          <w:p w14:paraId="2946F318" w14:textId="77777777" w:rsidR="00837E11" w:rsidRPr="00022CA4" w:rsidRDefault="00837E11" w:rsidP="001B5A9B">
            <w:pPr>
              <w:spacing w:line="360" w:lineRule="auto"/>
              <w:rPr>
                <w:rFonts w:ascii="Times New Roman" w:eastAsia="Times New Roman" w:hAnsi="Times New Roman" w:cs="Times New Roman"/>
                <w:color w:val="000000"/>
                <w:sz w:val="20"/>
                <w:szCs w:val="20"/>
              </w:rPr>
            </w:pPr>
            <w:r w:rsidRPr="00022CA4">
              <w:rPr>
                <w:rFonts w:ascii="Times New Roman" w:eastAsia="Times New Roman" w:hAnsi="Times New Roman" w:cs="Times New Roman"/>
                <w:color w:val="000000"/>
                <w:spacing w:val="-5"/>
                <w:sz w:val="20"/>
                <w:szCs w:val="20"/>
              </w:rPr>
              <w:t>Rift-Valley</w:t>
            </w:r>
          </w:p>
        </w:tc>
        <w:tc>
          <w:tcPr>
            <w:tcW w:w="720" w:type="dxa"/>
            <w:tcBorders>
              <w:top w:val="nil"/>
              <w:left w:val="nil"/>
              <w:bottom w:val="nil"/>
              <w:right w:val="nil"/>
            </w:tcBorders>
            <w:shd w:val="clear" w:color="auto" w:fill="auto"/>
            <w:noWrap/>
            <w:vAlign w:val="bottom"/>
            <w:hideMark/>
          </w:tcPr>
          <w:p w14:paraId="21E8A388"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44.3</w:t>
            </w:r>
          </w:p>
        </w:tc>
        <w:tc>
          <w:tcPr>
            <w:tcW w:w="720" w:type="dxa"/>
            <w:tcBorders>
              <w:top w:val="nil"/>
              <w:left w:val="nil"/>
              <w:bottom w:val="nil"/>
              <w:right w:val="nil"/>
            </w:tcBorders>
            <w:shd w:val="clear" w:color="auto" w:fill="auto"/>
            <w:noWrap/>
            <w:vAlign w:val="bottom"/>
          </w:tcPr>
          <w:p w14:paraId="74D65AA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4.5</w:t>
            </w:r>
          </w:p>
        </w:tc>
        <w:tc>
          <w:tcPr>
            <w:tcW w:w="832" w:type="dxa"/>
            <w:tcBorders>
              <w:top w:val="nil"/>
              <w:left w:val="nil"/>
              <w:bottom w:val="nil"/>
              <w:right w:val="single" w:sz="4" w:space="0" w:color="auto"/>
            </w:tcBorders>
            <w:shd w:val="clear" w:color="auto" w:fill="auto"/>
            <w:noWrap/>
            <w:vAlign w:val="bottom"/>
          </w:tcPr>
          <w:p w14:paraId="5E60354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276.7</w:t>
            </w:r>
          </w:p>
        </w:tc>
        <w:tc>
          <w:tcPr>
            <w:tcW w:w="615" w:type="dxa"/>
            <w:gridSpan w:val="2"/>
            <w:tcBorders>
              <w:top w:val="nil"/>
              <w:left w:val="single" w:sz="4" w:space="0" w:color="auto"/>
              <w:bottom w:val="nil"/>
              <w:right w:val="nil"/>
            </w:tcBorders>
            <w:shd w:val="clear" w:color="auto" w:fill="auto"/>
            <w:noWrap/>
            <w:vAlign w:val="bottom"/>
          </w:tcPr>
          <w:p w14:paraId="2BE977D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41.7</w:t>
            </w:r>
          </w:p>
        </w:tc>
        <w:tc>
          <w:tcPr>
            <w:tcW w:w="623" w:type="dxa"/>
            <w:tcBorders>
              <w:top w:val="nil"/>
              <w:left w:val="nil"/>
              <w:bottom w:val="nil"/>
              <w:right w:val="nil"/>
            </w:tcBorders>
            <w:shd w:val="clear" w:color="auto" w:fill="auto"/>
            <w:noWrap/>
            <w:vAlign w:val="bottom"/>
          </w:tcPr>
          <w:p w14:paraId="36A7DED5"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5.7</w:t>
            </w:r>
          </w:p>
        </w:tc>
        <w:tc>
          <w:tcPr>
            <w:tcW w:w="832" w:type="dxa"/>
            <w:tcBorders>
              <w:top w:val="nil"/>
              <w:left w:val="nil"/>
              <w:bottom w:val="nil"/>
              <w:right w:val="single" w:sz="4" w:space="0" w:color="auto"/>
            </w:tcBorders>
            <w:shd w:val="clear" w:color="auto" w:fill="auto"/>
            <w:noWrap/>
            <w:vAlign w:val="bottom"/>
          </w:tcPr>
          <w:p w14:paraId="611C55C9"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187.3</w:t>
            </w:r>
          </w:p>
        </w:tc>
        <w:tc>
          <w:tcPr>
            <w:tcW w:w="615" w:type="dxa"/>
            <w:tcBorders>
              <w:top w:val="nil"/>
              <w:left w:val="single" w:sz="4" w:space="0" w:color="auto"/>
              <w:bottom w:val="nil"/>
              <w:right w:val="nil"/>
            </w:tcBorders>
            <w:shd w:val="clear" w:color="auto" w:fill="auto"/>
            <w:noWrap/>
            <w:vAlign w:val="bottom"/>
          </w:tcPr>
          <w:p w14:paraId="1713FA0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35.8</w:t>
            </w:r>
          </w:p>
        </w:tc>
        <w:tc>
          <w:tcPr>
            <w:tcW w:w="623" w:type="dxa"/>
            <w:tcBorders>
              <w:top w:val="nil"/>
              <w:left w:val="nil"/>
              <w:bottom w:val="nil"/>
              <w:right w:val="nil"/>
            </w:tcBorders>
            <w:shd w:val="clear" w:color="auto" w:fill="auto"/>
            <w:noWrap/>
            <w:vAlign w:val="bottom"/>
          </w:tcPr>
          <w:p w14:paraId="746AC71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3.8</w:t>
            </w:r>
          </w:p>
        </w:tc>
        <w:tc>
          <w:tcPr>
            <w:tcW w:w="922" w:type="dxa"/>
            <w:tcBorders>
              <w:top w:val="nil"/>
              <w:left w:val="nil"/>
              <w:bottom w:val="nil"/>
              <w:right w:val="single" w:sz="4" w:space="0" w:color="auto"/>
            </w:tcBorders>
            <w:shd w:val="clear" w:color="auto" w:fill="auto"/>
            <w:noWrap/>
            <w:vAlign w:val="bottom"/>
          </w:tcPr>
          <w:p w14:paraId="3F6579B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152.7</w:t>
            </w:r>
          </w:p>
        </w:tc>
        <w:tc>
          <w:tcPr>
            <w:tcW w:w="705" w:type="dxa"/>
            <w:tcBorders>
              <w:top w:val="nil"/>
              <w:left w:val="single" w:sz="4" w:space="0" w:color="auto"/>
              <w:bottom w:val="nil"/>
              <w:right w:val="nil"/>
            </w:tcBorders>
            <w:shd w:val="clear" w:color="auto" w:fill="auto"/>
            <w:noWrap/>
            <w:vAlign w:val="bottom"/>
          </w:tcPr>
          <w:p w14:paraId="32FAC3E3"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67.4</w:t>
            </w:r>
          </w:p>
        </w:tc>
        <w:tc>
          <w:tcPr>
            <w:tcW w:w="630" w:type="dxa"/>
            <w:tcBorders>
              <w:top w:val="nil"/>
              <w:left w:val="nil"/>
              <w:bottom w:val="nil"/>
              <w:right w:val="nil"/>
            </w:tcBorders>
            <w:shd w:val="clear" w:color="auto" w:fill="auto"/>
            <w:noWrap/>
            <w:vAlign w:val="bottom"/>
          </w:tcPr>
          <w:p w14:paraId="5939989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4.5</w:t>
            </w:r>
          </w:p>
        </w:tc>
        <w:tc>
          <w:tcPr>
            <w:tcW w:w="915" w:type="dxa"/>
            <w:tcBorders>
              <w:top w:val="nil"/>
              <w:left w:val="nil"/>
              <w:bottom w:val="nil"/>
              <w:right w:val="nil"/>
            </w:tcBorders>
            <w:shd w:val="clear" w:color="auto" w:fill="auto"/>
            <w:noWrap/>
            <w:vAlign w:val="bottom"/>
          </w:tcPr>
          <w:p w14:paraId="11A0548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216.6</w:t>
            </w:r>
          </w:p>
        </w:tc>
      </w:tr>
      <w:tr w:rsidR="00837E11" w:rsidRPr="00022CA4" w14:paraId="73DC304A" w14:textId="77777777" w:rsidTr="001B5A9B">
        <w:trPr>
          <w:trHeight w:val="312"/>
          <w:jc w:val="center"/>
        </w:trPr>
        <w:tc>
          <w:tcPr>
            <w:tcW w:w="1343" w:type="dxa"/>
            <w:tcBorders>
              <w:top w:val="nil"/>
              <w:left w:val="nil"/>
              <w:right w:val="nil"/>
            </w:tcBorders>
            <w:shd w:val="clear" w:color="auto" w:fill="auto"/>
            <w:vAlign w:val="bottom"/>
            <w:hideMark/>
          </w:tcPr>
          <w:p w14:paraId="5210B877"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Mereb</w:t>
            </w:r>
            <w:proofErr w:type="spellEnd"/>
            <w:r w:rsidRPr="00022CA4">
              <w:rPr>
                <w:rFonts w:ascii="Times New Roman" w:eastAsia="Times New Roman" w:hAnsi="Times New Roman" w:cs="Times New Roman"/>
                <w:color w:val="000000"/>
                <w:spacing w:val="-5"/>
                <w:sz w:val="20"/>
                <w:szCs w:val="20"/>
              </w:rPr>
              <w:t>-G</w:t>
            </w:r>
          </w:p>
        </w:tc>
        <w:tc>
          <w:tcPr>
            <w:tcW w:w="720" w:type="dxa"/>
            <w:tcBorders>
              <w:top w:val="nil"/>
              <w:left w:val="nil"/>
              <w:right w:val="nil"/>
            </w:tcBorders>
            <w:shd w:val="clear" w:color="auto" w:fill="auto"/>
            <w:noWrap/>
            <w:vAlign w:val="bottom"/>
            <w:hideMark/>
          </w:tcPr>
          <w:p w14:paraId="66817F0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8.5</w:t>
            </w:r>
          </w:p>
        </w:tc>
        <w:tc>
          <w:tcPr>
            <w:tcW w:w="720" w:type="dxa"/>
            <w:tcBorders>
              <w:top w:val="nil"/>
              <w:left w:val="nil"/>
              <w:right w:val="nil"/>
            </w:tcBorders>
            <w:shd w:val="clear" w:color="auto" w:fill="auto"/>
            <w:noWrap/>
            <w:vAlign w:val="bottom"/>
          </w:tcPr>
          <w:p w14:paraId="10F3FD0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4.0</w:t>
            </w:r>
          </w:p>
        </w:tc>
        <w:tc>
          <w:tcPr>
            <w:tcW w:w="832" w:type="dxa"/>
            <w:tcBorders>
              <w:top w:val="nil"/>
              <w:left w:val="nil"/>
              <w:right w:val="single" w:sz="4" w:space="0" w:color="auto"/>
            </w:tcBorders>
            <w:shd w:val="clear" w:color="auto" w:fill="auto"/>
            <w:noWrap/>
            <w:vAlign w:val="bottom"/>
          </w:tcPr>
          <w:p w14:paraId="7B3FA1B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8.9</w:t>
            </w:r>
          </w:p>
        </w:tc>
        <w:tc>
          <w:tcPr>
            <w:tcW w:w="615" w:type="dxa"/>
            <w:gridSpan w:val="2"/>
            <w:tcBorders>
              <w:top w:val="nil"/>
              <w:left w:val="single" w:sz="4" w:space="0" w:color="auto"/>
              <w:right w:val="nil"/>
            </w:tcBorders>
            <w:shd w:val="clear" w:color="auto" w:fill="auto"/>
            <w:noWrap/>
            <w:vAlign w:val="bottom"/>
          </w:tcPr>
          <w:p w14:paraId="532B694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42.7</w:t>
            </w:r>
          </w:p>
        </w:tc>
        <w:tc>
          <w:tcPr>
            <w:tcW w:w="623" w:type="dxa"/>
            <w:tcBorders>
              <w:top w:val="nil"/>
              <w:left w:val="nil"/>
              <w:right w:val="nil"/>
            </w:tcBorders>
            <w:shd w:val="clear" w:color="auto" w:fill="auto"/>
            <w:noWrap/>
            <w:vAlign w:val="bottom"/>
          </w:tcPr>
          <w:p w14:paraId="4371CDF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5.2</w:t>
            </w:r>
          </w:p>
        </w:tc>
        <w:tc>
          <w:tcPr>
            <w:tcW w:w="832" w:type="dxa"/>
            <w:tcBorders>
              <w:top w:val="nil"/>
              <w:left w:val="nil"/>
              <w:right w:val="single" w:sz="4" w:space="0" w:color="auto"/>
            </w:tcBorders>
            <w:shd w:val="clear" w:color="auto" w:fill="auto"/>
            <w:noWrap/>
            <w:vAlign w:val="bottom"/>
          </w:tcPr>
          <w:p w14:paraId="7FF8218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8.9</w:t>
            </w:r>
          </w:p>
        </w:tc>
        <w:tc>
          <w:tcPr>
            <w:tcW w:w="615" w:type="dxa"/>
            <w:tcBorders>
              <w:top w:val="nil"/>
              <w:left w:val="single" w:sz="4" w:space="0" w:color="auto"/>
              <w:right w:val="nil"/>
            </w:tcBorders>
            <w:shd w:val="clear" w:color="auto" w:fill="auto"/>
            <w:noWrap/>
            <w:vAlign w:val="bottom"/>
          </w:tcPr>
          <w:p w14:paraId="6D2BF25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42.9</w:t>
            </w:r>
          </w:p>
        </w:tc>
        <w:tc>
          <w:tcPr>
            <w:tcW w:w="623" w:type="dxa"/>
            <w:tcBorders>
              <w:top w:val="nil"/>
              <w:left w:val="nil"/>
              <w:right w:val="nil"/>
            </w:tcBorders>
            <w:shd w:val="clear" w:color="auto" w:fill="auto"/>
            <w:noWrap/>
            <w:vAlign w:val="bottom"/>
          </w:tcPr>
          <w:p w14:paraId="49FDD963"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4.7</w:t>
            </w:r>
          </w:p>
        </w:tc>
        <w:tc>
          <w:tcPr>
            <w:tcW w:w="922" w:type="dxa"/>
            <w:tcBorders>
              <w:top w:val="nil"/>
              <w:left w:val="nil"/>
              <w:right w:val="single" w:sz="4" w:space="0" w:color="auto"/>
            </w:tcBorders>
            <w:shd w:val="clear" w:color="auto" w:fill="auto"/>
            <w:noWrap/>
            <w:vAlign w:val="bottom"/>
          </w:tcPr>
          <w:p w14:paraId="2A8991B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13.5</w:t>
            </w:r>
          </w:p>
        </w:tc>
        <w:tc>
          <w:tcPr>
            <w:tcW w:w="705" w:type="dxa"/>
            <w:tcBorders>
              <w:top w:val="nil"/>
              <w:left w:val="single" w:sz="4" w:space="0" w:color="auto"/>
              <w:right w:val="nil"/>
            </w:tcBorders>
            <w:shd w:val="clear" w:color="auto" w:fill="auto"/>
            <w:noWrap/>
            <w:vAlign w:val="bottom"/>
          </w:tcPr>
          <w:p w14:paraId="7AA70E43"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15.2</w:t>
            </w:r>
          </w:p>
        </w:tc>
        <w:tc>
          <w:tcPr>
            <w:tcW w:w="630" w:type="dxa"/>
            <w:tcBorders>
              <w:top w:val="nil"/>
              <w:left w:val="nil"/>
              <w:right w:val="nil"/>
            </w:tcBorders>
            <w:shd w:val="clear" w:color="auto" w:fill="auto"/>
            <w:noWrap/>
            <w:vAlign w:val="bottom"/>
          </w:tcPr>
          <w:p w14:paraId="75DB0DCF"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2.3</w:t>
            </w:r>
          </w:p>
        </w:tc>
        <w:tc>
          <w:tcPr>
            <w:tcW w:w="915" w:type="dxa"/>
            <w:tcBorders>
              <w:top w:val="nil"/>
              <w:left w:val="nil"/>
              <w:right w:val="nil"/>
            </w:tcBorders>
            <w:shd w:val="clear" w:color="auto" w:fill="auto"/>
            <w:noWrap/>
            <w:vAlign w:val="bottom"/>
          </w:tcPr>
          <w:p w14:paraId="6FADA69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74.9</w:t>
            </w:r>
          </w:p>
        </w:tc>
      </w:tr>
      <w:tr w:rsidR="00837E11" w:rsidRPr="00022CA4" w14:paraId="44D757FB" w14:textId="77777777" w:rsidTr="001B5A9B">
        <w:trPr>
          <w:trHeight w:val="324"/>
          <w:jc w:val="center"/>
        </w:trPr>
        <w:tc>
          <w:tcPr>
            <w:tcW w:w="1343" w:type="dxa"/>
            <w:tcBorders>
              <w:top w:val="nil"/>
              <w:left w:val="nil"/>
              <w:bottom w:val="single" w:sz="4" w:space="0" w:color="auto"/>
              <w:right w:val="nil"/>
            </w:tcBorders>
            <w:shd w:val="clear" w:color="auto" w:fill="auto"/>
            <w:vAlign w:val="bottom"/>
            <w:hideMark/>
          </w:tcPr>
          <w:p w14:paraId="61356D75" w14:textId="77777777" w:rsidR="00837E11" w:rsidRPr="00022CA4" w:rsidRDefault="00837E11" w:rsidP="001B5A9B">
            <w:pPr>
              <w:spacing w:line="360" w:lineRule="auto"/>
              <w:rPr>
                <w:rFonts w:ascii="Times New Roman" w:eastAsia="Times New Roman" w:hAnsi="Times New Roman" w:cs="Times New Roman"/>
                <w:color w:val="000000"/>
                <w:sz w:val="20"/>
                <w:szCs w:val="20"/>
              </w:rPr>
            </w:pPr>
            <w:proofErr w:type="spellStart"/>
            <w:r w:rsidRPr="00022CA4">
              <w:rPr>
                <w:rFonts w:ascii="Times New Roman" w:eastAsia="Times New Roman" w:hAnsi="Times New Roman" w:cs="Times New Roman"/>
                <w:color w:val="000000"/>
                <w:spacing w:val="-5"/>
                <w:sz w:val="20"/>
                <w:szCs w:val="20"/>
              </w:rPr>
              <w:t>Aysha</w:t>
            </w:r>
            <w:proofErr w:type="spellEnd"/>
          </w:p>
        </w:tc>
        <w:tc>
          <w:tcPr>
            <w:tcW w:w="720" w:type="dxa"/>
            <w:tcBorders>
              <w:top w:val="nil"/>
              <w:left w:val="nil"/>
              <w:bottom w:val="single" w:sz="4" w:space="0" w:color="auto"/>
              <w:right w:val="nil"/>
            </w:tcBorders>
            <w:shd w:val="clear" w:color="auto" w:fill="auto"/>
            <w:noWrap/>
            <w:vAlign w:val="bottom"/>
            <w:hideMark/>
          </w:tcPr>
          <w:p w14:paraId="59B514F8"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18.8</w:t>
            </w:r>
          </w:p>
        </w:tc>
        <w:tc>
          <w:tcPr>
            <w:tcW w:w="720" w:type="dxa"/>
            <w:tcBorders>
              <w:top w:val="nil"/>
              <w:left w:val="nil"/>
              <w:bottom w:val="single" w:sz="4" w:space="0" w:color="auto"/>
              <w:right w:val="nil"/>
            </w:tcBorders>
            <w:shd w:val="clear" w:color="auto" w:fill="auto"/>
            <w:noWrap/>
            <w:vAlign w:val="bottom"/>
          </w:tcPr>
          <w:p w14:paraId="12F2446A"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3.6</w:t>
            </w:r>
          </w:p>
        </w:tc>
        <w:tc>
          <w:tcPr>
            <w:tcW w:w="832" w:type="dxa"/>
            <w:tcBorders>
              <w:top w:val="nil"/>
              <w:left w:val="nil"/>
              <w:bottom w:val="single" w:sz="4" w:space="0" w:color="auto"/>
              <w:right w:val="single" w:sz="4" w:space="0" w:color="auto"/>
            </w:tcBorders>
            <w:shd w:val="clear" w:color="auto" w:fill="auto"/>
            <w:noWrap/>
            <w:vAlign w:val="bottom"/>
          </w:tcPr>
          <w:p w14:paraId="7337539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9.4</w:t>
            </w:r>
          </w:p>
        </w:tc>
        <w:tc>
          <w:tcPr>
            <w:tcW w:w="615" w:type="dxa"/>
            <w:gridSpan w:val="2"/>
            <w:tcBorders>
              <w:top w:val="nil"/>
              <w:left w:val="single" w:sz="4" w:space="0" w:color="auto"/>
              <w:bottom w:val="single" w:sz="4" w:space="0" w:color="auto"/>
              <w:right w:val="nil"/>
            </w:tcBorders>
            <w:shd w:val="clear" w:color="auto" w:fill="auto"/>
            <w:noWrap/>
            <w:vAlign w:val="bottom"/>
          </w:tcPr>
          <w:p w14:paraId="2C8E09A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28.1</w:t>
            </w:r>
          </w:p>
        </w:tc>
        <w:tc>
          <w:tcPr>
            <w:tcW w:w="623" w:type="dxa"/>
            <w:tcBorders>
              <w:top w:val="nil"/>
              <w:left w:val="nil"/>
              <w:bottom w:val="single" w:sz="4" w:space="0" w:color="auto"/>
              <w:right w:val="nil"/>
            </w:tcBorders>
            <w:shd w:val="clear" w:color="auto" w:fill="auto"/>
            <w:noWrap/>
            <w:vAlign w:val="bottom"/>
          </w:tcPr>
          <w:p w14:paraId="6015A1BD"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4.1</w:t>
            </w:r>
          </w:p>
        </w:tc>
        <w:tc>
          <w:tcPr>
            <w:tcW w:w="832" w:type="dxa"/>
            <w:tcBorders>
              <w:top w:val="nil"/>
              <w:left w:val="nil"/>
              <w:bottom w:val="single" w:sz="4" w:space="0" w:color="auto"/>
              <w:right w:val="single" w:sz="4" w:space="0" w:color="auto"/>
            </w:tcBorders>
            <w:shd w:val="clear" w:color="auto" w:fill="auto"/>
            <w:noWrap/>
            <w:vAlign w:val="bottom"/>
          </w:tcPr>
          <w:p w14:paraId="38EAA77A"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0.3</w:t>
            </w:r>
          </w:p>
        </w:tc>
        <w:tc>
          <w:tcPr>
            <w:tcW w:w="615" w:type="dxa"/>
            <w:tcBorders>
              <w:top w:val="nil"/>
              <w:left w:val="single" w:sz="4" w:space="0" w:color="auto"/>
              <w:bottom w:val="single" w:sz="4" w:space="0" w:color="auto"/>
              <w:right w:val="nil"/>
            </w:tcBorders>
            <w:shd w:val="clear" w:color="auto" w:fill="auto"/>
            <w:noWrap/>
            <w:vAlign w:val="bottom"/>
          </w:tcPr>
          <w:p w14:paraId="1D27C8AB"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18.5</w:t>
            </w:r>
          </w:p>
        </w:tc>
        <w:tc>
          <w:tcPr>
            <w:tcW w:w="623" w:type="dxa"/>
            <w:tcBorders>
              <w:top w:val="nil"/>
              <w:left w:val="nil"/>
              <w:bottom w:val="single" w:sz="4" w:space="0" w:color="auto"/>
              <w:right w:val="nil"/>
            </w:tcBorders>
            <w:shd w:val="clear" w:color="auto" w:fill="auto"/>
            <w:noWrap/>
            <w:vAlign w:val="bottom"/>
          </w:tcPr>
          <w:p w14:paraId="1A49F754"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2.7</w:t>
            </w:r>
          </w:p>
        </w:tc>
        <w:tc>
          <w:tcPr>
            <w:tcW w:w="922" w:type="dxa"/>
            <w:tcBorders>
              <w:top w:val="nil"/>
              <w:left w:val="nil"/>
              <w:bottom w:val="single" w:sz="4" w:space="0" w:color="auto"/>
              <w:right w:val="single" w:sz="4" w:space="0" w:color="auto"/>
            </w:tcBorders>
            <w:shd w:val="clear" w:color="auto" w:fill="auto"/>
            <w:noWrap/>
            <w:vAlign w:val="bottom"/>
          </w:tcPr>
          <w:p w14:paraId="22A215A1"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8.8</w:t>
            </w:r>
          </w:p>
        </w:tc>
        <w:tc>
          <w:tcPr>
            <w:tcW w:w="705" w:type="dxa"/>
            <w:tcBorders>
              <w:top w:val="nil"/>
              <w:left w:val="single" w:sz="4" w:space="0" w:color="auto"/>
              <w:bottom w:val="single" w:sz="4" w:space="0" w:color="auto"/>
              <w:right w:val="nil"/>
            </w:tcBorders>
            <w:shd w:val="clear" w:color="auto" w:fill="auto"/>
            <w:noWrap/>
            <w:vAlign w:val="bottom"/>
          </w:tcPr>
          <w:p w14:paraId="3F24793C"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43.5</w:t>
            </w:r>
          </w:p>
        </w:tc>
        <w:tc>
          <w:tcPr>
            <w:tcW w:w="630" w:type="dxa"/>
            <w:tcBorders>
              <w:top w:val="nil"/>
              <w:left w:val="nil"/>
              <w:bottom w:val="single" w:sz="4" w:space="0" w:color="auto"/>
              <w:right w:val="nil"/>
            </w:tcBorders>
            <w:shd w:val="clear" w:color="auto" w:fill="auto"/>
            <w:noWrap/>
            <w:vAlign w:val="bottom"/>
          </w:tcPr>
          <w:p w14:paraId="754BD207"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4.3</w:t>
            </w:r>
          </w:p>
        </w:tc>
        <w:tc>
          <w:tcPr>
            <w:tcW w:w="915" w:type="dxa"/>
            <w:tcBorders>
              <w:top w:val="nil"/>
              <w:left w:val="nil"/>
              <w:bottom w:val="single" w:sz="4" w:space="0" w:color="auto"/>
              <w:right w:val="nil"/>
            </w:tcBorders>
            <w:shd w:val="clear" w:color="auto" w:fill="auto"/>
            <w:noWrap/>
            <w:vAlign w:val="bottom"/>
          </w:tcPr>
          <w:p w14:paraId="78C55192" w14:textId="77777777" w:rsidR="00837E11" w:rsidRPr="00022CA4" w:rsidRDefault="00837E11" w:rsidP="001B5A9B">
            <w:pPr>
              <w:spacing w:line="360" w:lineRule="auto"/>
              <w:jc w:val="center"/>
              <w:rPr>
                <w:rFonts w:ascii="Arial Narrow" w:eastAsia="Times New Roman" w:hAnsi="Arial Narrow" w:cs="Times New Roman"/>
                <w:color w:val="000000"/>
                <w:sz w:val="20"/>
                <w:szCs w:val="20"/>
              </w:rPr>
            </w:pPr>
            <w:r w:rsidRPr="00022CA4">
              <w:rPr>
                <w:rFonts w:ascii="Arial Narrow" w:hAnsi="Arial Narrow" w:cs="Calibri"/>
                <w:color w:val="000000"/>
                <w:sz w:val="20"/>
                <w:szCs w:val="20"/>
              </w:rPr>
              <w:t>18.4</w:t>
            </w:r>
          </w:p>
        </w:tc>
      </w:tr>
    </w:tbl>
    <w:p w14:paraId="584DD522" w14:textId="2F0B800A" w:rsidR="004278A0" w:rsidRPr="00022CA4" w:rsidRDefault="004278A0" w:rsidP="00EE4D7D">
      <w:pPr>
        <w:pStyle w:val="BodyText"/>
        <w:spacing w:line="360" w:lineRule="auto"/>
        <w:jc w:val="both"/>
        <w:rPr>
          <w:rFonts w:ascii="Times New Roman" w:hAnsi="Times New Roman" w:cs="Times New Roman"/>
          <w:sz w:val="24"/>
          <w:szCs w:val="24"/>
        </w:rPr>
      </w:pPr>
    </w:p>
    <w:p w14:paraId="07232184" w14:textId="77777777" w:rsidR="00DA37F7" w:rsidRPr="00022CA4" w:rsidRDefault="00DA37F7" w:rsidP="00DA37F7">
      <w:pPr>
        <w:spacing w:after="240" w:line="360" w:lineRule="auto"/>
      </w:pPr>
    </w:p>
    <w:p w14:paraId="6026DA2B" w14:textId="294B6B45" w:rsidR="008D2F21" w:rsidRPr="00022CA4" w:rsidRDefault="003207E2" w:rsidP="00DA37F7">
      <w:pPr>
        <w:pStyle w:val="Heading3"/>
        <w:spacing w:before="0" w:after="240" w:line="360" w:lineRule="auto"/>
        <w:rPr>
          <w:rFonts w:ascii="Times New Roman" w:hAnsi="Times New Roman" w:cs="Times New Roman"/>
          <w:b/>
          <w:bCs/>
          <w:color w:val="auto"/>
        </w:rPr>
      </w:pPr>
      <w:r w:rsidRPr="00022CA4">
        <w:rPr>
          <w:rFonts w:ascii="Times New Roman" w:hAnsi="Times New Roman" w:cs="Times New Roman"/>
          <w:b/>
          <w:bCs/>
          <w:color w:val="auto"/>
        </w:rPr>
        <w:lastRenderedPageBreak/>
        <w:t>3.3.2 Spatiotemporal Variability in Climatic Water Balance</w:t>
      </w:r>
      <w:r w:rsidR="00CA183B" w:rsidRPr="00022CA4">
        <w:rPr>
          <w:rFonts w:ascii="Times New Roman" w:hAnsi="Times New Roman" w:cs="Times New Roman"/>
          <w:b/>
          <w:bCs/>
          <w:color w:val="auto"/>
        </w:rPr>
        <w:t xml:space="preserve"> in</w:t>
      </w:r>
      <w:r w:rsidRPr="00022CA4">
        <w:rPr>
          <w:rFonts w:ascii="Times New Roman" w:hAnsi="Times New Roman" w:cs="Times New Roman"/>
          <w:b/>
          <w:bCs/>
          <w:color w:val="auto"/>
        </w:rPr>
        <w:t xml:space="preserve"> Ethiopia</w:t>
      </w:r>
    </w:p>
    <w:p w14:paraId="2E1C7D7E" w14:textId="6EEFEAD8" w:rsidR="00C04B69" w:rsidRPr="00022CA4" w:rsidRDefault="00124121" w:rsidP="00EE4D7D">
      <w:pPr>
        <w:widowControl/>
        <w:adjustRightInd w:val="0"/>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Compared to rainfall and </w:t>
      </w:r>
      <w:proofErr w:type="spellStart"/>
      <w:proofErr w:type="gramStart"/>
      <w:r w:rsidRPr="00022CA4">
        <w:rPr>
          <w:rFonts w:ascii="Times New Roman" w:hAnsi="Times New Roman" w:cs="Times New Roman"/>
          <w:sz w:val="24"/>
          <w:szCs w:val="24"/>
        </w:rPr>
        <w:t>ET</w:t>
      </w:r>
      <w:r w:rsidRPr="00022CA4">
        <w:rPr>
          <w:rFonts w:ascii="Times New Roman" w:hAnsi="Times New Roman" w:cs="Times New Roman"/>
          <w:sz w:val="24"/>
          <w:szCs w:val="24"/>
          <w:vertAlign w:val="subscript"/>
        </w:rPr>
        <w:t>o</w:t>
      </w:r>
      <w:proofErr w:type="spellEnd"/>
      <w:proofErr w:type="gramEnd"/>
      <w:r w:rsidRPr="00022CA4">
        <w:rPr>
          <w:rFonts w:ascii="Times New Roman" w:hAnsi="Times New Roman" w:cs="Times New Roman"/>
          <w:sz w:val="24"/>
          <w:szCs w:val="24"/>
        </w:rPr>
        <w:t xml:space="preserve">, the variability in annual as well as seasonal CWB was maximal with Kiremt </w:t>
      </w:r>
      <w:r w:rsidR="004277F8" w:rsidRPr="00022CA4">
        <w:rPr>
          <w:rFonts w:ascii="Times New Roman" w:hAnsi="Times New Roman" w:cs="Times New Roman"/>
          <w:sz w:val="24"/>
          <w:szCs w:val="24"/>
        </w:rPr>
        <w:t xml:space="preserve">season </w:t>
      </w:r>
      <w:r w:rsidRPr="00022CA4">
        <w:rPr>
          <w:rFonts w:ascii="Times New Roman" w:hAnsi="Times New Roman" w:cs="Times New Roman"/>
          <w:sz w:val="24"/>
          <w:szCs w:val="24"/>
        </w:rPr>
        <w:t>generally having lower</w:t>
      </w:r>
      <w:r w:rsidR="004277F8" w:rsidRPr="00022CA4">
        <w:rPr>
          <w:rFonts w:ascii="Times New Roman" w:hAnsi="Times New Roman" w:cs="Times New Roman"/>
          <w:sz w:val="24"/>
          <w:szCs w:val="24"/>
        </w:rPr>
        <w:t xml:space="preserve"> values of mean </w:t>
      </w:r>
      <w:r w:rsidRPr="00022CA4">
        <w:rPr>
          <w:rFonts w:ascii="Times New Roman" w:hAnsi="Times New Roman" w:cs="Times New Roman"/>
          <w:sz w:val="24"/>
          <w:szCs w:val="24"/>
        </w:rPr>
        <w:t>CV</w:t>
      </w:r>
      <w:r w:rsidR="004277F8" w:rsidRPr="00022CA4">
        <w:rPr>
          <w:rFonts w:ascii="Times New Roman" w:hAnsi="Times New Roman" w:cs="Times New Roman"/>
          <w:sz w:val="24"/>
          <w:szCs w:val="24"/>
        </w:rPr>
        <w:t>, 77.9 %,</w:t>
      </w:r>
      <w:r w:rsidRPr="00022CA4">
        <w:rPr>
          <w:rFonts w:ascii="Times New Roman" w:hAnsi="Times New Roman" w:cs="Times New Roman"/>
          <w:sz w:val="24"/>
          <w:szCs w:val="24"/>
        </w:rPr>
        <w:t xml:space="preserve"> compa</w:t>
      </w:r>
      <w:r w:rsidR="00B87DB8" w:rsidRPr="00022CA4">
        <w:rPr>
          <w:rFonts w:ascii="Times New Roman" w:hAnsi="Times New Roman" w:cs="Times New Roman"/>
          <w:sz w:val="24"/>
          <w:szCs w:val="24"/>
        </w:rPr>
        <w:t>r</w:t>
      </w:r>
      <w:r w:rsidRPr="00022CA4">
        <w:rPr>
          <w:rFonts w:ascii="Times New Roman" w:hAnsi="Times New Roman" w:cs="Times New Roman"/>
          <w:sz w:val="24"/>
          <w:szCs w:val="24"/>
        </w:rPr>
        <w:t>ed to Bega</w:t>
      </w:r>
      <w:r w:rsidR="004277F8" w:rsidRPr="00022CA4">
        <w:rPr>
          <w:rFonts w:ascii="Times New Roman" w:hAnsi="Times New Roman" w:cs="Times New Roman"/>
          <w:sz w:val="24"/>
          <w:szCs w:val="24"/>
        </w:rPr>
        <w:t xml:space="preserve"> (97.2 %)</w:t>
      </w:r>
      <w:r w:rsidRPr="00022CA4">
        <w:rPr>
          <w:rFonts w:ascii="Times New Roman" w:hAnsi="Times New Roman" w:cs="Times New Roman"/>
          <w:sz w:val="24"/>
          <w:szCs w:val="24"/>
        </w:rPr>
        <w:t xml:space="preserve"> and Belg</w:t>
      </w:r>
      <w:r w:rsidR="004277F8" w:rsidRPr="00022CA4">
        <w:rPr>
          <w:rFonts w:ascii="Times New Roman" w:hAnsi="Times New Roman" w:cs="Times New Roman"/>
          <w:sz w:val="24"/>
          <w:szCs w:val="24"/>
        </w:rPr>
        <w:t xml:space="preserve"> (127.9 %)</w:t>
      </w:r>
      <w:r w:rsidR="001F316E" w:rsidRPr="00022CA4">
        <w:rPr>
          <w:rFonts w:ascii="Times New Roman" w:hAnsi="Times New Roman" w:cs="Times New Roman"/>
          <w:sz w:val="24"/>
          <w:szCs w:val="24"/>
        </w:rPr>
        <w:t xml:space="preserve"> </w:t>
      </w:r>
      <w:proofErr w:type="gramStart"/>
      <w:r w:rsidR="001F316E" w:rsidRPr="00022CA4">
        <w:rPr>
          <w:rFonts w:ascii="Times New Roman" w:hAnsi="Times New Roman" w:cs="Times New Roman"/>
          <w:sz w:val="24"/>
          <w:szCs w:val="24"/>
        </w:rPr>
        <w:t>(Fig. 14</w:t>
      </w:r>
      <w:r w:rsidR="001C7127" w:rsidRPr="00022CA4">
        <w:rPr>
          <w:rFonts w:ascii="Times New Roman" w:hAnsi="Times New Roman" w:cs="Times New Roman"/>
          <w:sz w:val="24"/>
          <w:szCs w:val="24"/>
        </w:rPr>
        <w:t>).</w:t>
      </w:r>
      <w:proofErr w:type="gramEnd"/>
      <w:r w:rsidR="001C7127" w:rsidRPr="00022CA4">
        <w:rPr>
          <w:rFonts w:ascii="Times New Roman" w:hAnsi="Times New Roman" w:cs="Times New Roman"/>
          <w:sz w:val="24"/>
          <w:szCs w:val="24"/>
        </w:rPr>
        <w:t xml:space="preserve"> The </w:t>
      </w:r>
      <w:r w:rsidR="00904448" w:rsidRPr="00022CA4">
        <w:rPr>
          <w:rFonts w:ascii="Times New Roman" w:hAnsi="Times New Roman" w:cs="Times New Roman"/>
          <w:sz w:val="24"/>
          <w:szCs w:val="24"/>
        </w:rPr>
        <w:t xml:space="preserve">CWB had high contrast </w:t>
      </w:r>
      <w:r w:rsidR="008E0316" w:rsidRPr="00022CA4">
        <w:rPr>
          <w:rFonts w:ascii="Times New Roman" w:hAnsi="Times New Roman" w:cs="Times New Roman"/>
          <w:sz w:val="24"/>
          <w:szCs w:val="24"/>
        </w:rPr>
        <w:t xml:space="preserve">or </w:t>
      </w:r>
      <w:r w:rsidR="00904448" w:rsidRPr="00022CA4">
        <w:rPr>
          <w:rFonts w:ascii="Times New Roman" w:hAnsi="Times New Roman" w:cs="Times New Roman"/>
          <w:sz w:val="24"/>
          <w:szCs w:val="24"/>
        </w:rPr>
        <w:t>ext</w:t>
      </w:r>
      <w:r w:rsidR="00B87DB8" w:rsidRPr="00022CA4">
        <w:rPr>
          <w:rFonts w:ascii="Times New Roman" w:hAnsi="Times New Roman" w:cs="Times New Roman"/>
          <w:sz w:val="24"/>
          <w:szCs w:val="24"/>
        </w:rPr>
        <w:t>r</w:t>
      </w:r>
      <w:r w:rsidR="00904448" w:rsidRPr="00022CA4">
        <w:rPr>
          <w:rFonts w:ascii="Times New Roman" w:hAnsi="Times New Roman" w:cs="Times New Roman"/>
          <w:sz w:val="24"/>
          <w:szCs w:val="24"/>
        </w:rPr>
        <w:t xml:space="preserve">eme </w:t>
      </w:r>
      <w:r w:rsidR="001C7127" w:rsidRPr="00022CA4">
        <w:rPr>
          <w:rFonts w:ascii="Times New Roman" w:hAnsi="Times New Roman" w:cs="Times New Roman"/>
          <w:sz w:val="24"/>
          <w:szCs w:val="24"/>
        </w:rPr>
        <w:t>values of CV</w:t>
      </w:r>
      <w:r w:rsidR="00904448" w:rsidRPr="00022CA4">
        <w:rPr>
          <w:rFonts w:ascii="Times New Roman" w:hAnsi="Times New Roman" w:cs="Times New Roman"/>
          <w:sz w:val="24"/>
          <w:szCs w:val="24"/>
        </w:rPr>
        <w:t xml:space="preserve">, </w:t>
      </w:r>
      <w:r w:rsidR="008E0316" w:rsidRPr="00022CA4">
        <w:rPr>
          <w:rFonts w:ascii="Times New Roman" w:hAnsi="Times New Roman" w:cs="Times New Roman"/>
          <w:sz w:val="24"/>
          <w:szCs w:val="24"/>
        </w:rPr>
        <w:t xml:space="preserve">for annual CWB for instance, </w:t>
      </w:r>
      <w:r w:rsidR="00904448" w:rsidRPr="00022CA4">
        <w:rPr>
          <w:rFonts w:ascii="Times New Roman" w:hAnsi="Times New Roman" w:cs="Times New Roman"/>
          <w:sz w:val="24"/>
          <w:szCs w:val="24"/>
        </w:rPr>
        <w:t>as large as 2212 % and as low as 4 %</w:t>
      </w:r>
      <w:r w:rsidR="008E0316" w:rsidRPr="00022CA4">
        <w:rPr>
          <w:rFonts w:ascii="Times New Roman" w:hAnsi="Times New Roman" w:cs="Times New Roman"/>
          <w:sz w:val="24"/>
          <w:szCs w:val="24"/>
        </w:rPr>
        <w:t>,</w:t>
      </w:r>
      <w:r w:rsidR="001C7127" w:rsidRPr="00022CA4">
        <w:rPr>
          <w:rFonts w:ascii="Times New Roman" w:hAnsi="Times New Roman" w:cs="Times New Roman"/>
          <w:sz w:val="24"/>
          <w:szCs w:val="24"/>
        </w:rPr>
        <w:t xml:space="preserve"> </w:t>
      </w:r>
      <w:r w:rsidR="00904448" w:rsidRPr="00022CA4">
        <w:rPr>
          <w:rFonts w:ascii="Times New Roman" w:hAnsi="Times New Roman" w:cs="Times New Roman"/>
          <w:sz w:val="24"/>
          <w:szCs w:val="24"/>
        </w:rPr>
        <w:t xml:space="preserve">which could be attributed to their calculation procedures because absolute values of CWB were used in the mean calculation to avoid the existence of negative CV. </w:t>
      </w:r>
      <w:r w:rsidR="008E0316" w:rsidRPr="00022CA4">
        <w:rPr>
          <w:rFonts w:ascii="Times New Roman" w:hAnsi="Times New Roman" w:cs="Times New Roman"/>
          <w:sz w:val="24"/>
          <w:szCs w:val="24"/>
        </w:rPr>
        <w:t>The highest and lowest annu</w:t>
      </w:r>
      <w:r w:rsidR="00B87DB8" w:rsidRPr="00022CA4">
        <w:rPr>
          <w:rFonts w:ascii="Times New Roman" w:hAnsi="Times New Roman" w:cs="Times New Roman"/>
          <w:sz w:val="24"/>
          <w:szCs w:val="24"/>
        </w:rPr>
        <w:t>al</w:t>
      </w:r>
      <w:r w:rsidR="008E0316" w:rsidRPr="00022CA4">
        <w:rPr>
          <w:rFonts w:ascii="Times New Roman" w:hAnsi="Times New Roman" w:cs="Times New Roman"/>
          <w:sz w:val="24"/>
          <w:szCs w:val="24"/>
        </w:rPr>
        <w:t xml:space="preserve"> CWB variability was exhibited at</w:t>
      </w:r>
      <w:r w:rsidR="001C7127" w:rsidRPr="00022CA4">
        <w:rPr>
          <w:rFonts w:ascii="Times New Roman" w:hAnsi="Times New Roman" w:cs="Times New Roman"/>
          <w:sz w:val="24"/>
          <w:szCs w:val="24"/>
        </w:rPr>
        <w:t xml:space="preserve"> </w:t>
      </w:r>
      <w:r w:rsidR="00B87DB8" w:rsidRPr="00022CA4">
        <w:rPr>
          <w:rFonts w:ascii="Times New Roman" w:hAnsi="Times New Roman" w:cs="Times New Roman"/>
          <w:sz w:val="24"/>
          <w:szCs w:val="24"/>
        </w:rPr>
        <w:t xml:space="preserve">the </w:t>
      </w:r>
      <w:proofErr w:type="spellStart"/>
      <w:r w:rsidR="001C7127" w:rsidRPr="00022CA4">
        <w:rPr>
          <w:rFonts w:ascii="Times New Roman" w:hAnsi="Times New Roman" w:cs="Times New Roman"/>
          <w:sz w:val="24"/>
          <w:szCs w:val="24"/>
        </w:rPr>
        <w:t>Wab</w:t>
      </w:r>
      <w:r w:rsidR="00E93810" w:rsidRPr="00022CA4">
        <w:rPr>
          <w:rFonts w:ascii="Times New Roman" w:hAnsi="Times New Roman" w:cs="Times New Roman"/>
          <w:sz w:val="24"/>
          <w:szCs w:val="24"/>
        </w:rPr>
        <w:t>e</w:t>
      </w:r>
      <w:r w:rsidR="001C7127" w:rsidRPr="00022CA4">
        <w:rPr>
          <w:rFonts w:ascii="Times New Roman" w:hAnsi="Times New Roman" w:cs="Times New Roman"/>
          <w:sz w:val="24"/>
          <w:szCs w:val="24"/>
        </w:rPr>
        <w:t>-Shebele</w:t>
      </w:r>
      <w:proofErr w:type="spellEnd"/>
      <w:r w:rsidR="001C7127" w:rsidRPr="00022CA4">
        <w:rPr>
          <w:rFonts w:ascii="Times New Roman" w:hAnsi="Times New Roman" w:cs="Times New Roman"/>
          <w:sz w:val="24"/>
          <w:szCs w:val="24"/>
        </w:rPr>
        <w:t xml:space="preserve"> (276.7 %) and </w:t>
      </w:r>
      <w:proofErr w:type="spellStart"/>
      <w:r w:rsidR="001C7127" w:rsidRPr="00022CA4">
        <w:rPr>
          <w:rFonts w:ascii="Times New Roman" w:hAnsi="Times New Roman" w:cs="Times New Roman"/>
          <w:sz w:val="24"/>
          <w:szCs w:val="24"/>
        </w:rPr>
        <w:t>Aysha</w:t>
      </w:r>
      <w:proofErr w:type="spellEnd"/>
      <w:r w:rsidR="001C7127" w:rsidRPr="00022CA4">
        <w:rPr>
          <w:rFonts w:ascii="Times New Roman" w:hAnsi="Times New Roman" w:cs="Times New Roman"/>
          <w:sz w:val="24"/>
          <w:szCs w:val="24"/>
        </w:rPr>
        <w:t xml:space="preserve"> (8.9 %) basins, respectively (</w:t>
      </w:r>
      <w:r w:rsidR="00F85C4B">
        <w:rPr>
          <w:rFonts w:ascii="Times New Roman" w:hAnsi="Times New Roman" w:cs="Times New Roman"/>
          <w:sz w:val="24"/>
          <w:szCs w:val="24"/>
        </w:rPr>
        <w:t>Table 7</w:t>
      </w:r>
      <w:r w:rsidR="001C7127" w:rsidRPr="00022CA4">
        <w:rPr>
          <w:rFonts w:ascii="Times New Roman" w:hAnsi="Times New Roman" w:cs="Times New Roman"/>
          <w:sz w:val="24"/>
          <w:szCs w:val="24"/>
        </w:rPr>
        <w:t>).</w:t>
      </w:r>
      <w:r w:rsidR="008E0316" w:rsidRPr="00022CA4">
        <w:rPr>
          <w:rFonts w:ascii="Times New Roman" w:hAnsi="Times New Roman" w:cs="Times New Roman"/>
          <w:sz w:val="24"/>
          <w:szCs w:val="24"/>
        </w:rPr>
        <w:t xml:space="preserve"> </w:t>
      </w:r>
      <w:r w:rsidR="00F46608" w:rsidRPr="00022CA4">
        <w:rPr>
          <w:rFonts w:ascii="Times New Roman" w:hAnsi="Times New Roman" w:cs="Times New Roman"/>
          <w:sz w:val="24"/>
          <w:szCs w:val="24"/>
        </w:rPr>
        <w:t>The annual CWB variability was lower, CV ≤ 23 %, in the eastern</w:t>
      </w:r>
      <w:r w:rsidR="00AD12E9" w:rsidRPr="00022CA4">
        <w:rPr>
          <w:rFonts w:ascii="Times New Roman" w:hAnsi="Times New Roman" w:cs="Times New Roman"/>
          <w:sz w:val="24"/>
          <w:szCs w:val="24"/>
        </w:rPr>
        <w:t xml:space="preserve"> </w:t>
      </w:r>
      <w:r w:rsidR="00F46608" w:rsidRPr="00022CA4">
        <w:rPr>
          <w:rFonts w:ascii="Times New Roman" w:hAnsi="Times New Roman" w:cs="Times New Roman"/>
          <w:sz w:val="24"/>
          <w:szCs w:val="24"/>
        </w:rPr>
        <w:t>half tips, or the southeast and northeast, of Ethiopia while the variability was higher, CV &gt; 23 %, in the central and some northwest and southwest parts of Eth</w:t>
      </w:r>
      <w:r w:rsidR="00B87DB8" w:rsidRPr="00022CA4">
        <w:rPr>
          <w:rFonts w:ascii="Times New Roman" w:hAnsi="Times New Roman" w:cs="Times New Roman"/>
          <w:sz w:val="24"/>
          <w:szCs w:val="24"/>
        </w:rPr>
        <w:t>i</w:t>
      </w:r>
      <w:r w:rsidR="001F316E" w:rsidRPr="00022CA4">
        <w:rPr>
          <w:rFonts w:ascii="Times New Roman" w:hAnsi="Times New Roman" w:cs="Times New Roman"/>
          <w:sz w:val="24"/>
          <w:szCs w:val="24"/>
        </w:rPr>
        <w:t>opia (Fig. 14</w:t>
      </w:r>
      <w:r w:rsidR="00F46608" w:rsidRPr="00022CA4">
        <w:rPr>
          <w:rFonts w:ascii="Times New Roman" w:hAnsi="Times New Roman" w:cs="Times New Roman"/>
          <w:sz w:val="24"/>
          <w:szCs w:val="24"/>
        </w:rPr>
        <w:t>).  Compared to Bega and Kiremt seasons, the seasonal CWB variability was the</w:t>
      </w:r>
      <w:r w:rsidR="001F316E" w:rsidRPr="00022CA4">
        <w:rPr>
          <w:rFonts w:ascii="Times New Roman" w:hAnsi="Times New Roman" w:cs="Times New Roman"/>
          <w:sz w:val="24"/>
          <w:szCs w:val="24"/>
        </w:rPr>
        <w:t xml:space="preserve"> highest in Belg season (Fig. 14</w:t>
      </w:r>
      <w:r w:rsidR="00F46608" w:rsidRPr="00022CA4">
        <w:rPr>
          <w:rFonts w:ascii="Times New Roman" w:hAnsi="Times New Roman" w:cs="Times New Roman"/>
          <w:sz w:val="24"/>
          <w:szCs w:val="24"/>
        </w:rPr>
        <w:t xml:space="preserve">).  </w:t>
      </w:r>
    </w:p>
    <w:p w14:paraId="4D62EB63" w14:textId="77777777" w:rsidR="00E93810" w:rsidRPr="00022CA4" w:rsidRDefault="00837E11" w:rsidP="00E93810">
      <w:pPr>
        <w:spacing w:before="240" w:line="360" w:lineRule="auto"/>
        <w:jc w:val="center"/>
        <w:rPr>
          <w:rFonts w:ascii="Times New Roman" w:hAnsi="Times New Roman" w:cs="Times New Roman"/>
          <w:sz w:val="24"/>
          <w:szCs w:val="24"/>
        </w:rPr>
      </w:pPr>
      <w:r w:rsidRPr="00022CA4">
        <w:rPr>
          <w:rFonts w:ascii="Times New Roman" w:hAnsi="Times New Roman" w:cs="Times New Roman"/>
          <w:noProof/>
          <w:sz w:val="24"/>
          <w:szCs w:val="24"/>
        </w:rPr>
        <w:drawing>
          <wp:inline distT="0" distB="0" distL="0" distR="0" wp14:anchorId="41724B36" wp14:editId="58BC34CD">
            <wp:extent cx="5833873" cy="3099817"/>
            <wp:effectExtent l="0" t="0" r="0" b="5715"/>
            <wp:docPr id="3" name="Picture 2" descr="D:\Part-I\2024\2024-Part-III\Pub_4\Data-2\CV%\Fig.13c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Part-I\2024\2024-Part-III\Pub_4\Data-2\CV%\Fig.13cwb.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1704" t="7202" r="14485" b="47588"/>
                    <a:stretch/>
                  </pic:blipFill>
                  <pic:spPr bwMode="auto">
                    <a:xfrm>
                      <a:off x="0" y="0"/>
                      <a:ext cx="5833873" cy="309981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CCD51E" w14:textId="6C8323BB" w:rsidR="002E2AB4" w:rsidRPr="00022CA4" w:rsidRDefault="00E93810" w:rsidP="00080E99">
      <w:pPr>
        <w:spacing w:line="360" w:lineRule="auto"/>
        <w:rPr>
          <w:rFonts w:ascii="Times New Roman" w:hAnsi="Times New Roman" w:cs="Times New Roman"/>
          <w:sz w:val="24"/>
          <w:szCs w:val="24"/>
        </w:rPr>
      </w:pPr>
      <w:r w:rsidRPr="00022CA4">
        <w:rPr>
          <w:rFonts w:ascii="Times New Roman" w:hAnsi="Times New Roman" w:cs="Times New Roman"/>
          <w:b/>
          <w:sz w:val="24"/>
          <w:szCs w:val="24"/>
        </w:rPr>
        <w:t>Fig. 14</w:t>
      </w:r>
      <w:r w:rsidRPr="00022CA4">
        <w:rPr>
          <w:rFonts w:ascii="Times New Roman" w:hAnsi="Times New Roman" w:cs="Times New Roman"/>
          <w:sz w:val="24"/>
          <w:szCs w:val="24"/>
        </w:rPr>
        <w:t xml:space="preserve"> </w:t>
      </w:r>
      <w:r w:rsidR="008D2F21" w:rsidRPr="00022CA4">
        <w:rPr>
          <w:rFonts w:ascii="Times New Roman" w:hAnsi="Times New Roman" w:cs="Times New Roman"/>
          <w:sz w:val="24"/>
          <w:szCs w:val="24"/>
        </w:rPr>
        <w:t>Annual and Season</w:t>
      </w:r>
      <w:r w:rsidR="00D33052" w:rsidRPr="00022CA4">
        <w:rPr>
          <w:rFonts w:ascii="Times New Roman" w:hAnsi="Times New Roman" w:cs="Times New Roman"/>
          <w:sz w:val="24"/>
          <w:szCs w:val="24"/>
        </w:rPr>
        <w:t>al</w:t>
      </w:r>
      <w:r w:rsidR="008D2F21" w:rsidRPr="00022CA4">
        <w:rPr>
          <w:rFonts w:ascii="Times New Roman" w:hAnsi="Times New Roman" w:cs="Times New Roman"/>
          <w:sz w:val="24"/>
          <w:szCs w:val="24"/>
        </w:rPr>
        <w:t xml:space="preserve"> </w:t>
      </w:r>
      <w:r w:rsidR="00D33052" w:rsidRPr="00022CA4">
        <w:rPr>
          <w:rFonts w:ascii="Times New Roman" w:hAnsi="Times New Roman" w:cs="Times New Roman"/>
          <w:sz w:val="24"/>
          <w:szCs w:val="24"/>
        </w:rPr>
        <w:t>spatiotemporal v</w:t>
      </w:r>
      <w:r w:rsidR="008D2F21" w:rsidRPr="00022CA4">
        <w:rPr>
          <w:rFonts w:ascii="Times New Roman" w:hAnsi="Times New Roman" w:cs="Times New Roman"/>
          <w:sz w:val="24"/>
          <w:szCs w:val="24"/>
        </w:rPr>
        <w:t xml:space="preserve">ariability of </w:t>
      </w:r>
      <w:r w:rsidR="00652F15" w:rsidRPr="00022CA4">
        <w:rPr>
          <w:rFonts w:ascii="Times New Roman" w:hAnsi="Times New Roman" w:cs="Times New Roman"/>
          <w:sz w:val="24"/>
          <w:szCs w:val="24"/>
        </w:rPr>
        <w:t>climatic water balance</w:t>
      </w:r>
      <w:r w:rsidR="00D33052" w:rsidRPr="00022CA4">
        <w:rPr>
          <w:rFonts w:ascii="Times New Roman" w:hAnsi="Times New Roman" w:cs="Times New Roman"/>
          <w:sz w:val="24"/>
          <w:szCs w:val="24"/>
        </w:rPr>
        <w:t xml:space="preserve"> in Ethiopia d</w:t>
      </w:r>
      <w:r w:rsidR="00080E99">
        <w:rPr>
          <w:rFonts w:ascii="Times New Roman" w:hAnsi="Times New Roman" w:cs="Times New Roman"/>
          <w:sz w:val="24"/>
          <w:szCs w:val="24"/>
        </w:rPr>
        <w:t xml:space="preserve">uring 1980 to </w:t>
      </w:r>
      <w:r w:rsidR="008D2F21" w:rsidRPr="00022CA4">
        <w:rPr>
          <w:rFonts w:ascii="Times New Roman" w:hAnsi="Times New Roman" w:cs="Times New Roman"/>
          <w:sz w:val="24"/>
          <w:szCs w:val="24"/>
        </w:rPr>
        <w:t>2021</w:t>
      </w:r>
    </w:p>
    <w:p w14:paraId="36A484A5" w14:textId="77777777" w:rsidR="00943FDF" w:rsidRPr="00022CA4" w:rsidRDefault="00943FDF" w:rsidP="00EE4D7D">
      <w:pPr>
        <w:spacing w:after="240" w:line="360" w:lineRule="auto"/>
        <w:jc w:val="center"/>
      </w:pPr>
    </w:p>
    <w:p w14:paraId="79FD15D0" w14:textId="77777777" w:rsidR="00BA1F51" w:rsidRPr="00022CA4" w:rsidRDefault="00BA1F51" w:rsidP="00EE4D7D">
      <w:pPr>
        <w:spacing w:after="240" w:line="360" w:lineRule="auto"/>
        <w:jc w:val="center"/>
      </w:pPr>
    </w:p>
    <w:p w14:paraId="40680248" w14:textId="77777777" w:rsidR="00837E11" w:rsidRPr="00022CA4" w:rsidRDefault="00837E11" w:rsidP="00EE4D7D">
      <w:pPr>
        <w:spacing w:after="240" w:line="360" w:lineRule="auto"/>
        <w:jc w:val="center"/>
      </w:pPr>
    </w:p>
    <w:p w14:paraId="30D9CEFB" w14:textId="77777777" w:rsidR="00837E11" w:rsidRPr="00022CA4" w:rsidRDefault="00837E11" w:rsidP="00EE4D7D">
      <w:pPr>
        <w:spacing w:after="240" w:line="360" w:lineRule="auto"/>
        <w:jc w:val="center"/>
      </w:pPr>
    </w:p>
    <w:p w14:paraId="20091779" w14:textId="77777777" w:rsidR="00837E11" w:rsidRPr="00022CA4" w:rsidRDefault="00837E11" w:rsidP="00EE4D7D">
      <w:pPr>
        <w:spacing w:after="240" w:line="360" w:lineRule="auto"/>
        <w:jc w:val="center"/>
      </w:pPr>
    </w:p>
    <w:p w14:paraId="1B1B4C3D" w14:textId="6AF560D6" w:rsidR="004469DE" w:rsidRPr="00022CA4" w:rsidRDefault="004469DE" w:rsidP="00EE4D7D">
      <w:pPr>
        <w:pStyle w:val="Heading1"/>
        <w:tabs>
          <w:tab w:val="left" w:pos="1269"/>
        </w:tabs>
        <w:spacing w:after="240" w:line="360" w:lineRule="auto"/>
        <w:ind w:left="0" w:firstLine="0"/>
        <w:rPr>
          <w:sz w:val="32"/>
          <w:szCs w:val="32"/>
        </w:rPr>
      </w:pPr>
      <w:r w:rsidRPr="00022CA4">
        <w:rPr>
          <w:sz w:val="32"/>
          <w:szCs w:val="32"/>
        </w:rPr>
        <w:lastRenderedPageBreak/>
        <w:t xml:space="preserve">4. </w:t>
      </w:r>
      <w:r w:rsidRPr="00022CA4">
        <w:rPr>
          <w:spacing w:val="-2"/>
          <w:sz w:val="32"/>
          <w:szCs w:val="32"/>
        </w:rPr>
        <w:t>Discussions</w:t>
      </w:r>
    </w:p>
    <w:p w14:paraId="501B9A48" w14:textId="13E9BD67" w:rsidR="004469DE" w:rsidRPr="00022CA4" w:rsidRDefault="00542251" w:rsidP="00EE4D7D">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t>4</w:t>
      </w:r>
      <w:r w:rsidR="004469DE" w:rsidRPr="00022CA4">
        <w:rPr>
          <w:rFonts w:ascii="Times New Roman" w:hAnsi="Times New Roman" w:cs="Times New Roman"/>
          <w:color w:val="auto"/>
          <w:sz w:val="28"/>
          <w:szCs w:val="28"/>
        </w:rPr>
        <w:t>.1. Climatology</w:t>
      </w:r>
      <w:r w:rsidR="004469DE" w:rsidRPr="00022CA4" w:rsidDel="00056852">
        <w:rPr>
          <w:rFonts w:ascii="Times New Roman" w:hAnsi="Times New Roman" w:cs="Times New Roman"/>
          <w:color w:val="auto"/>
          <w:sz w:val="28"/>
          <w:szCs w:val="28"/>
        </w:rPr>
        <w:t xml:space="preserve"> </w:t>
      </w:r>
      <w:r w:rsidR="004469DE" w:rsidRPr="00022CA4">
        <w:rPr>
          <w:rFonts w:ascii="Times New Roman" w:hAnsi="Times New Roman" w:cs="Times New Roman"/>
          <w:color w:val="auto"/>
          <w:sz w:val="28"/>
          <w:szCs w:val="28"/>
        </w:rPr>
        <w:t xml:space="preserve">of Rainfall, Evapotranspiration, and Climatic Water Balance </w:t>
      </w:r>
    </w:p>
    <w:p w14:paraId="4DFAA31B" w14:textId="5645B017" w:rsidR="004469DE" w:rsidRPr="00022CA4" w:rsidRDefault="00542251" w:rsidP="00EE4D7D">
      <w:pPr>
        <w:pStyle w:val="Heading3"/>
        <w:spacing w:after="240" w:line="360" w:lineRule="auto"/>
        <w:rPr>
          <w:rFonts w:ascii="Times New Roman" w:hAnsi="Times New Roman" w:cs="Times New Roman"/>
          <w:b/>
          <w:bCs/>
          <w:color w:val="auto"/>
        </w:rPr>
      </w:pPr>
      <w:r w:rsidRPr="00022CA4">
        <w:rPr>
          <w:rFonts w:ascii="Times New Roman" w:hAnsi="Times New Roman" w:cs="Times New Roman"/>
          <w:b/>
          <w:bCs/>
          <w:color w:val="auto"/>
        </w:rPr>
        <w:t>4</w:t>
      </w:r>
      <w:r w:rsidR="004469DE" w:rsidRPr="00022CA4">
        <w:rPr>
          <w:rFonts w:ascii="Times New Roman" w:hAnsi="Times New Roman" w:cs="Times New Roman"/>
          <w:b/>
          <w:bCs/>
          <w:color w:val="auto"/>
        </w:rPr>
        <w:t>.1.1 Climatology of Rainfall and Evapotranspiration in Ethiopia</w:t>
      </w:r>
    </w:p>
    <w:p w14:paraId="2744B5F4" w14:textId="63F78472" w:rsidR="00F2234A" w:rsidRPr="00022CA4" w:rsidRDefault="00F2234A" w:rsidP="00D24014">
      <w:pPr>
        <w:pStyle w:val="NormalWeb"/>
        <w:spacing w:line="360" w:lineRule="auto"/>
        <w:jc w:val="both"/>
      </w:pPr>
      <w:r w:rsidRPr="00022CA4">
        <w:t>The climatological analysis of rainfall and reference evapotranspiration (</w:t>
      </w:r>
      <w:proofErr w:type="spellStart"/>
      <w:proofErr w:type="gramStart"/>
      <w:r w:rsidR="00D24014" w:rsidRPr="00022CA4">
        <w:t>ET</w:t>
      </w:r>
      <w:r w:rsidR="00D24014" w:rsidRPr="00022CA4">
        <w:rPr>
          <w:vertAlign w:val="subscript"/>
        </w:rPr>
        <w:t>o</w:t>
      </w:r>
      <w:proofErr w:type="spellEnd"/>
      <w:proofErr w:type="gramEnd"/>
      <w:r w:rsidRPr="00022CA4">
        <w:t xml:space="preserve">) in Ethiopia between 1980 and 2021 reveals a complex </w:t>
      </w:r>
      <w:proofErr w:type="spellStart"/>
      <w:r w:rsidRPr="00022CA4">
        <w:t>hydroclimatic</w:t>
      </w:r>
      <w:proofErr w:type="spellEnd"/>
      <w:r w:rsidRPr="00022CA4">
        <w:t xml:space="preserve"> regime characterized by significant spatial and temporal variability. The calculated mean annual </w:t>
      </w:r>
      <w:r w:rsidR="001C4477">
        <w:t>rainfall</w:t>
      </w:r>
      <w:r w:rsidRPr="00022CA4">
        <w:t xml:space="preserve"> of 773 mm masks substantial regional differences across Ethiopian basins (Fig. 2, </w:t>
      </w:r>
      <w:r w:rsidR="003D57E5">
        <w:t>Table 6</w:t>
      </w:r>
      <w:r w:rsidRPr="00022CA4">
        <w:t>), a pattern strongly influenced by the country's diverse topography and the intricate interplay of seasonal and spatial impacts from prevailing air masses and wind patterns</w:t>
      </w:r>
      <w:r w:rsidR="00D24014" w:rsidRPr="00022CA4">
        <w:rPr>
          <w:rFonts w:ascii="Nyala" w:hAnsi="Nyala"/>
          <w:lang w:val="am-ET"/>
        </w:rPr>
        <w:t xml:space="preserve"> </w:t>
      </w:r>
      <w:r w:rsidR="00D24014" w:rsidRPr="00022CA4">
        <w:rPr>
          <w:lang w:val="am-ET"/>
        </w:rPr>
        <w:fldChar w:fldCharType="begin" w:fldLock="1"/>
      </w:r>
      <w:r w:rsidR="00D24014" w:rsidRPr="00022CA4">
        <w:rPr>
          <w:lang w:val="am-ET"/>
        </w:rPr>
        <w:instrText>ADDIN CSL_CITATION {"citationItems":[{"id":"ITEM-1","itemData":{"DOI":"10.1002/joc.1052","ISSN":"08998418","abstract":"Changes in annual, June-September and March-May rainfall and rainy days herein (defined as a day with rainfall greater than 1 mm) have been analysed based on 11 key stations located in different climatic zones of Ethiopia over the common period 1965-2002. The progressive Mann-Kendall trend test shows that there is no trend in the annual rainfall total, the seasonal rainfall total or rainy days over central, northern and northwestern Ethiopia in the period 1965-2002. In contrast, the annual and the June-September total rainfalls for the eastern (Jijiga, 137 mm/decade), southern (Negele, 119 mm/decade) and southwestern (Gore 257 mm/decade) stations show a significant decline since about 1982. Correlation analysis shows that the decline of rainfall in eastern, south and southwestern Ethiopia is caused by the corresponding persistent warming of the South Atlantic Ocean over the period approximately from 1986 to 2002. The sea-surface temperature (SST) over the tropical eastern Pacific Ocean is not significantly correlated with the main rainfall of the semi-arid lowland areas of eastern, southern, and southwestern Ethiopia, except at marginal zones in transition to the Ethiopian Highlands. June-September rainfall over the Ethiopian Highlands is positively correlated to the equatorial east Pacific sea-level pressure and the southern oscillation index, and negatively correlated to SST over the tropical eastern Pacific Ocean as expected, confirming again that warm El Niño-southern oscillation episodes are associated with below-average June-September rainfall over the Ethiopian Highlands. © 2004 Royal Meteorological Society.","author":[{"dropping-particle":"","family":"Seleshi","given":"Yilma","non-dropping-particle":"","parse-names":false,"suffix":""},{"dropping-particle":"","family":"Zanke","given":"Ulrich","non-dropping-particle":"","parse-names":false,"suffix":""}],"container-title":"International Journal of Climatology","id":"ITEM-1","issue":"8","issued":{"date-parts":[["2004"]]},"page":"973-983","title":"Recent changes in rainfall and rainy days in Ethiopia","type":"article-journal","volume":"24"},"uris":["http://www.mendeley.com/documents/?uuid=f3cbe737-bc20-4757-b2fa-d33842474eed"]}],"mendeley":{"formattedCitation":"(Seleshi &amp; Zanke, 2004)","plainTextFormattedCitation":"(Seleshi &amp; Zanke, 2004)","previouslyFormattedCitation":"(Seleshi &amp; Zanke, 2004)"},"properties":{"noteIndex":0},"schema":"https://github.com/citation-style-language/schema/raw/master/csl-citation.json"}</w:instrText>
      </w:r>
      <w:r w:rsidR="00D24014" w:rsidRPr="00022CA4">
        <w:rPr>
          <w:lang w:val="am-ET"/>
        </w:rPr>
        <w:fldChar w:fldCharType="separate"/>
      </w:r>
      <w:r w:rsidR="00D24014" w:rsidRPr="00022CA4">
        <w:rPr>
          <w:noProof/>
          <w:lang w:val="am-ET"/>
        </w:rPr>
        <w:t>(Seleshi &amp; Zanke, 2004)</w:t>
      </w:r>
      <w:r w:rsidR="00D24014" w:rsidRPr="00022CA4">
        <w:rPr>
          <w:lang w:val="am-ET"/>
        </w:rPr>
        <w:fldChar w:fldCharType="end"/>
      </w:r>
      <w:r w:rsidRPr="00022CA4">
        <w:t xml:space="preserve">. For instance, the higher rainfall observed in the western half (e.g., </w:t>
      </w:r>
      <w:proofErr w:type="spellStart"/>
      <w:r w:rsidRPr="00022CA4">
        <w:t>Baro-Akobo</w:t>
      </w:r>
      <w:proofErr w:type="spellEnd"/>
      <w:r w:rsidRPr="00022CA4">
        <w:t xml:space="preserve">, </w:t>
      </w:r>
      <w:proofErr w:type="spellStart"/>
      <w:r w:rsidRPr="00022CA4">
        <w:t>Omo</w:t>
      </w:r>
      <w:proofErr w:type="spellEnd"/>
      <w:r w:rsidRPr="00022CA4">
        <w:t xml:space="preserve">-Gibe, and </w:t>
      </w:r>
      <w:proofErr w:type="spellStart"/>
      <w:r w:rsidRPr="00022CA4">
        <w:t>Abbay</w:t>
      </w:r>
      <w:proofErr w:type="spellEnd"/>
      <w:r w:rsidRPr="00022CA4">
        <w:t xml:space="preserve"> basins) is consistent with greater moisture advection from the Atlantic and Indian Oceans, often intercepted by the western highlands. In contrast, the drier conditions in the northeastern parts (e.g., </w:t>
      </w:r>
      <w:proofErr w:type="spellStart"/>
      <w:r w:rsidRPr="00022CA4">
        <w:t>Denakil</w:t>
      </w:r>
      <w:proofErr w:type="spellEnd"/>
      <w:r w:rsidRPr="00022CA4">
        <w:t xml:space="preserve">, </w:t>
      </w:r>
      <w:proofErr w:type="spellStart"/>
      <w:r w:rsidRPr="00022CA4">
        <w:t>Mereb</w:t>
      </w:r>
      <w:proofErr w:type="spellEnd"/>
      <w:r w:rsidRPr="00022CA4">
        <w:t xml:space="preserve">-Gash, and </w:t>
      </w:r>
      <w:proofErr w:type="spellStart"/>
      <w:r w:rsidRPr="00022CA4">
        <w:t>Aysha</w:t>
      </w:r>
      <w:proofErr w:type="spellEnd"/>
      <w:r w:rsidRPr="00022CA4">
        <w:t xml:space="preserve"> basins) are likely due to rain shadow effects created by the eastern highlands and their leeward position relative to moisture-bearing winds </w:t>
      </w:r>
      <w:r w:rsidR="00D24014" w:rsidRPr="00022CA4">
        <w:fldChar w:fldCharType="begin" w:fldLock="1"/>
      </w:r>
      <w:r w:rsidR="00F376DD" w:rsidRPr="00022CA4">
        <w:instrText xml:space="preserve">ADDIN CSL_CITATION {"citationItems":[{"id":"ITEM-1","itemData":{"DOI":"10.1016/j.ejrh.2024.101922","ISSN":"22145818","abstract":"Study region: The eastern flank of the 4 km Rwenzori Mountains and the Mobuku catchment 0.25–0.4 N, 29.85–30.1E are the geographic area for detailed analysis. Research focus: Hydro-climate variability is studied using high resolution satellite- and model- assimilated products in the period 1980–2023. The Mobuku catchment receives rainfall of 3–6 mm/day which generates an eastward discharge of 100 m3/s that declines rapidly downstream, thereby limiting hydro-power availability. New insights: Long-term trends in cloud fraction and potential evaporation reveal a tendency for drying associated with increasing easterly winds, subsidence near the mountain top, and warming of +.04 C/year that is melting glaciers. These constrain runoff on the eastern flank of the Rwenzori Mountains. Low river flows in Dec-Mar correspond with dry air intrusions from the northeast. High river flows in Jul-Nov are modulated by sea temperatures in the Indian Ocean that oscillate east-west at </w:instrText>
      </w:r>
      <w:r w:rsidR="00F376DD" w:rsidRPr="00022CA4">
        <w:rPr>
          <w:rFonts w:ascii="Cambria Math" w:hAnsi="Cambria Math" w:cs="Cambria Math"/>
        </w:rPr>
        <w:instrText>∼</w:instrText>
      </w:r>
      <w:r w:rsidR="00F376DD" w:rsidRPr="00022CA4">
        <w:instrText>3 year interval. Improved understanding of climate variability will contribute to better management of Uganda's hydro-power resources.","author":[{"dropping-particle":"","family":"Jury","given":"Mark R.","non-dropping-particle":"","parse-names":false,"suffix":""}],"container-title":"Journal of Hydrology: Regional Studies","id":"ITEM-1","issue":"April","issued":{"date-parts":[["2024"]]},"title":"Climate variability and hydrology impacts in east Africa's Rwenzori Mountains","type":"article-journal","volume":"55"},"uris":["http://www.mendeley.com/documents/?uuid=1dd52c9c-4f91-41ad-806e-373b40fcdcd8"]}],"mendeley":{"formattedCitation":"(Jury, 2024)","manualFormatting":"(Jury, 2024","plainTextFormattedCitation":"(Jury, 2024)","previouslyFormattedCitation":"(Jury, 2024)"},"properties":{"noteIndex":0},"schema":"https://github.com/citation-style-language/schema/raw/master/csl-citation.json"}</w:instrText>
      </w:r>
      <w:r w:rsidR="00D24014" w:rsidRPr="00022CA4">
        <w:fldChar w:fldCharType="separate"/>
      </w:r>
      <w:r w:rsidR="00D24014" w:rsidRPr="00022CA4">
        <w:rPr>
          <w:noProof/>
        </w:rPr>
        <w:t>(Jury, 2024</w:t>
      </w:r>
      <w:r w:rsidR="00D24014" w:rsidRPr="00022CA4">
        <w:fldChar w:fldCharType="end"/>
      </w:r>
      <w:r w:rsidR="00D24014" w:rsidRPr="00022CA4">
        <w:t xml:space="preserve">; </w:t>
      </w:r>
      <w:r w:rsidR="00F376DD" w:rsidRPr="00022CA4">
        <w:fldChar w:fldCharType="begin" w:fldLock="1"/>
      </w:r>
      <w:r w:rsidR="00C75C47" w:rsidRPr="00022CA4">
        <w:instrText>ADDIN CSL_CITATION {"citationItems":[{"id":"ITEM-1","itemData":{"DOI":"10.1007/s00382-020-05554-2","ISBN":"0038202005554","ISSN":"14320894","abstract":"Orography is known to affect local meteorological conditions by inducing orographic rainfall and a rain shadow i.e. reduced rainfall on the mountain’s leeside with respect to the windward side. Therefore it has a strong effect on the local population and agriculture. Recent work highlights the ambiguities in the definition and difficulties in quantification of the rain shadow effect using observational data. A statistical approach is presented that allows its investigation based on climatological model data in geographically complex regions. This approach requires gridded rainfall and wind along with the model topography. The statistical aspects that contribute to the rainfall enhancement at the windward side are disentangled. These include, for windward and leeward events separately: frequency of occurrence, rainfall-event frequency, rainfall depth per event. By spatial aggregation the regional dependence of these statistics are calculated and visualized. The approach is used to characterize summer rain over the Ethiopian Highlands based a 21-year long simulation with the regional climate model ALARO-0 at 4 km resolution. There is an overall increased rainfall of 40% for windward events as compared to leeward events, but regionally this can exceed 150%. This increase can be attributed to the positive differences between windward and leeward events in their frequency of occurrence (on average 20%), and, in the rainfall per rainfall event (on average 16%). Mapped rain shadows correspond well to earlier qualitative observations and the small differences in probability of precipitation confirm that the mechanisms underlying the shadow effect are more complex than the textbook explanation.","author":[{"dropping-particle":"","family":"Hende","given":"Céline","non-dropping-particle":"Van den","parse-names":false,"suffix":""},{"dropping-particle":"","family":"Schaeybroeck","given":"Bert","non-dropping-particle":"Van","parse-names":false,"suffix":""},{"dropping-particle":"","family":"Nyssen","given":"Jan","non-dropping-particle":"","parse-names":false,"suffix":""},{"dropping-particle":"","family":"Vooren","given":"Sander","non-dropping-particle":"Van","parse-names":false,"suffix":""},{"dropping-particle":"","family":"Ginderachter","given":"Michiel","non-dropping-particle":"Van","parse-names":false,"suffix":""},{"dropping-particle":"","family":"Termonia","given":"Piet","non-dropping-particle":"","parse-names":false,"suffix":""}],"container-title":"Climate Dynamics","id":"ITEM-1","issue":"5-6","issued":{"date-parts":[["2021"]]},"page":"1663-1679","title":"Analysis of rain-shadows in the Ethiopian Mountains using climatological model data","type":"article-journal","volume":"56"},"uris":["http://www.mendeley.com/documents/?uuid=a382f9fd-ca45-44f2-b796-00842ed2b8dc"]}],"mendeley":{"formattedCitation":"(Van den Hende et al., 2021)","manualFormatting":"Van den Hende et al., 2021","plainTextFormattedCitation":"(Van den Hende et al., 2021)","previouslyFormattedCitation":"(Van den Hende et al., 2021)"},"properties":{"noteIndex":0},"schema":"https://github.com/citation-style-language/schema/raw/master/csl-citation.json"}</w:instrText>
      </w:r>
      <w:r w:rsidR="00F376DD" w:rsidRPr="00022CA4">
        <w:fldChar w:fldCharType="separate"/>
      </w:r>
      <w:r w:rsidR="00F376DD" w:rsidRPr="00022CA4">
        <w:rPr>
          <w:noProof/>
        </w:rPr>
        <w:t>Van den Hende et al., 2021</w:t>
      </w:r>
      <w:r w:rsidR="00F376DD" w:rsidRPr="00022CA4">
        <w:fldChar w:fldCharType="end"/>
      </w:r>
      <w:r w:rsidR="00725B7C" w:rsidRPr="00022CA4">
        <w:t xml:space="preserve">; </w:t>
      </w:r>
      <w:r w:rsidR="00C75C47" w:rsidRPr="00022CA4">
        <w:fldChar w:fldCharType="begin" w:fldLock="1"/>
      </w:r>
      <w:r w:rsidR="00C75C47" w:rsidRPr="00022CA4">
        <w:instrText>ADDIN CSL_CITATION {"citationItems":[{"id":"ITEM-1","itemData":{"DOI":"10.1186/s40068-020-00216-y","ISSN":"2193-2697","abstract":"Rainfall variability exceedingly affects agriculture in Ethiopia, particularly in the eastern region where rainfall is relatively scarce. Hence, understanding the spatiotemporal variability of rainfall is indispensable for planning mitigation measures during high and low rainfall seasons. This study examined the spatiotemporal variability and trends of rainfall in the West Harerge Zone, eastern Ethiopia. The coefficient of variation (CV) and standardized anomaly index (SAI) were used to analyze rainfall variability while Mann-Kendall (MK) trend test and Sen’s slop estimator were employed to examine the trend and magnitude of the rainfall changes, respectively. The association between rainfall and Pacific Ocean Sea Surface Temperature (SST) was also evaluated by Pearson correlation coefficient (r). The annual rainfall CV during 1983–2019 periods is between 12 and 19.36% while the seasonal rainfall CV extends from 15–28.49%, 24–35.58%, and 38–75.9% for average Kiremt (June–September), Belg (February–May), and Bega (October–January) seasons, respectively (1983–2019). On the monthly basis, the trends of rainfall decreased in all months except in July, October, and November. However, the trends were not statistically significant (α = 0.05), unlike in November. On a seasonal basis, the trends of mean Kiremt and Belg seasons rainfall decreased while it increased in Bega season although it is not statistically significant. Moreover, the annual rainfall showed a non-significant decreasing trend. The findings also revealed that the correlation between rainfall and Pacific Ocean SST was negative for Kiremt while positive for Belg and Bega seasons. Besides, annual rainfall and Pacific Ocean SST was negatively correlated. High spatial and temporal rainfall variability was observed at the monthly, seasonal, and annual time scales. Seasonal rainfall has high inter-annual variability in the dry season (Bega) than other seasons. The trends in rainfall were decreased in most of the months. Besides, the trend of rainfall decreased in the annual, Belg and Kiremt season while increased in the Bega season. The study also indicated that the occurrence of droughts in the study area was associated with ENSO events like most other parts of Ethiopia and East Africa.","author":[{"dropping-particle":"","family":"Bayable","given":"Getachew","non-dropping-particle":"","parse-names":false,"suffix":""},{"dropping-particle":"","family":"Amare","given":"Gedamu","non-dropping-particle":"","parse-names":false,"suffix":""},{"dropping-particle":"","family":"Alemu","given":"Getnet","non-dropping-particle":"","parse-names":false,"suffix":""},{"dropping-particle":"","family":"Gashaw","given":"Temesgen","non-dropping-particle":"","parse-names":false,"suffix":""}],"container-title":"Environmental Systems Research","id":"ITEM-1","issue":"1","issued":{"date-parts":[["2021"]]},"publisher":"Springer Berlin Heidelberg","title":"Spatiotemporal variability and trends of rainfall and its association with Pacific Ocean Sea surface temperature in West Harerge Zone, Eastern Ethiopia","type":"article-journal","volume":"10"},"uris":["http://www.mendeley.com/documents/?uuid=8b2d6f17-20f3-42bd-8d37-26b17ef1d8e8"]}],"mendeley":{"formattedCitation":"(Bayable et al., 2021)","manualFormatting":"Bayable et al., 2021)","plainTextFormattedCitation":"(Bayable et al., 2021)"},"properties":{"noteIndex":0},"schema":"https://github.com/citation-style-language/schema/raw/master/csl-citation.json"}</w:instrText>
      </w:r>
      <w:r w:rsidR="00C75C47" w:rsidRPr="00022CA4">
        <w:fldChar w:fldCharType="separate"/>
      </w:r>
      <w:r w:rsidR="00C75C47" w:rsidRPr="00022CA4">
        <w:rPr>
          <w:noProof/>
        </w:rPr>
        <w:t>Bayable et al., 2021)</w:t>
      </w:r>
      <w:r w:rsidR="00C75C47" w:rsidRPr="00022CA4">
        <w:fldChar w:fldCharType="end"/>
      </w:r>
      <w:r w:rsidRPr="00022CA4">
        <w:t>.</w:t>
      </w:r>
      <w:r w:rsidR="00F376DD" w:rsidRPr="00022CA4">
        <w:t xml:space="preserve"> Fig.</w:t>
      </w:r>
      <w:r w:rsidRPr="00022CA4">
        <w:t xml:space="preserve"> 2 visually corroborates these regional disparities in annual and seasonal rainfall.</w:t>
      </w:r>
      <w:r w:rsidR="009C7398" w:rsidRPr="00022CA4">
        <w:t xml:space="preserve"> The mean annual rainfall amount of 773 mm obtained in this study may be lower compared to the results obtained from some previous studies. For example, </w:t>
      </w:r>
      <w:r w:rsidR="009C7398" w:rsidRPr="00022CA4">
        <w:fldChar w:fldCharType="begin" w:fldLock="1"/>
      </w:r>
      <w:r w:rsidR="009C7398" w:rsidRPr="00022CA4">
        <w:instrText>ADDIN CSL_CITATION {"citationItems":[{"id":"ITEM-1","itemData":{"DOI":"10.1016/j.catena.2012.12.007","ISSN":"03418162","abstract":"Land and water are vital resources to maintain the environment and livelihoods of mankind. Understanding the spatial variability of these resources has significant importance for planning, management, and utilization thereof. Despite their importance, there is no available, coherent, and systematically organized method for the characterization and mapping of the soil and hydrological systems in Ethiopia. A review-based research aimed at developing a geo-database of soils for hydrological studies and generation of the hydrological zones of the country based on the surface runoff potential is reported. In this analysis, data from 930 rainfall and 212 meteorological stations were used. Analysis based on a weighted overlay technique within ArcGIS using data from various sources and scales was conducted. A regression equation was used to develop the soil geo-database, scale factors of soil, land slope and climatic layers. An iterative analysis and expert knowledge was also used to determine the weights of the layers for the hydrological zoning. Results from this study provide valuable information about the hydrological zones of Ethiopia and an improved spatial soil database at 1:250,000 scale for the first time. Generated maps and zones will improve the hydrological understanding of the various regions of the country. © 2012 Elsevier B.V.","author":[{"dropping-particle":"","family":"Berhanu","given":"Belete","non-dropping-particle":"","parse-names":false,"suffix":""},{"dropping-particle":"","family":"Melesse","given":"Assefa M.","non-dropping-particle":"","parse-names":false,"suffix":""},{"dropping-particle":"","family":"Seleshi","given":"Yilma","non-dropping-particle":"","parse-names":false,"suffix":""}],"container-title":"Catena","id":"ITEM-1","issued":{"date-parts":[["2013"]]},"page":"21-31","title":"GIS-based hydrological zones and soil geo-database of Ethiopia","type":"article-journal","volume":"104"},"uris":["http://www.mendeley.com/documents/?uuid=2067d2a7-9139-4a63-a3c3-c8a33ccb4f58"]}],"mendeley":{"formattedCitation":"(Berhanu et al., 2013)","manualFormatting":"Berhanu et al. (2013 &amp; 2014)","plainTextFormattedCitation":"(Berhanu et al., 2013)","previouslyFormattedCitation":"(Berhanu et al., 2013)"},"properties":{"noteIndex":0},"schema":"https://github.com/citation-style-language/schema/raw/master/csl-citation.json"}</w:instrText>
      </w:r>
      <w:r w:rsidR="009C7398" w:rsidRPr="00022CA4">
        <w:fldChar w:fldCharType="separate"/>
      </w:r>
      <w:r w:rsidR="009C7398" w:rsidRPr="00022CA4">
        <w:rPr>
          <w:noProof/>
        </w:rPr>
        <w:t>Berhanu et al. (2013 &amp; 2014)</w:t>
      </w:r>
      <w:r w:rsidR="009C7398" w:rsidRPr="00022CA4">
        <w:fldChar w:fldCharType="end"/>
      </w:r>
      <w:r w:rsidR="009C7398" w:rsidRPr="00022CA4">
        <w:t xml:space="preserve"> reported that the mean annual in Ethiopia had ranged from 141 mm in eastern and northeastern arid areas to 2,275 mm in southwestern highlands with a median of 1200 mm.</w:t>
      </w:r>
    </w:p>
    <w:p w14:paraId="0D2FF6A1" w14:textId="1A53A3FF" w:rsidR="00915B71" w:rsidRPr="00022CA4" w:rsidRDefault="00F2234A" w:rsidP="007E712B">
      <w:pPr>
        <w:pStyle w:val="NormalWeb"/>
        <w:spacing w:line="360" w:lineRule="auto"/>
        <w:jc w:val="both"/>
      </w:pPr>
      <w:r w:rsidRPr="00022CA4">
        <w:t>The temporal analysis highlights the dominance of the Kiremt season, which contributes the largest mean seasonal rainfa</w:t>
      </w:r>
      <w:r w:rsidR="00831AB8" w:rsidRPr="00022CA4">
        <w:t xml:space="preserve">ll (393 </w:t>
      </w:r>
      <w:r w:rsidRPr="00022CA4">
        <w:t>mm), aligning with the northward migration of the Inter-Tropical Convergence Zone (ITCZ)</w:t>
      </w:r>
      <w:r w:rsidR="00F376DD" w:rsidRPr="00022CA4">
        <w:t xml:space="preserve"> </w:t>
      </w:r>
      <w:r w:rsidR="00F376DD" w:rsidRPr="00022CA4">
        <w:fldChar w:fldCharType="begin" w:fldLock="1"/>
      </w:r>
      <w:r w:rsidR="00AF2D24" w:rsidRPr="00022CA4">
        <w:instrText>ADDIN CSL_CITATION {"citationItems":[{"id":"ITEM-1","itemData":{"DOI":"10.1007/s00382-021-05855-0","ISBN":"0123456789","ISSN":"14320894","abstract":"Predictability of Ethiopian Kiremt rainfall (June to September: JJAS) and forecast skill of the European Centre for Medium-Range Weather Forecasts (ECMWF) fifth-generation seasonal forecast system 5 (SEAS5) is explored during 1981–2019. The first empirical orthogonal function of observed rainfall explains 50.6% of the total variability and is characterized by positive rainfall anomalies largely confined over the northwestern and central-western regions of Ethiopia. Consequently, a Kiremt rainfall index (KRI) is defined for this region. The correlation coefficient (CC) between the observed and predicted KRI is 0.68 and 0.53 for May and April starts, respectively. Composite analysis of sea surface temperature (SST) and lower-level circulation based on excess and deficit years of Kiremt rains shows that the El Niño Southern–Oscillation is the main modulator of the Kiremt rainfall variability. The CC between KRI and Niño3.4 index is − 0.62, indicating that El Niño is accompanied by below-normal Kiremt rainfall, while La Niña is accompanied by above-normal amounts. The fifth generation of ECMWF atmospheric reanalysis (ERA5) shows that excess (deficit) Kiremt rainfall anomalies are associated with an anomalous low (high) pressure centered over northeast Arabian Peninsula and an anomalous in-phase (reverse) low-level Somali Jet. SEAS5 reproduces the spatial and temporal components of observed Kiremt rainfall variability, including the main climatic features associated with excess and deficit Kiremt rainfall in May and April starts. However, certain important observed features like above-normal SSTs in the Gulf of Guinea are not well predicted. Results indicate that Kiremt rains has some potential predictability and SEAS5 shows a moderate forecast skill. Probabilistic analysis shows highest values where predictability and deterministic skill are also highest.","author":[{"dropping-particle":"","family":"Ehsan","given":"Muhammad Azhar","non-dropping-particle":"","parse-names":false,"suffix":""},{"dropping-particle":"","family":"Tippett","given":"Michael K.","non-dropping-particle":"","parse-names":false,"suffix":""},{"dropping-particle":"","family":"Robertson","given":"Andrew W.","non-dropping-particle":"","parse-names":false,"suffix":""},{"dropping-particle":"","family":"Almazroui","given":"Mansour","non-dropping-particle":"","parse-names":false,"suffix":""},{"dropping-particle":"","family":"Ismail","given":"Muhammad","non-dropping-particle":"","parse-names":false,"suffix":""},{"dropping-particle":"","family":"Dinku","given":"Tufa","non-dropping-particle":"","parse-names":false,"suffix":""},{"dropping-particle":"","family":"Acharya","given":"Nachiketa","non-dropping-particle":"","parse-names":false,"suffix":""},{"dropping-particle":"","family":"Siebert","given":"Asher","non-dropping-particle":"","parse-names":false,"suffix":""},{"dropping-particle":"","family":"Ahmed","given":"Jemal Seid","non-dropping-particle":"","parse-names":false,"suffix":""},{"dropping-particle":"","family":"Teshome","given":"Asaminew","non-dropping-particle":"","parse-names":false,"suffix":""}],"container-title":"Climate Dynamics","id":"ITEM-1","issue":"11-12","issued":{"date-parts":[["2021"]]},"page":"3075-3091","title":"Seasonal predictability of Ethiopian Kiremt rainfall and forecast skill of ECMWF's SEAS5 model","type":"article-journal","volume":"57"},"uris":["http://www.mendeley.com/documents/?uuid=0e3b436e-3856-46e6-8958-20e107498cd2"]}],"mendeley":{"formattedCitation":"(Ehsan et al., 2021)","manualFormatting":"(Ehsan et al., 2021","plainTextFormattedCitation":"(Ehsan et al., 2021)","previouslyFormattedCitation":"(Ehsan et al., 2021)"},"properties":{"noteIndex":0},"schema":"https://github.com/citation-style-language/schema/raw/master/csl-citation.json"}</w:instrText>
      </w:r>
      <w:r w:rsidR="00F376DD" w:rsidRPr="00022CA4">
        <w:fldChar w:fldCharType="separate"/>
      </w:r>
      <w:r w:rsidR="00F376DD" w:rsidRPr="00022CA4">
        <w:rPr>
          <w:noProof/>
        </w:rPr>
        <w:t>(Ehsan et al., 2021</w:t>
      </w:r>
      <w:r w:rsidR="00F376DD" w:rsidRPr="00022CA4">
        <w:fldChar w:fldCharType="end"/>
      </w:r>
      <w:r w:rsidR="00F376DD" w:rsidRPr="00022CA4">
        <w:t>;</w:t>
      </w:r>
      <w:r w:rsidRPr="00022CA4">
        <w:t xml:space="preserve"> </w:t>
      </w:r>
      <w:r w:rsidR="00F376DD" w:rsidRPr="00022CA4">
        <w:fldChar w:fldCharType="begin" w:fldLock="1"/>
      </w:r>
      <w:r w:rsidR="00AF2D24" w:rsidRPr="00022CA4">
        <w:instrText>ADDIN CSL_CITATION {"citationItems":[{"id":"ITEM-1","itemData":{"DOI":"10.1002/joc.5474","ISSN":"10970088","abstract":"The February–May rainfall season, locally known as Belg, contributes up to 40% of the annual rainfall over northeastern, central and southwestern Ethiopia. Its contribution exceeds 50% over southern and southeastern Ethiopia. The Belg season is characterized by significant inter-annual and intra-seasonal variability. However, there are only a few studies addressing the characteristics of this season. Interactions between extratropical and tropical systems across the Red Sea region play a major role in modulating the rainfall pattern during this season. It is shown in this article that the North Atlantic Oscillation (NAO) seems to play a major role in the variability of the Belg rains on the sub-seasonal time scale. The Belg rains are negatively correlated with the NAO index over much of the region, with southern and southeastern Ethiopia exhibiting relatively highest correlation values. NAO rainfall anomaly composites also indicate that the negative (positive) phase of the NAO tends to enhance (suppress) the Belg rains. Two modes of regional circulation patterns that modulate Belg rainfall variability have also been identified in this study. A ridge/trough pattern, featuring two anomalous mid- to upper-level warm anticyclones and one cold cyclonic trough in the region between the northeast Atlantic and the Arabian Peninsula, tends to suppress the Belg rainfall due to reduced tropical–extratropical interactions. In contrast, a tripole structure with two anomalous mid- to upper-level cold cyclonic troughs and one warm anticyclone tends to enhance rainfall during the Belg season of Ethiopia. It is further shown in this article that the Madden–Julian Oscillation (MJO) tends to modulate rainfall during the Belg season.","author":[{"dropping-particle":"","family":"Bekele-Biratu","given":"Endalkachew","non-dropping-particle":"","parse-names":false,"suffix":""},{"dropping-particle":"","family":"Thiaw","given":"Wassila M.","non-dropping-particle":"","parse-names":false,"suffix":""},{"dropping-particle":"","family":"Korecha","given":"Diriba","non-dropping-particle":"","parse-names":false,"suffix":""}],"container-title":"International Journal of Climatology","id":"ITEM-1","issue":"7","issued":{"date-parts":[["2018"]]},"page":"2940-2953","title":"Sub-seasonal variability of the Belg rains in Ethiopia","type":"article-journal","volume":"38"},"uris":["http://www.mendeley.com/documents/?uuid=a63130a2-090b-4bb6-926b-875247c47ec3"]}],"mendeley":{"formattedCitation":"(Bekele-Biratu et al., 2018)","manualFormatting":"Bekele-Biratu et al., 2018)","plainTextFormattedCitation":"(Bekele-Biratu et al., 2018)","previouslyFormattedCitation":"(Bekele-Biratu et al., 2018)"},"properties":{"noteIndex":0},"schema":"https://github.com/citation-style-language/schema/raw/master/csl-citation.json"}</w:instrText>
      </w:r>
      <w:r w:rsidR="00F376DD" w:rsidRPr="00022CA4">
        <w:fldChar w:fldCharType="separate"/>
      </w:r>
      <w:r w:rsidR="00F376DD" w:rsidRPr="00022CA4">
        <w:rPr>
          <w:noProof/>
        </w:rPr>
        <w:t>Bekele-Biratu et al., 2018)</w:t>
      </w:r>
      <w:r w:rsidR="00F376DD" w:rsidRPr="00022CA4">
        <w:fldChar w:fldCharType="end"/>
      </w:r>
      <w:r w:rsidRPr="00022CA4">
        <w:t xml:space="preserve">. The Belg season also provides a significant amount (242 mm), crucial for bi-modal rainfall regions </w:t>
      </w:r>
      <w:r w:rsidR="00AF2D24" w:rsidRPr="00022CA4">
        <w:fldChar w:fldCharType="begin" w:fldLock="1"/>
      </w:r>
      <w:r w:rsidR="00C91C4A" w:rsidRPr="00022CA4">
        <w:instrText>ADDIN CSL_CITATION {"citationItems":[{"id":"ITEM-1","itemData":{"DOI":"10.1002/joc.5474","ISSN":"10970088","abstract":"The February–May rainfall season, locally known as Belg, contributes up to 40% of the annual rainfall over northeastern, central and southwestern Ethiopia. Its contribution exceeds 50% over southern and southeastern Ethiopia. The Belg season is characterized by significant inter-annual and intra-seasonal variability. However, there are only a few studies addressing the characteristics of this season. Interactions between extratropical and tropical systems across the Red Sea region play a major role in modulating the rainfall pattern during this season. It is shown in this article that the North Atlantic Oscillation (NAO) seems to play a major role in the variability of the Belg rains on the sub-seasonal time scale. The Belg rains are negatively correlated with the NAO index over much of the region, with southern and southeastern Ethiopia exhibiting relatively highest correlation values. NAO rainfall anomaly composites also indicate that the negative (positive) phase of the NAO tends to enhance (suppress) the Belg rains. Two modes of regional circulation patterns that modulate Belg rainfall variability have also been identified in this study. A ridge/trough pattern, featuring two anomalous mid- to upper-level warm anticyclones and one cold cyclonic trough in the region between the northeast Atlantic and the Arabian Peninsula, tends to suppress the Belg rainfall due to reduced tropical–extratropical interactions. In contrast, a tripole structure with two anomalous mid- to upper-level cold cyclonic troughs and one warm anticyclone tends to enhance rainfall during the Belg season of Ethiopia. It is further shown in this article that the Madden–Julian Oscillation (MJO) tends to modulate rainfall during the Belg season.","author":[{"dropping-particle":"","family":"Bekele-Biratu","given":"Endalkachew","non-dropping-particle":"","parse-names":false,"suffix":""},{"dropping-particle":"","family":"Thiaw","given":"Wassila M.","non-dropping-particle":"","parse-names":false,"suffix":""},{"dropping-particle":"","family":"Korecha","given":"Diriba","non-dropping-particle":"","parse-names":false,"suffix":""}],"container-title":"International Journal of Climatology","id":"ITEM-1","issue":"7","issued":{"date-parts":[["2018"]]},"page":"2940-2953","title":"Sub-seasonal variability of the Belg rains in Ethiopia","type":"article-journal","volume":"38"},"uris":["http://www.mendeley.com/documents/?uuid=a63130a2-090b-4bb6-926b-875247c47ec3"]}],"mendeley":{"formattedCitation":"(Bekele-Biratu et al., 2018)","manualFormatting":"(Bekele-Biratu et al., 2018","plainTextFormattedCitation":"(Bekele-Biratu et al., 2018)","previouslyFormattedCitation":"(Bekele-Biratu et al., 2018)"},"properties":{"noteIndex":0},"schema":"https://github.com/citation-style-language/schema/raw/master/csl-citation.json"}</w:instrText>
      </w:r>
      <w:r w:rsidR="00AF2D24" w:rsidRPr="00022CA4">
        <w:fldChar w:fldCharType="separate"/>
      </w:r>
      <w:r w:rsidR="00AF2D24" w:rsidRPr="00022CA4">
        <w:rPr>
          <w:noProof/>
        </w:rPr>
        <w:t>(Bekele-Biratu et al., 2018</w:t>
      </w:r>
      <w:r w:rsidR="00AF2D24" w:rsidRPr="00022CA4">
        <w:fldChar w:fldCharType="end"/>
      </w:r>
      <w:r w:rsidR="00AF2D24" w:rsidRPr="00022CA4">
        <w:t xml:space="preserve">; </w:t>
      </w:r>
      <w:r w:rsidR="00AF2D24" w:rsidRPr="00022CA4">
        <w:fldChar w:fldCharType="begin" w:fldLock="1"/>
      </w:r>
      <w:r w:rsidR="00AF2D24" w:rsidRPr="00022CA4">
        <w:instrText>ADDIN CSL_CITATION {"citationItems":[{"id":"ITEM-1","itemData":{"DOI":"10.1111/j.1468-0459.2007.00327.x","ISSN":"04353676","abstract":"Most farmers in the Ethiopian highlands depend on rain-fed agriculture. Some areas have the favourable situation of having two rainy seasons, Belg (February-May) and the long rainy season Kiremt (June-October), which is the case in some parts of South Wollo. Tef (Eragrostis tef) is the staple crop that farmers prefer to grow and the 90-day variety is suitable for growing during the short rainy season. One out of eight Ethiopians lives in tef potential areas which have Belg rainfall. The aim in this study is to analyse rainfall variation in South Wollo, in particular the area east of the small town of Hayk, and to study its effect on the ability to grow tef during the Belg season. Results from interviews showed that a more difficult farming situation had emerged during the past 40 years, largely due to deterioration of physical resources such as rainfall. Rainfall is analysed by comparing daily rainfall data from four stations in two periods, 1963 to 1982 and 1984 to 2003, for changes in totals, seasonal distribution and variability. Coefficient of variance, rainy days, rainfall intensity and dry spells were analysed. Results from this study show that there have been minor rainfall changes but greater rainfall variability. During fieldwork key informants were asked if they were able to harvest tef during the past nine years, a period that has been used in a model of rainfall influence on tef cultivation during the Belg season. In both 20-year periods, farmers were able to grow tef every second year. In spite of a greater variability in rainfall the farmers proved their knowledge and flexibility and were able to harvest tef in the same number of years during both periods. © 2007 Swedish Society for Anthropology and Geography.","author":[{"dropping-particle":"","family":"Rosell","given":"Staffan","non-dropping-particle":"","parse-names":false,"suffix":""},{"dropping-particle":"","family":"Holmer","given":"Björn","non-dropping-particle":"","parse-names":false,"suffix":""}],"container-title":"Geografiska Annaler, Series A: Physical Geography","id":"ITEM-1","issue":"4","issued":{"date-parts":[["2007"]]},"page":"287-299","title":"Rainfall change and its implications for Belg harvest in South Wollo, Ethiopia","type":"article-journal","volume":"89 A"},"uris":["http://www.mendeley.com/documents/?uuid=772bbf73-7932-4737-a442-18cee195fe1a"]}],"mendeley":{"formattedCitation":"(Rosell &amp; Holmer, 2007)","manualFormatting":"Rosell &amp; Holmer, 2007","plainTextFormattedCitation":"(Rosell &amp; Holmer, 2007)","previouslyFormattedCitation":"(Rosell &amp; Holmer, 2007)"},"properties":{"noteIndex":0},"schema":"https://github.com/citation-style-language/schema/raw/master/csl-citation.json"}</w:instrText>
      </w:r>
      <w:r w:rsidR="00AF2D24" w:rsidRPr="00022CA4">
        <w:fldChar w:fldCharType="separate"/>
      </w:r>
      <w:r w:rsidR="00AF2D24" w:rsidRPr="00022CA4">
        <w:rPr>
          <w:noProof/>
        </w:rPr>
        <w:t>Rosell &amp; Holmer, 2007</w:t>
      </w:r>
      <w:r w:rsidR="00AF2D24" w:rsidRPr="00022CA4">
        <w:fldChar w:fldCharType="end"/>
      </w:r>
      <w:r w:rsidR="00AF2D24" w:rsidRPr="00022CA4">
        <w:t xml:space="preserve">; </w:t>
      </w:r>
      <w:r w:rsidR="00AF2D24" w:rsidRPr="00022CA4">
        <w:fldChar w:fldCharType="begin" w:fldLock="1"/>
      </w:r>
      <w:r w:rsidR="00C91C4A" w:rsidRPr="00022CA4">
        <w:instrText>ADDIN CSL_CITATION {"citationItems":[{"id":"ITEM-1","itemData":{"DOI":"10.1155/2023/1939528","ISSN":"16879317","abstract":"Climate change is an environmental challenge for rural communities that rely heavily on rainwater-based agriculture. The main goal of this study is to investigate spatiotemporal variability and trends in rainfall and temperature in southern Ethiopia. Extreme temperature and rainfall indices were computed using the ClimPACT2 software. The detection and quantification of trends in rainfall and temperature extremes were analyzed using a nonparametric modified Mann-Kendall (MMK) test and Sen's slope estimator. Results indicated that the mean annual rainfall has a declining trend at Boditi School and Mayokote stations with a statistically significant amount at magnitudes of 0.02 mm and 0.04 mm, respectively. The highest average monthly rainfall in the catchment was observed in the months of April, May, June, July, and August up to maximum rainfall of 117.50 mm, 177.43 mm, and 228.84 mm in Bilate Tena, Boditi, and Mayakote stations, respectively. On a seasonal scale, rainfall in Bilate Tena station was highly variable in all months, ranging from 49.54% to 126.92%, and three seasons except spring which showed moderate variation at 40.65%. In addition, the three locations over the catchment exhibited varied drought signs such as severe (1.28 &lt; SRA &lt; 1.65) and extreme drought (SRA &gt; 1.65). The temperature indices, on the other hand, exhibited a warming trend over the catchment which was observed through an increased annual number of warm days (TX90p) and warm nights (TN90p) ranges from 0.274 to 6.03 and 0.274 to 3.16, respectively. The annual maximum value of the daily maximum temperature (TXx) ranges from 30.10 to 33.76°C in the three agroecological zones and showed low, medium, and high values in Dega, Woyna Dega, and Kola agroecologies, while the annual maximum value of the daily minimum temperature (TNx) ranged between 17 and 17.44°C at Dega and Kola, respectively. Therefore, based on trends in rainfall variability and persistent temperature rise, appropriate adaptation strategies should be adopted.","author":[{"dropping-particle":"","family":"Dalle","given":"Daniel","non-dropping-particle":"","parse-names":false,"suffix":""},{"dropping-particle":"","family":"Gecho","given":"Yisak","non-dropping-particle":"","parse-names":false,"suffix":""},{"dropping-particle":"","family":"Bedeke","given":"Sisay Belay","non-dropping-particle":"","parse-names":false,"suffix":""}],"container-title":"Advances in Meteorology","id":"ITEM-1","issued":{"date-parts":[["2023"]]},"title":"Spatiotemporal Variability and Trends in Rainfall and Temperature in South Ethiopia: Implications for Climate Change Adaptations in Rural Communities","type":"article-journal","volume":"2023"},"uris":["http://www.mendeley.com/documents/?uuid=785f2bf1-327f-4cb4-976a-ae3d56ae65b9"]}],"mendeley":{"formattedCitation":"(Dalle et al., 2023)","manualFormatting":"Dalle et al., 2023)","plainTextFormattedCitation":"(Dalle et al., 2023)","previouslyFormattedCitation":"(Dalle et al., 2023)"},"properties":{"noteIndex":0},"schema":"https://github.com/citation-style-language/schema/raw/master/csl-citation.json"}</w:instrText>
      </w:r>
      <w:r w:rsidR="00AF2D24" w:rsidRPr="00022CA4">
        <w:fldChar w:fldCharType="separate"/>
      </w:r>
      <w:r w:rsidR="00AF2D24" w:rsidRPr="00022CA4">
        <w:rPr>
          <w:noProof/>
        </w:rPr>
        <w:t>Dalle et al., 2023)</w:t>
      </w:r>
      <w:r w:rsidR="00AF2D24" w:rsidRPr="00022CA4">
        <w:fldChar w:fldCharType="end"/>
      </w:r>
      <w:r w:rsidRPr="00022CA4">
        <w:t>. The Bega season is notably drier (138 mm), underscoring the strong seasonal dependence of water availability (Fig. 4). The peak monthly rainfall in August (117 mm during Kiremt) and May (95 mm during Belg) are critical periods for water resources, while the low</w:t>
      </w:r>
      <w:r w:rsidR="00831AB8" w:rsidRPr="00022CA4">
        <w:t>est amount (</w:t>
      </w:r>
      <w:r w:rsidRPr="00022CA4">
        <w:t>11 mm</w:t>
      </w:r>
      <w:r w:rsidR="00831AB8" w:rsidRPr="00022CA4">
        <w:t>)</w:t>
      </w:r>
      <w:r w:rsidRPr="00022CA4">
        <w:t xml:space="preserve"> in January (Bega) signifies potential water stress. </w:t>
      </w:r>
      <w:r w:rsidR="00831AB8" w:rsidRPr="00022CA4">
        <w:t xml:space="preserve">Fig. 4 </w:t>
      </w:r>
      <w:r w:rsidRPr="00022CA4">
        <w:t>illustrates these monthly variations in rainfall.</w:t>
      </w:r>
      <w:r w:rsidR="007E712B" w:rsidRPr="00022CA4">
        <w:t xml:space="preserve"> For example, t</w:t>
      </w:r>
      <w:r w:rsidR="00915B71" w:rsidRPr="00022CA4">
        <w:t xml:space="preserve">he result of the annual rainfall climatology aligned with </w:t>
      </w:r>
      <w:r w:rsidR="00915B71" w:rsidRPr="00022CA4">
        <w:fldChar w:fldCharType="begin" w:fldLock="1"/>
      </w:r>
      <w:r w:rsidR="00AF2D24" w:rsidRPr="00022CA4">
        <w:instrText>ADDIN CSL_CITATION {"citationItems":[{"id":"ITEM-1","itemData":{"DOI":"10.1016/j.catena.2012.12.007","ISSN":"03418162","abstract":"Land and water are vital resources to maintain the environment and livelihoods of mankind. Understanding the spatial variability of these resources has significant importance for planning, management, and utilization thereof. Despite their importance, there is no available, coherent, and systematically organized method for the characterization and mapping of the soil and hydrological systems in Ethiopia. A review-based research aimed at developing a geo-database of soils for hydrological studies and generation of the hydrological zones of the country based on the surface runoff potential is reported. In this analysis, data from 930 rainfall and 212 meteorological stations were used. Analysis based on a weighted overlay technique within ArcGIS using data from various sources and scales was conducted. A regression equation was used to develop the soil geo-database, scale factors of soil, land slope and climatic layers. An iterative analysis and expert knowledge was also used to determine the weights of the layers for the hydrological zoning. Results from this study provide valuable information about the hydrological zones of Ethiopia and an improved spatial soil database at 1:250,000 scale for the first time. Generated maps and zones will improve the hydrological understanding of the various regions of the country. © 2012 Elsevier B.V.","author":[{"dropping-particle":"","family":"Berhanu","given":"Belete","non-dropping-particle":"","parse-names":false,"suffix":""},{"dropping-particle":"","family":"Melesse","given":"Assefa M.","non-dropping-particle":"","parse-names":false,"suffix":""},{"dropping-particle":"","family":"Seleshi","given":"Yilma","non-dropping-particle":"","parse-names":false,"suffix":""}],"container-title":"Catena","id":"ITEM-1","issued":{"date-parts":[["2013"]]},"page":"21-31","title":"GIS-based hydrological zones and soil geo-database of Ethiopia","type":"article-journal","volume":"104"},"uris":["http://www.mendeley.com/documents/?uuid=2067d2a7-9139-4a63-a3c3-c8a33ccb4f58"]}],"mendeley":{"formattedCitation":"(Berhanu et al., 2013)","manualFormatting":"Berhanu et al. (2013)","plainTextFormattedCitation":"(Berhanu et al., 2013)","previouslyFormattedCitation":"(Berhanu et al., 2013)"},"properties":{"noteIndex":0},"schema":"https://github.com/citation-style-language/schema/raw/master/csl-citation.json"}</w:instrText>
      </w:r>
      <w:r w:rsidR="00915B71" w:rsidRPr="00022CA4">
        <w:fldChar w:fldCharType="separate"/>
      </w:r>
      <w:r w:rsidR="00AF2D24" w:rsidRPr="00022CA4">
        <w:rPr>
          <w:noProof/>
        </w:rPr>
        <w:t>Berhanu et al.</w:t>
      </w:r>
      <w:r w:rsidR="00915B71" w:rsidRPr="00022CA4">
        <w:rPr>
          <w:noProof/>
        </w:rPr>
        <w:t xml:space="preserve"> </w:t>
      </w:r>
      <w:r w:rsidR="00AF2D24" w:rsidRPr="00022CA4">
        <w:rPr>
          <w:noProof/>
        </w:rPr>
        <w:t>(</w:t>
      </w:r>
      <w:r w:rsidR="00915B71" w:rsidRPr="00022CA4">
        <w:rPr>
          <w:noProof/>
        </w:rPr>
        <w:t>2013)</w:t>
      </w:r>
      <w:r w:rsidR="00915B71" w:rsidRPr="00022CA4">
        <w:fldChar w:fldCharType="end"/>
      </w:r>
      <w:r w:rsidR="00915B71" w:rsidRPr="00022CA4">
        <w:t>; however</w:t>
      </w:r>
      <w:r w:rsidR="00AF2D24" w:rsidRPr="00022CA4">
        <w:t>,</w:t>
      </w:r>
      <w:r w:rsidR="00915B71" w:rsidRPr="00022CA4">
        <w:t xml:space="preserve"> the annual </w:t>
      </w:r>
      <w:proofErr w:type="spellStart"/>
      <w:r w:rsidR="00915B71" w:rsidRPr="00022CA4">
        <w:t>ET</w:t>
      </w:r>
      <w:r w:rsidR="00915B71" w:rsidRPr="00022CA4">
        <w:rPr>
          <w:vertAlign w:val="subscript"/>
        </w:rPr>
        <w:t>o</w:t>
      </w:r>
      <w:proofErr w:type="spellEnd"/>
      <w:r w:rsidR="00915B71" w:rsidRPr="00022CA4">
        <w:rPr>
          <w:vertAlign w:val="subscript"/>
        </w:rPr>
        <w:t xml:space="preserve"> </w:t>
      </w:r>
      <w:r w:rsidR="00915B71" w:rsidRPr="00022CA4">
        <w:t xml:space="preserve">class in </w:t>
      </w:r>
      <w:r w:rsidR="00AF2D24" w:rsidRPr="00022CA4">
        <w:t>their study was</w:t>
      </w:r>
      <w:r w:rsidR="00915B71" w:rsidRPr="00022CA4">
        <w:t xml:space="preserve"> different </w:t>
      </w:r>
      <w:r w:rsidR="00AF2D24" w:rsidRPr="00022CA4">
        <w:t xml:space="preserve">compared to </w:t>
      </w:r>
      <w:r w:rsidR="00915B71" w:rsidRPr="00022CA4">
        <w:t xml:space="preserve">the result of this study as it depicted a large portion of Ethiopia, class 1 &amp; 2, evaporating annual mean </w:t>
      </w:r>
      <w:proofErr w:type="spellStart"/>
      <w:r w:rsidR="00915B71" w:rsidRPr="00022CA4">
        <w:t>ET</w:t>
      </w:r>
      <w:r w:rsidR="00915B71" w:rsidRPr="00022CA4">
        <w:rPr>
          <w:vertAlign w:val="subscript"/>
        </w:rPr>
        <w:t>o</w:t>
      </w:r>
      <w:proofErr w:type="spellEnd"/>
      <w:r w:rsidR="00915B71" w:rsidRPr="00022CA4">
        <w:t xml:space="preserve"> of above 1737 mm and only a little part, class 1 &amp; 2, evaporating below 1124 mm, and the rema</w:t>
      </w:r>
      <w:r w:rsidR="00DD783D" w:rsidRPr="00022CA4">
        <w:t>in</w:t>
      </w:r>
      <w:r w:rsidR="00915B71" w:rsidRPr="00022CA4">
        <w:t xml:space="preserve">ing parts of Ethiopia, class 3 &amp; 4, evaporating between 1124 and 1737 mm. This indicates that the </w:t>
      </w:r>
      <w:proofErr w:type="spellStart"/>
      <w:r w:rsidR="00915B71" w:rsidRPr="00022CA4">
        <w:t>ET</w:t>
      </w:r>
      <w:r w:rsidR="00915B71" w:rsidRPr="00022CA4">
        <w:rPr>
          <w:vertAlign w:val="subscript"/>
        </w:rPr>
        <w:t>o</w:t>
      </w:r>
      <w:proofErr w:type="spellEnd"/>
      <w:r w:rsidR="00915B71" w:rsidRPr="00022CA4">
        <w:t xml:space="preserve"> estimation by </w:t>
      </w:r>
      <w:r w:rsidR="00915B71" w:rsidRPr="00022CA4">
        <w:fldChar w:fldCharType="begin" w:fldLock="1"/>
      </w:r>
      <w:r w:rsidR="007E712B" w:rsidRPr="00022CA4">
        <w:instrText>ADDIN CSL_CITATION {"citationItems":[{"id":"ITEM-1","itemData":{"DOI":"10.1016/j.catena.2012.12.007","ISSN":"03418162","abstract":"Land and water are vital resources to maintain the environment and livelihoods of mankind. Understanding the spatial variability of these resources has significant importance for planning, management, and utilization thereof. Despite their importance, there is no available, coherent, and systematically organized method for the characterization and mapping of the soil and hydrological systems in Ethiopia. A review-based research aimed at developing a geo-database of soils for hydrological studies and generation of the hydrological zones of the country based on the surface runoff potential is reported. In this analysis, data from 930 rainfall and 212 meteorological stations were used. Analysis based on a weighted overlay technique within ArcGIS using data from various sources and scales was conducted. A regression equation was used to develop the soil geo-database, scale factors of soil, land slope and climatic layers. An iterative analysis and expert knowledge was also used to determine the weights of the layers for the hydrological zoning. Results from this study provide valuable information about the hydrological zones of Ethiopia and an improved spatial soil database at 1:250,000 scale for the first time. Generated maps and zones will improve the hydrological understanding of the various regions of the country. © 2012 Elsevier B.V.","author":[{"dropping-particle":"","family":"Berhanu","given":"Belete","non-dropping-particle":"","parse-names":false,"suffix":""},{"dropping-particle":"","family":"Melesse","given":"Assefa M.","non-dropping-particle":"","parse-names":false,"suffix":""},{"dropping-particle":"","family":"Seleshi","given":"Yilma","non-dropping-particle":"","parse-names":false,"suffix":""}],"container-title":"Catena","id":"ITEM-1","issued":{"date-parts":[["2013"]]},"page":"21-31","title":"GIS-based hydrological zones and soil geo-database of Ethiopia","type":"article-journal","volume":"104"},"uris":["http://www.mendeley.com/documents/?uuid=2067d2a7-9139-4a63-a3c3-c8a33ccb4f58"]}],"mendeley":{"formattedCitation":"(Berhanu et al., 2013)","manualFormatting":"Berhanu et al. (2013)","plainTextFormattedCitation":"(Berhanu et al., 2013)","previouslyFormattedCitation":"(Berhanu et al., 2013)"},"properties":{"noteIndex":0},"schema":"https://github.com/citation-style-language/schema/raw/master/csl-citation.json"}</w:instrText>
      </w:r>
      <w:r w:rsidR="00915B71" w:rsidRPr="00022CA4">
        <w:fldChar w:fldCharType="separate"/>
      </w:r>
      <w:r w:rsidR="007E712B" w:rsidRPr="00022CA4">
        <w:rPr>
          <w:noProof/>
        </w:rPr>
        <w:t>Berhanu et al.</w:t>
      </w:r>
      <w:r w:rsidR="00915B71" w:rsidRPr="00022CA4">
        <w:rPr>
          <w:noProof/>
        </w:rPr>
        <w:t xml:space="preserve"> </w:t>
      </w:r>
      <w:r w:rsidR="007E712B" w:rsidRPr="00022CA4">
        <w:rPr>
          <w:noProof/>
        </w:rPr>
        <w:t>(</w:t>
      </w:r>
      <w:r w:rsidR="00915B71" w:rsidRPr="00022CA4">
        <w:rPr>
          <w:noProof/>
        </w:rPr>
        <w:t>2013)</w:t>
      </w:r>
      <w:r w:rsidR="00915B71" w:rsidRPr="00022CA4">
        <w:fldChar w:fldCharType="end"/>
      </w:r>
      <w:r w:rsidR="00915B71" w:rsidRPr="00022CA4">
        <w:t xml:space="preserve"> had a general over and under-estimation for larger and smaller </w:t>
      </w:r>
      <w:proofErr w:type="spellStart"/>
      <w:r w:rsidR="00915B71" w:rsidRPr="00022CA4">
        <w:t>ET</w:t>
      </w:r>
      <w:r w:rsidR="00915B71" w:rsidRPr="00022CA4">
        <w:rPr>
          <w:vertAlign w:val="subscript"/>
        </w:rPr>
        <w:t>o</w:t>
      </w:r>
      <w:proofErr w:type="spellEnd"/>
      <w:r w:rsidR="00915B71" w:rsidRPr="00022CA4">
        <w:t xml:space="preserve"> values. </w:t>
      </w:r>
    </w:p>
    <w:p w14:paraId="6A8D28EC" w14:textId="222A9999" w:rsidR="00F2234A" w:rsidRPr="00022CA4" w:rsidRDefault="00F2234A" w:rsidP="00D24014">
      <w:pPr>
        <w:pStyle w:val="NormalWeb"/>
        <w:spacing w:line="360" w:lineRule="auto"/>
        <w:jc w:val="both"/>
      </w:pPr>
      <w:r w:rsidRPr="00022CA4">
        <w:lastRenderedPageBreak/>
        <w:t xml:space="preserve">The mean annual </w:t>
      </w:r>
      <w:proofErr w:type="spellStart"/>
      <w:r w:rsidRPr="00022CA4">
        <w:t>ET</w:t>
      </w:r>
      <w:r w:rsidRPr="00022CA4">
        <w:rPr>
          <w:vertAlign w:val="subscript"/>
        </w:rPr>
        <w:t>o</w:t>
      </w:r>
      <w:proofErr w:type="spellEnd"/>
      <w:r w:rsidRPr="00022CA4">
        <w:t xml:space="preserve"> of 958 mm, with a relatively narrow monthly range (74 mm in December to 88 mm in March, as shown in Fig. 4), indicates a consistently high atmospheric demand for water throughout the year. Spatially, higher </w:t>
      </w:r>
      <w:proofErr w:type="spellStart"/>
      <w:r w:rsidRPr="00022CA4">
        <w:t>ET</w:t>
      </w:r>
      <w:r w:rsidRPr="00022CA4">
        <w:rPr>
          <w:vertAlign w:val="subscript"/>
        </w:rPr>
        <w:t>o</w:t>
      </w:r>
      <w:proofErr w:type="spellEnd"/>
      <w:r w:rsidRPr="00022CA4">
        <w:t xml:space="preserve"> in the northeastern basins (Fig. 3, </w:t>
      </w:r>
      <w:r w:rsidR="003D57E5">
        <w:t xml:space="preserve">Table </w:t>
      </w:r>
      <w:r w:rsidR="00F85C4B">
        <w:t>7</w:t>
      </w:r>
      <w:r w:rsidRPr="00022CA4">
        <w:t>) likely reflects the higher temperatures and lower humidity prevalent in these arid and semi-arid environments</w:t>
      </w:r>
      <w:r w:rsidR="00C91C4A" w:rsidRPr="00022CA4">
        <w:t xml:space="preserve"> as evidenced </w:t>
      </w:r>
      <w:r w:rsidR="006C76AC" w:rsidRPr="00022CA4">
        <w:t xml:space="preserve">in 1998 </w:t>
      </w:r>
      <w:r w:rsidR="00C91C4A" w:rsidRPr="00022CA4">
        <w:t>by the Food and Agricu</w:t>
      </w:r>
      <w:r w:rsidR="00DD783D" w:rsidRPr="00022CA4">
        <w:t>l</w:t>
      </w:r>
      <w:r w:rsidR="00C91C4A" w:rsidRPr="00022CA4">
        <w:t xml:space="preserve">tural </w:t>
      </w:r>
      <w:r w:rsidR="00DD783D" w:rsidRPr="00022CA4">
        <w:t>O</w:t>
      </w:r>
      <w:r w:rsidR="00C91C4A" w:rsidRPr="00022CA4">
        <w:t>rganization of the United Nations report</w:t>
      </w:r>
      <w:r w:rsidR="00DD783D" w:rsidRPr="00022CA4">
        <w:t xml:space="preserve"> no. 56</w:t>
      </w:r>
      <w:r w:rsidR="00C91C4A" w:rsidRPr="00022CA4">
        <w:t xml:space="preserve"> </w:t>
      </w:r>
      <w:r w:rsidR="00DD783D" w:rsidRPr="00022CA4">
        <w:t xml:space="preserve">(FAO56) </w:t>
      </w:r>
      <w:r w:rsidR="00C91C4A" w:rsidRPr="00022CA4">
        <w:fldChar w:fldCharType="begin" w:fldLock="1"/>
      </w:r>
      <w:r w:rsidR="00B160F1" w:rsidRPr="00022CA4">
        <w:instrText>ADDIN CSL_CITATION {"citationItems":[{"id":"ITEM-1","itemData":{"ISBN":"9251042195","ISSN":"92-5-104219-5","PMID":"19991908969","abstract":"This publication presents an updated procedure for calculating reference and crop evapotranspiration from meteorological data and crop coefficients. The procedure, first presented in the FAO Irrigation and Drainage Paper No. 24 'Crop Water Requirements', ETo' approach, whereby the effect of the climate on crop water requirements is given by the reference evapotranspiration ETo and the effect of the crop by the crop coefficient Kc. Other procedures developed in FAO Irrigation and Drainage Paper No. 24 such as the estimation of is termed the 'Kc dependable and effective rainfall, the calculation of irrigation requirements and the design of irrigation schedules are not presented in this publication but will be the subject of later papers in the series.","author":[{"dropping-particle":"","family":"Allen","given":"Richard G.","non-dropping-particle":"","parse-names":false,"suffix":""},{"dropping-particle":"","family":"PEREIRA","given":"Luis S.","non-dropping-particle":"","parse-names":false,"suffix":""},{"dropping-particle":"","family":"RAES","given":"Dirk","non-dropping-particle":"","parse-names":false,"suffix":""},{"dropping-particle":"","family":"Martin","given":"SMITH","non-dropping-particle":"","parse-names":false,"suffix":""}],"container-title":"Irrigation and Drainage","id":"ITEM-1","issue":"56","issued":{"date-parts":[["1998"]]},"page":"300","title":"FAO Irrigation and Drainage Paper Crop by","type":"article-journal","volume":"300"},"uris":["http://www.mendeley.com/documents/?uuid=01fecc28-329d-42d6-8066-1a75359961d6"]}],"mendeley":{"formattedCitation":"(Allen et al., 1998)","plainTextFormattedCitation":"(Allen et al., 1998)","previouslyFormattedCitation":"(Allen et al., 1998)"},"properties":{"noteIndex":0},"schema":"https://github.com/citation-style-language/schema/raw/master/csl-citation.json"}</w:instrText>
      </w:r>
      <w:r w:rsidR="00C91C4A" w:rsidRPr="00022CA4">
        <w:fldChar w:fldCharType="separate"/>
      </w:r>
      <w:r w:rsidR="00C91C4A" w:rsidRPr="00022CA4">
        <w:rPr>
          <w:noProof/>
        </w:rPr>
        <w:t>(Allen et al., 1998)</w:t>
      </w:r>
      <w:r w:rsidR="00C91C4A" w:rsidRPr="00022CA4">
        <w:fldChar w:fldCharType="end"/>
      </w:r>
      <w:r w:rsidRPr="00022CA4">
        <w:t xml:space="preserve">. Conversely, the western regions with higher rainfall generally exhibit lower </w:t>
      </w:r>
      <w:proofErr w:type="spellStart"/>
      <w:proofErr w:type="gramStart"/>
      <w:r w:rsidRPr="00022CA4">
        <w:t>ET</w:t>
      </w:r>
      <w:r w:rsidRPr="00022CA4">
        <w:rPr>
          <w:vertAlign w:val="subscript"/>
        </w:rPr>
        <w:t>o</w:t>
      </w:r>
      <w:proofErr w:type="spellEnd"/>
      <w:proofErr w:type="gramEnd"/>
      <w:r w:rsidRPr="00022CA4">
        <w:t xml:space="preserve">, potentially due to increased cloud cover and moderated temperatures. The minimal seasonal variation in </w:t>
      </w:r>
      <w:proofErr w:type="spellStart"/>
      <w:proofErr w:type="gramStart"/>
      <w:r w:rsidRPr="00022CA4">
        <w:t>ET</w:t>
      </w:r>
      <w:r w:rsidRPr="00022CA4">
        <w:rPr>
          <w:vertAlign w:val="subscript"/>
        </w:rPr>
        <w:t>o</w:t>
      </w:r>
      <w:proofErr w:type="spellEnd"/>
      <w:proofErr w:type="gramEnd"/>
      <w:r w:rsidR="00B564F2">
        <w:t xml:space="preserve"> (309 to </w:t>
      </w:r>
      <w:r w:rsidRPr="00022CA4">
        <w:t>338 mm) compared to the substantial</w:t>
      </w:r>
      <w:r w:rsidR="00B564F2">
        <w:t xml:space="preserve"> rainfall variability (138 to </w:t>
      </w:r>
      <w:r w:rsidRPr="00022CA4">
        <w:t xml:space="preserve">393 mm) has significant implications for the </w:t>
      </w:r>
      <w:r w:rsidRPr="00022CA4">
        <w:rPr>
          <w:rStyle w:val="Strong"/>
          <w:b w:val="0"/>
        </w:rPr>
        <w:t>climatic water balance</w:t>
      </w:r>
      <w:r w:rsidRPr="00022CA4">
        <w:t>.</w:t>
      </w:r>
    </w:p>
    <w:p w14:paraId="7375AEAF" w14:textId="58145807" w:rsidR="00EC69B0" w:rsidRPr="00022CA4" w:rsidRDefault="00F2234A" w:rsidP="00717F74">
      <w:pPr>
        <w:pStyle w:val="NormalWeb"/>
        <w:spacing w:line="360" w:lineRule="auto"/>
        <w:jc w:val="both"/>
      </w:pPr>
      <w:r w:rsidRPr="00022CA4">
        <w:t xml:space="preserve">Analyzing the difference between </w:t>
      </w:r>
      <w:r w:rsidR="001C4477">
        <w:t>rainfall</w:t>
      </w:r>
      <w:r w:rsidRPr="00022CA4">
        <w:t xml:space="preserve"> and </w:t>
      </w:r>
      <w:proofErr w:type="spellStart"/>
      <w:proofErr w:type="gramStart"/>
      <w:r w:rsidRPr="00022CA4">
        <w:t>ET</w:t>
      </w:r>
      <w:r w:rsidRPr="00022CA4">
        <w:rPr>
          <w:vertAlign w:val="subscript"/>
        </w:rPr>
        <w:t>o</w:t>
      </w:r>
      <w:proofErr w:type="spellEnd"/>
      <w:proofErr w:type="gramEnd"/>
      <w:r w:rsidRPr="00022CA4">
        <w:t xml:space="preserve"> provides insights into periods of water surplus and deficit. Generally, during the Kiremt season, the high rainfall amounts likely lead to a water surplus in many parts of the country, particularly in the west. However, given the relatively high </w:t>
      </w:r>
      <w:proofErr w:type="spellStart"/>
      <w:proofErr w:type="gramStart"/>
      <w:r w:rsidRPr="00022CA4">
        <w:t>ET</w:t>
      </w:r>
      <w:r w:rsidRPr="00022CA4">
        <w:rPr>
          <w:vertAlign w:val="subscript"/>
        </w:rPr>
        <w:t>o</w:t>
      </w:r>
      <w:proofErr w:type="spellEnd"/>
      <w:proofErr w:type="gramEnd"/>
      <w:r w:rsidRPr="00022CA4">
        <w:t xml:space="preserve"> even during this season, the magnitude and duration of this surplus would vary regionally. In contrast, the Bega season is likely characterized by a significant water deficit across most of Ethiopia due to low rainfall and sustained </w:t>
      </w:r>
      <w:proofErr w:type="spellStart"/>
      <w:proofErr w:type="gramStart"/>
      <w:r w:rsidRPr="00022CA4">
        <w:t>ET</w:t>
      </w:r>
      <w:r w:rsidRPr="00022CA4">
        <w:rPr>
          <w:vertAlign w:val="subscript"/>
        </w:rPr>
        <w:t>o</w:t>
      </w:r>
      <w:proofErr w:type="spellEnd"/>
      <w:proofErr w:type="gramEnd"/>
      <w:r w:rsidRPr="00022CA4">
        <w:t xml:space="preserve">. The Belg season presents a more complex picture, with significant rainfall but also relatively high </w:t>
      </w:r>
      <w:proofErr w:type="spellStart"/>
      <w:proofErr w:type="gramStart"/>
      <w:r w:rsidRPr="00022CA4">
        <w:t>ET</w:t>
      </w:r>
      <w:r w:rsidRPr="00022CA4">
        <w:rPr>
          <w:vertAlign w:val="subscript"/>
        </w:rPr>
        <w:t>o</w:t>
      </w:r>
      <w:proofErr w:type="spellEnd"/>
      <w:proofErr w:type="gramEnd"/>
      <w:r w:rsidRPr="00022CA4">
        <w:t xml:space="preserve">, suggesting that water availability during this period is crucial for rain-fed agriculture and sensitive to inter-annual variability. The spatial variations in rainfall and </w:t>
      </w:r>
      <w:proofErr w:type="spellStart"/>
      <w:proofErr w:type="gramStart"/>
      <w:r w:rsidRPr="00022CA4">
        <w:t>ET</w:t>
      </w:r>
      <w:r w:rsidRPr="00022CA4">
        <w:rPr>
          <w:vertAlign w:val="subscript"/>
        </w:rPr>
        <w:t>o</w:t>
      </w:r>
      <w:proofErr w:type="spellEnd"/>
      <w:proofErr w:type="gramEnd"/>
      <w:r w:rsidR="00B564F2">
        <w:t xml:space="preserve"> (Fig. 2 &amp; </w:t>
      </w:r>
      <w:r w:rsidRPr="00022CA4">
        <w:t xml:space="preserve">3) further emphasize that the climatic water balance will differ considerably across the Ethiopian basins, influencing vegetation patterns, agricultural suitability, and water resource management strategies. Regions with consistently higher rainfall than </w:t>
      </w:r>
      <w:proofErr w:type="spellStart"/>
      <w:proofErr w:type="gramStart"/>
      <w:r w:rsidRPr="00022CA4">
        <w:t>ET</w:t>
      </w:r>
      <w:r w:rsidRPr="00022CA4">
        <w:rPr>
          <w:vertAlign w:val="subscript"/>
        </w:rPr>
        <w:t>o</w:t>
      </w:r>
      <w:proofErr w:type="spellEnd"/>
      <w:proofErr w:type="gramEnd"/>
      <w:r w:rsidRPr="00022CA4">
        <w:t xml:space="preserve"> are likely to have more available water resources, while those with the opposite face greater challe</w:t>
      </w:r>
      <w:r w:rsidR="00717F74" w:rsidRPr="00022CA4">
        <w:t>nges related to water scarcity.</w:t>
      </w:r>
    </w:p>
    <w:p w14:paraId="6CEEE7B3" w14:textId="59CFA8C4" w:rsidR="004469DE" w:rsidRPr="00022CA4" w:rsidRDefault="00542251" w:rsidP="00EE4D7D">
      <w:pPr>
        <w:pStyle w:val="Heading3"/>
        <w:spacing w:after="240" w:line="360" w:lineRule="auto"/>
        <w:rPr>
          <w:rFonts w:ascii="Times New Roman" w:hAnsi="Times New Roman" w:cs="Times New Roman"/>
          <w:b/>
          <w:bCs/>
          <w:color w:val="auto"/>
        </w:rPr>
      </w:pPr>
      <w:r w:rsidRPr="00022CA4">
        <w:rPr>
          <w:rFonts w:ascii="Times New Roman" w:hAnsi="Times New Roman" w:cs="Times New Roman"/>
          <w:b/>
          <w:bCs/>
          <w:color w:val="auto"/>
        </w:rPr>
        <w:t>4</w:t>
      </w:r>
      <w:r w:rsidR="004469DE" w:rsidRPr="00022CA4">
        <w:rPr>
          <w:rFonts w:ascii="Times New Roman" w:hAnsi="Times New Roman" w:cs="Times New Roman"/>
          <w:b/>
          <w:bCs/>
          <w:color w:val="auto"/>
        </w:rPr>
        <w:t>.1.2 Climatology of Climatic Water Balance in Ethiopia</w:t>
      </w:r>
    </w:p>
    <w:p w14:paraId="17AC1560" w14:textId="0B09C042" w:rsidR="004854DE" w:rsidRPr="00022CA4" w:rsidRDefault="00B160F1" w:rsidP="00021A3B">
      <w:pPr>
        <w:spacing w:line="360" w:lineRule="auto"/>
        <w:jc w:val="both"/>
        <w:rPr>
          <w:rFonts w:ascii="Times New Roman" w:hAnsi="Times New Roman" w:cs="Times New Roman"/>
          <w:sz w:val="24"/>
          <w:szCs w:val="24"/>
        </w:rPr>
      </w:pPr>
      <w:r w:rsidRPr="00022CA4">
        <w:rPr>
          <w:rFonts w:ascii="Times New Roman" w:hAnsi="Times New Roman" w:cs="Times New Roman"/>
          <w:sz w:val="24"/>
          <w:szCs w:val="24"/>
        </w:rPr>
        <w:t xml:space="preserve">The annual, seasonal, and monthly </w:t>
      </w:r>
      <w:r w:rsidR="001C4477">
        <w:rPr>
          <w:rFonts w:ascii="Times New Roman" w:hAnsi="Times New Roman" w:cs="Times New Roman"/>
          <w:sz w:val="24"/>
          <w:szCs w:val="24"/>
        </w:rPr>
        <w:t>rainfall</w:t>
      </w:r>
      <w:r w:rsidRPr="00022CA4">
        <w:rPr>
          <w:rFonts w:ascii="Times New Roman" w:hAnsi="Times New Roman" w:cs="Times New Roman"/>
          <w:sz w:val="24"/>
          <w:szCs w:val="24"/>
        </w:rPr>
        <w:t xml:space="preserve"> and evapotranspiration values</w:t>
      </w:r>
      <w:r w:rsidR="00DD783D" w:rsidRPr="00022CA4">
        <w:rPr>
          <w:rFonts w:ascii="Times New Roman" w:hAnsi="Times New Roman" w:cs="Times New Roman"/>
          <w:sz w:val="24"/>
          <w:szCs w:val="24"/>
        </w:rPr>
        <w:t>, as well as the methods used in this study,</w:t>
      </w:r>
      <w:r w:rsidR="00327163" w:rsidRPr="00022CA4">
        <w:rPr>
          <w:rFonts w:ascii="Times New Roman" w:hAnsi="Times New Roman" w:cs="Times New Roman"/>
          <w:sz w:val="24"/>
          <w:szCs w:val="24"/>
        </w:rPr>
        <w:t xml:space="preserve"> which are the basis for Climatic Water Balance (CWB) analysis,</w:t>
      </w:r>
      <w:r w:rsidRPr="00022CA4">
        <w:rPr>
          <w:rFonts w:ascii="Times New Roman" w:hAnsi="Times New Roman" w:cs="Times New Roman"/>
          <w:sz w:val="24"/>
          <w:szCs w:val="24"/>
        </w:rPr>
        <w:t xml:space="preserve"> are generally in agreement with previous studies </w:t>
      </w:r>
      <w:r w:rsidR="00920912" w:rsidRPr="00022CA4">
        <w:rPr>
          <w:rFonts w:ascii="Times New Roman" w:hAnsi="Times New Roman" w:cs="Times New Roman"/>
          <w:sz w:val="24"/>
          <w:szCs w:val="24"/>
        </w:rPr>
        <w:fldChar w:fldCharType="begin" w:fldLock="1"/>
      </w:r>
      <w:r w:rsidR="009C7398" w:rsidRPr="00022CA4">
        <w:rPr>
          <w:rFonts w:ascii="Times New Roman" w:hAnsi="Times New Roman" w:cs="Times New Roman"/>
          <w:sz w:val="24"/>
          <w:szCs w:val="24"/>
        </w:rPr>
        <w:instrText>ADDIN CSL_CITATION {"citationItems":[{"id":"ITEM-1","itemData":{"DOI":"https://doi.org/10.5194/hess-2021-271","author":[{"dropping-particle":"","family":"Abraham","given":"Tesfalem","non-dropping-particle":"","parse-names":false,"suffix":""},{"dropping-particle":"","family":"Liu","given":"Yan","non-dropping-particle":"","parse-names":false,"suffix":""},{"dropping-particle":"","family":"Tekleab","given":"Sirak","non-dropping-particle":"","parse-names":false,"suffix":""},{"dropping-particle":"","family":"Hartmann","given":"Andreas","non-dropping-particle":"","parse-names":false,"suffix":""}],"container-title":"Hydrol. Earth Syst. Sci. Discuss","id":"ITEM-1","issue":"July","issued":{"date-parts":[["2021"]]},"title":"Quantifying the Regional Water Balance of the Ethiopian Rift Valley Lake Basin Using an Uncertainty Estimation Framework","type":"article-journal"},"uris":["http://www.mendeley.com/documents/?uuid=93065d76-b43e-4ecf-8a27-fa5681c5c065"]}],"mendeley":{"formattedCitation":"(Abraham et al., 2021)","manualFormatting":"(e.g., Abraham et al., 2021","plainTextFormattedCitation":"(Abraham et al., 2021)","previouslyFormattedCitation":"(Abraham et al., 2021)"},"properties":{"noteIndex":0},"schema":"https://github.com/citation-style-language/schema/raw/master/csl-citation.json"}</w:instrText>
      </w:r>
      <w:r w:rsidR="00920912" w:rsidRPr="00022CA4">
        <w:rPr>
          <w:rFonts w:ascii="Times New Roman" w:hAnsi="Times New Roman" w:cs="Times New Roman"/>
          <w:sz w:val="24"/>
          <w:szCs w:val="24"/>
        </w:rPr>
        <w:fldChar w:fldCharType="separate"/>
      </w:r>
      <w:r w:rsidR="00920912" w:rsidRPr="00022CA4">
        <w:rPr>
          <w:rFonts w:ascii="Times New Roman" w:hAnsi="Times New Roman" w:cs="Times New Roman"/>
          <w:noProof/>
          <w:sz w:val="24"/>
          <w:szCs w:val="24"/>
        </w:rPr>
        <w:t>(</w:t>
      </w:r>
      <w:r w:rsidR="00990925" w:rsidRPr="00022CA4">
        <w:rPr>
          <w:rFonts w:ascii="Times New Roman" w:hAnsi="Times New Roman" w:cs="Times New Roman"/>
          <w:noProof/>
          <w:sz w:val="24"/>
          <w:szCs w:val="24"/>
        </w:rPr>
        <w:t xml:space="preserve">e.g., </w:t>
      </w:r>
      <w:r w:rsidR="00920912" w:rsidRPr="00022CA4">
        <w:rPr>
          <w:rFonts w:ascii="Times New Roman" w:hAnsi="Times New Roman" w:cs="Times New Roman"/>
          <w:noProof/>
          <w:sz w:val="24"/>
          <w:szCs w:val="24"/>
        </w:rPr>
        <w:t>Abraham et al., 2021</w:t>
      </w:r>
      <w:r w:rsidR="00920912" w:rsidRPr="00022CA4">
        <w:rPr>
          <w:rFonts w:ascii="Times New Roman" w:hAnsi="Times New Roman" w:cs="Times New Roman"/>
          <w:sz w:val="24"/>
          <w:szCs w:val="24"/>
        </w:rPr>
        <w:fldChar w:fldCharType="end"/>
      </w:r>
      <w:r w:rsidR="00920912" w:rsidRPr="00022CA4">
        <w:rPr>
          <w:rFonts w:ascii="Times New Roman" w:hAnsi="Times New Roman" w:cs="Times New Roman"/>
          <w:sz w:val="24"/>
          <w:szCs w:val="24"/>
        </w:rPr>
        <w:t>;</w:t>
      </w:r>
      <w:r w:rsidR="00021A3B" w:rsidRPr="00022CA4">
        <w:rPr>
          <w:rFonts w:ascii="Times New Roman" w:hAnsi="Times New Roman" w:cs="Times New Roman"/>
          <w:sz w:val="24"/>
          <w:szCs w:val="24"/>
        </w:rPr>
        <w:t xml:space="preserve"> </w:t>
      </w:r>
      <w:r w:rsidR="00021A3B" w:rsidRPr="00022CA4">
        <w:rPr>
          <w:rFonts w:ascii="Times New Roman" w:hAnsi="Times New Roman" w:cs="Times New Roman"/>
          <w:sz w:val="24"/>
          <w:szCs w:val="24"/>
        </w:rPr>
        <w:fldChar w:fldCharType="begin" w:fldLock="1"/>
      </w:r>
      <w:r w:rsidR="00CE1983" w:rsidRPr="00022CA4">
        <w:rPr>
          <w:rFonts w:ascii="Times New Roman" w:hAnsi="Times New Roman" w:cs="Times New Roman"/>
          <w:sz w:val="24"/>
          <w:szCs w:val="24"/>
        </w:rPr>
        <w:instrText>ADDIN CSL_CITATION {"citationItems":[{"id":"ITEM-1","itemData":{"DOI":"10.1155/2023/1939528","ISSN":"16879317","abstract":"Climate change is an environmental challenge for rural communities that rely heavily on rainwater-based agriculture. The main goal of this study is to investigate spatiotemporal variability and trends in rainfall and temperature in southern Ethiopia. Extreme temperature and rainfall indices were computed using the ClimPACT2 software. The detection and quantification of trends in rainfall and temperature extremes were analyzed using a nonparametric modified Mann-Kendall (MMK) test and Sen's slope estimator. Results indicated that the mean annual rainfall has a declining trend at Boditi School and Mayokote stations with a statistically significant amount at magnitudes of 0.02 mm and 0.04 mm, respectively. The highest average monthly rainfall in the catchment was observed in the months of April, May, June, July, and August up to maximum rainfall of 117.50 mm, 177.43 mm, and 228.84 mm in Bilate Tena, Boditi, and Mayakote stations, respectively. On a seasonal scale, rainfall in Bilate Tena station was highly variable in all months, ranging from 49.54% to 126.92%, and three seasons except spring which showed moderate variation at 40.65%. In addition, the three locations over the catchment exhibited varied drought signs such as severe (1.28 &lt; SRA &lt; 1.65) and extreme drought (SRA &gt; 1.65). The temperature indices, on the other hand, exhibited a warming trend over the catchment which was observed through an increased annual number of warm days (TX90p) and warm nights (TN90p) ranges from 0.274 to 6.03 and 0.274 to 3.16, respectively. The annual maximum value of the daily maximum temperature (TXx) ranges from 30.10 to 33.76°C in the three agroecological zones and showed low, medium, and high values in Dega, Woyna Dega, and Kola agroecologies, while the annual maximum value of the daily minimum temperature (TNx) ranged between 17 and 17.44°C at Dega and Kola, respectively. Therefore, based on trends in rainfall variability and persistent temperature rise, appropriate adaptation strategies should be adopted.","author":[{"dropping-particle":"","family":"Dalle","given":"Daniel","non-dropping-particle":"","parse-names":false,"suffix":""},{"dropping-particle":"","family":"Gecho","given":"Yisak","non-dropping-particle":"","parse-names":false,"suffix":""},{"dropping-particle":"","family":"Bedeke","given":"Sisay Belay","non-dropping-particle":"","parse-names":false,"suffix":""}],"container-title":"Advances in Meteorology","id":"ITEM-1","issued":{"date-parts":[["2023"]]},"title":"Spatiotemporal Variability and Trends in Rainfall and Temperature in South Ethiopia: Implications for Climate Change Adaptations in Rural Communities","type":"article-journal","volume":"2023"},"uris":["http://www.mendeley.com/documents/?uuid=785f2bf1-327f-4cb4-976a-ae3d56ae65b9"]}],"mendeley":{"formattedCitation":"(Dalle et al., 2023)","manualFormatting":"Dalle et al., 2023","plainTextFormattedCitation":"(Dalle et al., 2023)","previouslyFormattedCitation":"(Dalle et al., 2023)"},"properties":{"noteIndex":0},"schema":"https://github.com/citation-style-language/schema/raw/master/csl-citation.json"}</w:instrText>
      </w:r>
      <w:r w:rsidR="00021A3B" w:rsidRPr="00022CA4">
        <w:rPr>
          <w:rFonts w:ascii="Times New Roman" w:hAnsi="Times New Roman" w:cs="Times New Roman"/>
          <w:sz w:val="24"/>
          <w:szCs w:val="24"/>
        </w:rPr>
        <w:fldChar w:fldCharType="separate"/>
      </w:r>
      <w:r w:rsidR="00021A3B" w:rsidRPr="00022CA4">
        <w:rPr>
          <w:rFonts w:ascii="Times New Roman" w:hAnsi="Times New Roman" w:cs="Times New Roman"/>
          <w:noProof/>
          <w:sz w:val="24"/>
          <w:szCs w:val="24"/>
        </w:rPr>
        <w:t>Dalle et al., 2023</w:t>
      </w:r>
      <w:r w:rsidR="00021A3B" w:rsidRPr="00022CA4">
        <w:rPr>
          <w:rFonts w:ascii="Times New Roman" w:hAnsi="Times New Roman" w:cs="Times New Roman"/>
          <w:sz w:val="24"/>
          <w:szCs w:val="24"/>
        </w:rPr>
        <w:fldChar w:fldCharType="end"/>
      </w:r>
      <w:r w:rsidR="00021A3B" w:rsidRPr="00022CA4">
        <w:rPr>
          <w:rFonts w:ascii="Times New Roman" w:hAnsi="Times New Roman" w:cs="Times New Roman"/>
          <w:sz w:val="24"/>
          <w:szCs w:val="24"/>
        </w:rPr>
        <w:t xml:space="preserve">; </w:t>
      </w:r>
      <w:r w:rsidR="00021A3B"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{"citationItems":[{"id":"ITEM-1","itemData":{"DOI":"https://doi.org/10.1016/j.heliyon.2023.e13965","author":[{"dropping-particle":"","family":"Mengistu","given":"Abiy Getachew","non-dropping-particle":"","parse-names":false,"suffix":""},{"dropping-particle":"","family":"Woldesenbet","given":"Tekalegn Ayele","non-dropping-particle":"","parse-names":false,"suffix":""},{"dropping-particle":"","family":"Dile","given":"Yihun Taddele","non-dropping-particle":"","parse-names":false,"suffix":""},{"dropping-particle":"","family":"Bayabil","given":"Haimanote Kebede","non-dropping-particle":"","parse-names":false,"suffix":""},{"dropping-particle":"","family":"Tefera","given":"Gebrekidan Worku","non-dropping-particle":"","parse-names":false,"suffix":""}],"container-title":"Heliyon","id":"ITEM-1","issued":{"date-parts":[["2023"]]},"title":"Modeling impacts of projected land use and climate changes on the water balance in the Baro basin, Ethiopia","type":"article-journal","volume":"9"},"uris":["http://www.mendeley.com/documents/?uuid=a643647a-65eb-4251-b999-3aa3d4954550"]}],"mendeley":{"formattedCitation":"(Mengistu et al., 2023)","manualFormatting":"Mengistu et al., 2023","plainTextFormattedCitation":"(Mengistu et al., 2023)","previouslyFormattedCitation":"(Mengistu et al., 2023)"},"properties":{"noteIndex":0},"schema":"https://github.com/citation-style-language/schema/raw/master/csl-citation.json"}</w:instrText>
      </w:r>
      <w:r w:rsidR="00021A3B" w:rsidRPr="00022CA4">
        <w:rPr>
          <w:rFonts w:ascii="Times New Roman" w:hAnsi="Times New Roman" w:cs="Times New Roman"/>
          <w:sz w:val="24"/>
          <w:szCs w:val="24"/>
        </w:rPr>
        <w:fldChar w:fldCharType="separate"/>
      </w:r>
      <w:r w:rsidR="00021A3B" w:rsidRPr="00022CA4">
        <w:rPr>
          <w:rFonts w:ascii="Times New Roman" w:hAnsi="Times New Roman" w:cs="Times New Roman"/>
          <w:noProof/>
          <w:sz w:val="24"/>
          <w:szCs w:val="24"/>
        </w:rPr>
        <w:t>Mengistu et al., 2023</w:t>
      </w:r>
      <w:r w:rsidR="00021A3B" w:rsidRPr="00022CA4">
        <w:rPr>
          <w:rFonts w:ascii="Times New Roman" w:hAnsi="Times New Roman" w:cs="Times New Roman"/>
          <w:sz w:val="24"/>
          <w:szCs w:val="24"/>
        </w:rPr>
        <w:fldChar w:fldCharType="end"/>
      </w:r>
      <w:r w:rsidR="00021A3B"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10.1002/joc.8805","author":[{"dropping-particle":"","family":"Workneh","given":"Mulatu","non-dropping-particle":"","parse-names":false,"suffix":""},{"dropping-particle":"","family":"Sun","given":"Shanlei","non-dropping-particle":"","parse-names":false,"suffix":""},{"dropping-particle":"","family":"Mekoya","given":"Antensay","non-dropping-particle":"","parse-names":false,"suffix":""}],"container-title":"International Journal of Climatology published by John Wiley &amp; Sons Ltd on behalf of Royal Meteorological Society.","id":"ITEM-1","issued":{"date-parts":[["2025"]]},"page":"1-17","title":"Causes for the Changes in Reference Crop Evapotranspiration Over Ethiopia During 1980 – 2021","type":"article-journal"},"uris":["http://www.mendeley.com/documents/?uuid=5d1d05b1-4c3d-46d6-bbfb-b51401494c69"]}],"mendeley":{"formattedCitation":"(Workneh et al., 2025)","manualFormatting":"Workneh et al., 2025","plainTextFormattedCitation":"(Workneh et al., 2025)","previouslyFormattedCitation":"(Workneh et al., 2025)"},"properties":{"noteIndex":0},"schema":"https://github.com/citation-style-language/schema/raw/master/csl-citation.json"}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Workneh et al., 2025</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10.1007/s44292-024-00003-9","ISBN":"4429202400","ISSN":"2948-1554","author":[{"dropping-particle":"","family":"Mekoya","given":"Antensay","non-dropping-particle":"","parse-names":false,"suffix":""},{"dropping-particle":"","family":"Workneh","given":"Mulatu","non-dropping-particle":"","parse-names":false,"suffix":""}],"container-title":"Discover Atmosphere","id":"ITEM-1","issue":"December 2023","issued":{"date-parts":[["2024"]]},"publisher":"Springer International Publishing","title":"Comparison of potential evapotranspiration methods in Ethiopia","type":"article-journal"},"uris":["http://www.mendeley.com/documents/?uuid=0cff7666-9e5e-48e9-8b30-d95ac55f99e1"]}],"mendeley":{"formattedCitation":"(Mekoya &amp; Workneh, 2024)","manualFormatting":"Mekoya &amp; Workneh, 2024","plainTextFormattedCitation":"(Mekoya &amp; Workneh, 2024)","previouslyFormattedCitation":"(Mekoya &amp; Workneh, 2024)"},"properties":{"noteIndex":0},"schema":"https://github.com/citation-style-language/schema/raw/master/csl-citation.json"}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Mekoya &amp; Workneh, 2024</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{"citationItems":[{"id":"ITEM-1","itemData":{"DOI":"10.19080/ijesnr.2020.24.556144","abstract":"The rainfall variability and trends over North Shewa investigated using gauge as well as gridded rainfall data from 1985 to 2018. The variability of rainfall in both annual and seasonal scales were evaluated using coefficient of variation (CV), standardized rainfall anomaly, precipitation concentration index (PCI), and standardized precipitation index. Mann-Kendall test and Sen’s slope estimator were used to assess the rainfall trends. The rainfall in North Shewa was found to be highly variable both in space and time; i.e., irregular rainfall distribution was observed (PCI = 20%). The coefficient of variation showed moderate variation in both annual and Kiremt (June-September) rainfall as compared to the rainfall in Belg (February-May) and Bega (October-January) seasons. Mann-Kendall test resulted a decreasing trend in Belg and Bega seasons and an increasing trend for annual and Kiremt rainfall. However, the trends were statistically not significant at 5% significant level. The onset and cessation dates showed a non-significant decreasing and increasing trends, respectively. Whereas, the length of growing period showed a significant increasing trend. Overall, in North Shewa, the wet season (Kirmet) has been wetter while the dry and small rainy seasons (Bega and Belg) have been drier; North Shewa has been vulnerable to drought during Belg season (CV &gt; 30%). Due to the high contribution of Kiremt season for annual rainfall amount of about 75%, the annual rainfall has also showed an increasing trend.","author":[{"dropping-particle":"","family":"Abegaz","given":"Wagaye Bahiru","non-dropping-particle":"","parse-names":false,"suffix":""},{"dropping-particle":"","family":"Mekoya","given":"Antensay","non-dropping-particle":"","parse-names":false,"suffix":""}],"container-title":"International Journal of Environmental Sciences &amp; Natural Resources","id":"ITEM-1","issue":"4","issued":{"date-parts":[["2020"]]},"title":"Rainfall Variability and Trends over Central Ethiopia","type":"article-journal","volume":"24"},"uris":["http://www.mendeley.com/documents/?uuid=3bd9b5bd-c0c4-4fb7-8ade-3655bc12a25b"]}],"mendeley":{"formattedCitation":"(Abegaz &amp; Mekoya, 2020)","manualFormatting":"Abegaz &amp; Mekoya, 2020","plainTextFormattedCitation":"(Abegaz &amp; Mekoya, 2020)","previouslyFormattedCitation":"(Abegaz &amp; Mekoya, 2020)"},"properties":{"noteIndex":0},"schema":"https://github.com/citation-style-language/schema/raw/master/csl-citation.json"}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Abegaz &amp; Mekoya, 2020</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10.37284/ajccrs.3.1.1730.24","ISBN":"0000000228954","author":[{"dropping-particle":"","family":"Mekoya","given":"Antensay","non-dropping-particle":"","parse-names":false,"suffix":""},{"dropping-particle":"","family":"Molla","given":"Moges","non-dropping-particle":"","parse-names":false,"suffix":""}],"container-title":"African Journal of Climate Change and Resource Sustainability","id":"ITEM-1","issue":"1","issued":{"date-parts":[["2024"]]},"page":"24-48","title":"Testing CORDEX GCMs for Projecting Rainfall in Amhara , Ethiopia","type":"article-journal","volume":"3"},"uris":["http://www.mendeley.com/documents/?uuid=6125d069-a8d8-43b6-bf89-71dcd61962c4"]}],"mendeley":{"formattedCitation":"(Mekoya &amp; Molla, 2024)","manualFormatting":"Mekoya &amp; Molla, 2024","plainTextFormattedCitation":"(Mekoya &amp; Molla, 2024)","previouslyFormattedCitation":"(Mekoya &amp; Molla, 2024)"},"properties":{"noteIndex":0},"schema":"https://github.com/citation-style-language/schema/raw/master/csl-citation.json"}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Mekoya &amp; Molla, 2024</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{"citationItems":[{"id":"ITEM-1","itemData":{"DOI":"10.19080/ijesnr.2020.24.556134","author":[{"dropping-particle":"","family":"Mekoya","given":"Antensay","non-dropping-particle":"","parse-names":false,"suffix":""}],"container-title":"International Journal of Environmental Sciences &amp; Natural Resources","id":"ITEM-1","issue":"2","issued":{"date-parts":[["2020"]]},"title":"Dependency of Evaporation and Class A Pan Coefficient on Meteorological Parameters","type":"article-journal","volume":"24"},"uris":["http://www.mendeley.com/documents/?uuid=48950133-deaa-4090-b128-909ff2eb8f09"]}],"mendeley":{"formattedCitation":"(Mekoya, 2020a)","manualFormatting":"Mekoya, 2020a","plainTextFormattedCitation":"(Mekoya, 2020a)","previouslyFormattedCitation":"(Mekoya, 2020a)"},"properties":{"noteIndex":0},"schema":"https://github.com/citation-style-language/schema/raw/master/csl-citation.json"}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Mekoya, 2020a</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{"citationItems":[{"id":"ITEM-1","itemData":{"DOI":"10.37284/eajfa.7.1.1760","ISBN":"0000000228954","ISSN":"2707-4315","abstract":"Understanding rainfall trends &amp; projections is essential for water resource management. This study showed historical (1981-2020) and future (2021-2100) rainfall amounts and trends across 71 grid points separated by 0.44o in Amhara and Amhara’s five rainfall regimes (A3, A4, A5U, A5L, A6). Ground and satellite merged historical data from Ethiopia Meteorology Institute (EMI) and the Rossby Centre Regional Atmospheric Model (RCA) forced by an ensemble of the best-performed Global Circulation Models (GCMs) in Amhara, HadGEM2-ES of UK and MPI-ESM-LR of Germany, in three Representative Concentration Pathway (RCP) scenarios, RCP2.6, RCP4.5, and RCP8.5 from CORDEX project were the basis of dataset. Amhara’s annual, seasonal, and monthly historical rainfall trends mostly increased. During Jun-Sep (Kiremt), lower rainfall receiving regimes (A6, A5L, A5U) had a significant increasing trend (~ 4 mm/year), while wetter regimes (A3 &amp; A4) had a non-significant increasing (&lt; 1 mm/year) and decreasing (~ -0.5 mm/year) trends, respectively. Generally, compared to the climatology, the annual and Kiremt rainfall in Amhara is projected to increase in the near-term (2021-2040) and mid-term (2041-2060) and decrease in the long-term (2081-2100); Oct-Jan (Bega) rainfall is projected to increase in all future terms and all RCP scenarios while Feb-May (Belg) rainfall will be abrupt","author":[{"dropping-particle":"","family":"Mekoya","given":"Antensay","non-dropping-particle":"","parse-names":false,"suffix":""},{"dropping-particle":"","family":"Molla","given":"Moges","non-dropping-particle":"","parse-names":false,"suffix":""},{"dropping-particle":"","family":"Workneh","given":"Mulatu","non-dropping-particle":"","parse-names":false,"suffix":""},{"dropping-particle":"","family":"Worku","given":"Tewachew","non-dropping-particle":"","parse-names":false,"suffix":""}],"container-title":"East African Journal of Forestry and Agroforestry","id":"ITEM-1","issue":"1","issued":{"date-parts":[["2024"]]},"number-of-pages":"19-49","title":"Historical Trend Analysis and Future Projections of Rainfall in Amhara, Ethiopia","type":"book","volume":"7"},"uris":["http://www.mendeley.com/documents/?uuid=24ee101e-9199-4354-bd95-e35ab92a3bd0"]}],"mendeley":{"formattedCitation":"(Mekoya et al., 2024)","manualFormatting":"Mekoya et al., 2024","plainTextFormattedCitation":"(Mekoya et al., 2024)","previouslyFormattedCitation":"(Mekoya et al., 2024)"},"properties":{"noteIndex":0},"schema":"https://github.com/citation-style-language/schema/raw/master/csl-citation.json"}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Mekoya et al., 2024</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{"citationItems":[{"id":"ITEM-1","itemData":{"DOI":"10.19080/ijesnr.2020.24.556142","author":[{"dropping-particle":"","family":"Mekoya","given":"Antensay","non-dropping-particle":"","parse-names":false,"suffix":""}],"container-title":"International Journal of Environmental Sciences &amp; Natural Resources","id":"ITEM-1","issue":"4","issued":{"date-parts":[["2020"]]},"title":"Evaluation of Evaporation Paradox at Tharandt","type":"article-journal","volume":"24"},"uris":["http://www.mendeley.com/documents/?uuid=6250bbfa-bc97-470c-b8cc-e919bbac7011"]}],"mendeley":{"formattedCitation":"(Mekoya, 2020b)","manualFormatting":"Mekoya, 2020b","plainTextFormattedCitation":"(Mekoya, 2020b)","previouslyFormattedCitation":"(Mekoya, 2020b)"},"properties":{"noteIndex":0},"schema":"https://github.com/citation-style-language/schema/raw/master/csl-citation.json"}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Mekoya, 2020b</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{"citationItems":[{"id":"ITEM-1","itemData":{"DOI":"10.19080/ijesnr.2019.19.556003","author":[{"dropping-particle":"","family":"Mekoya","given":"Antensay","non-dropping-particle":"","parse-names":false,"suffix":""}],"container-title":"International Journal of Environmental Sciences &amp; Natural Resources","id":"ITEM-1","issue":"1","issued":{"date-parts":[["2019"]]},"title":"Estimation of Evaporation at Tharandt, using Daily and Ten-Minute Class-A Pan Data from Automatic Measuring Pressure Sensor Instrument","type":"article-journal","volume":"19"},"uris":["http://www.mendeley.com/documents/?uuid=78a514ac-0377-4c07-831a-166e866d12b2"]}],"mendeley":{"formattedCitation":"(Mekoya, 2019)","manualFormatting":"Mekoya, 2019","plainTextFormattedCitation":"(Mekoya, 2019)","previouslyFormattedCitation":"(Mekoya, 2019)"},"properties":{"noteIndex":0},"schema":"https://github.com/citation-style-language/schema/raw/master/csl-citation.json"}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Mekoya, 2019</w:t>
      </w:r>
      <w:r w:rsidRPr="00022CA4">
        <w:rPr>
          <w:rFonts w:ascii="Times New Roman" w:hAnsi="Times New Roman" w:cs="Times New Roman"/>
          <w:sz w:val="24"/>
          <w:szCs w:val="24"/>
        </w:rPr>
        <w:fldChar w:fldCharType="end"/>
      </w:r>
      <w:r w:rsidRPr="00022CA4">
        <w:rPr>
          <w:rFonts w:ascii="Times New Roman" w:hAnsi="Times New Roman" w:cs="Times New Roman"/>
          <w:sz w:val="24"/>
          <w:szCs w:val="24"/>
        </w:rPr>
        <w:t xml:space="preserve">; </w:t>
      </w:r>
      <w:r w:rsidRPr="00022CA4">
        <w:rPr>
          <w:rFonts w:ascii="Times New Roman" w:hAnsi="Times New Roman" w:cs="Times New Roman"/>
          <w:sz w:val="24"/>
          <w:szCs w:val="24"/>
        </w:rPr>
        <w:fldChar w:fldCharType="begin" w:fldLock="1"/>
      </w:r>
      <w:r w:rsidR="00021A3B" w:rsidRPr="00022CA4">
        <w:rPr>
          <w:rFonts w:ascii="Times New Roman" w:hAnsi="Times New Roman" w:cs="Times New Roman"/>
          <w:sz w:val="24"/>
          <w:szCs w:val="24"/>
        </w:rPr>
        <w:instrText>ADDIN CSL_CITATION {"citationItems":[{"id":"ITEM-1","itemData":{"DOI":"10.1007/s41101-020-00099-1","ISSN":"23645687","abstract":"To find the most accurate evaporation or evapotranspiration estimation method(s) for the summer half-year (April to September) for a very humid temperate region, Tharandt, Germany, the class A pan evaporation (Ep) found from the water level difference of class A evaporimeter measurement and widely known potential evapotranspiration (PET) estimation methods, namely, Haude, Wendling, and Penman, have been employed. Data representation techniques such as box plot and trend check as well as linear regression model and model evaluation statistics such as R2, RMSE, MPE, NSE, MAE, RSR, and p value have been used to compare the estimated values of PET and values of Ep with reference evapotranspiration (ETo) values. ETo was used as the reference method using calibrated values, as = 0.014 and bs = 0.50, in Angstrom formula. The result showed that all the evaporation schemes had very good correlation with the reference method. The overall ranking shows merits in using Wendling and Penman methods. Moreover, a trial estimate of class A pan coefficient (Kp) was compared with Kp values estimated from the equation of Frevert et al. and Snyder. The empirically estimated trial method gave accurate estimates for fetch distances of 10 m, 20 m, 100 m, and 500 m. Graphical abstract: [Figure not available: see fulltext.]","author":[{"dropping-particle":"","family":"Mekoya","given":"Antensay","non-dropping-particle":"","parse-names":false,"suffix":""}],"container-title":"Water Conservation Science and Engineering","id":"ITEM-1","issue":"1","issued":{"date-parts":[["2021"]]},"page":"25-35","publisher":"Water Conservation Science and Engineering","title":"Comparison of Evaporation Schemes and Methods of Estimation of Class A Pan Coefficient at Tharandt, Germany","type":"article-journal","volume":"6"},"uris":["http://www.mendeley.com/documents/?uuid=0a24343b-67cb-4567-84a0-4b43597b77a4"]}],"mendeley":{"formattedCitation":"(Mekoya, 2021)","manualFormatting":"Mekoya, 2021)","plainTextFormattedCitation":"(Mekoya, 2021)","previouslyFormattedCitation":"(Mekoya, 2021)"},"properties":{"noteIndex":0},"schema":"https://github.com/citation-style-language/schema/raw/master/csl-citation.json"}</w:instrText>
      </w:r>
      <w:r w:rsidRPr="00022CA4">
        <w:rPr>
          <w:rFonts w:ascii="Times New Roman" w:hAnsi="Times New Roman" w:cs="Times New Roman"/>
          <w:sz w:val="24"/>
          <w:szCs w:val="24"/>
        </w:rPr>
        <w:fldChar w:fldCharType="separate"/>
      </w:r>
      <w:r w:rsidRPr="00022CA4">
        <w:rPr>
          <w:rFonts w:ascii="Times New Roman" w:hAnsi="Times New Roman" w:cs="Times New Roman"/>
          <w:noProof/>
          <w:sz w:val="24"/>
          <w:szCs w:val="24"/>
        </w:rPr>
        <w:t>Mekoya, 2021)</w:t>
      </w:r>
      <w:r w:rsidRPr="00022CA4">
        <w:rPr>
          <w:rFonts w:ascii="Times New Roman" w:hAnsi="Times New Roman" w:cs="Times New Roman"/>
          <w:sz w:val="24"/>
          <w:szCs w:val="24"/>
        </w:rPr>
        <w:fldChar w:fldCharType="end"/>
      </w:r>
      <w:r w:rsidR="00021A3B" w:rsidRPr="00022CA4">
        <w:rPr>
          <w:rFonts w:ascii="Times New Roman" w:hAnsi="Times New Roman" w:cs="Times New Roman"/>
          <w:sz w:val="24"/>
          <w:szCs w:val="24"/>
        </w:rPr>
        <w:t xml:space="preserve">. The </w:t>
      </w:r>
      <w:r w:rsidR="001C4477">
        <w:rPr>
          <w:rFonts w:ascii="Times New Roman" w:hAnsi="Times New Roman" w:cs="Times New Roman"/>
          <w:sz w:val="24"/>
          <w:szCs w:val="24"/>
        </w:rPr>
        <w:t>rainfall</w:t>
      </w:r>
      <w:r w:rsidR="00021A3B" w:rsidRPr="00022CA4">
        <w:rPr>
          <w:rFonts w:ascii="Times New Roman" w:hAnsi="Times New Roman" w:cs="Times New Roman"/>
          <w:sz w:val="24"/>
          <w:szCs w:val="24"/>
        </w:rPr>
        <w:t xml:space="preserve"> minus evapotranspiration analysis reveals a mean annual CWB</w:t>
      </w:r>
      <w:r w:rsidR="00327163" w:rsidRPr="00022CA4">
        <w:rPr>
          <w:rFonts w:ascii="Times New Roman" w:hAnsi="Times New Roman" w:cs="Times New Roman"/>
          <w:sz w:val="24"/>
          <w:szCs w:val="24"/>
        </w:rPr>
        <w:t xml:space="preserve"> </w:t>
      </w:r>
      <w:r w:rsidR="004854DE" w:rsidRPr="00022CA4">
        <w:rPr>
          <w:rFonts w:ascii="Times New Roman" w:hAnsi="Times New Roman" w:cs="Times New Roman"/>
          <w:sz w:val="24"/>
          <w:szCs w:val="24"/>
        </w:rPr>
        <w:t xml:space="preserve">of -185 mm across Ethiopia during the period 1980-2021 (Fig. 6, </w:t>
      </w:r>
      <w:r w:rsidR="003D57E5">
        <w:rPr>
          <w:rFonts w:ascii="Times New Roman" w:hAnsi="Times New Roman" w:cs="Times New Roman"/>
          <w:sz w:val="24"/>
          <w:szCs w:val="24"/>
        </w:rPr>
        <w:t>Table 6</w:t>
      </w:r>
      <w:r w:rsidR="004854DE" w:rsidRPr="00022CA4">
        <w:rPr>
          <w:rFonts w:ascii="Times New Roman" w:hAnsi="Times New Roman" w:cs="Times New Roman"/>
          <w:sz w:val="24"/>
          <w:szCs w:val="24"/>
        </w:rPr>
        <w:t xml:space="preserve">), indicating a general tendency towards water deficit when considering the overall atmospheric demand exceeding </w:t>
      </w:r>
      <w:r w:rsidR="001C4477">
        <w:rPr>
          <w:rFonts w:ascii="Times New Roman" w:hAnsi="Times New Roman" w:cs="Times New Roman"/>
          <w:sz w:val="24"/>
          <w:szCs w:val="24"/>
        </w:rPr>
        <w:t>rainfall</w:t>
      </w:r>
      <w:r w:rsidR="004854DE" w:rsidRPr="00022CA4">
        <w:rPr>
          <w:rFonts w:ascii="Times New Roman" w:hAnsi="Times New Roman" w:cs="Times New Roman"/>
          <w:sz w:val="24"/>
          <w:szCs w:val="24"/>
        </w:rPr>
        <w:t xml:space="preserve"> inputs. However, the wide range in annual CWB across the 392 grid points, from -991 to 1448 mm (Fig. 5), </w:t>
      </w:r>
      <w:r w:rsidR="00DD783D" w:rsidRPr="00022CA4">
        <w:rPr>
          <w:rFonts w:ascii="Times New Roman" w:hAnsi="Times New Roman" w:cs="Times New Roman"/>
          <w:sz w:val="24"/>
          <w:szCs w:val="24"/>
        </w:rPr>
        <w:t>indicates</w:t>
      </w:r>
      <w:r w:rsidR="004854DE" w:rsidRPr="00022CA4">
        <w:rPr>
          <w:rFonts w:ascii="Times New Roman" w:hAnsi="Times New Roman" w:cs="Times New Roman"/>
          <w:sz w:val="24"/>
          <w:szCs w:val="24"/>
        </w:rPr>
        <w:t xml:space="preserve"> the significant spatial heterogeneity in water availability across the country. Similarly, the seasonal CWB range (-351 to 1029 mm) highlights the variability in water balance throughout the year, with some regions experiencing substantial surpluses during certain seasons while facing deficits in others.</w:t>
      </w:r>
    </w:p>
    <w:p w14:paraId="3FBCD180" w14:textId="6177128D" w:rsidR="004854DE" w:rsidRPr="00022CA4" w:rsidRDefault="004854DE" w:rsidP="003677EF">
      <w:pPr>
        <w:pStyle w:val="NormalWeb"/>
        <w:spacing w:line="360" w:lineRule="auto"/>
        <w:jc w:val="both"/>
      </w:pPr>
      <w:r w:rsidRPr="00022CA4">
        <w:lastRenderedPageBreak/>
        <w:t xml:space="preserve">The </w:t>
      </w:r>
      <w:r w:rsidR="006C76AC" w:rsidRPr="00022CA4">
        <w:t xml:space="preserve">annual mean CWB </w:t>
      </w:r>
      <w:r w:rsidRPr="00022CA4">
        <w:t xml:space="preserve">spatial distribution (Fig. 5) clearly illustrates that most of Ethiopia, with the notable exceptions of some western and central areas, experiences a net negative water balance. This spatial pattern is largely a reflection of the interplay between the rainfall distribution discussed earlier (Fig. 2) and the relatively consistent but high evapotranspiration rates (Fig. 3). </w:t>
      </w:r>
      <w:proofErr w:type="gramStart"/>
      <w:r w:rsidRPr="00022CA4">
        <w:t>The western and central regions with positive CWB likely benefit from higher annual rainfall totals that exceed the atmospheric water demand, at least on average.</w:t>
      </w:r>
      <w:proofErr w:type="gramEnd"/>
    </w:p>
    <w:p w14:paraId="49BDFC3B" w14:textId="77777777" w:rsidR="004854DE" w:rsidRPr="00022CA4" w:rsidRDefault="004854DE" w:rsidP="003677EF">
      <w:pPr>
        <w:pStyle w:val="NormalWeb"/>
        <w:spacing w:line="360" w:lineRule="auto"/>
        <w:jc w:val="both"/>
      </w:pPr>
      <w:r w:rsidRPr="00022CA4">
        <w:t>The negative mean annual and seasonal (except Kiremt) CWB for Ethiopia as a whole (Fig. 6) suggests that water scarcity is a significant concern for many parts of the country for a considerable portion of the year. The Kiremt season's positive mean CWB is crucial as it represents the primary period of water recharge and availability for agriculture and other water-dependent sectors.</w:t>
      </w:r>
    </w:p>
    <w:p w14:paraId="18825062" w14:textId="1D9ADC29" w:rsidR="004854DE" w:rsidRPr="00022CA4" w:rsidRDefault="004854DE" w:rsidP="003677EF">
      <w:pPr>
        <w:pStyle w:val="NormalWeb"/>
        <w:spacing w:line="360" w:lineRule="auto"/>
        <w:jc w:val="both"/>
      </w:pPr>
      <w:r w:rsidRPr="00022CA4">
        <w:t>The basin-level analysis (</w:t>
      </w:r>
      <w:r w:rsidR="003D57E5">
        <w:t>Table 6</w:t>
      </w:r>
      <w:r w:rsidRPr="00022CA4">
        <w:t>) further clarifies the regional variations in water balance. The fact that only four out of the twelve basins (</w:t>
      </w:r>
      <w:proofErr w:type="spellStart"/>
      <w:r w:rsidRPr="00022CA4">
        <w:t>Baro-Akobo</w:t>
      </w:r>
      <w:proofErr w:type="spellEnd"/>
      <w:r w:rsidRPr="00022CA4">
        <w:t xml:space="preserve">, </w:t>
      </w:r>
      <w:proofErr w:type="spellStart"/>
      <w:r w:rsidRPr="00022CA4">
        <w:t>Omo</w:t>
      </w:r>
      <w:proofErr w:type="spellEnd"/>
      <w:r w:rsidRPr="00022CA4">
        <w:t xml:space="preserve">-Gibe, </w:t>
      </w:r>
      <w:proofErr w:type="spellStart"/>
      <w:r w:rsidRPr="00022CA4">
        <w:t>Abbay</w:t>
      </w:r>
      <w:proofErr w:type="spellEnd"/>
      <w:r w:rsidRPr="00022CA4">
        <w:t>, and Rift Valley) exhibit</w:t>
      </w:r>
      <w:r w:rsidR="003677EF" w:rsidRPr="00022CA4">
        <w:t>ed</w:t>
      </w:r>
      <w:r w:rsidRPr="00022CA4">
        <w:t xml:space="preserve"> a positive annual CWB highlight</w:t>
      </w:r>
      <w:r w:rsidR="003677EF" w:rsidRPr="00022CA4">
        <w:t>s</w:t>
      </w:r>
      <w:r w:rsidRPr="00022CA4">
        <w:t xml:space="preserve"> the uneven distribution of water resources. These basins, particularly those in the western highlands (</w:t>
      </w:r>
      <w:proofErr w:type="spellStart"/>
      <w:r w:rsidRPr="00022CA4">
        <w:t>Baro-Akobo</w:t>
      </w:r>
      <w:proofErr w:type="spellEnd"/>
      <w:r w:rsidRPr="00022CA4">
        <w:t xml:space="preserve">, </w:t>
      </w:r>
      <w:proofErr w:type="spellStart"/>
      <w:r w:rsidRPr="00022CA4">
        <w:t>Abbay</w:t>
      </w:r>
      <w:proofErr w:type="spellEnd"/>
      <w:r w:rsidRPr="00022CA4">
        <w:t xml:space="preserve">, and </w:t>
      </w:r>
      <w:proofErr w:type="spellStart"/>
      <w:r w:rsidRPr="00022CA4">
        <w:t>Omo</w:t>
      </w:r>
      <w:proofErr w:type="spellEnd"/>
      <w:r w:rsidRPr="00022CA4">
        <w:t>-Gibe), generally receive higher rainfall, leading to a surplus after accounting for evapotranspiration. The positive CWB in parts of the Rift Valley basin might be attributed to specific hydrological characteristics or localized high rainfall areas within the basin.</w:t>
      </w:r>
    </w:p>
    <w:p w14:paraId="7E2C857E" w14:textId="302C1618" w:rsidR="00F2234A" w:rsidRPr="00022CA4" w:rsidRDefault="004854DE" w:rsidP="00021A3B">
      <w:pPr>
        <w:pStyle w:val="NormalWeb"/>
        <w:spacing w:line="360" w:lineRule="auto"/>
        <w:jc w:val="both"/>
      </w:pPr>
      <w:r w:rsidRPr="00022CA4">
        <w:t xml:space="preserve">The monthly CWB dynamics (Fig. 6) provide a more granular view of water availability throughout the year. The increase in CWB from January to May likely corresponds to the onset and progression of the Belg rains, which, while smaller than Kiremt, contribute to reducing water deficits. The decline from May to June </w:t>
      </w:r>
      <w:r w:rsidR="00DD783D" w:rsidRPr="00022CA4">
        <w:t>is not clear</w:t>
      </w:r>
      <w:r w:rsidRPr="00022CA4">
        <w:t>. The subsequent rise from June to August aligns with the peak rainfall during the Kiremt season, leading to the most significant water surplus of the year. The gradual decrease in CWB from August to December reflects the receding</w:t>
      </w:r>
      <w:r w:rsidR="00DD783D" w:rsidRPr="00022CA4">
        <w:t>/ cessation of</w:t>
      </w:r>
      <w:r w:rsidRPr="00022CA4">
        <w:t xml:space="preserve"> Kiremt rains and the persistence of evapotranspiration, eventually leading back to water deficit conditi</w:t>
      </w:r>
      <w:r w:rsidR="00021A3B" w:rsidRPr="00022CA4">
        <w:t>ons during the Bega dry season.</w:t>
      </w:r>
    </w:p>
    <w:p w14:paraId="286B5812" w14:textId="37E5E775" w:rsidR="00AF43BA" w:rsidRPr="00022CA4" w:rsidRDefault="00E72364" w:rsidP="00021A3B">
      <w:pPr>
        <w:pStyle w:val="NormalWeb"/>
        <w:spacing w:line="360" w:lineRule="auto"/>
        <w:jc w:val="both"/>
      </w:pPr>
      <w:r w:rsidRPr="00022CA4">
        <w:t>Thus</w:t>
      </w:r>
      <w:r w:rsidR="00AF43BA" w:rsidRPr="00022CA4">
        <w:t xml:space="preserve">, the climatic water balance </w:t>
      </w:r>
      <w:r w:rsidRPr="00022CA4">
        <w:t>climatology</w:t>
      </w:r>
      <w:r w:rsidR="00795201" w:rsidRPr="00022CA4">
        <w:t xml:space="preserve"> </w:t>
      </w:r>
      <w:r w:rsidR="00DD783D" w:rsidRPr="00022CA4">
        <w:t>indicates</w:t>
      </w:r>
      <w:r w:rsidR="00AF43BA" w:rsidRPr="00022CA4">
        <w:t xml:space="preserve"> the spatial and temporal vulnerability of Ethiopia to water stress. While some western and central regions and the Kiremt season experience periods of water surplus, much of the country and most of the year </w:t>
      </w:r>
      <w:r w:rsidR="00DD783D" w:rsidRPr="00022CA4">
        <w:t>is</w:t>
      </w:r>
      <w:r w:rsidR="00AF43BA" w:rsidRPr="00022CA4">
        <w:t xml:space="preserve"> characterized by a negative water balance. These findings have critical implications for water resource management, agricultural</w:t>
      </w:r>
      <w:r w:rsidRPr="00022CA4">
        <w:t xml:space="preserve"> (forestry)</w:t>
      </w:r>
      <w:r w:rsidR="00AF43BA" w:rsidRPr="00022CA4">
        <w:t xml:space="preserve"> planning,</w:t>
      </w:r>
      <w:r w:rsidR="007D4541">
        <w:t xml:space="preserve"> </w:t>
      </w:r>
      <w:r w:rsidR="007D4541" w:rsidRPr="007D4541">
        <w:t xml:space="preserve">for </w:t>
      </w:r>
      <w:r w:rsidR="007D4541">
        <w:t>Climate-Influenced Public Health Issues</w:t>
      </w:r>
      <w:r w:rsidR="007D4541">
        <w:rPr>
          <w:b/>
          <w:bCs/>
        </w:rPr>
        <w:t>,</w:t>
      </w:r>
      <w:r w:rsidR="00AF43BA" w:rsidRPr="00022CA4">
        <w:t xml:space="preserve"> and understanding the potential impacts of climate change on water availability in Ethiopia. Strategies for water conservation, efficient irrigation, and rainwater harvesting are particularly important in regions and seasons with negative CWB.</w:t>
      </w:r>
    </w:p>
    <w:p w14:paraId="5568B738" w14:textId="6D21244C" w:rsidR="00542251" w:rsidRPr="00022CA4" w:rsidRDefault="00542251" w:rsidP="00EE4D7D">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lastRenderedPageBreak/>
        <w:t>4.2. Trend of Rainfall, Evapotranspiration, and Climatic Water Balance</w:t>
      </w:r>
    </w:p>
    <w:p w14:paraId="2F109CB9" w14:textId="3CFBE7B1" w:rsidR="004854DE" w:rsidRPr="00022CA4" w:rsidRDefault="00542251" w:rsidP="00F773A3">
      <w:pPr>
        <w:pStyle w:val="Heading3"/>
        <w:spacing w:after="240" w:line="360" w:lineRule="auto"/>
        <w:rPr>
          <w:rFonts w:ascii="Times New Roman" w:hAnsi="Times New Roman" w:cs="Times New Roman"/>
          <w:b/>
          <w:bCs/>
          <w:color w:val="auto"/>
        </w:rPr>
      </w:pPr>
      <w:r w:rsidRPr="00022CA4">
        <w:rPr>
          <w:rFonts w:ascii="Times New Roman" w:hAnsi="Times New Roman" w:cs="Times New Roman"/>
          <w:b/>
          <w:bCs/>
          <w:color w:val="auto"/>
        </w:rPr>
        <w:t>4.2.1 Spatiotemporal Changes in Rainfall and Evapotranspiration of Ethiopia</w:t>
      </w:r>
    </w:p>
    <w:p w14:paraId="3A2E5499" w14:textId="5E1286DD" w:rsidR="00A923AA" w:rsidRPr="00022CA4" w:rsidRDefault="004854DE" w:rsidP="00CB3081">
      <w:pPr>
        <w:pStyle w:val="NormalWeb"/>
        <w:spacing w:line="360" w:lineRule="auto"/>
        <w:jc w:val="both"/>
      </w:pPr>
      <w:r w:rsidRPr="00022CA4">
        <w:t>The analysis of long-term trends from 1980 to 2021 reveals a complex pattern of changes in both rainfall and reference evapotranspiration (</w:t>
      </w:r>
      <w:proofErr w:type="spellStart"/>
      <w:proofErr w:type="gramStart"/>
      <w:r w:rsidRPr="00022CA4">
        <w:t>ET</w:t>
      </w:r>
      <w:r w:rsidRPr="00022CA4">
        <w:rPr>
          <w:vertAlign w:val="subscript"/>
        </w:rPr>
        <w:t>o</w:t>
      </w:r>
      <w:proofErr w:type="spellEnd"/>
      <w:proofErr w:type="gramEnd"/>
      <w:r w:rsidRPr="00022CA4">
        <w:t xml:space="preserve">) across Ethiopia and its twelve basins. Notably, at the national level, both annual rainfall and </w:t>
      </w:r>
      <w:proofErr w:type="spellStart"/>
      <w:proofErr w:type="gramStart"/>
      <w:r w:rsidRPr="00022CA4">
        <w:t>ET</w:t>
      </w:r>
      <w:r w:rsidRPr="00022CA4">
        <w:rPr>
          <w:vertAlign w:val="subscript"/>
        </w:rPr>
        <w:t>o</w:t>
      </w:r>
      <w:proofErr w:type="spellEnd"/>
      <w:proofErr w:type="gramEnd"/>
      <w:r w:rsidRPr="00022CA4">
        <w:t xml:space="preserve"> have significantly increased, by 2.01 mm/year and 0.40 mm/year, respectively (</w:t>
      </w:r>
      <w:r w:rsidR="003D57E5">
        <w:t>Table 6</w:t>
      </w:r>
      <w:r w:rsidRPr="00022CA4">
        <w:t xml:space="preserve"> and </w:t>
      </w:r>
      <w:r w:rsidR="003D57E5">
        <w:t>Table 7</w:t>
      </w:r>
      <w:r w:rsidRPr="00022CA4">
        <w:t>). This overall increase in rainfall is a crucial finding, although its spatial distribution is far from uniform (Fig. 7).</w:t>
      </w:r>
      <w:r w:rsidR="00CB3081" w:rsidRPr="00022CA4">
        <w:t xml:space="preserve"> </w:t>
      </w:r>
      <w:r w:rsidRPr="00022CA4">
        <w:t xml:space="preserve">The predominance of positive annual rainfall trends across most basins is encouraging for water resources in many parts of Ethiopia. The significant increasing trends observed in basins like Rift Valley (5.77 mm/year) suggest potentially greater water availability over time in these regions. However, the non-significant decreasing trends in annual rainfall in the </w:t>
      </w:r>
      <w:proofErr w:type="spellStart"/>
      <w:r w:rsidRPr="00022CA4">
        <w:t>Denakil</w:t>
      </w:r>
      <w:proofErr w:type="spellEnd"/>
      <w:r w:rsidRPr="00022CA4">
        <w:t xml:space="preserve">, </w:t>
      </w:r>
      <w:proofErr w:type="spellStart"/>
      <w:r w:rsidRPr="00022CA4">
        <w:t>Mereb</w:t>
      </w:r>
      <w:proofErr w:type="spellEnd"/>
      <w:r w:rsidRPr="00022CA4">
        <w:t xml:space="preserve">-Gash, and </w:t>
      </w:r>
      <w:proofErr w:type="spellStart"/>
      <w:r w:rsidRPr="00022CA4">
        <w:t>Aysha</w:t>
      </w:r>
      <w:proofErr w:type="spellEnd"/>
      <w:r w:rsidRPr="00022CA4">
        <w:t xml:space="preserve"> basins, particularly in some parts of their areas (Fig. 7), raise concerns about increasing water scarcity in these already arid and semi-arid environments. The non-significant increasing trends in the Awash, </w:t>
      </w:r>
      <w:proofErr w:type="spellStart"/>
      <w:r w:rsidRPr="00022CA4">
        <w:t>Tekeze</w:t>
      </w:r>
      <w:proofErr w:type="spellEnd"/>
      <w:r w:rsidRPr="00022CA4">
        <w:t xml:space="preserve">, </w:t>
      </w:r>
      <w:proofErr w:type="spellStart"/>
      <w:r w:rsidRPr="00022CA4">
        <w:t>Baro-Akobo</w:t>
      </w:r>
      <w:proofErr w:type="spellEnd"/>
      <w:r w:rsidRPr="00022CA4">
        <w:t xml:space="preserve">, and much of the </w:t>
      </w:r>
      <w:proofErr w:type="spellStart"/>
      <w:r w:rsidRPr="00022CA4">
        <w:t>Abbay</w:t>
      </w:r>
      <w:proofErr w:type="spellEnd"/>
      <w:r w:rsidRPr="00022CA4">
        <w:t xml:space="preserve"> basins indicate a degree of stability or a slow increase in annual rainfall in these </w:t>
      </w:r>
      <w:r w:rsidR="008F774C" w:rsidRPr="00022CA4">
        <w:t xml:space="preserve">important hydrological regions. </w:t>
      </w:r>
      <w:r w:rsidRPr="00022CA4">
        <w:t>The seasonal rainfall trends (</w:t>
      </w:r>
      <w:r w:rsidR="003D57E5">
        <w:t>Table 6</w:t>
      </w:r>
      <w:r w:rsidRPr="00022CA4">
        <w:t xml:space="preserve"> and Fig. 7) provide a more nuanced picture. The general increase in rainfall across most of Ethiopia during the Bega and Kiremt seasons aligns with the overall positive annual trend. However, the decreasing rainfall trends observed in the northern half of Ethiopia during the Belg season warrant further investigation, as this season is critical for agriculture</w:t>
      </w:r>
      <w:r w:rsidR="00327163" w:rsidRPr="00022CA4">
        <w:t>, particularly</w:t>
      </w:r>
      <w:r w:rsidRPr="00022CA4">
        <w:t xml:space="preserve"> in m</w:t>
      </w:r>
      <w:r w:rsidR="00327163" w:rsidRPr="00022CA4">
        <w:t xml:space="preserve">uch </w:t>
      </w:r>
      <w:r w:rsidRPr="00022CA4">
        <w:t>bi-modal rainfall</w:t>
      </w:r>
      <w:r w:rsidR="00C40C57" w:rsidRPr="00022CA4">
        <w:t xml:space="preserve"> receiving</w:t>
      </w:r>
      <w:r w:rsidRPr="00022CA4">
        <w:t xml:space="preserve"> areas. These regional and seasonal variations in rainfall trends have significant implications for agricultural productivity, water management, and adaptation strategies.</w:t>
      </w:r>
      <w:r w:rsidR="00EB7FC7" w:rsidRPr="00022CA4">
        <w:t xml:space="preserve"> </w:t>
      </w:r>
    </w:p>
    <w:p w14:paraId="7D57B7B2" w14:textId="500E3DC7" w:rsidR="00A923AA" w:rsidRPr="00022CA4" w:rsidRDefault="00A923AA" w:rsidP="00F773A3">
      <w:pPr>
        <w:pStyle w:val="NormalWeb"/>
        <w:spacing w:line="360" w:lineRule="auto"/>
        <w:jc w:val="both"/>
      </w:pPr>
      <w:r w:rsidRPr="00022CA4">
        <w:t xml:space="preserve">The significantly increasing annual rainfall trends in Ethiopia, particularly in the </w:t>
      </w:r>
      <w:proofErr w:type="spellStart"/>
      <w:r w:rsidRPr="00022CA4">
        <w:t>Wabi</w:t>
      </w:r>
      <w:proofErr w:type="spellEnd"/>
      <w:r w:rsidRPr="00022CA4">
        <w:t xml:space="preserve"> </w:t>
      </w:r>
      <w:proofErr w:type="spellStart"/>
      <w:r w:rsidRPr="00022CA4">
        <w:t>Shebele</w:t>
      </w:r>
      <w:proofErr w:type="spellEnd"/>
      <w:r w:rsidRPr="00022CA4">
        <w:t xml:space="preserve">, </w:t>
      </w:r>
      <w:proofErr w:type="spellStart"/>
      <w:r w:rsidRPr="00022CA4">
        <w:t>Genale-Dawa</w:t>
      </w:r>
      <w:proofErr w:type="spellEnd"/>
      <w:r w:rsidRPr="00022CA4">
        <w:t xml:space="preserve">, </w:t>
      </w:r>
      <w:proofErr w:type="spellStart"/>
      <w:r w:rsidRPr="00022CA4">
        <w:t>Omo</w:t>
      </w:r>
      <w:proofErr w:type="spellEnd"/>
      <w:r w:rsidRPr="00022CA4">
        <w:t xml:space="preserve">-Gibe, </w:t>
      </w:r>
      <w:proofErr w:type="spellStart"/>
      <w:r w:rsidRPr="00022CA4">
        <w:t>Ogaden</w:t>
      </w:r>
      <w:proofErr w:type="spellEnd"/>
      <w:r w:rsidRPr="00022CA4">
        <w:t>, and Rift Valley basins (</w:t>
      </w:r>
      <w:r w:rsidR="003D57E5">
        <w:t>Table 6</w:t>
      </w:r>
      <w:r w:rsidRPr="00022CA4">
        <w:t xml:space="preserve">) will likely continue to increase; atmospheric circulations and specific underlying factors might have driven them. This is supported by </w:t>
      </w:r>
      <w:r w:rsidRPr="00022CA4">
        <w:fldChar w:fldCharType="begin" w:fldLock="1"/>
      </w:r>
      <w:r w:rsidR="00821CA6" w:rsidRPr="00022CA4">
        <w:instrText>ADDIN CSL_CITATION {"citationItems":[{"id":"ITEM-1","itemData":{"DOI":"10.3390/w14223699","ISSN":"20734441","abstract":"The amount and annual distribution of rainfall caused a major socioeconomic and environmental problem where rainfed agriculture is predominant. This study assessed the long-term variability and trends of rainfall in the Wabi Shebele River Basin (WSRB), Ethiopia. The basin was discretized into 9 local agroclimatic zones (ACZ) based on annual rainfall and elevation. The coefficient of variation (CV) was used to check the variability of rainfall while modified Mann-Kendall (MK) and Innovative Trend Analysis (ITA) methods were used to detect rainfall trends. For each ACZ, stations with long-term records and less than 10% of missing data were selected for further analysis. The mean annual rainfall in the basin ranges from 227.2 mm to 1047.4 mm. The study revealed most of the ACZs showed a very high variation in Belg/Spring rainfall (CV% &gt; 30) than Kiremt/Summer and annual rainfall. Seasonal and annual rainfall trend analysis revealed that no uniform trend was detected in all ACZs. However, most of ACZs in the arid and semi-arid areas showed a non-significant decreasing trend in annual rainfall. From seasonal analysis, Belg and Kiremt rainfall showed relatively decreasing and increasing trends respectively. In comparison, a similar result was observed using MK and ITA methods.","author":[{"dropping-particle":"","family":"Toni","given":"Abebe Teklu","non-dropping-particle":"","parse-names":false,"suffix":""},{"dropping-particle":"","family":"Malcherek","given":"Andreas","non-dropping-particle":"","parse-names":false,"suffix":""},{"dropping-particle":"","family":"Kassa","given":"Asfaw Kebede","non-dropping-particle":"","parse-names":false,"suffix":""}],"container-title":"Water (Switzerland)","id":"ITEM-1","issue":"22","issued":{"date-parts":[["2022"]]},"page":"0-16","title":"Agroclimatic Zone-Based Analysis of Rainfall Variability and Trends in the Wabi Shebele River Basin, Ethiopia","type":"article-journal","volume":"14"},"uris":["http://www.mendeley.com/documents/?uuid=c76cbbf9-d534-42c8-83ac-fe63a1d84f8f"]}],"mendeley":{"formattedCitation":"(Toni et al., 2022)","manualFormatting":"Toni et al. (2022)","plainTextFormattedCitation":"(Toni et al., 2022)","previouslyFormattedCitation":"(Toni et al., 2022)"},"properties":{"noteIndex":0},"schema":"https://github.com/citation-style-language/schema/raw/master/csl-citation.json"}</w:instrText>
      </w:r>
      <w:r w:rsidRPr="00022CA4">
        <w:fldChar w:fldCharType="separate"/>
      </w:r>
      <w:r w:rsidRPr="00022CA4">
        <w:rPr>
          <w:noProof/>
        </w:rPr>
        <w:t>Toni et al. (2022)</w:t>
      </w:r>
      <w:r w:rsidRPr="00022CA4">
        <w:fldChar w:fldCharType="end"/>
      </w:r>
      <w:r w:rsidR="00F773A3" w:rsidRPr="00022CA4">
        <w:t xml:space="preserve">; they </w:t>
      </w:r>
      <w:r w:rsidRPr="00022CA4">
        <w:t xml:space="preserve">found that the annual rainfall trend in most semi-arid areas in eastern Ethiopia had a non-significant decreasing trend while significantly increasing and decreasing trends were detected in </w:t>
      </w:r>
      <w:r w:rsidR="00C40C57" w:rsidRPr="00022CA4">
        <w:t xml:space="preserve">the </w:t>
      </w:r>
      <w:r w:rsidRPr="00022CA4">
        <w:t>Kiremt and Belg season</w:t>
      </w:r>
      <w:r w:rsidR="00C40C57" w:rsidRPr="00022CA4">
        <w:t>s</w:t>
      </w:r>
      <w:r w:rsidRPr="00022CA4">
        <w:t>.</w:t>
      </w:r>
      <w:r w:rsidR="00F773A3" w:rsidRPr="00022CA4">
        <w:t xml:space="preserve"> In another study conducted in western Amhara </w:t>
      </w:r>
      <w:r w:rsidR="00C40C57" w:rsidRPr="00022CA4">
        <w:t xml:space="preserve">from 1991 to </w:t>
      </w:r>
      <w:r w:rsidR="00F773A3" w:rsidRPr="00022CA4">
        <w:t xml:space="preserve">2020 using innovative trend analysis (ITA), the </w:t>
      </w:r>
      <w:r w:rsidR="001C4477">
        <w:t>rainfall</w:t>
      </w:r>
      <w:r w:rsidR="00F773A3" w:rsidRPr="00022CA4">
        <w:t xml:space="preserve"> trend showed significant clusters and increasing trends in annual and Kiremt; however, </w:t>
      </w:r>
      <w:r w:rsidR="00C40C57" w:rsidRPr="00022CA4">
        <w:t xml:space="preserve">a </w:t>
      </w:r>
      <w:r w:rsidR="00F773A3" w:rsidRPr="00022CA4">
        <w:t>decreasing trend was ex</w:t>
      </w:r>
      <w:r w:rsidR="00C40C57" w:rsidRPr="00022CA4">
        <w:t>h</w:t>
      </w:r>
      <w:r w:rsidR="00F773A3" w:rsidRPr="00022CA4">
        <w:t xml:space="preserve">ibited in Bega </w:t>
      </w:r>
      <w:r w:rsidR="00F773A3" w:rsidRPr="00022CA4">
        <w:fldChar w:fldCharType="begin" w:fldLock="1"/>
      </w:r>
      <w:r w:rsidR="00F773A3" w:rsidRPr="00022CA4">
        <w:instrText>ADDIN CSL_CITATION {"citationItems":[{"id":"ITEM-1","itemData":{"DOI":"10.2166/wpt.2025.023","ISBN":"0000000245036","author":[{"dropping-particle":"","family":"Asaye","given":"Tilahun Sewagegn","non-dropping-particle":"","parse-names":false,"suffix":""},{"dropping-particle":"","family":"Amare","given":"Zerihun Yohannes","non-dropping-particle":"","parse-names":false,"suffix":""},{"dropping-particle":"","family":"Geremew","given":"Belayneh Birku","non-dropping-particle":"","parse-names":false,"suffix":""}],"container-title":"Water Practice &amp; Technology","id":"ITEM-1","issue":"2","issued":{"date-parts":[["2025"]]},"page":"449-467","title":"Rainfall variability and trends in western Amhara : implication for sustainable water management and agricultural productivity","type":"article-journal","volume":"20"},"uris":["http://www.mendeley.com/documents/?uuid=278f9d24-394e-4110-8d42-5ebcc09a584f"]}],"mendeley":{"formattedCitation":"(Asaye et al., 2025)","plainTextFormattedCitation":"(Asaye et al., 2025)","previouslyFormattedCitation":"(Asaye et al., 2025)"},"properties":{"noteIndex":0},"schema":"https://github.com/citation-style-language/schema/raw/master/csl-citation.json"}</w:instrText>
      </w:r>
      <w:r w:rsidR="00F773A3" w:rsidRPr="00022CA4">
        <w:fldChar w:fldCharType="separate"/>
      </w:r>
      <w:r w:rsidR="00F773A3" w:rsidRPr="00022CA4">
        <w:rPr>
          <w:noProof/>
        </w:rPr>
        <w:t>(Asaye et al., 2025)</w:t>
      </w:r>
      <w:r w:rsidR="00F773A3" w:rsidRPr="00022CA4">
        <w:fldChar w:fldCharType="end"/>
      </w:r>
      <w:r w:rsidR="00F773A3" w:rsidRPr="00022CA4">
        <w:t xml:space="preserve">. In another study, </w:t>
      </w:r>
      <w:r w:rsidR="00F773A3" w:rsidRPr="00022CA4">
        <w:fldChar w:fldCharType="begin" w:fldLock="1"/>
      </w:r>
      <w:r w:rsidR="00F773A3" w:rsidRPr="00022CA4">
        <w:instrText>ADDIN CSL_CITATION {"citationItems":[{"id":"ITEM-1","itemData":{"DOI":"10.37284/eajfa.7.1.1760","ISBN":"0000000228954","ISSN":"2707-4315","abstract":"Understanding rainfall trends &amp; projections is essential for water resource management. This study showed historical (1981-2020) and future (2021-2100) rainfall amounts and trends across 71 grid points separated by 0.44o in Amhara and Amhara’s five rainfall regimes (A3, A4, A5U, A5L, A6). Ground and satellite merged historical data from Ethiopia Meteorology Institute (EMI) and the Rossby Centre Regional Atmospheric Model (RCA) forced by an ensemble of the best-performed Global Circulation Models (GCMs) in Amhara, HadGEM2-ES of UK and MPI-ESM-LR of Germany, in three Representative Concentration Pathway (RCP) scenarios, RCP2.6, RCP4.5, and RCP8.5 from CORDEX project were the basis of dataset. Amhara’s annual, seasonal, and monthly historical rainfall trends mostly increased. During Jun-Sep (Kiremt), lower rainfall receiving regimes (A6, A5L, A5U) had a significant increasing trend (~ 4 mm/year), while wetter regimes (A3 &amp; A4) had a non-significant increasing (&lt; 1 mm/year) and decreasing (~ -0.5 mm/year) trends, respectively. Generally, compared to the climatology, the annual and Kiremt rainfall in Amhara is projected to increase in the near-term (2021-2040) and mid-term (2041-2060) and decrease in the long-term (2081-2100); Oct-Jan (Bega) rainfall is projected to increase in all future terms and all RCP scenarios while Feb-May (Belg) rainfall will be abrupt","author":[{"dropping-particle":"","family":"Mekoya","given":"Antensay","non-dropping-particle":"","parse-names":false,"suffix":""},{"dropping-particle":"","family":"Molla","given":"Moges","non-dropping-particle":"","parse-names":false,"suffix":""},{"dropping-particle":"","family":"Workneh","given":"Mulatu","non-dropping-particle":"","parse-names":false,"suffix":""},{"dropping-particle":"","family":"Worku","given":"Tewachew","non-dropping-particle":"","parse-names":false,"suffix":""}],"container-title":"East African Journal of Forestry and Agroforestry","id":"ITEM-1","issue":"1","issued":{"date-parts":[["2024"]]},"number-of-pages":"19-49","title":"Historical Trend Analysis and Future Projections of Rainfall in Amhara, Ethiopia","type":"book","volume":"7"},"uris":["http://www.mendeley.com/documents/?uuid=0c218c91-8067-4fd3-955a-f5dc1c0df7a1"]}],"mendeley":{"formattedCitation":"(Mekoya et al., 2024)","manualFormatting":"Mekoya et al. (2024)","plainTextFormattedCitation":"(Mekoya et al., 2024)","previouslyFormattedCitation":"(Mekoya et al., 2024)"},"properties":{"noteIndex":0},"schema":"https://github.com/citation-style-language/schema/raw/master/csl-citation.json"}</w:instrText>
      </w:r>
      <w:r w:rsidR="00F773A3" w:rsidRPr="00022CA4">
        <w:fldChar w:fldCharType="separate"/>
      </w:r>
      <w:r w:rsidR="00F773A3" w:rsidRPr="00022CA4">
        <w:rPr>
          <w:noProof/>
        </w:rPr>
        <w:t>Mekoya et al. (2024)</w:t>
      </w:r>
      <w:r w:rsidR="00F773A3" w:rsidRPr="00022CA4">
        <w:fldChar w:fldCharType="end"/>
      </w:r>
      <w:r w:rsidR="00F773A3" w:rsidRPr="00022CA4">
        <w:t xml:space="preserve"> showed that the trend of </w:t>
      </w:r>
      <w:r w:rsidR="001C4477">
        <w:t>rainfall</w:t>
      </w:r>
      <w:r w:rsidR="00B564F2">
        <w:t xml:space="preserve"> in </w:t>
      </w:r>
      <w:proofErr w:type="spellStart"/>
      <w:r w:rsidR="00B564F2">
        <w:t>Amhara</w:t>
      </w:r>
      <w:proofErr w:type="spellEnd"/>
      <w:r w:rsidR="00B564F2">
        <w:t xml:space="preserve"> during 1980 to </w:t>
      </w:r>
      <w:r w:rsidR="00F773A3" w:rsidRPr="00022CA4">
        <w:t>2020 was mostly incr</w:t>
      </w:r>
      <w:r w:rsidR="00C40C57" w:rsidRPr="00022CA4">
        <w:t>e</w:t>
      </w:r>
      <w:r w:rsidR="00F773A3" w:rsidRPr="00022CA4">
        <w:t>asing in annual and Kiremt; mostly decre</w:t>
      </w:r>
      <w:r w:rsidR="00C40C57" w:rsidRPr="00022CA4">
        <w:t>a</w:t>
      </w:r>
      <w:r w:rsidR="00F773A3" w:rsidRPr="00022CA4">
        <w:t xml:space="preserve">sing in Belg; and abrupt in Bega. In contrast, </w:t>
      </w:r>
      <w:r w:rsidR="00F773A3" w:rsidRPr="00022CA4">
        <w:fldChar w:fldCharType="begin" w:fldLock="1"/>
      </w:r>
      <w:r w:rsidR="00F773A3" w:rsidRPr="00022CA4">
        <w:instrText>ADDIN CSL_CITATION {"citationItems":[{"id":"ITEM-1","itemData":{"DOI":"10.1155/2023/1939528","ISSN":"16879317","abstract":"Climate change is an environmental challenge for rural communities that rely heavily on rainwater-based agriculture. The main goal of this study is to investigate spatiotemporal variability and trends in rainfall and temperature in southern Ethiopia. Extreme temperature and rainfall indices were computed using the ClimPACT2 software. The detection and quantification of trends in rainfall and temperature extremes were analyzed using a nonparametric modified Mann-Kendall (MMK) test and Sen's slope estimator. Results indicated that the mean annual rainfall has a declining trend at Boditi School and Mayokote stations with a statistically significant amount at magnitudes of 0.02 mm and 0.04 mm, respectively. The highest average monthly rainfall in the catchment was observed in the months of April, May, June, July, and August up to maximum rainfall of 117.50 mm, 177.43 mm, and 228.84 mm in Bilate Tena, Boditi, and Mayakote stations, respectively. On a seasonal scale, rainfall in Bilate Tena station was highly variable in all months, ranging from 49.54% to 126.92%, and three seasons except spring which showed moderate variation at 40.65%. In addition, the three locations over the catchment exhibited varied drought signs such as severe (1.28 &lt; SRA &lt; 1.65) and extreme drought (SRA &gt; 1.65). The temperature indices, on the other hand, exhibited a warming trend over the catchment which was observed through an increased annual number of warm days (TX90p) and warm nights (TN90p) ranges from 0.274 to 6.03 and 0.274 to 3.16, respectively. The annual maximum value of the daily maximum temperature (TXx) ranges from 30.10 to 33.76°C in the three agroecological zones and showed low, medium, and high values in Dega, Woyna Dega, and Kola agroecologies, while the annual maximum value of the daily minimum temperature (TNx) ranged between 17 and 17.44°C at Dega and Kola, respectively. Therefore, based on trends in rainfall variability and persistent temperature rise, appropriate adaptation strategies should be adopted.","author":[{"dropping-particle":"","family":"Dalle","given":"Daniel","non-dropping-particle":"","parse-names":false,"suffix":""},{"dropping-particle":"","family":"Gecho","given":"Yisak","non-dropping-particle":"","parse-names":false,"suffix":""},{"dropping-particle":"","family":"Bedeke","given":"Sisay Belay","non-dropping-particle":"","parse-names":false,"suffix":""}],"container-title":"Advances in Meteorology","id":"ITEM-1","issued":{"date-parts":[["2023"]]},"title":"Spatiotemporal Variability and Trends in Rainfall and Temperature in South Ethiopia: Implications for Climate Change Adaptations in Rural Communities","type":"article-journal","volume":"2023"},"uris":["http://www.mendeley.com/documents/?uuid=785f2bf1-327f-4cb4-976a-ae3d56ae65b9"]}],"mendeley":{"formattedCitation":"(Dalle et al., 2023)","manualFormatting":"Dalle et al. (2023)","plainTextFormattedCitation":"(Dalle et al., 2023)","previouslyFormattedCitation":"(Dalle et al., 2023)"},"properties":{"noteIndex":0},"schema":"https://github.com/citation-style-language/schema/raw/master/csl-citation.json"}</w:instrText>
      </w:r>
      <w:r w:rsidR="00F773A3" w:rsidRPr="00022CA4">
        <w:fldChar w:fldCharType="separate"/>
      </w:r>
      <w:r w:rsidR="00F773A3" w:rsidRPr="00022CA4">
        <w:rPr>
          <w:noProof/>
        </w:rPr>
        <w:t>Dalle et al. (2023)</w:t>
      </w:r>
      <w:r w:rsidR="00F773A3" w:rsidRPr="00022CA4">
        <w:fldChar w:fldCharType="end"/>
      </w:r>
      <w:r w:rsidR="00F773A3" w:rsidRPr="00022CA4">
        <w:t xml:space="preserve"> found a significantly decreasing rainfall amount in </w:t>
      </w:r>
      <w:r w:rsidR="00C40C57" w:rsidRPr="00022CA4">
        <w:t xml:space="preserve">the </w:t>
      </w:r>
      <w:proofErr w:type="spellStart"/>
      <w:r w:rsidR="00F773A3" w:rsidRPr="00022CA4">
        <w:t>Wolaita</w:t>
      </w:r>
      <w:proofErr w:type="spellEnd"/>
      <w:r w:rsidR="00F773A3" w:rsidRPr="00022CA4">
        <w:t xml:space="preserve"> zone located in the southern part of Ethiopia. Similarly, in the southern part of Ethiopia</w:t>
      </w:r>
      <w:r w:rsidR="006C76AC" w:rsidRPr="00022CA4">
        <w:t xml:space="preserve"> in the </w:t>
      </w:r>
      <w:proofErr w:type="spellStart"/>
      <w:r w:rsidR="006C76AC" w:rsidRPr="00022CA4">
        <w:t>Borena</w:t>
      </w:r>
      <w:proofErr w:type="spellEnd"/>
      <w:r w:rsidR="006C76AC" w:rsidRPr="00022CA4">
        <w:t xml:space="preserve"> zone</w:t>
      </w:r>
      <w:r w:rsidR="00F773A3" w:rsidRPr="00022CA4">
        <w:t xml:space="preserve">, which has </w:t>
      </w:r>
      <w:r w:rsidR="00C40C57" w:rsidRPr="00022CA4">
        <w:t xml:space="preserve">a </w:t>
      </w:r>
      <w:r w:rsidR="00F773A3" w:rsidRPr="00022CA4">
        <w:t xml:space="preserve">bimodal rainfall distribution with the highest peak in October and the second higher peak in May, the </w:t>
      </w:r>
      <w:r w:rsidR="001C4477">
        <w:t>rainfall</w:t>
      </w:r>
      <w:r w:rsidR="00F773A3" w:rsidRPr="00022CA4">
        <w:t xml:space="preserve"> </w:t>
      </w:r>
      <w:r w:rsidR="006C76AC" w:rsidRPr="00022CA4">
        <w:t xml:space="preserve">from 1991 to 2020 </w:t>
      </w:r>
      <w:r w:rsidR="00F773A3" w:rsidRPr="00022CA4">
        <w:t xml:space="preserve">decreased </w:t>
      </w:r>
      <w:r w:rsidR="006C76AC" w:rsidRPr="00022CA4">
        <w:t xml:space="preserve">significantly </w:t>
      </w:r>
      <w:r w:rsidR="00F773A3" w:rsidRPr="00022CA4">
        <w:fldChar w:fldCharType="begin" w:fldLock="1"/>
      </w:r>
      <w:r w:rsidR="00F773A3" w:rsidRPr="00022CA4">
        <w:instrText>ADDIN CSL_CITATION {"citationItems":[{"id":"ITEM-1","itemData":{"DOI":"10.1038/s41598-025-87345-5","ISSN":"20452322","abstract":"This research assessed the Borana Zone’s climate trends and drought characteristics from 1991 to 2050. Using Innovative Trend Analysis (ITA), we quantified the climate and drought changes. The standard Precipitation and Evaporation index (SPEI) and self calibrated Palmer’s Droguht Severity Index (scPDSI) were selected to compute the drought’s magnitude. Precipitation significantly decreased from 1991 to 2020, with a variation from 2021 to 2050. Drought indices generally showed a decreasing trend. The short-term drought index (SPEI3) in the Mid-Moist (MM) category experienced the greatest decline, with a slope of − 0.055/year during the reference period. Under RCP4.5 scenarios, the SPEI3 for the Extremely-Most (EM) class showed the steepest decline at − 1.827/year. For RCP8.5, MM categories displayed significant reductions, with annual slopes of − 0.073, 0.021, and − 0.14 for SPEI3, SPEI12, and scPDSI, respectively. The moisture intensity also showed a diminishing trend, with scPDSI projected to decrease by 40.47% and 20.77% under the two emission scenarios. During the reference period, Near Normal (NN) moisture frequency varied from 71.39% to 82.81%, but is expected to decrease by 12% and 8% under the two scenarios. The adverse impacts can be mitigated by building the capacity of drought-vulnerable community.","author":[{"dropping-particle":"","family":"Fanta","given":"Sewmehon Sisay","non-dropping-particle":"","parse-names":false,"suffix":""},{"dropping-particle":"","family":"Yesuf","given":"Mamuye Busier","non-dropping-particle":"","parse-names":false,"suffix":""},{"dropping-particle":"","family":"Merkos","given":"Mulatu Tesfahun","non-dropping-particle":"","parse-names":false,"suffix":""},{"dropping-particle":"","family":"Demissie","given":"Tamene Adugna","non-dropping-particle":"","parse-names":false,"suffix":""}],"container-title":"Scientific Reports","id":"ITEM-1","issue":"1","issued":{"date-parts":[["2025"]]},"page":"1-18","title":"The spatio-temporal trend of climate and characterization of drought in Borana Zone, Ethiopia","type":"article-journal","volume":"15"},"uris":["http://www.mendeley.com/documents/?uuid=d8e5b6fa-b59e-4932-916f-77ef6d72ef48"]}],"mendeley":{"formattedCitation":"(Fanta et al., 2025)","plainTextFormattedCitation":"(Fanta et al., 2025)","previouslyFormattedCitation":"(Fanta et al., 2025)"},"properties":{"noteIndex":0},"schema":"https://github.com/citation-style-language/schema/raw/master/csl-citation.json"}</w:instrText>
      </w:r>
      <w:r w:rsidR="00F773A3" w:rsidRPr="00022CA4">
        <w:fldChar w:fldCharType="separate"/>
      </w:r>
      <w:r w:rsidR="00F773A3" w:rsidRPr="00022CA4">
        <w:rPr>
          <w:noProof/>
        </w:rPr>
        <w:t>(Fanta et al., 2025)</w:t>
      </w:r>
      <w:r w:rsidR="00F773A3" w:rsidRPr="00022CA4">
        <w:fldChar w:fldCharType="end"/>
      </w:r>
      <w:r w:rsidR="00F773A3" w:rsidRPr="00022CA4">
        <w:t xml:space="preserve">.  </w:t>
      </w:r>
    </w:p>
    <w:p w14:paraId="66228F75" w14:textId="730215A8" w:rsidR="004854DE" w:rsidRPr="00022CA4" w:rsidRDefault="004854DE" w:rsidP="00CB3081">
      <w:pPr>
        <w:pStyle w:val="NormalWeb"/>
        <w:spacing w:line="360" w:lineRule="auto"/>
        <w:jc w:val="both"/>
      </w:pPr>
      <w:r w:rsidRPr="00022CA4">
        <w:lastRenderedPageBreak/>
        <w:t xml:space="preserve">In contrast to rainfall, annual and seasonal </w:t>
      </w:r>
      <w:proofErr w:type="spellStart"/>
      <w:r w:rsidRPr="00022CA4">
        <w:t>ET</w:t>
      </w:r>
      <w:r w:rsidRPr="00022CA4">
        <w:rPr>
          <w:vertAlign w:val="subscript"/>
        </w:rPr>
        <w:t>o</w:t>
      </w:r>
      <w:proofErr w:type="spellEnd"/>
      <w:r w:rsidRPr="00022CA4">
        <w:t xml:space="preserve"> showed predominantly increasing trends across Ethiopia and its basins (</w:t>
      </w:r>
      <w:r w:rsidR="003D57E5">
        <w:t xml:space="preserve">Table </w:t>
      </w:r>
      <w:r w:rsidR="00F85C4B">
        <w:t>7</w:t>
      </w:r>
      <w:r w:rsidRPr="00022CA4">
        <w:t xml:space="preserve"> and Fig. 8)</w:t>
      </w:r>
      <w:r w:rsidR="00821CA6" w:rsidRPr="00022CA4">
        <w:t xml:space="preserve"> which aligned with the current comprehensive study of the changes </w:t>
      </w:r>
      <w:r w:rsidR="00C40C57" w:rsidRPr="00022CA4">
        <w:t>in</w:t>
      </w:r>
      <w:r w:rsidR="00821CA6" w:rsidRPr="00022CA4">
        <w:t xml:space="preserve"> </w:t>
      </w:r>
      <w:proofErr w:type="spellStart"/>
      <w:r w:rsidR="00821CA6" w:rsidRPr="00022CA4">
        <w:t>ET</w:t>
      </w:r>
      <w:r w:rsidR="00821CA6" w:rsidRPr="00022CA4">
        <w:rPr>
          <w:vertAlign w:val="subscript"/>
        </w:rPr>
        <w:t>o</w:t>
      </w:r>
      <w:proofErr w:type="spellEnd"/>
      <w:r w:rsidR="00821CA6" w:rsidRPr="00022CA4">
        <w:t xml:space="preserve"> over Ethiopia by </w:t>
      </w:r>
      <w:r w:rsidR="00821CA6" w:rsidRPr="00022CA4">
        <w:fldChar w:fldCharType="begin" w:fldLock="1"/>
      </w:r>
      <w:r w:rsidR="008458FD" w:rsidRPr="00022CA4">
        <w:instrText>ADDIN CSL_CITATION {"citationItems":[{"id":"ITEM-1","itemData":{"DOI":"10.1002/joc.8805","author":[{"dropping-particle":"","family":"Workneh","given":"Mulatu","non-dropping-particle":"","parse-names":false,"suffix":""},{"dropping-particle":"","family":"Sun","given":"Shanlei","non-dropping-particle":"","parse-names":false,"suffix":""},{"dropping-particle":"","family":"Mekoya","given":"Antensay","non-dropping-particle":"","parse-names":false,"suffix":""}],"container-title":"International Journal of Climatology published by John Wiley &amp; Sons Ltd on behalf of Royal Meteorological Society.","id":"ITEM-1","issued":{"date-parts":[["2025"]]},"page":"1-17","title":"Causes for the Changes in Reference Crop Evapotranspiration Over Ethiopia During 1980 – 2021","type":"article-journal"},"uris":["http://www.mendeley.com/documents/?uuid=5d1d05b1-4c3d-46d6-bbfb-b51401494c69"]}],"mendeley":{"formattedCitation":"(Workneh et al., 2025)","manualFormatting":"Workneh et al. (2025)","plainTextFormattedCitation":"(Workneh et al., 2025)","previouslyFormattedCitation":"(Workneh et al., 2025)"},"properties":{"noteIndex":0},"schema":"https://github.com/citation-style-language/schema/raw/master/csl-citation.json"}</w:instrText>
      </w:r>
      <w:r w:rsidR="00821CA6" w:rsidRPr="00022CA4">
        <w:fldChar w:fldCharType="separate"/>
      </w:r>
      <w:r w:rsidR="00821CA6" w:rsidRPr="00022CA4">
        <w:rPr>
          <w:noProof/>
        </w:rPr>
        <w:t>Workneh et al. (2025)</w:t>
      </w:r>
      <w:r w:rsidR="00821CA6" w:rsidRPr="00022CA4">
        <w:fldChar w:fldCharType="end"/>
      </w:r>
      <w:r w:rsidRPr="00022CA4">
        <w:t xml:space="preserve">. These increases were generally statistically significant and covered wider geographical areas compared to the significant rainfall trends (Fig. 7 and Fig. 8). This widespread increase in atmospheric water demand could potentially offset the benefits of increasing rainfall in some regions, leading to increased water stress if the rise in rainfall is not substantial enough to meet the higher evaporative demand. The only exception to this increasing </w:t>
      </w:r>
      <w:proofErr w:type="spellStart"/>
      <w:proofErr w:type="gramStart"/>
      <w:r w:rsidRPr="00022CA4">
        <w:t>ET</w:t>
      </w:r>
      <w:r w:rsidRPr="00022CA4">
        <w:rPr>
          <w:vertAlign w:val="subscript"/>
        </w:rPr>
        <w:t>o</w:t>
      </w:r>
      <w:proofErr w:type="spellEnd"/>
      <w:proofErr w:type="gramEnd"/>
      <w:r w:rsidRPr="00022CA4">
        <w:t xml:space="preserve"> trend was observed in the </w:t>
      </w:r>
      <w:proofErr w:type="spellStart"/>
      <w:r w:rsidRPr="00022CA4">
        <w:t>Ogaden</w:t>
      </w:r>
      <w:proofErr w:type="spellEnd"/>
      <w:r w:rsidRPr="00022CA4">
        <w:t xml:space="preserve"> basin during the Belg and Kiremt seasons, where non-significant decreases were noted. The reasons for this localized deviation from the general increasing trend in </w:t>
      </w:r>
      <w:proofErr w:type="spellStart"/>
      <w:proofErr w:type="gramStart"/>
      <w:r w:rsidRPr="00022CA4">
        <w:t>ET</w:t>
      </w:r>
      <w:r w:rsidRPr="00022CA4">
        <w:rPr>
          <w:vertAlign w:val="subscript"/>
        </w:rPr>
        <w:t>o</w:t>
      </w:r>
      <w:proofErr w:type="spellEnd"/>
      <w:proofErr w:type="gramEnd"/>
      <w:r w:rsidRPr="00022CA4">
        <w:t xml:space="preserve"> in the </w:t>
      </w:r>
      <w:proofErr w:type="spellStart"/>
      <w:r w:rsidRPr="00022CA4">
        <w:t>Ogaden</w:t>
      </w:r>
      <w:proofErr w:type="spellEnd"/>
      <w:r w:rsidRPr="00022CA4">
        <w:t xml:space="preserve"> basin would require further investigation.</w:t>
      </w:r>
    </w:p>
    <w:p w14:paraId="62D4240C" w14:textId="07B7EC9F" w:rsidR="004854DE" w:rsidRPr="00022CA4" w:rsidRDefault="004854DE" w:rsidP="00CB3081">
      <w:pPr>
        <w:pStyle w:val="NormalWeb"/>
        <w:spacing w:line="360" w:lineRule="auto"/>
        <w:jc w:val="both"/>
      </w:pPr>
      <w:r w:rsidRPr="00022CA4">
        <w:t xml:space="preserve">The observation that </w:t>
      </w:r>
      <w:proofErr w:type="spellStart"/>
      <w:proofErr w:type="gramStart"/>
      <w:r w:rsidRPr="00022CA4">
        <w:t>ET</w:t>
      </w:r>
      <w:r w:rsidRPr="00022CA4">
        <w:rPr>
          <w:vertAlign w:val="subscript"/>
        </w:rPr>
        <w:t>o</w:t>
      </w:r>
      <w:proofErr w:type="spellEnd"/>
      <w:proofErr w:type="gramEnd"/>
      <w:r w:rsidRPr="00022CA4">
        <w:t xml:space="preserve"> is increasing significantly over wider areas than rainfall suggests a potential shift towards a more water-limited environment in many parts of Ethiopia, even where rainfall is also increasing. This could be driven by factors such as rising temperatures, changes in humidity, and increased solar radiation, all of which can enhance evapotranspiration rates </w:t>
      </w:r>
      <w:r w:rsidR="008F774C" w:rsidRPr="00022CA4">
        <w:fldChar w:fldCharType="begin" w:fldLock="1"/>
      </w:r>
      <w:r w:rsidR="00C40C57" w:rsidRPr="00022CA4">
        <w:instrText>ADDIN CSL_CITATION {"citationItems":[{"id":"ITEM-1","itemData":{"author":[{"dropping-particle":"","family":"IPCC","given":"","non-dropping-particle":"","parse-names":false,"suffix":""}],"container-title":"IPCC WGII Sixth Assessment Report","id":"ITEM-1","issued":{"date-parts":[["2021"]]},"page":"1-225","title":"Supplementary Material","type":"article-journal"},"uris":["http://www.mendeley.com/documents/?uuid=fa9377d2-95cd-4af0-9d3d-c53be7a1c5b5"]}],"mendeley":{"formattedCitation":"(IPCC, 2021)","manualFormatting":"(IPCC, 2021","plainTextFormattedCitation":"(IPCC, 2021)","previouslyFormattedCitation":"(IPCC, 2021)"},"properties":{"noteIndex":0},"schema":"https://github.com/citation-style-language/schema/raw/master/csl-citation.json"}</w:instrText>
      </w:r>
      <w:r w:rsidR="008F774C" w:rsidRPr="00022CA4">
        <w:fldChar w:fldCharType="separate"/>
      </w:r>
      <w:r w:rsidR="008F774C" w:rsidRPr="00022CA4">
        <w:rPr>
          <w:noProof/>
        </w:rPr>
        <w:t>(IPCC, 2021</w:t>
      </w:r>
      <w:r w:rsidR="008F774C" w:rsidRPr="00022CA4">
        <w:fldChar w:fldCharType="end"/>
      </w:r>
      <w:r w:rsidR="00C40C57" w:rsidRPr="00022CA4">
        <w:t xml:space="preserve">; </w:t>
      </w:r>
      <w:r w:rsidR="00C40C57" w:rsidRPr="00022CA4">
        <w:fldChar w:fldCharType="begin" w:fldLock="1"/>
      </w:r>
      <w:r w:rsidR="00246256" w:rsidRPr="00022CA4">
        <w:instrText>ADDIN CSL_CITATION {"citationItems":[{"id":"ITEM-1","itemData":{"ISBN":"9251042195","ISSN":"92-5-104219-5","PMID":"19991908969","abstract":"This publication presents an updated procedure for calculating reference and crop evapotranspiration from meteorological data and crop coefficients. The procedure, first presented in the FAO Irrigation and Drainage Paper No. 24 'Crop Water Requirements', ETo' approach, whereby the effect of the climate on crop water requirements is given by the reference evapotranspiration ETo and the effect of the crop by the crop coefficient Kc. Other procedures developed in FAO Irrigation and Drainage Paper No. 24 such as the estimation of is termed the 'Kc dependable and effective rainfall, the calculation of irrigation requirements and the design of irrigation schedules are not presented in this publication but will be the subject of later papers in the series.","author":[{"dropping-particle":"","family":"Allen","given":"Richard G.","non-dropping-particle":"","parse-names":false,"suffix":""},{"dropping-particle":"","family":"PEREIRA","given":"Luis S.","non-dropping-particle":"","parse-names":false,"suffix":""},{"dropping-particle":"","family":"RAES","given":"Dirk","non-dropping-particle":"","parse-names":false,"suffix":""},{"dropping-particle":"","family":"Martin","given":"SMITH","non-dropping-particle":"","parse-names":false,"suffix":""}],"container-title":"Irrigation and Drainage","id":"ITEM-1","issue":"56","issued":{"date-parts":[["1998"]]},"page":"300","title":"FAO Irrigation and Drainage Paper Crop by","type":"article-journal","volume":"300"},"uris":["http://www.mendeley.com/documents/?uuid=01fecc28-329d-42d6-8066-1a75359961d6"]}],"mendeley":{"formattedCitation":"(Allen et al., 1998)","manualFormatting":"Allen et al., 1998)","plainTextFormattedCitation":"(Allen et al., 1998)","previouslyFormattedCitation":"(Allen et al., 1998)"},"properties":{"noteIndex":0},"schema":"https://github.com/citation-style-language/schema/raw/master/csl-citation.json"}</w:instrText>
      </w:r>
      <w:r w:rsidR="00C40C57" w:rsidRPr="00022CA4">
        <w:fldChar w:fldCharType="separate"/>
      </w:r>
      <w:r w:rsidR="00C40C57" w:rsidRPr="00022CA4">
        <w:rPr>
          <w:noProof/>
        </w:rPr>
        <w:t>Allen et al., 1998)</w:t>
      </w:r>
      <w:r w:rsidR="00C40C57" w:rsidRPr="00022CA4">
        <w:fldChar w:fldCharType="end"/>
      </w:r>
      <w:r w:rsidR="008F774C" w:rsidRPr="00022CA4">
        <w:t xml:space="preserve">. </w:t>
      </w:r>
      <w:r w:rsidRPr="00022CA4">
        <w:t xml:space="preserve">The relatively high rainfall and </w:t>
      </w:r>
      <w:proofErr w:type="spellStart"/>
      <w:r w:rsidRPr="00022CA4">
        <w:t>ET</w:t>
      </w:r>
      <w:r w:rsidRPr="00022CA4">
        <w:rPr>
          <w:vertAlign w:val="subscript"/>
        </w:rPr>
        <w:t>o</w:t>
      </w:r>
      <w:proofErr w:type="spellEnd"/>
      <w:r w:rsidRPr="00022CA4">
        <w:t xml:space="preserve"> values observed in Ethiopia during the</w:t>
      </w:r>
      <w:r w:rsidR="00B564F2">
        <w:t xml:space="preserve"> most recent twelve years (2010 to </w:t>
      </w:r>
      <w:r w:rsidRPr="00022CA4">
        <w:t>2021) compared to the earlier part of the study period (Fig. 9) could indicate a period of intensified hydrological activity. However, it is important to consider whether these recent high values represent a long-term shift or are part of natural inter-decadal variability.</w:t>
      </w:r>
    </w:p>
    <w:p w14:paraId="5A96A75F" w14:textId="0F59AB4E" w:rsidR="00AF43BA" w:rsidRPr="00022CA4" w:rsidRDefault="00AF43BA" w:rsidP="00CB3081">
      <w:pPr>
        <w:pStyle w:val="NormalWeb"/>
        <w:spacing w:line="360" w:lineRule="auto"/>
        <w:jc w:val="both"/>
      </w:pPr>
      <w:r w:rsidRPr="00022CA4">
        <w:t xml:space="preserve">In summary, the spatiotemporal trends in rainfall and </w:t>
      </w:r>
      <w:proofErr w:type="spellStart"/>
      <w:proofErr w:type="gramStart"/>
      <w:r w:rsidRPr="00022CA4">
        <w:t>ET</w:t>
      </w:r>
      <w:r w:rsidRPr="00022CA4">
        <w:rPr>
          <w:vertAlign w:val="subscript"/>
        </w:rPr>
        <w:t>o</w:t>
      </w:r>
      <w:proofErr w:type="spellEnd"/>
      <w:proofErr w:type="gramEnd"/>
      <w:r w:rsidRPr="00022CA4">
        <w:t xml:space="preserve"> in Ethiopia from 1980 to 2021 reveal a complex and regionally differentiated pattern of change. While annual rainfall is generally increasing, significant decreases are observed in some vulnerable regions. Importantly, </w:t>
      </w:r>
      <w:proofErr w:type="spellStart"/>
      <w:proofErr w:type="gramStart"/>
      <w:r w:rsidRPr="00022CA4">
        <w:t>ET</w:t>
      </w:r>
      <w:r w:rsidRPr="00022CA4">
        <w:rPr>
          <w:vertAlign w:val="subscript"/>
        </w:rPr>
        <w:t>o</w:t>
      </w:r>
      <w:proofErr w:type="spellEnd"/>
      <w:proofErr w:type="gramEnd"/>
      <w:r w:rsidRPr="00022CA4">
        <w:t xml:space="preserve"> is increasing across most of the country, often significantly and over wider areas than rainfall, potentially exacerbating water stress. These findings </w:t>
      </w:r>
      <w:r w:rsidR="00C40C57" w:rsidRPr="00022CA4">
        <w:t>show</w:t>
      </w:r>
      <w:r w:rsidRPr="00022CA4">
        <w:t xml:space="preserve"> the need for localized and season-specific water management strategies and further research to understand the underlying drivers of these trends and their potential impacts on various sectors in Ethiopia.</w:t>
      </w:r>
    </w:p>
    <w:p w14:paraId="49681712" w14:textId="0F446917" w:rsidR="00CB1CF9" w:rsidRPr="00022CA4" w:rsidRDefault="00542251" w:rsidP="00EE4D7D">
      <w:pPr>
        <w:pStyle w:val="Heading3"/>
        <w:spacing w:after="240" w:line="360" w:lineRule="auto"/>
        <w:rPr>
          <w:rFonts w:ascii="Times New Roman" w:hAnsi="Times New Roman" w:cs="Times New Roman"/>
          <w:b/>
          <w:bCs/>
          <w:color w:val="auto"/>
        </w:rPr>
      </w:pPr>
      <w:r w:rsidRPr="00022CA4">
        <w:rPr>
          <w:rFonts w:ascii="Times New Roman" w:hAnsi="Times New Roman" w:cs="Times New Roman"/>
          <w:b/>
          <w:bCs/>
          <w:color w:val="auto"/>
        </w:rPr>
        <w:t>4.2.2 Spatiotemporal Changes in Climatic Water Balance of Ethiopia</w:t>
      </w:r>
    </w:p>
    <w:p w14:paraId="7B59E7F5" w14:textId="7F22E18A" w:rsidR="004854DE" w:rsidRPr="00022CA4" w:rsidRDefault="004854DE" w:rsidP="0015525E">
      <w:pPr>
        <w:pStyle w:val="NormalWeb"/>
        <w:spacing w:line="360" w:lineRule="auto"/>
        <w:jc w:val="both"/>
      </w:pPr>
      <w:r w:rsidRPr="00022CA4">
        <w:t xml:space="preserve">The analysis of the Climatic Water Balance (CWB) trends across Ethiopia from 1980 to 2021 (Fig. 10, </w:t>
      </w:r>
      <w:r w:rsidR="003D57E5">
        <w:t>Table 6</w:t>
      </w:r>
      <w:r w:rsidRPr="00022CA4">
        <w:t>) reveals patterns that generally mirror the observed rainfall trends (Fig. 7). The dominance of increasing trends in annual and seasonal (Bega and Kiremt) CWB across much of Ethiopia suggests a potential improvement in overall water balance in these regions over the study period. Conversely, the prevalence of decreasing CWB trends during the Belg season, particularly in the northern half of the country, indicates a growing water deficit during this crucial agricultural period.</w:t>
      </w:r>
    </w:p>
    <w:p w14:paraId="43248F1A" w14:textId="77777777" w:rsidR="004854DE" w:rsidRPr="00022CA4" w:rsidRDefault="004854DE" w:rsidP="0015525E">
      <w:pPr>
        <w:pStyle w:val="NormalWeb"/>
        <w:spacing w:line="360" w:lineRule="auto"/>
        <w:jc w:val="both"/>
      </w:pPr>
      <w:r w:rsidRPr="00022CA4">
        <w:lastRenderedPageBreak/>
        <w:t>The significant increasing trends in annual and Bega CWB in most parts of southern Ethiopia (Fig. 10) are noteworthy. This suggests a potential increase in water surplus or a reduction in water deficit in these areas, which could have positive implications for agriculture and water resources. In contrast, the significant decreasing trend in Belg CWB in northern Ethiopia raises concerns about increasing water stress during this season, potentially impacting rain-fed agriculture and overall water availability.</w:t>
      </w:r>
    </w:p>
    <w:p w14:paraId="6C929DE7" w14:textId="03338065" w:rsidR="004854DE" w:rsidRPr="00022CA4" w:rsidRDefault="004854DE" w:rsidP="0015525E">
      <w:pPr>
        <w:pStyle w:val="NormalWeb"/>
        <w:spacing w:line="360" w:lineRule="auto"/>
        <w:jc w:val="both"/>
      </w:pPr>
      <w:r w:rsidRPr="00022CA4">
        <w:t xml:space="preserve">The relationship between mean monthly rainfall and </w:t>
      </w:r>
      <w:proofErr w:type="spellStart"/>
      <w:proofErr w:type="gramStart"/>
      <w:r w:rsidRPr="00022CA4">
        <w:t>ET</w:t>
      </w:r>
      <w:r w:rsidRPr="00022CA4">
        <w:rPr>
          <w:vertAlign w:val="subscript"/>
        </w:rPr>
        <w:t>o</w:t>
      </w:r>
      <w:proofErr w:type="spellEnd"/>
      <w:proofErr w:type="gramEnd"/>
      <w:r w:rsidRPr="00022CA4">
        <w:t xml:space="preserve"> (Fig. 4) provides further context to the annual CWB of -185 mm (Fig. 6, </w:t>
      </w:r>
      <w:r w:rsidR="003D57E5">
        <w:t>Table 6</w:t>
      </w:r>
      <w:r w:rsidRPr="00022CA4">
        <w:t xml:space="preserve">). The periods where rainfall exceeds </w:t>
      </w:r>
      <w:proofErr w:type="spellStart"/>
      <w:proofErr w:type="gramStart"/>
      <w:r w:rsidRPr="00022CA4">
        <w:t>ET</w:t>
      </w:r>
      <w:r w:rsidRPr="00022CA4">
        <w:rPr>
          <w:vertAlign w:val="subscript"/>
        </w:rPr>
        <w:t>o</w:t>
      </w:r>
      <w:proofErr w:type="spellEnd"/>
      <w:proofErr w:type="gramEnd"/>
      <w:r w:rsidRPr="00022CA4">
        <w:t>, primarily during the Kiremt season and partially in April and May (Belg), indicate a surplus of moisture or a positive CWB. This surplus during the main cultivation season is beneficial for various water-dependent activities. However, as you pointed out, it can also contribute to flood risks, necessitating effective water management strategies.</w:t>
      </w:r>
    </w:p>
    <w:p w14:paraId="4FC08F5E" w14:textId="0F36324A" w:rsidR="004854DE" w:rsidRPr="00022CA4" w:rsidRDefault="004854DE" w:rsidP="0015525E">
      <w:pPr>
        <w:pStyle w:val="NormalWeb"/>
        <w:spacing w:line="360" w:lineRule="auto"/>
        <w:jc w:val="both"/>
      </w:pPr>
      <w:r w:rsidRPr="00022CA4">
        <w:t xml:space="preserve">Conversely, the negative annual mean CWB, along with the negative CWB during the Bega and Belg seasons (Fig. 6), and the seven months where </w:t>
      </w:r>
      <w:proofErr w:type="spellStart"/>
      <w:proofErr w:type="gramStart"/>
      <w:r w:rsidRPr="00022CA4">
        <w:t>ET</w:t>
      </w:r>
      <w:r w:rsidRPr="00022CA4">
        <w:rPr>
          <w:vertAlign w:val="subscript"/>
        </w:rPr>
        <w:t>o</w:t>
      </w:r>
      <w:proofErr w:type="spellEnd"/>
      <w:proofErr w:type="gramEnd"/>
      <w:r w:rsidRPr="00022CA4">
        <w:t xml:space="preserve"> exceeds rainfall (October to March and June), highlight the extended periods of water deficit experienced in Ethiopia. These deficits can severely impact agricultural yields, reduce soil moisture, and hinder groundwater recharge, which is a vital water source for a significant porti</w:t>
      </w:r>
      <w:r w:rsidR="00327163" w:rsidRPr="00022CA4">
        <w:t xml:space="preserve">on of the population. The seven </w:t>
      </w:r>
      <w:r w:rsidRPr="00022CA4">
        <w:t>month</w:t>
      </w:r>
      <w:r w:rsidR="00327163" w:rsidRPr="00022CA4">
        <w:t>s of</w:t>
      </w:r>
      <w:r w:rsidRPr="00022CA4">
        <w:t xml:space="preserve"> water deficit period poses a significant challenge </w:t>
      </w:r>
      <w:r w:rsidR="00327163" w:rsidRPr="00022CA4">
        <w:t>to</w:t>
      </w:r>
      <w:r w:rsidRPr="00022CA4">
        <w:t xml:space="preserve"> sustainable development and necessitates strategies for water conservation and efficient use.</w:t>
      </w:r>
    </w:p>
    <w:p w14:paraId="2948EAEE" w14:textId="7AA1C4A5" w:rsidR="004854DE" w:rsidRPr="00022CA4" w:rsidRDefault="004854DE" w:rsidP="0015525E">
      <w:pPr>
        <w:pStyle w:val="NormalWeb"/>
        <w:spacing w:line="360" w:lineRule="auto"/>
        <w:jc w:val="both"/>
      </w:pPr>
      <w:r w:rsidRPr="00790168">
        <w:t>The basin-level analysis of CWB trends (</w:t>
      </w:r>
      <w:r w:rsidR="003D57E5" w:rsidRPr="00790168">
        <w:t>Table 6</w:t>
      </w:r>
      <w:r w:rsidRPr="00790168">
        <w:t>) reveals considerable regional variations. The basins with positive annual CWB (</w:t>
      </w:r>
      <w:proofErr w:type="spellStart"/>
      <w:r w:rsidRPr="00790168">
        <w:t>Baro-Akobo</w:t>
      </w:r>
      <w:proofErr w:type="spellEnd"/>
      <w:r w:rsidRPr="00790168">
        <w:t xml:space="preserve">, </w:t>
      </w:r>
      <w:proofErr w:type="spellStart"/>
      <w:r w:rsidRPr="00790168">
        <w:t>Omo</w:t>
      </w:r>
      <w:proofErr w:type="spellEnd"/>
      <w:r w:rsidRPr="00790168">
        <w:t>-</w:t>
      </w:r>
      <w:r w:rsidRPr="00022CA4">
        <w:t xml:space="preserve">Gibe, </w:t>
      </w:r>
      <w:proofErr w:type="spellStart"/>
      <w:r w:rsidRPr="00022CA4">
        <w:t>Abbay</w:t>
      </w:r>
      <w:proofErr w:type="spellEnd"/>
      <w:r w:rsidRPr="00022CA4">
        <w:t xml:space="preserve">, and Rift Valley) generally show positive trends, suggesting a potential increase in their water surplus over time, although the significance of these trends varies. The basins with negative annual CWB, on the other hand, exhibit mixed trends. Some show increasing CWB (e.g., </w:t>
      </w:r>
      <w:proofErr w:type="spellStart"/>
      <w:r w:rsidRPr="00022CA4">
        <w:t>Wabi-Shebele</w:t>
      </w:r>
      <w:proofErr w:type="spellEnd"/>
      <w:r w:rsidRPr="00022CA4">
        <w:t xml:space="preserve">, </w:t>
      </w:r>
      <w:proofErr w:type="spellStart"/>
      <w:r w:rsidRPr="00022CA4">
        <w:t>Genale-Dawa</w:t>
      </w:r>
      <w:proofErr w:type="spellEnd"/>
      <w:r w:rsidRPr="00022CA4">
        <w:t xml:space="preserve">, </w:t>
      </w:r>
      <w:proofErr w:type="spellStart"/>
      <w:r w:rsidRPr="00022CA4">
        <w:t>Ogaden</w:t>
      </w:r>
      <w:proofErr w:type="spellEnd"/>
      <w:r w:rsidRPr="00022CA4">
        <w:t xml:space="preserve">), potentially indicating a slight improvement in their water balance, while others show decreasing CWB (e.g., </w:t>
      </w:r>
      <w:proofErr w:type="spellStart"/>
      <w:r w:rsidRPr="00022CA4">
        <w:t>Denakil</w:t>
      </w:r>
      <w:proofErr w:type="spellEnd"/>
      <w:r w:rsidRPr="00022CA4">
        <w:t xml:space="preserve">, </w:t>
      </w:r>
      <w:proofErr w:type="spellStart"/>
      <w:r w:rsidRPr="00022CA4">
        <w:t>Mereb</w:t>
      </w:r>
      <w:proofErr w:type="spellEnd"/>
      <w:r w:rsidRPr="00022CA4">
        <w:t xml:space="preserve">-Gash, </w:t>
      </w:r>
      <w:proofErr w:type="spellStart"/>
      <w:r w:rsidRPr="00022CA4">
        <w:t>Aysha</w:t>
      </w:r>
      <w:proofErr w:type="spellEnd"/>
      <w:r w:rsidRPr="00022CA4">
        <w:t xml:space="preserve">), suggesting a worsening of their water deficit. The Awash and </w:t>
      </w:r>
      <w:proofErr w:type="spellStart"/>
      <w:r w:rsidRPr="00022CA4">
        <w:t>Tekeze</w:t>
      </w:r>
      <w:proofErr w:type="spellEnd"/>
      <w:r w:rsidRPr="00022CA4">
        <w:t xml:space="preserve"> basins show relatively small and non-significant </w:t>
      </w:r>
      <w:r w:rsidR="00327163" w:rsidRPr="00022CA4">
        <w:t>increases</w:t>
      </w:r>
      <w:r w:rsidRPr="00022CA4">
        <w:t xml:space="preserve"> in annual CWB.</w:t>
      </w:r>
    </w:p>
    <w:p w14:paraId="6D6987DF" w14:textId="77777777" w:rsidR="004854DE" w:rsidRPr="00022CA4" w:rsidRDefault="004854DE" w:rsidP="0015525E">
      <w:pPr>
        <w:pStyle w:val="NormalWeb"/>
        <w:spacing w:line="360" w:lineRule="auto"/>
        <w:jc w:val="both"/>
      </w:pPr>
      <w:r w:rsidRPr="00022CA4">
        <w:t xml:space="preserve">The contrasting seasonal CWB trends across basins are also important. For instance, while the </w:t>
      </w:r>
      <w:proofErr w:type="spellStart"/>
      <w:r w:rsidRPr="00022CA4">
        <w:t>Abbay</w:t>
      </w:r>
      <w:proofErr w:type="spellEnd"/>
      <w:r w:rsidRPr="00022CA4">
        <w:t xml:space="preserve"> and </w:t>
      </w:r>
      <w:proofErr w:type="spellStart"/>
      <w:r w:rsidRPr="00022CA4">
        <w:t>Tekeze</w:t>
      </w:r>
      <w:proofErr w:type="spellEnd"/>
      <w:r w:rsidRPr="00022CA4">
        <w:t xml:space="preserve"> basins show significant increasing trends in Kiremt CWB (the wet season)</w:t>
      </w:r>
      <w:proofErr w:type="gramStart"/>
      <w:r w:rsidRPr="00022CA4">
        <w:t>,</w:t>
      </w:r>
      <w:proofErr w:type="gramEnd"/>
      <w:r w:rsidRPr="00022CA4">
        <w:t xml:space="preserve"> indicating a growing water surplus, they also exhibit decreasing trends in Belg CWB. </w:t>
      </w:r>
      <w:proofErr w:type="gramStart"/>
      <w:r w:rsidRPr="00022CA4">
        <w:t xml:space="preserve">Similarly, the </w:t>
      </w:r>
      <w:proofErr w:type="spellStart"/>
      <w:r w:rsidRPr="00022CA4">
        <w:t>Denakil</w:t>
      </w:r>
      <w:proofErr w:type="spellEnd"/>
      <w:r w:rsidRPr="00022CA4">
        <w:t xml:space="preserve">, </w:t>
      </w:r>
      <w:proofErr w:type="spellStart"/>
      <w:r w:rsidRPr="00022CA4">
        <w:t>Mereb</w:t>
      </w:r>
      <w:proofErr w:type="spellEnd"/>
      <w:r w:rsidRPr="00022CA4">
        <w:t xml:space="preserve">-Gash, and </w:t>
      </w:r>
      <w:proofErr w:type="spellStart"/>
      <w:r w:rsidRPr="00022CA4">
        <w:t>Aysha</w:t>
      </w:r>
      <w:proofErr w:type="spellEnd"/>
      <w:r w:rsidRPr="00022CA4">
        <w:t xml:space="preserve"> basins, which already experience water deficits, show decreasing trends in Belg CWB, potentially exacerbating their vulnerability.</w:t>
      </w:r>
      <w:proofErr w:type="gramEnd"/>
    </w:p>
    <w:p w14:paraId="130F0490" w14:textId="444BA0C0" w:rsidR="00AF43BA" w:rsidRPr="007D4541" w:rsidRDefault="00AF43BA" w:rsidP="00AF43BA">
      <w:pPr>
        <w:spacing w:after="240" w:line="360" w:lineRule="auto"/>
        <w:jc w:val="both"/>
        <w:rPr>
          <w:rFonts w:ascii="Times New Roman" w:eastAsia="Times New Roman" w:hAnsi="Times New Roman" w:cs="Times New Roman"/>
          <w:sz w:val="24"/>
          <w:szCs w:val="24"/>
        </w:rPr>
      </w:pPr>
      <w:r w:rsidRPr="00022CA4">
        <w:rPr>
          <w:rFonts w:ascii="Times New Roman" w:eastAsia="Times New Roman" w:hAnsi="Times New Roman" w:cs="Times New Roman"/>
          <w:sz w:val="24"/>
          <w:szCs w:val="24"/>
        </w:rPr>
        <w:t xml:space="preserve">In conclusion, the spatiotemporal changes in Ethiopia's climatic water balance reveal a complex pattern of both increasing and decreasing water availability across different regions and seasons. </w:t>
      </w:r>
      <w:proofErr w:type="gramStart"/>
      <w:r w:rsidRPr="00022CA4">
        <w:rPr>
          <w:rFonts w:ascii="Times New Roman" w:eastAsia="Times New Roman" w:hAnsi="Times New Roman" w:cs="Times New Roman"/>
          <w:sz w:val="24"/>
          <w:szCs w:val="24"/>
        </w:rPr>
        <w:t xml:space="preserve">While some areas, particularly in the south and during the Kiremt season in several basins, show trends towards a more positive water balance, </w:t>
      </w:r>
      <w:r w:rsidRPr="00022CA4">
        <w:rPr>
          <w:rFonts w:ascii="Times New Roman" w:eastAsia="Times New Roman" w:hAnsi="Times New Roman" w:cs="Times New Roman"/>
          <w:sz w:val="24"/>
          <w:szCs w:val="24"/>
        </w:rPr>
        <w:lastRenderedPageBreak/>
        <w:t xml:space="preserve">other regions, especially </w:t>
      </w:r>
      <w:r w:rsidR="006C76AC" w:rsidRPr="00022CA4">
        <w:rPr>
          <w:rFonts w:ascii="Times New Roman" w:eastAsia="Times New Roman" w:hAnsi="Times New Roman" w:cs="Times New Roman"/>
          <w:sz w:val="24"/>
          <w:szCs w:val="24"/>
        </w:rPr>
        <w:t xml:space="preserve">during the Belg season </w:t>
      </w:r>
      <w:r w:rsidRPr="00022CA4">
        <w:rPr>
          <w:rFonts w:ascii="Times New Roman" w:eastAsia="Times New Roman" w:hAnsi="Times New Roman" w:cs="Times New Roman"/>
          <w:sz w:val="24"/>
          <w:szCs w:val="24"/>
        </w:rPr>
        <w:t xml:space="preserve">in the north, </w:t>
      </w:r>
      <w:r w:rsidR="006C76AC" w:rsidRPr="00022CA4">
        <w:rPr>
          <w:rFonts w:ascii="Times New Roman" w:eastAsia="Times New Roman" w:hAnsi="Times New Roman" w:cs="Times New Roman"/>
          <w:sz w:val="24"/>
          <w:szCs w:val="24"/>
        </w:rPr>
        <w:t>have been</w:t>
      </w:r>
      <w:r w:rsidRPr="00022CA4">
        <w:rPr>
          <w:rFonts w:ascii="Times New Roman" w:eastAsia="Times New Roman" w:hAnsi="Times New Roman" w:cs="Times New Roman"/>
          <w:sz w:val="24"/>
          <w:szCs w:val="24"/>
        </w:rPr>
        <w:t xml:space="preserve"> experiencing increasing water deficits.</w:t>
      </w:r>
      <w:proofErr w:type="gramEnd"/>
      <w:r w:rsidRPr="00022CA4">
        <w:rPr>
          <w:rFonts w:ascii="Times New Roman" w:eastAsia="Times New Roman" w:hAnsi="Times New Roman" w:cs="Times New Roman"/>
          <w:sz w:val="24"/>
          <w:szCs w:val="24"/>
        </w:rPr>
        <w:t xml:space="preserve"> These findings </w:t>
      </w:r>
      <w:r w:rsidR="00327163" w:rsidRPr="00022CA4">
        <w:rPr>
          <w:rFonts w:ascii="Times New Roman" w:eastAsia="Times New Roman" w:hAnsi="Times New Roman" w:cs="Times New Roman"/>
          <w:sz w:val="24"/>
          <w:szCs w:val="24"/>
        </w:rPr>
        <w:t>suggest</w:t>
      </w:r>
      <w:r w:rsidRPr="00022CA4">
        <w:rPr>
          <w:rFonts w:ascii="Times New Roman" w:eastAsia="Times New Roman" w:hAnsi="Times New Roman" w:cs="Times New Roman"/>
          <w:sz w:val="24"/>
          <w:szCs w:val="24"/>
        </w:rPr>
        <w:t xml:space="preserve"> the critical need for regionally tailored water management strategies to mitigate the negative impacts of water deficits and to manage potential water surpluses effectively. Further research should focus on understanding the drivers of these CWB trends and their implications for various sectors, including agriculture, </w:t>
      </w:r>
      <w:r w:rsidR="00327163" w:rsidRPr="00022CA4">
        <w:rPr>
          <w:rFonts w:ascii="Times New Roman" w:eastAsia="Times New Roman" w:hAnsi="Times New Roman" w:cs="Times New Roman"/>
          <w:sz w:val="24"/>
          <w:szCs w:val="24"/>
        </w:rPr>
        <w:t xml:space="preserve">forestry, </w:t>
      </w:r>
      <w:r w:rsidR="007D4541" w:rsidRPr="007D4541">
        <w:rPr>
          <w:rFonts w:ascii="Times New Roman" w:eastAsia="Times New Roman" w:hAnsi="Times New Roman" w:cs="Times New Roman"/>
          <w:sz w:val="24"/>
          <w:szCs w:val="24"/>
        </w:rPr>
        <w:t>Health Impacts of Climate-Sensitive Diseases</w:t>
      </w:r>
      <w:r w:rsidR="007D4541">
        <w:rPr>
          <w:rFonts w:ascii="Times New Roman" w:eastAsia="Times New Roman" w:hAnsi="Times New Roman" w:cs="Times New Roman"/>
          <w:sz w:val="24"/>
          <w:szCs w:val="24"/>
        </w:rPr>
        <w:t xml:space="preserve">, </w:t>
      </w:r>
      <w:r w:rsidRPr="00022CA4">
        <w:rPr>
          <w:rFonts w:ascii="Times New Roman" w:eastAsia="Times New Roman" w:hAnsi="Times New Roman" w:cs="Times New Roman"/>
          <w:sz w:val="24"/>
          <w:szCs w:val="24"/>
        </w:rPr>
        <w:t>water resources, and ecosystem health.</w:t>
      </w:r>
    </w:p>
    <w:p w14:paraId="4C7B5093" w14:textId="39819CDB" w:rsidR="00542251" w:rsidRPr="00022CA4" w:rsidRDefault="00542251" w:rsidP="00EE4D7D">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t>4.3. Variability of Rainfall, Evapotranspiration, and Climatic Water Balance</w:t>
      </w:r>
    </w:p>
    <w:p w14:paraId="31CEFC7B" w14:textId="5224EB09" w:rsidR="00542251" w:rsidRPr="00022CA4" w:rsidRDefault="00542251" w:rsidP="00EE4D7D">
      <w:pPr>
        <w:pStyle w:val="Heading3"/>
        <w:spacing w:after="240" w:line="360" w:lineRule="auto"/>
        <w:rPr>
          <w:rFonts w:ascii="Times New Roman" w:hAnsi="Times New Roman" w:cs="Times New Roman"/>
          <w:b/>
          <w:bCs/>
          <w:color w:val="auto"/>
        </w:rPr>
      </w:pPr>
      <w:r w:rsidRPr="00022CA4">
        <w:rPr>
          <w:rFonts w:ascii="Times New Roman" w:hAnsi="Times New Roman" w:cs="Times New Roman"/>
          <w:b/>
          <w:bCs/>
          <w:color w:val="auto"/>
        </w:rPr>
        <w:t xml:space="preserve">4.3.1 Spatiotemporal </w:t>
      </w:r>
      <w:r w:rsidR="00675338" w:rsidRPr="00022CA4">
        <w:rPr>
          <w:rFonts w:ascii="Times New Roman" w:hAnsi="Times New Roman" w:cs="Times New Roman"/>
          <w:b/>
          <w:bCs/>
          <w:color w:val="auto"/>
        </w:rPr>
        <w:t xml:space="preserve">Rainfall and Evapotranspiration </w:t>
      </w:r>
      <w:r w:rsidRPr="00022CA4">
        <w:rPr>
          <w:rFonts w:ascii="Times New Roman" w:hAnsi="Times New Roman" w:cs="Times New Roman"/>
          <w:b/>
          <w:bCs/>
          <w:color w:val="auto"/>
        </w:rPr>
        <w:t>Variability in Ethiopia</w:t>
      </w:r>
    </w:p>
    <w:p w14:paraId="1E4D4884" w14:textId="493F0AF7" w:rsidR="00D473B8" w:rsidRPr="00022CA4" w:rsidRDefault="00D473B8" w:rsidP="0063465B">
      <w:pPr>
        <w:pStyle w:val="NormalWeb"/>
        <w:spacing w:line="360" w:lineRule="auto"/>
        <w:jc w:val="both"/>
      </w:pPr>
      <w:r w:rsidRPr="00022CA4">
        <w:t xml:space="preserve">The analysis of spatiotemporal variability in rainfall and </w:t>
      </w:r>
      <w:r w:rsidR="00327163" w:rsidRPr="00022CA4">
        <w:t xml:space="preserve">reference </w:t>
      </w:r>
      <w:r w:rsidRPr="00022CA4">
        <w:t>evapotranspiration (</w:t>
      </w:r>
      <w:proofErr w:type="spellStart"/>
      <w:proofErr w:type="gramStart"/>
      <w:r w:rsidRPr="00022CA4">
        <w:t>ET</w:t>
      </w:r>
      <w:r w:rsidRPr="00022CA4">
        <w:rPr>
          <w:vertAlign w:val="subscript"/>
        </w:rPr>
        <w:t>o</w:t>
      </w:r>
      <w:proofErr w:type="spellEnd"/>
      <w:proofErr w:type="gramEnd"/>
      <w:r w:rsidRPr="00022CA4">
        <w:t xml:space="preserve">) across Ethiopia reveals significant insights into the region's </w:t>
      </w:r>
      <w:proofErr w:type="spellStart"/>
      <w:r w:rsidRPr="00022CA4">
        <w:t>hydroclimatic</w:t>
      </w:r>
      <w:proofErr w:type="spellEnd"/>
      <w:r w:rsidRPr="00022CA4">
        <w:t xml:space="preserve"> dynamics. Our findings indicate a considerable range in the coefficient of variation (CV) for both annual and seasonal rainfall, highlighting the heterogeneous nature of </w:t>
      </w:r>
      <w:r w:rsidR="001C4477">
        <w:t>rainfall</w:t>
      </w:r>
      <w:r w:rsidRPr="00022CA4">
        <w:t xml:space="preserve"> patterns across the country. Specifically, the mean annual rainfall CV of 16.2% (ranging from 7.5 to 32.2%) </w:t>
      </w:r>
      <w:r w:rsidR="00327163" w:rsidRPr="00022CA4">
        <w:t>indicates</w:t>
      </w:r>
      <w:r w:rsidRPr="00022CA4">
        <w:t xml:space="preserve"> the spatial differences in rainfall reliability, with some regions</w:t>
      </w:r>
      <w:r w:rsidR="0063465B" w:rsidRPr="00022CA4">
        <w:t xml:space="preserve"> or basins</w:t>
      </w:r>
      <w:r w:rsidRPr="00022CA4">
        <w:t xml:space="preserve"> experiencing substantially more consistent rainfall than others. This aligns with previous studies that have documented the diverse climate zones within Ethiopia, influenced by factors such as topography, latitude, and proximity to moisture sources </w:t>
      </w:r>
      <w:r w:rsidR="0063465B" w:rsidRPr="00022CA4">
        <w:fldChar w:fldCharType="begin" w:fldLock="1"/>
      </w:r>
      <w:r w:rsidR="00846ED9" w:rsidRPr="00022CA4">
        <w:instrText>ADDIN CSL_CITATION {"citationItems":[{"id":"ITEM-1","itemData":{"DOI":"10.1002/joc.1481","author":[{"dropping-particle":"","family":"Bewket","given":"Woldeamlak","non-dropping-particle":"","parse-names":false,"suffix":""},{"dropping-particle":"","family":"Conway","given":"Declan","non-dropping-particle":"","parse-names":false,"suffix":""}],"id":"ITEM-1","issue":"May","issued":{"date-parts":[["2007"]]},"page":"1467-1477","title":"A note on the temporal and spatial variability of rainfall in the drought-prone Amhara region of Ethiopia","type":"article-journal","volume":"1477"},"uris":["http://www.mendeley.com/documents/?uuid=bd704209-d912-42c9-9418-a7e254aea190"]}],"mendeley":{"formattedCitation":"(Bewket &amp; Conway, 2007)","manualFormatting":"(Bewket &amp; Conway, 2007","plainTextFormattedCitation":"(Bewket &amp; Conway, 2007)","previouslyFormattedCitation":"(Bewket &amp; Conway, 2007)"},"properties":{"noteIndex":0},"schema":"https://github.com/citation-style-language/schema/raw/master/csl-citation.json"}</w:instrText>
      </w:r>
      <w:r w:rsidR="0063465B" w:rsidRPr="00022CA4">
        <w:fldChar w:fldCharType="separate"/>
      </w:r>
      <w:r w:rsidR="0063465B" w:rsidRPr="00022CA4">
        <w:rPr>
          <w:noProof/>
        </w:rPr>
        <w:t>(Bewket &amp; Conway, 2007</w:t>
      </w:r>
      <w:r w:rsidR="0063465B" w:rsidRPr="00022CA4">
        <w:fldChar w:fldCharType="end"/>
      </w:r>
      <w:r w:rsidR="0063465B" w:rsidRPr="00022CA4">
        <w:t xml:space="preserve">; </w:t>
      </w:r>
      <w:r w:rsidR="0063465B" w:rsidRPr="00022CA4">
        <w:fldChar w:fldCharType="begin" w:fldLock="1"/>
      </w:r>
      <w:r w:rsidR="00846ED9" w:rsidRPr="00022CA4">
        <w:instrText xml:space="preserve">ADDIN CSL_CITATION {"citationItems":[{"id":"ITEM-1","itemData":{"DOI":"10.1016/j.ejrh.2024.101922","ISSN":"22145818","abstract":"Study region: The eastern flank of the 4 km Rwenzori Mountains and the Mobuku catchment 0.25–0.4 N, 29.85–30.1E are the geographic area for detailed analysis. Research focus: Hydro-climate variability is studied using high resolution satellite- and model- assimilated products in the period 1980–2023. The Mobuku catchment receives rainfall of 3–6 mm/day which generates an eastward discharge of 100 m3/s that declines rapidly downstream, thereby limiting hydro-power availability. New insights: Long-term trends in cloud fraction and potential evaporation reveal a tendency for drying associated with increasing easterly winds, subsidence near the mountain top, and warming of +.04 C/year that is melting glaciers. These constrain runoff on the eastern flank of the Rwenzori Mountains. Low river flows in Dec-Mar correspond with dry air intrusions from the northeast. High river flows in Jul-Nov are modulated by sea temperatures in the Indian Ocean that oscillate east-west at </w:instrText>
      </w:r>
      <w:r w:rsidR="00846ED9" w:rsidRPr="00022CA4">
        <w:rPr>
          <w:rFonts w:ascii="Cambria Math" w:hAnsi="Cambria Math" w:cs="Cambria Math"/>
        </w:rPr>
        <w:instrText>∼</w:instrText>
      </w:r>
      <w:r w:rsidR="00846ED9" w:rsidRPr="00022CA4">
        <w:instrText>3 year interval. Improved understanding of climate variability will contribute to better management of Uganda's hydro-power resources.","author":[{"dropping-particle":"","family":"Jury","given":"Mark R.","non-dropping-particle":"","parse-names":false,"suffix":""}],"container-title":"Journal of Hydrology: Regional Studies","id":"ITEM-1","issue":"April","issued":{"date-parts":[["2024"]]},"title":"Climate variability and hydrology impacts in east Africa's Rwenzori Mountains","type":"article-journal","volume":"55"},"uris":["http://www.mendeley.com/documents/?uuid=1dd52c9c-4f91-41ad-806e-373b40fcdcd8"]}],"mendeley":{"formattedCitation":"(Jury, 2024)","manualFormatting":"Jury, 2024","plainTextFormattedCitation":"(Jury, 2024)","previouslyFormattedCitation":"(Jury, 2024)"},"properties":{"noteIndex":0},"schema":"https://github.com/citation-style-language/schema/raw/master/csl-citation.json"}</w:instrText>
      </w:r>
      <w:r w:rsidR="0063465B" w:rsidRPr="00022CA4">
        <w:fldChar w:fldCharType="separate"/>
      </w:r>
      <w:r w:rsidR="0063465B" w:rsidRPr="00022CA4">
        <w:rPr>
          <w:noProof/>
        </w:rPr>
        <w:t>Jury, 2024</w:t>
      </w:r>
      <w:r w:rsidR="0063465B" w:rsidRPr="00022CA4">
        <w:fldChar w:fldCharType="end"/>
      </w:r>
      <w:r w:rsidR="0063465B" w:rsidRPr="00022CA4">
        <w:t>;</w:t>
      </w:r>
      <w:r w:rsidR="00846ED9" w:rsidRPr="00022CA4">
        <w:t xml:space="preserve"> </w:t>
      </w:r>
      <w:r w:rsidR="00846ED9" w:rsidRPr="00022CA4">
        <w:fldChar w:fldCharType="begin" w:fldLock="1"/>
      </w:r>
      <w:r w:rsidR="0085191C" w:rsidRPr="00022CA4">
        <w:instrText>ADDIN CSL_CITATION {"citationItems":[{"id":"ITEM-1","itemData":{"DOI":"10.1038/sdata.2015.66","ISSN":"20524463","abstract":"The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author":[{"dropping-particle":"","family":"Funk","given":"Chris","non-dropping-particle":"","parse-names":false,"suffix":""},{"dropping-particle":"","family":"Peterson","given":"Pete","non-dropping-particle":"","parse-names":false,"suffix":""},{"dropping-particle":"","family":"Landsfeld","given":"Martin","non-dropping-particle":"","parse-names":false,"suffix":""},{"dropping-particle":"","family":"Pedreros","given":"Diego","non-dropping-particle":"","parse-names":false,"suffix":""},{"dropping-particle":"","family":"Verdin","given":"James","non-dropping-particle":"","parse-names":false,"suffix":""},{"dropping-particle":"","family":"Shukla","given":"Shraddhanand","non-dropping-particle":"","parse-names":false,"suffix":""},{"dropping-particle":"","family":"Husak","given":"Gregory","non-dropping-particle":"","parse-names":false,"suffix":""},{"dropping-particle":"","family":"Rowland","given":"James","non-dropping-particle":"","parse-names":false,"suffix":""},{"dropping-particle":"","family":"Harrison","given":"Laura","non-dropping-particle":"","parse-names":false,"suffix":""},{"dropping-particle":"","family":"Hoell","given":"Andrew","non-dropping-particle":"","parse-names":false,"suffix":""},{"dropping-particle":"","family":"Michaelsen","given":"Joel","non-dropping-particle":"","parse-names":false,"suffix":""}],"container-title":"Scientific Data","id":"ITEM-1","issued":{"date-parts":[["2015"]]},"page":"1-21","title":"The climate hazards infrared precipitation with stations - A new environmental record for monitoring extremes","type":"article-journal","volume":"2"},"uris":["http://www.mendeley.com/documents/?uuid=8ba20555-6fa0-4b74-9072-1e23e755b457"]}],"mendeley":{"formattedCitation":"(C. Funk et al., 2015)","manualFormatting":"Funk et al., 2015)","plainTextFormattedCitation":"(C. Funk et al., 2015)","previouslyFormattedCitation":"(C. Funk et al., 2015)"},"properties":{"noteIndex":0},"schema":"https://github.com/citation-style-language/schema/raw/master/csl-citation.json"}</w:instrText>
      </w:r>
      <w:r w:rsidR="00846ED9" w:rsidRPr="00022CA4">
        <w:fldChar w:fldCharType="separate"/>
      </w:r>
      <w:r w:rsidR="00846ED9" w:rsidRPr="00022CA4">
        <w:rPr>
          <w:noProof/>
        </w:rPr>
        <w:t>Funk et al., 2015)</w:t>
      </w:r>
      <w:r w:rsidR="00846ED9" w:rsidRPr="00022CA4">
        <w:fldChar w:fldCharType="end"/>
      </w:r>
      <w:r w:rsidRPr="00022CA4">
        <w:t>.</w:t>
      </w:r>
    </w:p>
    <w:p w14:paraId="15E3B63D" w14:textId="64F29A49" w:rsidR="00D473B8" w:rsidRPr="00022CA4" w:rsidRDefault="00D473B8" w:rsidP="0063465B">
      <w:pPr>
        <w:pStyle w:val="NormalWeb"/>
        <w:spacing w:line="360" w:lineRule="auto"/>
        <w:jc w:val="both"/>
      </w:pPr>
      <w:r w:rsidRPr="00022CA4">
        <w:t xml:space="preserve">The higher rainfall variability observed during the Bega (dry) season (mean CV of 45.5%) compared to the Kiremt (main rainy) season (mean CV of 21.9%) is consistent with the understanding of tropical rainfall regimes. </w:t>
      </w:r>
      <w:r w:rsidRPr="00BD6391">
        <w:t xml:space="preserve">Dry seasons are inherently more prone to erratic and less frequent rainfall events, leading to greater relative variability </w:t>
      </w:r>
      <w:r w:rsidR="00846ED9" w:rsidRPr="00BD6391">
        <w:fldChar w:fldCharType="begin" w:fldLock="1"/>
      </w:r>
      <w:r w:rsidR="004D6E8C" w:rsidRPr="00BD6391">
        <w:instrText>ADDIN CSL_CITATION {"citationItems":[{"id":"ITEM-1","itemData":{"DOI":"10.19080/ijesnr.2020.24.556144","abstract":"The rainfall variability and trends over North Shewa investigated using gauge as well as gridded rainfall data from 1985 to 2018. The variability of rainfall in both annual and seasonal scales were evaluated using coefficient of variation (CV), standardized rainfall anomaly, precipitation concentration index (PCI), and standardized precipitation index. Mann-Kendall test and Sen’s slope estimator were used to assess the rainfall trends. The rainfall in North Shewa was found to be highly variable both in space and time; i.e., irregular rainfall distribution was observed (PCI = 20%). The coefficient of variation showed moderate variation in both annual and Kiremt (June-September) rainfall as compared to the rainfall in Belg (February-May) and Bega (October-January) seasons. Mann-Kendall test resulted a decreasing trend in Belg and Bega seasons and an increasing trend for annual and Kiremt rainfall. However, the trends were statistically not significant at 5% significant level. The onset and cessation dates showed a non-significant decreasing and increasing trends, respectively. Whereas, the length of growing period showed a significant increasing trend. Overall, in North Shewa, the wet season (Kirmet) has been wetter while the dry and small rainy seasons (Bega and Belg) have been drier; North Shewa has been vulnerable to drought during Belg season (CV &gt; 30%). Due to the high contribution of Kiremt season for annual rainfall amount of about 75%, the annual rainfall has also showed an increasing trend.","author":[{"dropping-particle":"","family":"Abegaz","given":"Wagaye Bahiru","non-dropping-particle":"","parse-names":false,"suffix":""},{"dropping-particle":"","family":"Mekoya","given":"Antensay","non-dropping-particle":"","parse-names":false,"suffix":""}],"container-title":"International Journal of Environmental Sciences &amp; Natural Resources","id":"ITEM-1","issue":"4","issued":{"date-parts":[["2020"]]},"title":"Rainfall Variability and Trends over Central Ethiopia","type":"article-journal","volume":"24"},"uris":["http://www.mendeley.com/documents/?uuid=3bd9b5bd-c0c4-4fb7-8ade-3655bc12a25b"]}],"mendeley":{"formattedCitation":"(Abegaz &amp; Mekoya, 2020)","manualFormatting":"(Abegaz &amp; Mekoya, 2020","plainTextFormattedCitation":"(Abegaz &amp; Mekoya, 2020)","previouslyFormattedCitation":"(Abegaz &amp; Mekoya, 2020)"},"properties":{"noteIndex":0},"schema":"https://github.com/citation-style-language/schema/raw/master/csl-citation.json"}</w:instrText>
      </w:r>
      <w:r w:rsidR="00846ED9" w:rsidRPr="00BD6391">
        <w:fldChar w:fldCharType="separate"/>
      </w:r>
      <w:r w:rsidR="00846ED9" w:rsidRPr="00BD6391">
        <w:rPr>
          <w:noProof/>
        </w:rPr>
        <w:t>(Abegaz &amp; Mekoya, 2020</w:t>
      </w:r>
      <w:r w:rsidR="00846ED9" w:rsidRPr="00BD6391">
        <w:fldChar w:fldCharType="end"/>
      </w:r>
      <w:r w:rsidR="00846ED9" w:rsidRPr="00BD6391">
        <w:t xml:space="preserve">; </w:t>
      </w:r>
      <w:r w:rsidR="00846ED9" w:rsidRPr="00BD6391">
        <w:fldChar w:fldCharType="begin" w:fldLock="1"/>
      </w:r>
      <w:r w:rsidR="004D6E8C" w:rsidRPr="00BD6391">
        <w:instrText>ADDIN CSL_CITATION {"citationItems":[{"id":"ITEM-1","itemData":{"DOI":"10.1002/joc.1481","author":[{"dropping-particle":"","family":"Bewket","given":"Woldeamlak","non-dropping-particle":"","parse-names":false,"suffix":""},{"dropping-particle":"","family":"Conway","given":"Declan","non-dropping-particle":"","parse-names":false,"suffix":""}],"id":"ITEM-1","issue":"May","issued":{"date-parts":[["2007"]]},"page":"1467-1477","title":"A note on the temporal and spatial variability of rainfall in the drought-prone Amhara region of Ethiopia","type":"article-journal","volume":"1477"},"uris":["http://www.mendeley.com/documents/?uuid=bd704209-d912-42c9-9418-a7e254aea190"]}],"mendeley":{"formattedCitation":"(Bewket &amp; Conway, 2007)","manualFormatting":"Bewket &amp; Conway, 2007","plainTextFormattedCitation":"(Bewket &amp; Conway, 2007)","previouslyFormattedCitation":"(Bewket &amp; Conway, 2007)"},"properties":{"noteIndex":0},"schema":"https://github.com/citation-style-language/schema/raw/master/csl-citation.json"}</w:instrText>
      </w:r>
      <w:r w:rsidR="00846ED9" w:rsidRPr="00BD6391">
        <w:fldChar w:fldCharType="separate"/>
      </w:r>
      <w:r w:rsidR="00846ED9" w:rsidRPr="00BD6391">
        <w:rPr>
          <w:noProof/>
        </w:rPr>
        <w:t>Bewket &amp; Conway, 2007</w:t>
      </w:r>
      <w:r w:rsidR="00846ED9" w:rsidRPr="00BD6391">
        <w:fldChar w:fldCharType="end"/>
      </w:r>
      <w:r w:rsidR="00846ED9" w:rsidRPr="00BD6391">
        <w:t xml:space="preserve">; </w:t>
      </w:r>
      <w:r w:rsidR="004D6E8C" w:rsidRPr="00BD6391">
        <w:fldChar w:fldCharType="begin" w:fldLock="1"/>
      </w:r>
      <w:r w:rsidR="004D6E8C" w:rsidRPr="00BD6391">
        <w:instrText>ADDIN CSL_CITATION {"citationItems":[{"id":"ITEM-1","itemData":{"author":[{"dropping-particle":"","family":"Sewagegn","given":"Tilahun","non-dropping-particle":"","parse-names":false,"suffix":""}],"container-title":"International Journal of Scientific Research in Multidisciplinary Studies","id":"ITEM-1","issue":"7","issued":{"date-parts":[["2024"]]},"page":"96-106","title":"Analysis of Temporal Variability and Trends of Rainfall and Temperature Over Western Amhara Region, Ethiopia","type":"article-journal","volume":"10"},"uris":["http://www.mendeley.com/documents/?uuid=9198d425-3e62-4739-8af0-a6e6dca88c9d"]}],"mendeley":{"formattedCitation":"(Sewagegn, 2024)","manualFormatting":"Sewagegn, 2024)","plainTextFormattedCitation":"(Sewagegn, 2024)","previouslyFormattedCitation":"(Sewagegn, 2024)"},"properties":{"noteIndex":0},"schema":"https://github.com/citation-style-language/schema/raw/master/csl-citation.json"}</w:instrText>
      </w:r>
      <w:r w:rsidR="004D6E8C" w:rsidRPr="00BD6391">
        <w:fldChar w:fldCharType="separate"/>
      </w:r>
      <w:r w:rsidR="004D6E8C" w:rsidRPr="00BD6391">
        <w:rPr>
          <w:noProof/>
        </w:rPr>
        <w:t>Sewagegn, 2024)</w:t>
      </w:r>
      <w:r w:rsidR="004D6E8C" w:rsidRPr="00BD6391">
        <w:fldChar w:fldCharType="end"/>
      </w:r>
      <w:r w:rsidRPr="00BD6391">
        <w:t xml:space="preserve">. The </w:t>
      </w:r>
      <w:proofErr w:type="spellStart"/>
      <w:r w:rsidRPr="00BD6391">
        <w:t>Denakil</w:t>
      </w:r>
      <w:proofErr w:type="spellEnd"/>
      <w:r w:rsidRPr="00BD6391">
        <w:t xml:space="preserve"> basin's exceptionally high rainfall variability (67.8%) likely reflects </w:t>
      </w:r>
      <w:proofErr w:type="gramStart"/>
      <w:r w:rsidRPr="00BD6391">
        <w:t>its</w:t>
      </w:r>
      <w:proofErr w:type="gramEnd"/>
      <w:r w:rsidRPr="00BD6391">
        <w:t xml:space="preserve"> arid to semi-arid environment, where even small deviations in rainfall can result in large percentage changes. Conversely, the lower variability in the </w:t>
      </w:r>
      <w:proofErr w:type="spellStart"/>
      <w:r w:rsidRPr="00BD6391">
        <w:t>Mereb</w:t>
      </w:r>
      <w:proofErr w:type="spellEnd"/>
      <w:r w:rsidRPr="00BD6391">
        <w:t>-Gash basin (8.5%) suggests a more stable rainfall regime, potentially influenced by its geographical location and prevailing atmospheric circulation patterns.</w:t>
      </w:r>
    </w:p>
    <w:p w14:paraId="5BD3042C" w14:textId="65161FBC" w:rsidR="00D473B8" w:rsidRPr="00022CA4" w:rsidRDefault="00D473B8" w:rsidP="0063465B">
      <w:pPr>
        <w:pStyle w:val="NormalWeb"/>
        <w:spacing w:line="360" w:lineRule="auto"/>
        <w:jc w:val="both"/>
      </w:pPr>
      <w:r w:rsidRPr="00022CA4">
        <w:t xml:space="preserve">In contrast to rainfall, the variability in annual and seasonal </w:t>
      </w:r>
      <w:proofErr w:type="spellStart"/>
      <w:proofErr w:type="gramStart"/>
      <w:r w:rsidRPr="00022CA4">
        <w:t>ET</w:t>
      </w:r>
      <w:r w:rsidRPr="00022CA4">
        <w:rPr>
          <w:vertAlign w:val="subscript"/>
        </w:rPr>
        <w:t>o</w:t>
      </w:r>
      <w:proofErr w:type="spellEnd"/>
      <w:proofErr w:type="gramEnd"/>
      <w:r w:rsidRPr="00022CA4">
        <w:t xml:space="preserve"> was markedly lower (ranging from 0.7 to 3.1%). This relative stability of </w:t>
      </w:r>
      <w:proofErr w:type="spellStart"/>
      <w:r w:rsidRPr="00022CA4">
        <w:t>ET</w:t>
      </w:r>
      <w:r w:rsidRPr="00022CA4">
        <w:rPr>
          <w:vertAlign w:val="subscript"/>
        </w:rPr>
        <w:t>o</w:t>
      </w:r>
      <w:proofErr w:type="spellEnd"/>
      <w:r w:rsidRPr="00022CA4">
        <w:t xml:space="preserve"> is expected, as it is primarily driven by more consistent factors such as solar radiation, temperature, humidity, and wind speed, which tend to exhibit less spatial and temporal fluctuation compared to rainfall, especially at larger scales </w:t>
      </w:r>
      <w:r w:rsidR="004D6E8C" w:rsidRPr="00022CA4">
        <w:fldChar w:fldCharType="begin" w:fldLock="1"/>
      </w:r>
      <w:r w:rsidR="0085191C" w:rsidRPr="00022CA4">
        <w:instrText>ADDIN CSL_CITATION {"citationItems":[{"id":"ITEM-1","itemData":{"ISBN":"9251042195","ISSN":"92-5-104219-5","PMID":"19991908969","abstract":"This publication presents an updated procedure for calculating reference and crop evapotranspiration from meteorological data and crop coefficients. The procedure, first presented in the FAO Irrigation and Drainage Paper No. 24 'Crop Water Requirements', ETo' approach, whereby the effect of the climate on crop water requirements is given by the reference evapotranspiration ETo and the effect of the crop by the crop coefficient Kc. Other procedures developed in FAO Irrigation and Drainage Paper No. 24 such as the estimation of is termed the 'Kc dependable and effective rainfall, the calculation of irrigation requirements and the design of irrigation schedules are not presented in this publication but will be the subject of later papers in the series.","author":[{"dropping-particle":"","family":"Allen","given":"Richard G.","non-dropping-particle":"","parse-names":false,"suffix":""},{"dropping-particle":"","family":"PEREIRA","given":"Luis S.","non-dropping-particle":"","parse-names":false,"suffix":""},{"dropping-particle":"","family":"RAES","given":"Dirk","non-dropping-particle":"","parse-names":false,"suffix":""},{"dropping-particle":"","family":"Martin","given":"SMITH","non-dropping-particle":"","parse-names":false,"suffix":""}],"container-title":"Irrigation and Drainage","id":"ITEM-1","issue":"56","issued":{"date-parts":[["1998"]]},"page":"300","title":"FAO Irrigation and Drainage Paper Crop by","type":"article-journal","volume":"300"},"uris":["http://www.mendeley.com/documents/?uuid=01fecc28-329d-42d6-8066-1a75359961d6"]}],"mendeley":{"formattedCitation":"(Allen et al., 1998)","plainTextFormattedCitation":"(Allen et al., 1998)","previouslyFormattedCitation":"(Allen et al., 1998)"},"properties":{"noteIndex":0},"schema":"https://github.com/citation-style-language/schema/raw/master/csl-citation.json"}</w:instrText>
      </w:r>
      <w:r w:rsidR="004D6E8C" w:rsidRPr="00022CA4">
        <w:fldChar w:fldCharType="separate"/>
      </w:r>
      <w:r w:rsidR="004D6E8C" w:rsidRPr="00022CA4">
        <w:rPr>
          <w:noProof/>
        </w:rPr>
        <w:t>(Allen et al., 1998)</w:t>
      </w:r>
      <w:r w:rsidR="004D6E8C" w:rsidRPr="00022CA4">
        <w:fldChar w:fldCharType="end"/>
      </w:r>
      <w:r w:rsidRPr="00022CA4">
        <w:t xml:space="preserve">. The minimal annual </w:t>
      </w:r>
      <w:proofErr w:type="spellStart"/>
      <w:proofErr w:type="gramStart"/>
      <w:r w:rsidRPr="00022CA4">
        <w:t>ET</w:t>
      </w:r>
      <w:r w:rsidRPr="00022CA4">
        <w:rPr>
          <w:vertAlign w:val="subscript"/>
        </w:rPr>
        <w:t>o</w:t>
      </w:r>
      <w:proofErr w:type="spellEnd"/>
      <w:proofErr w:type="gramEnd"/>
      <w:r w:rsidRPr="00022CA4">
        <w:t xml:space="preserve"> variability across most of Ethiopia suggests a relatively consistent atmospheric evaporative demand throughout the year.</w:t>
      </w:r>
    </w:p>
    <w:p w14:paraId="4953E6CC" w14:textId="7ADA8ABF" w:rsidR="00D473B8" w:rsidRPr="00022CA4" w:rsidRDefault="00D473B8" w:rsidP="0063465B">
      <w:pPr>
        <w:pStyle w:val="NormalWeb"/>
        <w:spacing w:line="360" w:lineRule="auto"/>
        <w:jc w:val="both"/>
      </w:pPr>
      <w:r w:rsidRPr="00022CA4">
        <w:t xml:space="preserve">The analysis of the Standardized Rainfall Anomaly (SRA) further highlights the inter-annual climate variability experienced in Ethiopia. The identification of nine years characterized by moderate to extreme dry conditions </w:t>
      </w:r>
      <w:r w:rsidRPr="00022CA4">
        <w:lastRenderedPageBreak/>
        <w:t xml:space="preserve">and nine years with moderate to extreme wet conditions over more than 50% of the country during the 42-year study period underscores the significant </w:t>
      </w:r>
      <w:proofErr w:type="spellStart"/>
      <w:r w:rsidRPr="00022CA4">
        <w:t>hydroclimatic</w:t>
      </w:r>
      <w:proofErr w:type="spellEnd"/>
      <w:r w:rsidRPr="00022CA4">
        <w:t xml:space="preserve"> risks faced by the nation. These findings are consistent with reports of recurring droughts and floods in Ethiopia, which have substantial impacts on agriculture, water resources, and livelihoods</w:t>
      </w:r>
      <w:r w:rsidR="0085191C" w:rsidRPr="00022CA4">
        <w:t xml:space="preserve"> </w:t>
      </w:r>
      <w:r w:rsidR="0085191C" w:rsidRPr="00022CA4">
        <w:fldChar w:fldCharType="begin" w:fldLock="1"/>
      </w:r>
      <w:r w:rsidR="0085191C" w:rsidRPr="00022CA4">
        <w:instrText>ADDIN CSL_CITATION {"citationItems":[{"id":"ITEM-1","itemData":{"DOI":"https://dx.doi.org/10.3133/ds832","ISSN":"2327638X","abstract":"Estimating precipitation variations in space and time is an important aspect of drought early warning and environmental monitoring. An evolving drier-than-normal season must be placed in historical context so that the severity of rainfall deficits may quickly be evaluated. To this end, scientists at the U.S. Geological Survey Earth Resources Observation and Science Center, working closely with collaborators at the University of California, Santa Barbara Climate Hazards Group, have developed a quasi-global (50°S–50°N, 180°E–180°W), 0.05° resolution, 1981 to near-present gridded precipitation time series: the Climate Hazards Group InfraRed Precipitation with Stations (CHIRPS) data archive","author":[{"dropping-particle":"","family":"Funk","given":"C. C.","non-dropping-particle":"","parse-names":false,"suffix":""},{"dropping-particle":"","family":"Peterson","given":"P. J.","non-dropping-particle":"","parse-names":false,"suffix":""},{"dropping-particle":"","family":"Landsfeld","given":"M. F.","non-dropping-particle":"","parse-names":false,"suffix":""},{"dropping-particle":"","family":"Pedreros","given":"D. H.","non-dropping-particle":"","parse-names":false,"suffix":""},{"dropping-particle":"","family":"Verdin","given":"J. P.","non-dropping-particle":"","parse-names":false,"suffix":""},{"dropping-particle":"","family":"Rowland","given":"J. D.","non-dropping-particle":"","parse-names":false,"suffix":""},{"dropping-particle":"","family":"Romero","given":"B. E.","non-dropping-particle":"","parse-names":false,"suffix":""},{"dropping-particle":"","family":"Husak","given":"G. J.","non-dropping-particle":"","parse-names":false,"suffix":""},{"dropping-particle":"","family":"Michaelsen","given":"J. C.","non-dropping-particle":"","parse-names":false,"suffix":""},{"dropping-particle":"","family":"Verdin","given":"A. P.","non-dropping-particle":"","parse-names":false,"suffix":""}],"container-title":"U.S. Geological Survey Data Series","id":"ITEM-1","issued":{"date-parts":[["2014"]]},"page":"4","title":"A Quasi-Global Precipitation Time Series for Drought Monitoring","type":"article-journal","volume":"832"},"uris":["http://www.mendeley.com/documents/?uuid=9c82f556-d610-4419-932b-a29b3b2c3c8c"]}],"mendeley":{"formattedCitation":"(C. C. Funk et al., 2014)","manualFormatting":"(Funk et al., 2014","plainTextFormattedCitation":"(C. C. Funk et al., 2014)","previouslyFormattedCitation":"(C. C. Funk et al., 2014)"},"properties":{"noteIndex":0},"schema":"https://github.com/citation-style-language/schema/raw/master/csl-citation.json"}</w:instrText>
      </w:r>
      <w:r w:rsidR="0085191C" w:rsidRPr="00022CA4">
        <w:fldChar w:fldCharType="separate"/>
      </w:r>
      <w:r w:rsidR="0085191C" w:rsidRPr="00022CA4">
        <w:rPr>
          <w:noProof/>
        </w:rPr>
        <w:t>(Funk et al., 2014</w:t>
      </w:r>
      <w:r w:rsidR="0085191C" w:rsidRPr="00022CA4">
        <w:fldChar w:fldCharType="end"/>
      </w:r>
      <w:r w:rsidR="0085191C" w:rsidRPr="00022CA4">
        <w:t xml:space="preserve">; </w:t>
      </w:r>
      <w:r w:rsidR="0085191C" w:rsidRPr="00022CA4">
        <w:fldChar w:fldCharType="begin" w:fldLock="1"/>
      </w:r>
      <w:r w:rsidR="0085191C" w:rsidRPr="00022CA4">
        <w:instrText>ADDIN CSL_CITATION {"citationItems":[{"id":"ITEM-1","itemData":{"DOI":"10.1038/sdata.2015.66","ISSN":"20524463","abstract":"The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author":[{"dropping-particle":"","family":"Funk","given":"Chris","non-dropping-particle":"","parse-names":false,"suffix":""},{"dropping-particle":"","family":"Peterson","given":"Pete","non-dropping-particle":"","parse-names":false,"suffix":""},{"dropping-particle":"","family":"Landsfeld","given":"Martin","non-dropping-particle":"","parse-names":false,"suffix":""},{"dropping-particle":"","family":"Pedreros","given":"Diego","non-dropping-particle":"","parse-names":false,"suffix":""},{"dropping-particle":"","family":"Verdin","given":"James","non-dropping-particle":"","parse-names":false,"suffix":""},{"dropping-particle":"","family":"Shukla","given":"Shraddhanand","non-dropping-particle":"","parse-names":false,"suffix":""},{"dropping-particle":"","family":"Husak","given":"Gregory","non-dropping-particle":"","parse-names":false,"suffix":""},{"dropping-particle":"","family":"Rowland","given":"James","non-dropping-particle":"","parse-names":false,"suffix":""},{"dropping-particle":"","family":"Harrison","given":"Laura","non-dropping-particle":"","parse-names":false,"suffix":""},{"dropping-particle":"","family":"Hoell","given":"Andrew","non-dropping-particle":"","parse-names":false,"suffix":""},{"dropping-particle":"","family":"Michaelsen","given":"Joel","non-dropping-particle":"","parse-names":false,"suffix":""}],"container-title":"Scientific Data","id":"ITEM-1","issued":{"date-parts":[["2015"]]},"page":"1-21","title":"The climate hazards infrared precipitation with stations - A new environmental record for monitoring extremes","type":"article-journal","volume":"2"},"uris":["http://www.mendeley.com/documents/?uuid=8ba20555-6fa0-4b74-9072-1e23e755b457"]}],"mendeley":{"formattedCitation":"(C. Funk et al., 2015)","manualFormatting":"Funk et al., 2015","plainTextFormattedCitation":"(C. Funk et al., 2015)","previouslyFormattedCitation":"(C. Funk et al., 2015)"},"properties":{"noteIndex":0},"schema":"https://github.com/citation-style-language/schema/raw/master/csl-citation.json"}</w:instrText>
      </w:r>
      <w:r w:rsidR="0085191C" w:rsidRPr="00022CA4">
        <w:fldChar w:fldCharType="separate"/>
      </w:r>
      <w:r w:rsidR="0085191C" w:rsidRPr="00022CA4">
        <w:rPr>
          <w:noProof/>
        </w:rPr>
        <w:t>Funk et al., 2015</w:t>
      </w:r>
      <w:r w:rsidR="0085191C" w:rsidRPr="00022CA4">
        <w:fldChar w:fldCharType="end"/>
      </w:r>
      <w:r w:rsidR="0085191C" w:rsidRPr="00022CA4">
        <w:t xml:space="preserve">; </w:t>
      </w:r>
      <w:r w:rsidR="0085191C" w:rsidRPr="00022CA4">
        <w:fldChar w:fldCharType="begin" w:fldLock="1"/>
      </w:r>
      <w:r w:rsidR="00905037" w:rsidRPr="00022CA4">
        <w:instrText>ADDIN CSL_CITATION {"citationItems":[{"id":"ITEM-1","itemData":{"DOI":"10.1007/s00704-023-04463-8","ISBN":"0123456789","ISSN":"14344483","abstract":"This study aims to investigate spatiotemporal variability, trends, and anomaly in rainfall and temperature in the Sidama region, Ethiopia. The TerraClimate gridded dataset on a monthly time scale for 30 years (1991–2020) with a horizontal resolution of approximately 4 km was used for the study. Trends in annual and seasonal rainfall and temperature were assessed using a nonparametric test (Mann-Kendal test) and Sen’s slope to test the statistical significance and magnitude of trends (increase/decrease), respectively. Our findings revealed that annual rainfall, summer (Hawado), and spring (Badhessa) rainfall have shown an increasing trend in most parts of the region, except for its northwest parts. We found a low annual rainfall variability (CV &lt; 13%) over the southeastern and northwestern parts of the region. Rainfall variability revealed the difference in both time and space across the region. Six drought years (1999, 2001, 2002, 2003, 2012, and 2019) with different magnitudes were identified across the region. Annual average maximum (up to 0.4 °C decade−1) and minimum (up to 0.25 °C decade−1) temperatures revealed significantly increasing trends across the region. The standardized anomaly in the mean annual temperature indicated that the years in the recent decade (2011–2020) are getting warmer compared to the past two decades (1991–2010) due to natural and anthropogenic activities causing weather extremes in the region. The results of this study for rainfall contradict the other studies in the rift valley part of the region. Therefore, we suggest appropriate climate change adaptation strategies so that there is high rainfall and temperature variability across the region and between seasons.","author":[{"dropping-particle":"","family":"Ware","given":"Markos Budusa","non-dropping-particle":"","parse-names":false,"suffix":""},{"dropping-particle":"","family":"Matewos","given":"Tafesse","non-dropping-particle":"","parse-names":false,"suffix":""},{"dropping-particle":"","family":"Guye","given":"Mekuria","non-dropping-particle":"","parse-names":false,"suffix":""},{"dropping-particle":"","family":"Legesse","given":"Abiyot","non-dropping-particle":"","parse-names":false,"suffix":""},{"dropping-particle":"","family":"Mohammed","given":"Yimer","non-dropping-particle":"","parse-names":false,"suffix":""}],"container-title":"Theoretical and Applied Climatology","id":"ITEM-1","issue":"1-2","issued":{"date-parts":[["2023"]]},"page":"213-226","publisher":"Springer Vienna","title":"Spatiotemporal variability and trend of rainfall and temperature in Sidama Regional State, Ethiopia","type":"article-journal","volume":"153"},"uris":["http://www.mendeley.com/documents/?uuid=9290fad4-2540-4580-bc35-0ffdce3cf255"]}],"mendeley":{"formattedCitation":"(Ware et al., 2023)","manualFormatting":"Ware et al., 2023)","plainTextFormattedCitation":"(Ware et al., 2023)","previouslyFormattedCitation":"(Ware et al., 2023)"},"properties":{"noteIndex":0},"schema":"https://github.com/citation-style-language/schema/raw/master/csl-citation.json"}</w:instrText>
      </w:r>
      <w:r w:rsidR="0085191C" w:rsidRPr="00022CA4">
        <w:fldChar w:fldCharType="separate"/>
      </w:r>
      <w:r w:rsidR="0085191C" w:rsidRPr="00022CA4">
        <w:rPr>
          <w:noProof/>
        </w:rPr>
        <w:t>Ware et al., 2023)</w:t>
      </w:r>
      <w:r w:rsidR="0085191C" w:rsidRPr="00022CA4">
        <w:fldChar w:fldCharType="end"/>
      </w:r>
      <w:r w:rsidRPr="00022CA4">
        <w:t>. The prevalence of normal conditions in the remaining 24 years indicates a baseline climate punctuated by these extreme events, emphasizing the importance of understanding and predicting these anomalies for effective adaptation and mitigation strategies.</w:t>
      </w:r>
    </w:p>
    <w:p w14:paraId="7AC55148" w14:textId="06AAA3A6" w:rsidR="000D6473" w:rsidRPr="00022CA4" w:rsidRDefault="00D473B8" w:rsidP="0085191C">
      <w:pPr>
        <w:pStyle w:val="NormalWeb"/>
        <w:spacing w:line="360" w:lineRule="auto"/>
        <w:jc w:val="both"/>
      </w:pPr>
      <w:r w:rsidRPr="00022CA4">
        <w:t xml:space="preserve">The observed spatiotemporal patterns of rainfall and </w:t>
      </w:r>
      <w:proofErr w:type="spellStart"/>
      <w:proofErr w:type="gramStart"/>
      <w:r w:rsidRPr="00022CA4">
        <w:t>ET</w:t>
      </w:r>
      <w:r w:rsidRPr="00022CA4">
        <w:rPr>
          <w:vertAlign w:val="subscript"/>
        </w:rPr>
        <w:t>o</w:t>
      </w:r>
      <w:proofErr w:type="spellEnd"/>
      <w:proofErr w:type="gramEnd"/>
      <w:r w:rsidRPr="00022CA4">
        <w:t xml:space="preserve"> variability have critical implications for water resource management, agricultural planning, and climate change adaptation in Ethiopia. The high rainfall variability in many regions necessitates the development of robust water storage and management strategies to buffer against dry spells and ensure water availability during critical periods. Similarly, understanding the inter-annual variability and the occurrence of extreme dry and wet years is crucial for developing climate-resilient agricultural practices and early warning systems. Further research could explore the underlying drivers of these </w:t>
      </w:r>
      <w:proofErr w:type="spellStart"/>
      <w:r w:rsidRPr="00022CA4">
        <w:t>variabilities</w:t>
      </w:r>
      <w:proofErr w:type="spellEnd"/>
      <w:r w:rsidRPr="00022CA4">
        <w:t xml:space="preserve">, including </w:t>
      </w:r>
      <w:proofErr w:type="spellStart"/>
      <w:r w:rsidRPr="00022CA4">
        <w:t>teleconnections</w:t>
      </w:r>
      <w:proofErr w:type="spellEnd"/>
      <w:r w:rsidRPr="00022CA4">
        <w:t xml:space="preserve"> with large-scale climate patterns and the potential impacts of climate change on these trends.</w:t>
      </w:r>
      <w:r w:rsidR="0085191C" w:rsidRPr="00022CA4">
        <w:t xml:space="preserve"> </w:t>
      </w:r>
    </w:p>
    <w:p w14:paraId="0ED9EBD5" w14:textId="06C40565" w:rsidR="00517E46" w:rsidRPr="00022CA4" w:rsidRDefault="00E93810" w:rsidP="00E93810">
      <w:pPr>
        <w:spacing w:after="240" w:line="360" w:lineRule="auto"/>
        <w:jc w:val="both"/>
        <w:rPr>
          <w:rFonts w:ascii="Times New Roman" w:hAnsi="Times New Roman" w:cs="Times New Roman"/>
          <w:sz w:val="24"/>
          <w:szCs w:val="24"/>
        </w:rPr>
      </w:pPr>
      <w:r w:rsidRPr="00022CA4">
        <w:rPr>
          <w:rFonts w:ascii="Times New Roman" w:eastAsia="Times New Roman" w:hAnsi="Times New Roman" w:cs="Times New Roman"/>
          <w:sz w:val="24"/>
          <w:szCs w:val="24"/>
        </w:rPr>
        <w:t>The three</w:t>
      </w:r>
      <w:r w:rsidR="00905037" w:rsidRPr="00022CA4">
        <w:rPr>
          <w:rFonts w:ascii="Times New Roman" w:eastAsia="Times New Roman" w:hAnsi="Times New Roman" w:cs="Times New Roman"/>
          <w:sz w:val="24"/>
          <w:szCs w:val="24"/>
        </w:rPr>
        <w:t xml:space="preserve"> month</w:t>
      </w:r>
      <w:r w:rsidRPr="00022CA4">
        <w:rPr>
          <w:rFonts w:ascii="Times New Roman" w:eastAsia="Times New Roman" w:hAnsi="Times New Roman" w:cs="Times New Roman"/>
          <w:sz w:val="24"/>
          <w:szCs w:val="24"/>
        </w:rPr>
        <w:t>s</w:t>
      </w:r>
      <w:r w:rsidR="00905037" w:rsidRPr="00022CA4">
        <w:rPr>
          <w:rFonts w:ascii="Times New Roman" w:eastAsia="Times New Roman" w:hAnsi="Times New Roman" w:cs="Times New Roman"/>
          <w:sz w:val="24"/>
          <w:szCs w:val="24"/>
        </w:rPr>
        <w:t xml:space="preserve">, June to August, </w:t>
      </w:r>
      <w:r w:rsidR="00675338" w:rsidRPr="00022CA4">
        <w:rPr>
          <w:rFonts w:ascii="Times New Roman" w:eastAsia="Times New Roman" w:hAnsi="Times New Roman" w:cs="Times New Roman"/>
          <w:sz w:val="24"/>
          <w:szCs w:val="24"/>
        </w:rPr>
        <w:t>mean sea surface temperature</w:t>
      </w:r>
      <w:r w:rsidR="00905037" w:rsidRPr="00022CA4">
        <w:rPr>
          <w:rFonts w:ascii="Times New Roman" w:eastAsia="Times New Roman" w:hAnsi="Times New Roman" w:cs="Times New Roman"/>
          <w:sz w:val="24"/>
          <w:szCs w:val="24"/>
        </w:rPr>
        <w:t xml:space="preserve"> anomalies in </w:t>
      </w:r>
      <w:r w:rsidR="00675338" w:rsidRPr="00022CA4">
        <w:rPr>
          <w:rFonts w:ascii="Times New Roman" w:eastAsia="Times New Roman" w:hAnsi="Times New Roman" w:cs="Times New Roman"/>
          <w:sz w:val="24"/>
          <w:szCs w:val="24"/>
        </w:rPr>
        <w:t xml:space="preserve">the Pacific Ocean </w:t>
      </w:r>
      <w:r w:rsidR="00905037" w:rsidRPr="00022CA4">
        <w:rPr>
          <w:rFonts w:ascii="Times New Roman" w:eastAsia="Times New Roman" w:hAnsi="Times New Roman" w:cs="Times New Roman"/>
          <w:sz w:val="24"/>
          <w:szCs w:val="24"/>
        </w:rPr>
        <w:t>Niño 3.4 region (5</w:t>
      </w:r>
      <w:r w:rsidR="00905037" w:rsidRPr="00022CA4">
        <w:rPr>
          <w:rFonts w:ascii="Times New Roman" w:eastAsia="Times New Roman" w:hAnsi="Times New Roman" w:cs="Times New Roman"/>
          <w:sz w:val="24"/>
          <w:szCs w:val="24"/>
          <w:vertAlign w:val="superscript"/>
        </w:rPr>
        <w:t>o</w:t>
      </w:r>
      <w:r w:rsidR="00905037" w:rsidRPr="00022CA4">
        <w:rPr>
          <w:rFonts w:ascii="Times New Roman" w:eastAsia="Times New Roman" w:hAnsi="Times New Roman" w:cs="Times New Roman"/>
          <w:sz w:val="24"/>
          <w:szCs w:val="24"/>
        </w:rPr>
        <w:t>N-5</w:t>
      </w:r>
      <w:r w:rsidR="00905037" w:rsidRPr="00022CA4">
        <w:rPr>
          <w:rFonts w:ascii="Times New Roman" w:eastAsia="Times New Roman" w:hAnsi="Times New Roman" w:cs="Times New Roman"/>
          <w:sz w:val="24"/>
          <w:szCs w:val="24"/>
          <w:vertAlign w:val="superscript"/>
        </w:rPr>
        <w:t>o</w:t>
      </w:r>
      <w:r w:rsidR="00905037" w:rsidRPr="00022CA4">
        <w:rPr>
          <w:rFonts w:ascii="Times New Roman" w:eastAsia="Times New Roman" w:hAnsi="Times New Roman" w:cs="Times New Roman"/>
          <w:sz w:val="24"/>
          <w:szCs w:val="24"/>
        </w:rPr>
        <w:t>S, 120</w:t>
      </w:r>
      <w:r w:rsidR="00905037" w:rsidRPr="00022CA4">
        <w:rPr>
          <w:rFonts w:ascii="Times New Roman" w:eastAsia="Times New Roman" w:hAnsi="Times New Roman" w:cs="Times New Roman"/>
          <w:sz w:val="24"/>
          <w:szCs w:val="24"/>
          <w:vertAlign w:val="superscript"/>
        </w:rPr>
        <w:t>o</w:t>
      </w:r>
      <w:r w:rsidR="00905037" w:rsidRPr="00022CA4">
        <w:rPr>
          <w:rFonts w:ascii="Times New Roman" w:eastAsia="Times New Roman" w:hAnsi="Times New Roman" w:cs="Times New Roman"/>
          <w:sz w:val="24"/>
          <w:szCs w:val="24"/>
        </w:rPr>
        <w:t>-170</w:t>
      </w:r>
      <w:r w:rsidR="00905037" w:rsidRPr="00022CA4">
        <w:rPr>
          <w:rFonts w:ascii="Times New Roman" w:eastAsia="Times New Roman" w:hAnsi="Times New Roman" w:cs="Times New Roman"/>
          <w:sz w:val="24"/>
          <w:szCs w:val="24"/>
          <w:vertAlign w:val="superscript"/>
        </w:rPr>
        <w:t>o</w:t>
      </w:r>
      <w:r w:rsidR="00905037" w:rsidRPr="00022CA4">
        <w:rPr>
          <w:rFonts w:ascii="Times New Roman" w:eastAsia="Times New Roman" w:hAnsi="Times New Roman" w:cs="Times New Roman"/>
          <w:sz w:val="24"/>
          <w:szCs w:val="24"/>
        </w:rPr>
        <w:t xml:space="preserve">W) showed that 1985, 1988, 1998, 1999, 2000, 2007, 2010, </w:t>
      </w:r>
      <w:r w:rsidRPr="00022CA4">
        <w:rPr>
          <w:rFonts w:ascii="Times New Roman" w:eastAsia="Times New Roman" w:hAnsi="Times New Roman" w:cs="Times New Roman"/>
          <w:sz w:val="24"/>
          <w:szCs w:val="24"/>
        </w:rPr>
        <w:t xml:space="preserve">and </w:t>
      </w:r>
      <w:r w:rsidR="00905037" w:rsidRPr="00022CA4">
        <w:rPr>
          <w:rFonts w:ascii="Times New Roman" w:eastAsia="Times New Roman" w:hAnsi="Times New Roman" w:cs="Times New Roman"/>
          <w:sz w:val="24"/>
          <w:szCs w:val="24"/>
        </w:rPr>
        <w:t xml:space="preserve">2011 were La Nina years while 1982, 1987, 1991, 1997, 2002, 2004, 2009, and 2015 were El </w:t>
      </w:r>
      <w:r w:rsidRPr="00022CA4">
        <w:rPr>
          <w:rFonts w:ascii="Times New Roman" w:eastAsia="Times New Roman" w:hAnsi="Times New Roman" w:cs="Times New Roman"/>
          <w:sz w:val="24"/>
          <w:szCs w:val="24"/>
        </w:rPr>
        <w:t xml:space="preserve">Niño </w:t>
      </w:r>
      <w:r w:rsidR="00905037" w:rsidRPr="00022CA4">
        <w:rPr>
          <w:rFonts w:ascii="Times New Roman" w:eastAsia="Times New Roman" w:hAnsi="Times New Roman" w:cs="Times New Roman"/>
          <w:sz w:val="24"/>
          <w:szCs w:val="24"/>
        </w:rPr>
        <w:t xml:space="preserve">years </w:t>
      </w:r>
      <w:r w:rsidR="00905037" w:rsidRPr="00022CA4">
        <w:rPr>
          <w:rFonts w:ascii="Times New Roman" w:eastAsia="Times New Roman" w:hAnsi="Times New Roman" w:cs="Times New Roman"/>
          <w:sz w:val="24"/>
          <w:szCs w:val="24"/>
        </w:rPr>
        <w:fldChar w:fldCharType="begin" w:fldLock="1"/>
      </w:r>
      <w:r w:rsidR="000A60FF" w:rsidRPr="00022CA4">
        <w:rPr>
          <w:rFonts w:ascii="Times New Roman" w:eastAsia="Times New Roman" w:hAnsi="Times New Roman" w:cs="Times New Roman"/>
          <w:sz w:val="24"/>
          <w:szCs w:val="24"/>
        </w:rPr>
        <w:instrText>ADDIN CSL_CITATION {"citationItems":[{"id":"ITEM-1","itemData":{"URL":"https://origin.cpc.ncep.noaa.gov/products/analysis_monitoring/ensostuff/ONI_v5.php","author":[{"dropping-particle":"","family":"NOAA","given":"","non-dropping-particle":"","parse-names":false,"suffix":""}],"container-title":"Climate Prediction Center Internet Team","id":"ITEM-1","issued":{"date-parts":[["2025"]]},"title":"Cold &amp; Warm Episodes by Season","type":"webpage"},"uris":["http://www.mendeley.com/documents/?uuid=333d261d-4193-45d4-aac4-c3f935f30d9a"]}],"mendeley":{"formattedCitation":"(NOAA, 2025)","plainTextFormattedCitation":"(NOAA, 2025)","previouslyFormattedCitation":"(NOAA, 2025)"},"properties":{"noteIndex":0},"schema":"https://github.com/citation-style-language/schema/raw/master/csl-citation.json"}</w:instrText>
      </w:r>
      <w:r w:rsidR="00905037" w:rsidRPr="00022CA4">
        <w:rPr>
          <w:rFonts w:ascii="Times New Roman" w:eastAsia="Times New Roman" w:hAnsi="Times New Roman" w:cs="Times New Roman"/>
          <w:sz w:val="24"/>
          <w:szCs w:val="24"/>
        </w:rPr>
        <w:fldChar w:fldCharType="separate"/>
      </w:r>
      <w:r w:rsidR="00905037" w:rsidRPr="00022CA4">
        <w:rPr>
          <w:rFonts w:ascii="Times New Roman" w:eastAsia="Times New Roman" w:hAnsi="Times New Roman" w:cs="Times New Roman"/>
          <w:noProof/>
          <w:sz w:val="24"/>
          <w:szCs w:val="24"/>
        </w:rPr>
        <w:t>(NOAA, 2025)</w:t>
      </w:r>
      <w:r w:rsidR="00905037" w:rsidRPr="00022CA4">
        <w:rPr>
          <w:rFonts w:ascii="Times New Roman" w:eastAsia="Times New Roman" w:hAnsi="Times New Roman" w:cs="Times New Roman"/>
          <w:sz w:val="24"/>
          <w:szCs w:val="24"/>
        </w:rPr>
        <w:fldChar w:fldCharType="end"/>
      </w:r>
      <w:r w:rsidR="00905037" w:rsidRPr="00022CA4">
        <w:rPr>
          <w:rFonts w:ascii="Times New Roman" w:eastAsia="Times New Roman" w:hAnsi="Times New Roman" w:cs="Times New Roman"/>
          <w:sz w:val="24"/>
          <w:szCs w:val="24"/>
        </w:rPr>
        <w:t>. In Kiremt (June–September)</w:t>
      </w:r>
      <w:proofErr w:type="gramStart"/>
      <w:r w:rsidR="00905037" w:rsidRPr="00022CA4">
        <w:rPr>
          <w:rFonts w:ascii="Times New Roman" w:eastAsia="Times New Roman" w:hAnsi="Times New Roman" w:cs="Times New Roman"/>
          <w:sz w:val="24"/>
          <w:szCs w:val="24"/>
        </w:rPr>
        <w:t>,  La</w:t>
      </w:r>
      <w:proofErr w:type="gramEnd"/>
      <w:r w:rsidR="00905037" w:rsidRPr="00022CA4">
        <w:rPr>
          <w:rFonts w:ascii="Times New Roman" w:eastAsia="Times New Roman" w:hAnsi="Times New Roman" w:cs="Times New Roman"/>
          <w:sz w:val="24"/>
          <w:szCs w:val="24"/>
        </w:rPr>
        <w:t xml:space="preserve"> Niña years often bring above-average rainfall to western and central Ethiopia, sometimes causing floods. In Belg (February–May), these same years may lead to below-average rainfall in eastern and southern Ethiopia, which can cause drought. </w:t>
      </w:r>
      <w:r w:rsidR="00905037" w:rsidRPr="00022CA4">
        <w:rPr>
          <w:rFonts w:ascii="Times New Roman" w:hAnsi="Times New Roman" w:cs="Times New Roman"/>
          <w:sz w:val="24"/>
          <w:szCs w:val="24"/>
        </w:rPr>
        <w:t>For example</w:t>
      </w:r>
      <w:r w:rsidRPr="00022CA4">
        <w:rPr>
          <w:rFonts w:ascii="Times New Roman" w:hAnsi="Times New Roman" w:cs="Times New Roman"/>
          <w:sz w:val="24"/>
          <w:szCs w:val="24"/>
        </w:rPr>
        <w:t>,</w:t>
      </w:r>
      <w:r w:rsidR="00905037" w:rsidRPr="00022CA4">
        <w:rPr>
          <w:rFonts w:ascii="Times New Roman" w:hAnsi="Times New Roman" w:cs="Times New Roman"/>
          <w:sz w:val="24"/>
          <w:szCs w:val="24"/>
        </w:rPr>
        <w:t xml:space="preserve"> the review result by </w:t>
      </w:r>
      <w:r w:rsidR="00905037" w:rsidRPr="00022CA4">
        <w:rPr>
          <w:rFonts w:ascii="Times New Roman" w:hAnsi="Times New Roman" w:cs="Times New Roman"/>
          <w:sz w:val="24"/>
          <w:szCs w:val="24"/>
        </w:rPr>
        <w:fldChar w:fldCharType="begin" w:fldLock="1"/>
      </w:r>
      <w:r w:rsidR="00905037" w:rsidRPr="00022CA4">
        <w:rPr>
          <w:rFonts w:ascii="Times New Roman" w:hAnsi="Times New Roman" w:cs="Times New Roman"/>
          <w:sz w:val="24"/>
          <w:szCs w:val="24"/>
        </w:rPr>
        <w:instrText>ADDIN CSL_CITATION {"citationItems":[{"id":"ITEM-1","itemData":{"DOI":"10.1016/B978-0-12-815998-9.00029-4","ISBN":"9780128159989","abstract":"Flood is one of the major natural hazards worldwide including Ethiopia and it causes casualties, infrastructure, and environmental damage. Ethiopia is exposed to frequent flood events that occur at irregular intervals and vary in magnitude, duration, and affected area. Flooding is likely to aggravate as a result of different driving factors such as land use change and climate change. Nowadays, the occurrence and causes of flood risks are increasing from time to time as a result of new developments and human settlements on flood-prone areas. Peak water flows and associated floods are extreme hydrological incidents triggered by torrential rainfall modified by various catchment processes and anthropogenic activities. In this chapter, historical flood events in Ethiopia are reviewed with influencing factors and impacts and challenges.","author":[{"dropping-particle":"","family":"Mamo","given":"Surafel","non-dropping-particle":"","parse-names":false,"suffix":""},{"dropping-particle":"","family":"Berhanu","given":"Belete","non-dropping-particle":"","parse-names":false,"suffix":""},{"dropping-particle":"","family":"Melesse","given":"Assefa M.","non-dropping-particle":"","parse-names":false,"suffix":""}],"container-title":"Extreme Hydrology and Climate Variability: Monitoring, Modelling, Adaptation and Mitigation","id":"ITEM-1","issue":"July","issued":{"date-parts":[["2019"]]},"page":"379-384","title":"Historical flood events and hydrological extremes in Ethiopia","type":"article-journal"},"uris":["http://www.mendeley.com/documents/?uuid=e32db859-ac92-4089-80ea-dd79af1b061c"]}],"mendeley":{"formattedCitation":"(Mamo et al., 2019)","manualFormatting":"Mamo et al. (2019)","plainTextFormattedCitation":"(Mamo et al., 2019)","previouslyFormattedCitation":"(Mamo et al., 2019)"},"properties":{"noteIndex":0},"schema":"https://github.com/citation-style-language/schema/raw/master/csl-citation.json"}</w:instrText>
      </w:r>
      <w:r w:rsidR="00905037" w:rsidRPr="00022CA4">
        <w:rPr>
          <w:rFonts w:ascii="Times New Roman" w:hAnsi="Times New Roman" w:cs="Times New Roman"/>
          <w:sz w:val="24"/>
          <w:szCs w:val="24"/>
        </w:rPr>
        <w:fldChar w:fldCharType="separate"/>
      </w:r>
      <w:r w:rsidR="00905037" w:rsidRPr="00022CA4">
        <w:rPr>
          <w:rFonts w:ascii="Times New Roman" w:hAnsi="Times New Roman" w:cs="Times New Roman"/>
          <w:noProof/>
          <w:sz w:val="24"/>
          <w:szCs w:val="24"/>
        </w:rPr>
        <w:t>Mamo et al. (2019)</w:t>
      </w:r>
      <w:r w:rsidR="00905037" w:rsidRPr="00022CA4">
        <w:rPr>
          <w:rFonts w:ascii="Times New Roman" w:hAnsi="Times New Roman" w:cs="Times New Roman"/>
          <w:sz w:val="24"/>
          <w:szCs w:val="24"/>
        </w:rPr>
        <w:fldChar w:fldCharType="end"/>
      </w:r>
      <w:r w:rsidR="00905037" w:rsidRPr="00022CA4">
        <w:rPr>
          <w:rFonts w:ascii="Times New Roman" w:hAnsi="Times New Roman" w:cs="Times New Roman"/>
          <w:sz w:val="24"/>
          <w:szCs w:val="24"/>
        </w:rPr>
        <w:t xml:space="preserve"> demonstrated that many flooding events or wet climate extremes occurred during La Niña such as in 1988, 1996, 1998, 2006, 2010, 2012, and 2016. </w:t>
      </w:r>
    </w:p>
    <w:p w14:paraId="593E7752" w14:textId="27F2B1BA" w:rsidR="00542251" w:rsidRPr="00022CA4" w:rsidRDefault="00542251" w:rsidP="0063465B">
      <w:pPr>
        <w:pStyle w:val="Heading3"/>
        <w:spacing w:after="240" w:line="360" w:lineRule="auto"/>
        <w:jc w:val="both"/>
        <w:rPr>
          <w:rFonts w:ascii="Times New Roman" w:hAnsi="Times New Roman" w:cs="Times New Roman"/>
          <w:b/>
          <w:bCs/>
          <w:color w:val="auto"/>
        </w:rPr>
      </w:pPr>
      <w:r w:rsidRPr="00022CA4">
        <w:rPr>
          <w:rFonts w:ascii="Times New Roman" w:hAnsi="Times New Roman" w:cs="Times New Roman"/>
          <w:b/>
          <w:bCs/>
          <w:color w:val="auto"/>
        </w:rPr>
        <w:t>4.3.2 Spatiotemporal Variability in Climatic Water Balance of Ethiopia</w:t>
      </w:r>
    </w:p>
    <w:p w14:paraId="71D87963" w14:textId="7BFA7E0E" w:rsidR="004854DE" w:rsidRPr="00022CA4" w:rsidRDefault="005629D7" w:rsidP="0063465B">
      <w:pPr>
        <w:pStyle w:val="NormalWeb"/>
        <w:spacing w:line="360" w:lineRule="auto"/>
        <w:jc w:val="both"/>
      </w:pPr>
      <w:r w:rsidRPr="00022CA4">
        <w:t>T</w:t>
      </w:r>
      <w:r w:rsidR="004854DE" w:rsidRPr="00022CA4">
        <w:t>he variability in the Climatic Water Balance (CWB) across Ethiopia, both annually and seasonally, is generally higher compared to that of rainfall and evapotranspiration (</w:t>
      </w:r>
      <w:proofErr w:type="spellStart"/>
      <w:proofErr w:type="gramStart"/>
      <w:r w:rsidR="004854DE" w:rsidRPr="00022CA4">
        <w:t>ET</w:t>
      </w:r>
      <w:r w:rsidR="004854DE" w:rsidRPr="00022CA4">
        <w:rPr>
          <w:vertAlign w:val="subscript"/>
        </w:rPr>
        <w:t>o</w:t>
      </w:r>
      <w:proofErr w:type="spellEnd"/>
      <w:proofErr w:type="gramEnd"/>
      <w:r w:rsidR="004854DE" w:rsidRPr="00022CA4">
        <w:t>). This heightened variability is particularly evident in the Belg season, which exhibits the highest mean Coefficient of V</w:t>
      </w:r>
      <w:r w:rsidR="001F316E" w:rsidRPr="00022CA4">
        <w:t>ariation (CV) at 127.9% (Fig. 14</w:t>
      </w:r>
      <w:r w:rsidR="004854DE" w:rsidRPr="00022CA4">
        <w:t xml:space="preserve">), followed by the Bega season (97.2%), while the Kiremt season shows the lowest mean CV (77.9%). This suggests that the water balance is most unpredictable during the Belg season, likely due to the transitional nature of this period between the dry Bega and the wet Kiremt, making it more susceptible to </w:t>
      </w:r>
      <w:r w:rsidR="004854DE" w:rsidRPr="00022CA4">
        <w:lastRenderedPageBreak/>
        <w:t xml:space="preserve">fluctuations in rainfall and </w:t>
      </w:r>
      <w:proofErr w:type="spellStart"/>
      <w:proofErr w:type="gramStart"/>
      <w:r w:rsidR="004854DE" w:rsidRPr="00022CA4">
        <w:t>ET</w:t>
      </w:r>
      <w:r w:rsidR="004854DE" w:rsidRPr="00022CA4">
        <w:rPr>
          <w:vertAlign w:val="subscript"/>
        </w:rPr>
        <w:t>o</w:t>
      </w:r>
      <w:proofErr w:type="spellEnd"/>
      <w:proofErr w:type="gramEnd"/>
      <w:r w:rsidR="004854DE" w:rsidRPr="00022CA4">
        <w:t>. The relatively lower variability during the Kiremt season might be attributed to the more consistent and substantial rainfall during this period across much of the country.</w:t>
      </w:r>
    </w:p>
    <w:p w14:paraId="0FFE10DB" w14:textId="28A133C5" w:rsidR="004854DE" w:rsidRPr="00022CA4" w:rsidRDefault="004854DE" w:rsidP="0063465B">
      <w:pPr>
        <w:pStyle w:val="NormalWeb"/>
        <w:spacing w:line="360" w:lineRule="auto"/>
        <w:jc w:val="both"/>
      </w:pPr>
      <w:r w:rsidRPr="00022CA4">
        <w:t>At the basin level (</w:t>
      </w:r>
      <w:r w:rsidR="00F85C4B">
        <w:t>Table 7</w:t>
      </w:r>
      <w:r w:rsidRPr="00022CA4">
        <w:t xml:space="preserve">), the highest annual CWB variability </w:t>
      </w:r>
      <w:r w:rsidR="001253FA" w:rsidRPr="00022CA4">
        <w:t xml:space="preserve">was found </w:t>
      </w:r>
      <w:r w:rsidR="00E93810" w:rsidRPr="00022CA4">
        <w:t xml:space="preserve">in the </w:t>
      </w:r>
      <w:proofErr w:type="spellStart"/>
      <w:r w:rsidR="00E93810" w:rsidRPr="00022CA4">
        <w:t>Wabe</w:t>
      </w:r>
      <w:r w:rsidRPr="00022CA4">
        <w:t>-Shebele</w:t>
      </w:r>
      <w:proofErr w:type="spellEnd"/>
      <w:r w:rsidRPr="00022CA4">
        <w:t xml:space="preserve"> basin (276.7%) and the lowest in the </w:t>
      </w:r>
      <w:proofErr w:type="spellStart"/>
      <w:r w:rsidRPr="00022CA4">
        <w:t>Aysha</w:t>
      </w:r>
      <w:proofErr w:type="spellEnd"/>
      <w:r w:rsidRPr="00022CA4">
        <w:t xml:space="preserve"> basin (8.9%). This significant difference in variability across basins likely reflects the distinct </w:t>
      </w:r>
      <w:proofErr w:type="spellStart"/>
      <w:r w:rsidRPr="00022CA4">
        <w:t>hydroclimatic</w:t>
      </w:r>
      <w:proofErr w:type="spellEnd"/>
      <w:r w:rsidRPr="00022CA4">
        <w:t xml:space="preserve"> regimes and the interplay of rainfall and </w:t>
      </w:r>
      <w:proofErr w:type="spellStart"/>
      <w:proofErr w:type="gramStart"/>
      <w:r w:rsidRPr="00022CA4">
        <w:t>ET</w:t>
      </w:r>
      <w:r w:rsidRPr="00022CA4">
        <w:rPr>
          <w:vertAlign w:val="subscript"/>
        </w:rPr>
        <w:t>o</w:t>
      </w:r>
      <w:proofErr w:type="spellEnd"/>
      <w:proofErr w:type="gramEnd"/>
      <w:r w:rsidRPr="00022CA4">
        <w:t xml:space="preserve"> patterns within each basin. </w:t>
      </w:r>
      <w:r w:rsidR="000A60FF" w:rsidRPr="00022CA4">
        <w:t xml:space="preserve">Aligned with a study by </w:t>
      </w:r>
      <w:r w:rsidR="000A60FF" w:rsidRPr="00022CA4">
        <w:fldChar w:fldCharType="begin" w:fldLock="1"/>
      </w:r>
      <w:r w:rsidR="00EF0D11" w:rsidRPr="00022CA4">
        <w:instrText>ADDIN CSL_CITATION {"citationItems":[{"id":"ITEM-1","itemData":{"DOI":"10.3390/w14223699","ISSN":"20734441","abstract":"The amount and annual distribution of rainfall caused a major socioeconomic and environmental problem where rainfed agriculture is predominant. This study assessed the long-term variability and trends of rainfall in the Wabi Shebele River Basin (WSRB), Ethiopia. The basin was discretized into 9 local agroclimatic zones (ACZ) based on annual rainfall and elevation. The coefficient of variation (CV) was used to check the variability of rainfall while modified Mann-Kendall (MK) and Innovative Trend Analysis (ITA) methods were used to detect rainfall trends. For each ACZ, stations with long-term records and less than 10% of missing data were selected for further analysis. The mean annual rainfall in the basin ranges from 227.2 mm to 1047.4 mm. The study revealed most of the ACZs showed a very high variation in Belg/Spring rainfall (CV% &gt; 30) than Kiremt/Summer and annual rainfall. Seasonal and annual rainfall trend analysis revealed that no uniform trend was detected in all ACZs. However, most of ACZs in the arid and semi-arid areas showed a non-significant decreasing trend in annual rainfall. From seasonal analysis, Belg and Kiremt rainfall showed relatively decreasing and increasing trends respectively. In comparison, a similar result was observed using MK and ITA methods.","author":[{"dropping-particle":"","family":"Toni","given":"Abebe Teklu","non-dropping-particle":"","parse-names":false,"suffix":""},{"dropping-particle":"","family":"Malcherek","given":"Andreas","non-dropping-particle":"","parse-names":false,"suffix":""},{"dropping-particle":"","family":"Kassa","given":"Asfaw Kebede","non-dropping-particle":"","parse-names":false,"suffix":""}],"container-title":"Water (Switzerland)","id":"ITEM-1","issue":"22","issued":{"date-parts":[["2022"]]},"page":"0-16","title":"Agroclimatic Zone-Based Analysis of Rainfall Variability and Trends in the Wabi Shebele River Basin, Ethiopia","type":"article-journal","volume":"14"},"uris":["http://www.mendeley.com/documents/?uuid=c76cbbf9-d534-42c8-83ac-fe63a1d84f8f"]}],"mendeley":{"formattedCitation":"(Toni et al., 2022)","manualFormatting":"Toni et al. (2022)","plainTextFormattedCitation":"(Toni et al., 2022)","previouslyFormattedCitation":"(Toni et al., 2022)"},"properties":{"noteIndex":0},"schema":"https://github.com/citation-style-language/schema/raw/master/csl-citation.json"}</w:instrText>
      </w:r>
      <w:r w:rsidR="000A60FF" w:rsidRPr="00022CA4">
        <w:fldChar w:fldCharType="separate"/>
      </w:r>
      <w:r w:rsidR="000A60FF" w:rsidRPr="00022CA4">
        <w:rPr>
          <w:noProof/>
        </w:rPr>
        <w:t>Toni et al. (2022)</w:t>
      </w:r>
      <w:r w:rsidR="000A60FF" w:rsidRPr="00022CA4">
        <w:fldChar w:fldCharType="end"/>
      </w:r>
      <w:r w:rsidR="000A60FF" w:rsidRPr="00022CA4">
        <w:t xml:space="preserve"> who also found high rainfall variability in </w:t>
      </w:r>
      <w:r w:rsidR="00E93810" w:rsidRPr="00022CA4">
        <w:t xml:space="preserve">the </w:t>
      </w:r>
      <w:proofErr w:type="spellStart"/>
      <w:r w:rsidR="00E93810" w:rsidRPr="00022CA4">
        <w:t>Wabe</w:t>
      </w:r>
      <w:r w:rsidR="000A60FF" w:rsidRPr="00022CA4">
        <w:t>-Shebele</w:t>
      </w:r>
      <w:proofErr w:type="spellEnd"/>
      <w:r w:rsidR="000A60FF" w:rsidRPr="00022CA4">
        <w:t xml:space="preserve"> basin, t</w:t>
      </w:r>
      <w:r w:rsidRPr="00022CA4">
        <w:t xml:space="preserve">he high </w:t>
      </w:r>
      <w:proofErr w:type="spellStart"/>
      <w:r w:rsidR="000A60FF" w:rsidRPr="00022CA4">
        <w:t>ET</w:t>
      </w:r>
      <w:r w:rsidR="000A60FF" w:rsidRPr="00022CA4">
        <w:rPr>
          <w:vertAlign w:val="subscript"/>
        </w:rPr>
        <w:t>o</w:t>
      </w:r>
      <w:proofErr w:type="spellEnd"/>
      <w:r w:rsidR="000A60FF" w:rsidRPr="00022CA4">
        <w:t xml:space="preserve"> </w:t>
      </w:r>
      <w:r w:rsidR="00E93810" w:rsidRPr="00022CA4">
        <w:t xml:space="preserve">variability in the </w:t>
      </w:r>
      <w:proofErr w:type="spellStart"/>
      <w:r w:rsidR="00E93810" w:rsidRPr="00022CA4">
        <w:t>Wabe</w:t>
      </w:r>
      <w:r w:rsidRPr="00022CA4">
        <w:t>-Shebele</w:t>
      </w:r>
      <w:proofErr w:type="spellEnd"/>
      <w:r w:rsidRPr="00022CA4">
        <w:t xml:space="preserve"> basin could indicate a region where the balance between water supply and demand is particularly sensitive to inter-annual fluctuations. Conversely, the low variability in the </w:t>
      </w:r>
      <w:proofErr w:type="spellStart"/>
      <w:r w:rsidRPr="00022CA4">
        <w:t>Aysha</w:t>
      </w:r>
      <w:proofErr w:type="spellEnd"/>
      <w:r w:rsidRPr="00022CA4">
        <w:t xml:space="preserve"> basin might suggest a more stable, albeit potentially consistently water-stressed, environment.</w:t>
      </w:r>
    </w:p>
    <w:p w14:paraId="612E562A" w14:textId="634BD1A3" w:rsidR="00C15743" w:rsidRPr="00022CA4" w:rsidRDefault="004854DE" w:rsidP="003A039B">
      <w:pPr>
        <w:pStyle w:val="NormalWeb"/>
        <w:spacing w:line="360" w:lineRule="auto"/>
        <w:jc w:val="both"/>
        <w:rPr>
          <w:rStyle w:val="button-container"/>
        </w:rPr>
      </w:pPr>
      <w:r w:rsidRPr="00022CA4">
        <w:t xml:space="preserve">Spatially, the annual CWB variability (Fig. </w:t>
      </w:r>
      <w:r w:rsidR="001F316E" w:rsidRPr="00022CA4">
        <w:t>14</w:t>
      </w:r>
      <w:r w:rsidRPr="00022CA4">
        <w:t xml:space="preserve">) is lower (CV ≤ 23%) in the eastern half tips (southeast and northeast) of Ethiopia, while higher variability (CV &gt; 23%) is observed in the central and parts of the northwest and southwest. The lower variability in the eastern tips </w:t>
      </w:r>
      <w:r w:rsidR="00E93810" w:rsidRPr="00022CA4">
        <w:t xml:space="preserve">is </w:t>
      </w:r>
      <w:r w:rsidRPr="00022CA4">
        <w:t>often characterized by arid and semi-arid conditions with generally low and somewhat consistent water deficits. The higher variability in the central, northwest, and southwest regions, which experience more dynamic rainfall patterns and potentially more balanced water budgets, could lead to greater fluctuations in the CWB from year to year.</w:t>
      </w:r>
      <w:r w:rsidRPr="00022CA4">
        <w:rPr>
          <w:rStyle w:val="button-container"/>
        </w:rPr>
        <w:t xml:space="preserve"> </w:t>
      </w:r>
    </w:p>
    <w:p w14:paraId="6BD10075" w14:textId="08DAE2EF" w:rsidR="00AF43BA" w:rsidRPr="00022CA4" w:rsidRDefault="00AF43BA" w:rsidP="003A039B">
      <w:pPr>
        <w:pStyle w:val="NormalWeb"/>
        <w:spacing w:line="360" w:lineRule="auto"/>
        <w:jc w:val="both"/>
        <w:rPr>
          <w:rStyle w:val="button-container"/>
        </w:rPr>
      </w:pPr>
      <w:r w:rsidRPr="00022CA4">
        <w:t>The finding that seasonal CWB variability is highest in the Belg season compared to the Bega and Kiremt seasons reinforces the idea that the Belg season is a period of greater hydro-climatic uncertainty. This has significant implications for agricultural planning and water resource management, as the reliability of water availability during this crucial growing season can be highly variable.</w:t>
      </w:r>
    </w:p>
    <w:p w14:paraId="03292408" w14:textId="19937AA7" w:rsidR="00AF43BA" w:rsidRPr="00022CA4" w:rsidRDefault="00AF43BA" w:rsidP="003A039B">
      <w:pPr>
        <w:pStyle w:val="NormalWeb"/>
        <w:spacing w:line="360" w:lineRule="auto"/>
        <w:jc w:val="both"/>
      </w:pPr>
      <w:r w:rsidRPr="00022CA4">
        <w:t xml:space="preserve">In conclusion, the spatiotemporal variability analysis of the CWB highlights the dynamic nature of water availability across Ethiopia. The high variability, particularly during the Belg season and in certain basins like </w:t>
      </w:r>
      <w:proofErr w:type="spellStart"/>
      <w:r w:rsidRPr="00022CA4">
        <w:t>Wabe-Shebele</w:t>
      </w:r>
      <w:proofErr w:type="spellEnd"/>
      <w:r w:rsidRPr="00022CA4">
        <w:t>, underscores the challenges in water resource management and the need for robust adaptation strategies to cope with hydro-climatic uncertainty. The spatial patterns of CWB variability provide valuable insights into regions that are more prone to fluctuations in water balance, which can inform targeted interventions and risk management strategies. Further research could explore the drivers of this variability, including the influence of large-scale climate patterns and local environmental factors.</w:t>
      </w:r>
    </w:p>
    <w:p w14:paraId="73968485" w14:textId="77777777" w:rsidR="00ED5BDC" w:rsidRPr="00A021B3" w:rsidRDefault="00C15743" w:rsidP="00ED5BDC">
      <w:pPr>
        <w:pStyle w:val="Heading3"/>
        <w:jc w:val="both"/>
        <w:rPr>
          <w:color w:val="000000" w:themeColor="text1"/>
        </w:rPr>
      </w:pPr>
      <w:r w:rsidRPr="00022CA4">
        <w:rPr>
          <w:rFonts w:ascii="Times New Roman" w:hAnsi="Times New Roman" w:cs="Times New Roman"/>
          <w:color w:val="auto"/>
          <w:sz w:val="28"/>
          <w:szCs w:val="28"/>
        </w:rPr>
        <w:t xml:space="preserve">4.4. </w:t>
      </w:r>
      <w:r w:rsidR="008E7931" w:rsidRPr="00ED5BDC">
        <w:rPr>
          <w:rFonts w:ascii="Times New Roman" w:hAnsi="Times New Roman" w:cs="Times New Roman"/>
          <w:b/>
          <w:bCs/>
          <w:color w:val="auto"/>
          <w:sz w:val="26"/>
          <w:szCs w:val="26"/>
        </w:rPr>
        <w:t xml:space="preserve">Implications for Ethiopian </w:t>
      </w:r>
      <w:r w:rsidR="00ED5BDC" w:rsidRPr="00ED5BDC">
        <w:rPr>
          <w:rFonts w:ascii="Times New Roman" w:hAnsi="Times New Roman" w:cs="Times New Roman"/>
          <w:b/>
          <w:bCs/>
          <w:color w:val="auto"/>
          <w:sz w:val="26"/>
          <w:szCs w:val="26"/>
        </w:rPr>
        <w:t>for Public Health and Climate Sensitive Disease Dynamics</w:t>
      </w:r>
    </w:p>
    <w:p w14:paraId="5826A67D" w14:textId="23DDF030" w:rsidR="0034171B" w:rsidRPr="00ED5BDC" w:rsidRDefault="0034171B" w:rsidP="00ED5BDC">
      <w:pPr>
        <w:pStyle w:val="NormalWeb"/>
        <w:rPr>
          <w:rFonts w:eastAsiaTheme="majorEastAsia"/>
          <w:b/>
          <w:bCs/>
          <w:sz w:val="26"/>
          <w:szCs w:val="26"/>
        </w:rPr>
      </w:pPr>
      <w:r w:rsidRPr="00022CA4">
        <w:rPr>
          <w:b/>
          <w:bCs/>
        </w:rPr>
        <w:t>4.4.</w:t>
      </w:r>
      <w:r w:rsidR="00A0143B" w:rsidRPr="00ED5BDC">
        <w:rPr>
          <w:rFonts w:eastAsiaTheme="majorEastAsia"/>
          <w:b/>
          <w:bCs/>
          <w:sz w:val="26"/>
          <w:szCs w:val="26"/>
        </w:rPr>
        <w:t>1</w:t>
      </w:r>
      <w:r w:rsidRPr="00ED5BDC">
        <w:rPr>
          <w:rFonts w:eastAsiaTheme="majorEastAsia"/>
          <w:b/>
          <w:bCs/>
          <w:sz w:val="26"/>
          <w:szCs w:val="26"/>
        </w:rPr>
        <w:t xml:space="preserve"> </w:t>
      </w:r>
      <w:r w:rsidR="00ED5BDC" w:rsidRPr="00C0343E">
        <w:rPr>
          <w:rFonts w:eastAsiaTheme="majorEastAsia"/>
          <w:b/>
          <w:bCs/>
          <w:sz w:val="26"/>
          <w:szCs w:val="26"/>
        </w:rPr>
        <w:t>Significance of the Research</w:t>
      </w:r>
      <w:r w:rsidR="00ED5BDC" w:rsidRPr="00ED5BDC">
        <w:rPr>
          <w:rFonts w:eastAsiaTheme="majorEastAsia"/>
          <w:b/>
          <w:bCs/>
          <w:sz w:val="26"/>
          <w:szCs w:val="26"/>
        </w:rPr>
        <w:t xml:space="preserve"> for Understanding Climate-Driven Disease Patterns in Ethiopia</w:t>
      </w:r>
    </w:p>
    <w:p w14:paraId="18ECE0B6" w14:textId="77777777" w:rsidR="002E29C7" w:rsidRPr="00B45260" w:rsidRDefault="002E29C7" w:rsidP="002E29C7">
      <w:pPr>
        <w:spacing w:before="100" w:beforeAutospacing="1" w:after="100" w:afterAutospacing="1" w:line="360" w:lineRule="auto"/>
        <w:jc w:val="both"/>
        <w:rPr>
          <w:rFonts w:ascii="Times New Roman" w:eastAsia="Times New Roman" w:hAnsi="Times New Roman" w:cs="Times New Roman"/>
          <w:sz w:val="24"/>
          <w:szCs w:val="24"/>
        </w:rPr>
      </w:pPr>
      <w:r w:rsidRPr="00B45260">
        <w:rPr>
          <w:rFonts w:ascii="Times New Roman" w:eastAsia="Times New Roman" w:hAnsi="Times New Roman" w:cs="Times New Roman"/>
          <w:sz w:val="24"/>
          <w:szCs w:val="24"/>
        </w:rPr>
        <w:t xml:space="preserve">The analysis reveals strong spatial contrasts in rainfall, evapotranspiration, and climatic water balance across Ethiopia, with rising annual and </w:t>
      </w:r>
      <w:proofErr w:type="spellStart"/>
      <w:r w:rsidRPr="00B45260">
        <w:rPr>
          <w:rFonts w:ascii="Times New Roman" w:eastAsia="Times New Roman" w:hAnsi="Times New Roman" w:cs="Times New Roman"/>
          <w:sz w:val="24"/>
          <w:szCs w:val="24"/>
        </w:rPr>
        <w:t>Kiremt</w:t>
      </w:r>
      <w:proofErr w:type="spellEnd"/>
      <w:r w:rsidRPr="00B45260">
        <w:rPr>
          <w:rFonts w:ascii="Times New Roman" w:eastAsia="Times New Roman" w:hAnsi="Times New Roman" w:cs="Times New Roman"/>
          <w:sz w:val="24"/>
          <w:szCs w:val="24"/>
        </w:rPr>
        <w:t xml:space="preserve"> rainfall in the </w:t>
      </w:r>
      <w:proofErr w:type="spellStart"/>
      <w:r w:rsidRPr="00B45260">
        <w:rPr>
          <w:rFonts w:ascii="Times New Roman" w:eastAsia="Times New Roman" w:hAnsi="Times New Roman" w:cs="Times New Roman"/>
          <w:sz w:val="24"/>
          <w:szCs w:val="24"/>
        </w:rPr>
        <w:t>Abbay</w:t>
      </w:r>
      <w:proofErr w:type="spellEnd"/>
      <w:r w:rsidRPr="00B45260">
        <w:rPr>
          <w:rFonts w:ascii="Times New Roman" w:eastAsia="Times New Roman" w:hAnsi="Times New Roman" w:cs="Times New Roman"/>
          <w:sz w:val="24"/>
          <w:szCs w:val="24"/>
        </w:rPr>
        <w:t xml:space="preserve">, </w:t>
      </w:r>
      <w:proofErr w:type="spellStart"/>
      <w:r w:rsidRPr="00B45260">
        <w:rPr>
          <w:rFonts w:ascii="Times New Roman" w:eastAsia="Times New Roman" w:hAnsi="Times New Roman" w:cs="Times New Roman"/>
          <w:sz w:val="24"/>
          <w:szCs w:val="24"/>
        </w:rPr>
        <w:t>Baro</w:t>
      </w:r>
      <w:proofErr w:type="spellEnd"/>
      <w:r w:rsidRPr="00B45260">
        <w:rPr>
          <w:rFonts w:ascii="Times New Roman" w:eastAsia="Times New Roman" w:hAnsi="Times New Roman" w:cs="Times New Roman"/>
          <w:sz w:val="24"/>
          <w:szCs w:val="24"/>
        </w:rPr>
        <w:t>–</w:t>
      </w:r>
      <w:proofErr w:type="spellStart"/>
      <w:r w:rsidRPr="00B45260">
        <w:rPr>
          <w:rFonts w:ascii="Times New Roman" w:eastAsia="Times New Roman" w:hAnsi="Times New Roman" w:cs="Times New Roman"/>
          <w:sz w:val="24"/>
          <w:szCs w:val="24"/>
        </w:rPr>
        <w:t>Akobo</w:t>
      </w:r>
      <w:proofErr w:type="spellEnd"/>
      <w:r w:rsidRPr="00B45260">
        <w:rPr>
          <w:rFonts w:ascii="Times New Roman" w:eastAsia="Times New Roman" w:hAnsi="Times New Roman" w:cs="Times New Roman"/>
          <w:sz w:val="24"/>
          <w:szCs w:val="24"/>
        </w:rPr>
        <w:t xml:space="preserve">, </w:t>
      </w:r>
      <w:proofErr w:type="spellStart"/>
      <w:r w:rsidRPr="00B45260">
        <w:rPr>
          <w:rFonts w:ascii="Times New Roman" w:eastAsia="Times New Roman" w:hAnsi="Times New Roman" w:cs="Times New Roman"/>
          <w:sz w:val="24"/>
          <w:szCs w:val="24"/>
        </w:rPr>
        <w:t>Omo</w:t>
      </w:r>
      <w:proofErr w:type="spellEnd"/>
      <w:r w:rsidRPr="00B45260">
        <w:rPr>
          <w:rFonts w:ascii="Times New Roman" w:eastAsia="Times New Roman" w:hAnsi="Times New Roman" w:cs="Times New Roman"/>
          <w:sz w:val="24"/>
          <w:szCs w:val="24"/>
        </w:rPr>
        <w:t xml:space="preserve">–Gibe, and Rift Valley basins </w:t>
      </w:r>
      <w:r w:rsidRPr="00B45260">
        <w:rPr>
          <w:rFonts w:ascii="Times New Roman" w:eastAsia="Times New Roman" w:hAnsi="Times New Roman" w:cs="Times New Roman"/>
          <w:sz w:val="24"/>
          <w:szCs w:val="24"/>
        </w:rPr>
        <w:lastRenderedPageBreak/>
        <w:t xml:space="preserve">heightening the risk of climate-sensitive diseases. Intensifying rainfall and humidity enlarge habitats for mosquito and snail vectors, driving higher transmission of malaria, dengue, and </w:t>
      </w:r>
      <w:proofErr w:type="spellStart"/>
      <w:r w:rsidRPr="00B45260">
        <w:rPr>
          <w:rFonts w:ascii="Times New Roman" w:eastAsia="Times New Roman" w:hAnsi="Times New Roman" w:cs="Times New Roman"/>
          <w:sz w:val="24"/>
          <w:szCs w:val="24"/>
        </w:rPr>
        <w:t>schistosomiasis</w:t>
      </w:r>
      <w:proofErr w:type="spellEnd"/>
      <w:r w:rsidRPr="00B45260">
        <w:rPr>
          <w:rFonts w:ascii="Times New Roman" w:eastAsia="Times New Roman" w:hAnsi="Times New Roman" w:cs="Times New Roman"/>
          <w:sz w:val="24"/>
          <w:szCs w:val="24"/>
        </w:rPr>
        <w:t>. Studies consistently support these links: rainfall increases were associated with higher malaria incidence in southern Ethiopia (</w:t>
      </w:r>
      <w:proofErr w:type="spellStart"/>
      <w:r w:rsidRPr="00B45260">
        <w:rPr>
          <w:rFonts w:ascii="Times New Roman" w:eastAsia="Times New Roman" w:hAnsi="Times New Roman" w:cs="Times New Roman"/>
          <w:sz w:val="24"/>
          <w:szCs w:val="24"/>
        </w:rPr>
        <w:t>Dabaro</w:t>
      </w:r>
      <w:proofErr w:type="spellEnd"/>
      <w:r w:rsidRPr="00B45260">
        <w:rPr>
          <w:rFonts w:ascii="Times New Roman" w:eastAsia="Times New Roman" w:hAnsi="Times New Roman" w:cs="Times New Roman"/>
          <w:sz w:val="24"/>
          <w:szCs w:val="24"/>
        </w:rPr>
        <w:t xml:space="preserve"> et al., 2021), and long-term assessments in </w:t>
      </w:r>
      <w:proofErr w:type="spellStart"/>
      <w:r w:rsidRPr="00B45260">
        <w:rPr>
          <w:rFonts w:ascii="Times New Roman" w:eastAsia="Times New Roman" w:hAnsi="Times New Roman" w:cs="Times New Roman"/>
          <w:sz w:val="24"/>
          <w:szCs w:val="24"/>
        </w:rPr>
        <w:t>Gambella</w:t>
      </w:r>
      <w:proofErr w:type="spellEnd"/>
      <w:r w:rsidRPr="00B45260">
        <w:rPr>
          <w:rFonts w:ascii="Times New Roman" w:eastAsia="Times New Roman" w:hAnsi="Times New Roman" w:cs="Times New Roman"/>
          <w:sz w:val="24"/>
          <w:szCs w:val="24"/>
        </w:rPr>
        <w:t xml:space="preserve"> showed parallel rises in rainfall, humidity, and malaria cases. Nationwide analyses also confirm peak malaria transmission during the rainy and humid season, while cholera and dysentery rise with rainfall variability (</w:t>
      </w:r>
      <w:proofErr w:type="spellStart"/>
      <w:r w:rsidRPr="00B45260">
        <w:rPr>
          <w:rFonts w:ascii="Times New Roman" w:eastAsia="Times New Roman" w:hAnsi="Times New Roman" w:cs="Times New Roman"/>
          <w:sz w:val="24"/>
          <w:szCs w:val="24"/>
        </w:rPr>
        <w:t>Simegn</w:t>
      </w:r>
      <w:proofErr w:type="spellEnd"/>
      <w:r w:rsidRPr="00B45260">
        <w:rPr>
          <w:rFonts w:ascii="Times New Roman" w:eastAsia="Times New Roman" w:hAnsi="Times New Roman" w:cs="Times New Roman"/>
          <w:sz w:val="24"/>
          <w:szCs w:val="24"/>
        </w:rPr>
        <w:t xml:space="preserve"> et al., 2024). Heavy </w:t>
      </w:r>
      <w:proofErr w:type="spellStart"/>
      <w:r w:rsidRPr="00B45260">
        <w:rPr>
          <w:rFonts w:ascii="Times New Roman" w:eastAsia="Times New Roman" w:hAnsi="Times New Roman" w:cs="Times New Roman"/>
          <w:sz w:val="24"/>
          <w:szCs w:val="24"/>
        </w:rPr>
        <w:t>Kiremt</w:t>
      </w:r>
      <w:proofErr w:type="spellEnd"/>
      <w:r w:rsidRPr="00B45260">
        <w:rPr>
          <w:rFonts w:ascii="Times New Roman" w:eastAsia="Times New Roman" w:hAnsi="Times New Roman" w:cs="Times New Roman"/>
          <w:sz w:val="24"/>
          <w:szCs w:val="24"/>
        </w:rPr>
        <w:t xml:space="preserve"> rainfall further drives surface-water contamination, a major factor in cholera outbreaks identified through Bayesian modeling and early-warning assessments (</w:t>
      </w:r>
      <w:proofErr w:type="spellStart"/>
      <w:r w:rsidRPr="00B45260">
        <w:rPr>
          <w:rFonts w:ascii="Times New Roman" w:eastAsia="Times New Roman" w:hAnsi="Times New Roman" w:cs="Times New Roman"/>
          <w:sz w:val="24"/>
          <w:szCs w:val="24"/>
        </w:rPr>
        <w:t>Letta</w:t>
      </w:r>
      <w:proofErr w:type="spellEnd"/>
      <w:r w:rsidRPr="00B45260">
        <w:rPr>
          <w:rFonts w:ascii="Times New Roman" w:eastAsia="Times New Roman" w:hAnsi="Times New Roman" w:cs="Times New Roman"/>
          <w:sz w:val="24"/>
          <w:szCs w:val="24"/>
        </w:rPr>
        <w:t xml:space="preserve"> et al., 2022).</w:t>
      </w:r>
    </w:p>
    <w:p w14:paraId="52756462" w14:textId="343BE974" w:rsidR="002E29C7" w:rsidRDefault="002E29C7" w:rsidP="002E29C7">
      <w:pPr>
        <w:spacing w:before="100" w:beforeAutospacing="1" w:after="100" w:afterAutospacing="1" w:line="360" w:lineRule="auto"/>
        <w:jc w:val="both"/>
        <w:rPr>
          <w:rFonts w:ascii="Times New Roman" w:eastAsia="Times New Roman" w:hAnsi="Times New Roman" w:cs="Times New Roman"/>
          <w:sz w:val="24"/>
          <w:szCs w:val="24"/>
        </w:rPr>
      </w:pPr>
      <w:r w:rsidRPr="00B45260">
        <w:rPr>
          <w:rFonts w:ascii="Times New Roman" w:eastAsia="Times New Roman" w:hAnsi="Times New Roman" w:cs="Times New Roman"/>
          <w:sz w:val="24"/>
          <w:szCs w:val="24"/>
        </w:rPr>
        <w:t xml:space="preserve">These hydro climatic shifts have widespread implications for disease dynamics. Increasing rainfall and warmer conditions in the major basins are projected to expand habitats for malaria, dengue, and </w:t>
      </w:r>
      <w:proofErr w:type="spellStart"/>
      <w:r w:rsidRPr="00B45260">
        <w:rPr>
          <w:rFonts w:ascii="Times New Roman" w:eastAsia="Times New Roman" w:hAnsi="Times New Roman" w:cs="Times New Roman"/>
          <w:sz w:val="24"/>
          <w:szCs w:val="24"/>
        </w:rPr>
        <w:t>schistosomiasis</w:t>
      </w:r>
      <w:proofErr w:type="spellEnd"/>
      <w:r w:rsidRPr="00B45260">
        <w:rPr>
          <w:rFonts w:ascii="Times New Roman" w:eastAsia="Times New Roman" w:hAnsi="Times New Roman" w:cs="Times New Roman"/>
          <w:sz w:val="24"/>
          <w:szCs w:val="24"/>
        </w:rPr>
        <w:t xml:space="preserve"> vectors, consistent with long-term trends in </w:t>
      </w:r>
      <w:proofErr w:type="spellStart"/>
      <w:r w:rsidRPr="00B45260">
        <w:rPr>
          <w:rFonts w:ascii="Times New Roman" w:eastAsia="Times New Roman" w:hAnsi="Times New Roman" w:cs="Times New Roman"/>
          <w:sz w:val="24"/>
          <w:szCs w:val="24"/>
        </w:rPr>
        <w:t>Gambella</w:t>
      </w:r>
      <w:proofErr w:type="spellEnd"/>
      <w:r w:rsidRPr="00B45260">
        <w:rPr>
          <w:rFonts w:ascii="Times New Roman" w:eastAsia="Times New Roman" w:hAnsi="Times New Roman" w:cs="Times New Roman"/>
          <w:sz w:val="24"/>
          <w:szCs w:val="24"/>
        </w:rPr>
        <w:t xml:space="preserve"> (</w:t>
      </w:r>
      <w:proofErr w:type="spellStart"/>
      <w:r w:rsidRPr="00B45260">
        <w:rPr>
          <w:rFonts w:ascii="Times New Roman" w:eastAsia="Times New Roman" w:hAnsi="Times New Roman" w:cs="Times New Roman"/>
          <w:sz w:val="24"/>
          <w:szCs w:val="24"/>
        </w:rPr>
        <w:t>Dereje</w:t>
      </w:r>
      <w:proofErr w:type="spellEnd"/>
      <w:r w:rsidRPr="00B45260">
        <w:rPr>
          <w:rFonts w:ascii="Times New Roman" w:eastAsia="Times New Roman" w:hAnsi="Times New Roman" w:cs="Times New Roman"/>
          <w:sz w:val="24"/>
          <w:szCs w:val="24"/>
        </w:rPr>
        <w:t xml:space="preserve"> et al., 2025) and </w:t>
      </w:r>
      <w:proofErr w:type="spellStart"/>
      <w:r w:rsidRPr="00B45260">
        <w:rPr>
          <w:rFonts w:ascii="Times New Roman" w:eastAsia="Times New Roman" w:hAnsi="Times New Roman" w:cs="Times New Roman"/>
          <w:sz w:val="24"/>
          <w:szCs w:val="24"/>
        </w:rPr>
        <w:t>modelling</w:t>
      </w:r>
      <w:proofErr w:type="spellEnd"/>
      <w:r w:rsidRPr="00B45260">
        <w:rPr>
          <w:rFonts w:ascii="Times New Roman" w:eastAsia="Times New Roman" w:hAnsi="Times New Roman" w:cs="Times New Roman"/>
          <w:sz w:val="24"/>
          <w:szCs w:val="24"/>
        </w:rPr>
        <w:t xml:space="preserve"> evidence showing strong rainfall and temperature effects on </w:t>
      </w:r>
      <w:proofErr w:type="spellStart"/>
      <w:r w:rsidRPr="00B45260">
        <w:rPr>
          <w:rFonts w:ascii="Times New Roman" w:eastAsia="Times New Roman" w:hAnsi="Times New Roman" w:cs="Times New Roman"/>
          <w:sz w:val="24"/>
          <w:szCs w:val="24"/>
        </w:rPr>
        <w:t>Aedes</w:t>
      </w:r>
      <w:proofErr w:type="spellEnd"/>
      <w:r w:rsidRPr="00B45260">
        <w:rPr>
          <w:rFonts w:ascii="Times New Roman" w:eastAsia="Times New Roman" w:hAnsi="Times New Roman" w:cs="Times New Roman"/>
          <w:sz w:val="24"/>
          <w:szCs w:val="24"/>
        </w:rPr>
        <w:t xml:space="preserve"> mosquitoes (</w:t>
      </w:r>
      <w:proofErr w:type="spellStart"/>
      <w:r w:rsidRPr="00B45260">
        <w:rPr>
          <w:rFonts w:ascii="Times New Roman" w:eastAsia="Times New Roman" w:hAnsi="Times New Roman" w:cs="Times New Roman"/>
          <w:sz w:val="24"/>
          <w:szCs w:val="24"/>
        </w:rPr>
        <w:t>Mekuriaw</w:t>
      </w:r>
      <w:proofErr w:type="spellEnd"/>
      <w:r w:rsidRPr="00B45260">
        <w:rPr>
          <w:rFonts w:ascii="Times New Roman" w:eastAsia="Times New Roman" w:hAnsi="Times New Roman" w:cs="Times New Roman"/>
          <w:sz w:val="24"/>
          <w:szCs w:val="24"/>
        </w:rPr>
        <w:t xml:space="preserve"> et al., 2022). Field investigations during the 2019 Afar dengue outbreak also linked rainfall-driven container availability with case incidence. Changes in rainfall patterns support the spread of snail hosts, with regional evidence of elevated </w:t>
      </w:r>
      <w:proofErr w:type="spellStart"/>
      <w:r w:rsidRPr="00B45260">
        <w:rPr>
          <w:rFonts w:ascii="Times New Roman" w:eastAsia="Times New Roman" w:hAnsi="Times New Roman" w:cs="Times New Roman"/>
          <w:sz w:val="24"/>
          <w:szCs w:val="24"/>
        </w:rPr>
        <w:t>schistosomiasis</w:t>
      </w:r>
      <w:proofErr w:type="spellEnd"/>
      <w:r w:rsidRPr="00B45260">
        <w:rPr>
          <w:rFonts w:ascii="Times New Roman" w:eastAsia="Times New Roman" w:hAnsi="Times New Roman" w:cs="Times New Roman"/>
          <w:sz w:val="24"/>
          <w:szCs w:val="24"/>
        </w:rPr>
        <w:t xml:space="preserve"> in Rift Valley and lake-basin settings (</w:t>
      </w:r>
      <w:proofErr w:type="spellStart"/>
      <w:r w:rsidRPr="00B45260">
        <w:rPr>
          <w:rFonts w:ascii="Times New Roman" w:eastAsia="Times New Roman" w:hAnsi="Times New Roman" w:cs="Times New Roman"/>
          <w:sz w:val="24"/>
          <w:szCs w:val="24"/>
        </w:rPr>
        <w:t>Tadesse</w:t>
      </w:r>
      <w:proofErr w:type="spellEnd"/>
      <w:r w:rsidRPr="00B45260">
        <w:rPr>
          <w:rFonts w:ascii="Times New Roman" w:eastAsia="Times New Roman" w:hAnsi="Times New Roman" w:cs="Times New Roman"/>
          <w:sz w:val="24"/>
          <w:szCs w:val="24"/>
        </w:rPr>
        <w:t xml:space="preserve"> et al., 2021) and broader sub-Saharan studies reinforcing these patterns (</w:t>
      </w:r>
      <w:proofErr w:type="spellStart"/>
      <w:r w:rsidRPr="00B45260">
        <w:rPr>
          <w:rFonts w:ascii="Times New Roman" w:eastAsia="Times New Roman" w:hAnsi="Times New Roman" w:cs="Times New Roman"/>
          <w:sz w:val="24"/>
          <w:szCs w:val="24"/>
        </w:rPr>
        <w:t>McCreesh</w:t>
      </w:r>
      <w:proofErr w:type="spellEnd"/>
      <w:r w:rsidR="00A36839">
        <w:rPr>
          <w:rFonts w:ascii="Times New Roman" w:eastAsia="Times New Roman" w:hAnsi="Times New Roman" w:cs="Times New Roman"/>
          <w:sz w:val="24"/>
          <w:szCs w:val="24"/>
        </w:rPr>
        <w:t xml:space="preserve"> &amp; Booth, 2013</w:t>
      </w:r>
      <w:r w:rsidRPr="00B45260">
        <w:rPr>
          <w:rFonts w:ascii="Times New Roman" w:eastAsia="Times New Roman" w:hAnsi="Times New Roman" w:cs="Times New Roman"/>
          <w:sz w:val="24"/>
          <w:szCs w:val="24"/>
        </w:rPr>
        <w:t>). At the same time, intensified rainfall and flooding increase contamination risks and diarrheal disease burdens, as shown by studies documenting sanitation failures, high diarrheal prevalence in flood-affected districts (</w:t>
      </w:r>
      <w:proofErr w:type="spellStart"/>
      <w:r w:rsidRPr="00B45260">
        <w:rPr>
          <w:rFonts w:ascii="Times New Roman" w:eastAsia="Times New Roman" w:hAnsi="Times New Roman" w:cs="Times New Roman"/>
          <w:sz w:val="24"/>
          <w:szCs w:val="24"/>
        </w:rPr>
        <w:t>Wondimu</w:t>
      </w:r>
      <w:proofErr w:type="spellEnd"/>
      <w:r w:rsidRPr="00B45260">
        <w:rPr>
          <w:rFonts w:ascii="Times New Roman" w:eastAsia="Times New Roman" w:hAnsi="Times New Roman" w:cs="Times New Roman"/>
          <w:sz w:val="24"/>
          <w:szCs w:val="24"/>
        </w:rPr>
        <w:t xml:space="preserve"> et al., 2024), and positive associations between rainfall, </w:t>
      </w:r>
      <w:r>
        <w:rPr>
          <w:rFonts w:ascii="Times New Roman" w:eastAsia="Times New Roman" w:hAnsi="Times New Roman" w:cs="Times New Roman"/>
          <w:sz w:val="24"/>
          <w:szCs w:val="24"/>
        </w:rPr>
        <w:t xml:space="preserve">water </w:t>
      </w:r>
      <w:r w:rsidRPr="00B45260">
        <w:rPr>
          <w:rFonts w:ascii="Times New Roman" w:eastAsia="Times New Roman" w:hAnsi="Times New Roman" w:cs="Times New Roman"/>
          <w:sz w:val="24"/>
          <w:szCs w:val="24"/>
        </w:rPr>
        <w:t>contamination, and diarrheal episodes (</w:t>
      </w:r>
      <w:proofErr w:type="spellStart"/>
      <w:r w:rsidRPr="00B45260">
        <w:rPr>
          <w:rFonts w:ascii="Times New Roman" w:eastAsia="Times New Roman" w:hAnsi="Times New Roman" w:cs="Times New Roman"/>
          <w:sz w:val="24"/>
          <w:szCs w:val="24"/>
        </w:rPr>
        <w:t>Ayele</w:t>
      </w:r>
      <w:proofErr w:type="spellEnd"/>
      <w:r w:rsidRPr="00B45260">
        <w:rPr>
          <w:rFonts w:ascii="Times New Roman" w:eastAsia="Times New Roman" w:hAnsi="Times New Roman" w:cs="Times New Roman"/>
          <w:sz w:val="24"/>
          <w:szCs w:val="24"/>
        </w:rPr>
        <w:t xml:space="preserve"> et al., 2022). Overall, rising rainfall in key basins is likely to amplify both vector-borne and water-borne diseases, underscoring the need for improved water management, resilient sanitation systems, and targeted vector control aligned with climate projections.</w:t>
      </w:r>
    </w:p>
    <w:p w14:paraId="7C98DB44" w14:textId="77777777" w:rsidR="002E29C7" w:rsidRPr="0030611E" w:rsidRDefault="002E29C7" w:rsidP="002E29C7">
      <w:pPr>
        <w:spacing w:before="100" w:beforeAutospacing="1" w:after="100" w:afterAutospacing="1" w:line="360" w:lineRule="auto"/>
        <w:jc w:val="both"/>
        <w:rPr>
          <w:rFonts w:ascii="Times New Roman" w:eastAsia="Times New Roman" w:hAnsi="Times New Roman" w:cs="Times New Roman"/>
          <w:sz w:val="24"/>
          <w:szCs w:val="24"/>
        </w:rPr>
      </w:pPr>
      <w:r w:rsidRPr="0030611E">
        <w:rPr>
          <w:rFonts w:ascii="Times New Roman" w:eastAsia="Times New Roman" w:hAnsi="Times New Roman" w:cs="Times New Roman"/>
          <w:sz w:val="24"/>
          <w:szCs w:val="24"/>
        </w:rPr>
        <w:t xml:space="preserve">Regions experiencing sustained declines in rainfall and increasingly </w:t>
      </w:r>
      <w:r>
        <w:rPr>
          <w:rFonts w:ascii="Times New Roman" w:eastAsia="Times New Roman" w:hAnsi="Times New Roman" w:cs="Times New Roman"/>
          <w:sz w:val="24"/>
          <w:szCs w:val="24"/>
        </w:rPr>
        <w:t xml:space="preserve">negative climatic water balance </w:t>
      </w:r>
      <w:r w:rsidRPr="0030611E">
        <w:rPr>
          <w:rFonts w:ascii="Times New Roman" w:eastAsia="Times New Roman" w:hAnsi="Times New Roman" w:cs="Times New Roman"/>
          <w:sz w:val="24"/>
          <w:szCs w:val="24"/>
        </w:rPr>
        <w:t xml:space="preserve">particularly the </w:t>
      </w:r>
      <w:proofErr w:type="spellStart"/>
      <w:r w:rsidRPr="0030611E">
        <w:rPr>
          <w:rFonts w:ascii="Times New Roman" w:eastAsia="Times New Roman" w:hAnsi="Times New Roman" w:cs="Times New Roman"/>
          <w:sz w:val="24"/>
          <w:szCs w:val="24"/>
        </w:rPr>
        <w:t>Denakil</w:t>
      </w:r>
      <w:proofErr w:type="spellEnd"/>
      <w:r w:rsidRPr="0030611E">
        <w:rPr>
          <w:rFonts w:ascii="Times New Roman" w:eastAsia="Times New Roman" w:hAnsi="Times New Roman" w:cs="Times New Roman"/>
          <w:sz w:val="24"/>
          <w:szCs w:val="24"/>
        </w:rPr>
        <w:t xml:space="preserve">, </w:t>
      </w:r>
      <w:proofErr w:type="spellStart"/>
      <w:r w:rsidRPr="0030611E">
        <w:rPr>
          <w:rFonts w:ascii="Times New Roman" w:eastAsia="Times New Roman" w:hAnsi="Times New Roman" w:cs="Times New Roman"/>
          <w:sz w:val="24"/>
          <w:szCs w:val="24"/>
        </w:rPr>
        <w:t>Mereb</w:t>
      </w:r>
      <w:proofErr w:type="spellEnd"/>
      <w:r w:rsidRPr="003061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Gash, and </w:t>
      </w:r>
      <w:proofErr w:type="spellStart"/>
      <w:r>
        <w:rPr>
          <w:rFonts w:ascii="Times New Roman" w:eastAsia="Times New Roman" w:hAnsi="Times New Roman" w:cs="Times New Roman"/>
          <w:sz w:val="24"/>
          <w:szCs w:val="24"/>
        </w:rPr>
        <w:t>Aysha</w:t>
      </w:r>
      <w:proofErr w:type="spellEnd"/>
      <w:r>
        <w:rPr>
          <w:rFonts w:ascii="Times New Roman" w:eastAsia="Times New Roman" w:hAnsi="Times New Roman" w:cs="Times New Roman"/>
          <w:sz w:val="24"/>
          <w:szCs w:val="24"/>
        </w:rPr>
        <w:t xml:space="preserve"> basins </w:t>
      </w:r>
      <w:r w:rsidRPr="0030611E">
        <w:rPr>
          <w:rFonts w:ascii="Times New Roman" w:eastAsia="Times New Roman" w:hAnsi="Times New Roman" w:cs="Times New Roman"/>
          <w:sz w:val="24"/>
          <w:szCs w:val="24"/>
        </w:rPr>
        <w:t>are confronting escalating public-health risks associated with chronic water scarcity. Recurrent droughts in these arid and semi-arid landscapes intensify food insecurity, malnutrition, and dietary insufficiency, as noted in assessments of drought-affected Ethiopian communities (</w:t>
      </w:r>
      <w:proofErr w:type="spellStart"/>
      <w:r w:rsidRPr="0030611E">
        <w:rPr>
          <w:rFonts w:ascii="Times New Roman" w:eastAsia="Times New Roman" w:hAnsi="Times New Roman" w:cs="Times New Roman"/>
          <w:sz w:val="24"/>
          <w:szCs w:val="24"/>
        </w:rPr>
        <w:t>Gebremeskel</w:t>
      </w:r>
      <w:proofErr w:type="spellEnd"/>
      <w:r w:rsidRPr="0030611E">
        <w:rPr>
          <w:rFonts w:ascii="Times New Roman" w:eastAsia="Times New Roman" w:hAnsi="Times New Roman" w:cs="Times New Roman"/>
          <w:sz w:val="24"/>
          <w:szCs w:val="24"/>
        </w:rPr>
        <w:t xml:space="preserve"> et al., 2021; </w:t>
      </w:r>
      <w:proofErr w:type="spellStart"/>
      <w:r w:rsidRPr="0030611E">
        <w:rPr>
          <w:rFonts w:ascii="Times New Roman" w:eastAsia="Times New Roman" w:hAnsi="Times New Roman" w:cs="Times New Roman"/>
          <w:sz w:val="24"/>
          <w:szCs w:val="24"/>
        </w:rPr>
        <w:t>Hadgu</w:t>
      </w:r>
      <w:proofErr w:type="spellEnd"/>
      <w:r w:rsidRPr="0030611E">
        <w:rPr>
          <w:rFonts w:ascii="Times New Roman" w:eastAsia="Times New Roman" w:hAnsi="Times New Roman" w:cs="Times New Roman"/>
          <w:sz w:val="24"/>
          <w:szCs w:val="24"/>
        </w:rPr>
        <w:t xml:space="preserve"> et al., 2023). Limited water availability forces many households to depend on unsafe water sources, heightening exposure to water-borne diseases; evidence from northeastern Ethiopia indicates greater diarrheal prevalence and increased microbial contamination during prolonged dry spells (</w:t>
      </w:r>
      <w:proofErr w:type="spellStart"/>
      <w:r w:rsidRPr="0030611E">
        <w:rPr>
          <w:rFonts w:ascii="Times New Roman" w:eastAsia="Times New Roman" w:hAnsi="Times New Roman" w:cs="Times New Roman"/>
          <w:sz w:val="24"/>
          <w:szCs w:val="24"/>
        </w:rPr>
        <w:t>Asfaw</w:t>
      </w:r>
      <w:proofErr w:type="spellEnd"/>
      <w:r w:rsidRPr="0030611E">
        <w:rPr>
          <w:rFonts w:ascii="Times New Roman" w:eastAsia="Times New Roman" w:hAnsi="Times New Roman" w:cs="Times New Roman"/>
          <w:sz w:val="24"/>
          <w:szCs w:val="24"/>
        </w:rPr>
        <w:t xml:space="preserve"> et al., 2020). Compounding these challenges, extreme hea</w:t>
      </w:r>
      <w:r>
        <w:rPr>
          <w:rFonts w:ascii="Times New Roman" w:eastAsia="Times New Roman" w:hAnsi="Times New Roman" w:cs="Times New Roman"/>
          <w:sz w:val="24"/>
          <w:szCs w:val="24"/>
        </w:rPr>
        <w:t xml:space="preserve">t amplified by reduced rainfall </w:t>
      </w:r>
      <w:r w:rsidRPr="0030611E">
        <w:rPr>
          <w:rFonts w:ascii="Times New Roman" w:eastAsia="Times New Roman" w:hAnsi="Times New Roman" w:cs="Times New Roman"/>
          <w:sz w:val="24"/>
          <w:szCs w:val="24"/>
        </w:rPr>
        <w:t>contributes to heat stress and acute respiratory symptoms in dusty lowland environments (</w:t>
      </w:r>
      <w:proofErr w:type="spellStart"/>
      <w:r w:rsidRPr="0030611E">
        <w:rPr>
          <w:rFonts w:ascii="Times New Roman" w:eastAsia="Times New Roman" w:hAnsi="Times New Roman" w:cs="Times New Roman"/>
          <w:sz w:val="24"/>
          <w:szCs w:val="24"/>
        </w:rPr>
        <w:t>Feyisa</w:t>
      </w:r>
      <w:proofErr w:type="spellEnd"/>
      <w:r w:rsidRPr="0030611E">
        <w:rPr>
          <w:rFonts w:ascii="Times New Roman" w:eastAsia="Times New Roman" w:hAnsi="Times New Roman" w:cs="Times New Roman"/>
          <w:sz w:val="24"/>
          <w:szCs w:val="24"/>
        </w:rPr>
        <w:t xml:space="preserve"> et al., 2022). These conditions highlight the need for climate-resilient water-supply systems, strengthened nutrition programs, and targeted heat-adaptation strategies in drought-prone basins.</w:t>
      </w:r>
    </w:p>
    <w:p w14:paraId="0F20AD7A" w14:textId="77777777" w:rsidR="002E29C7" w:rsidRDefault="002E29C7" w:rsidP="002E29C7">
      <w:pPr>
        <w:spacing w:before="100" w:beforeAutospacing="1" w:after="100" w:afterAutospacing="1" w:line="360" w:lineRule="auto"/>
        <w:jc w:val="both"/>
        <w:rPr>
          <w:rFonts w:ascii="Times New Roman" w:eastAsia="Times New Roman" w:hAnsi="Times New Roman" w:cs="Times New Roman"/>
          <w:sz w:val="24"/>
          <w:szCs w:val="24"/>
        </w:rPr>
      </w:pPr>
      <w:r w:rsidRPr="0030611E">
        <w:rPr>
          <w:rFonts w:ascii="Times New Roman" w:eastAsia="Times New Roman" w:hAnsi="Times New Roman" w:cs="Times New Roman"/>
          <w:sz w:val="24"/>
          <w:szCs w:val="24"/>
        </w:rPr>
        <w:lastRenderedPageBreak/>
        <w:t xml:space="preserve">Declines in </w:t>
      </w:r>
      <w:proofErr w:type="spellStart"/>
      <w:r w:rsidRPr="0030611E">
        <w:rPr>
          <w:rFonts w:ascii="Times New Roman" w:eastAsia="Times New Roman" w:hAnsi="Times New Roman" w:cs="Times New Roman"/>
          <w:sz w:val="24"/>
          <w:szCs w:val="24"/>
        </w:rPr>
        <w:t>Belg</w:t>
      </w:r>
      <w:proofErr w:type="spellEnd"/>
      <w:r w:rsidRPr="0030611E">
        <w:rPr>
          <w:rFonts w:ascii="Times New Roman" w:eastAsia="Times New Roman" w:hAnsi="Times New Roman" w:cs="Times New Roman"/>
          <w:sz w:val="24"/>
          <w:szCs w:val="24"/>
        </w:rPr>
        <w:t xml:space="preserve"> rainfall across northern Ethiopia similarly pose significant risks to food security and maternal–child health. Reductions in early-season precipitation are closely linked to crop failure, diminished food diversity, and prolonged hunger periods, disproportionately affecting children, pregnant women, and other vulnerable populations (</w:t>
      </w:r>
      <w:proofErr w:type="spellStart"/>
      <w:r w:rsidRPr="0030611E">
        <w:rPr>
          <w:rFonts w:ascii="Times New Roman" w:eastAsia="Times New Roman" w:hAnsi="Times New Roman" w:cs="Times New Roman"/>
          <w:sz w:val="24"/>
          <w:szCs w:val="24"/>
        </w:rPr>
        <w:t>Demissie</w:t>
      </w:r>
      <w:proofErr w:type="spellEnd"/>
      <w:r w:rsidRPr="0030611E">
        <w:rPr>
          <w:rFonts w:ascii="Times New Roman" w:eastAsia="Times New Roman" w:hAnsi="Times New Roman" w:cs="Times New Roman"/>
          <w:sz w:val="24"/>
          <w:szCs w:val="24"/>
        </w:rPr>
        <w:t xml:space="preserve"> et al., 2024; </w:t>
      </w:r>
      <w:proofErr w:type="spellStart"/>
      <w:r w:rsidRPr="0030611E">
        <w:rPr>
          <w:rFonts w:ascii="Times New Roman" w:eastAsia="Times New Roman" w:hAnsi="Times New Roman" w:cs="Times New Roman"/>
          <w:sz w:val="24"/>
          <w:szCs w:val="24"/>
        </w:rPr>
        <w:t>Viste</w:t>
      </w:r>
      <w:proofErr w:type="spellEnd"/>
      <w:r w:rsidRPr="0030611E">
        <w:rPr>
          <w:rFonts w:ascii="Times New Roman" w:eastAsia="Times New Roman" w:hAnsi="Times New Roman" w:cs="Times New Roman"/>
          <w:sz w:val="24"/>
          <w:szCs w:val="24"/>
        </w:rPr>
        <w:t xml:space="preserve"> et al., 2013). Altered rainfall timing may also shift disease seasonality: suppressed early rains can influence mosquito breeding habitats and modify malaria transmission dynamics, while delayed replenishment of water sources may extend or postpone outbreaks of water-borne illnesses (</w:t>
      </w:r>
      <w:proofErr w:type="spellStart"/>
      <w:r w:rsidRPr="0030611E">
        <w:rPr>
          <w:rFonts w:ascii="Times New Roman" w:eastAsia="Times New Roman" w:hAnsi="Times New Roman" w:cs="Times New Roman"/>
          <w:sz w:val="24"/>
          <w:szCs w:val="24"/>
        </w:rPr>
        <w:t>Alemu</w:t>
      </w:r>
      <w:proofErr w:type="spellEnd"/>
      <w:r w:rsidRPr="0030611E">
        <w:rPr>
          <w:rFonts w:ascii="Times New Roman" w:eastAsia="Times New Roman" w:hAnsi="Times New Roman" w:cs="Times New Roman"/>
          <w:sz w:val="24"/>
          <w:szCs w:val="24"/>
        </w:rPr>
        <w:t xml:space="preserve"> et al., 2011; </w:t>
      </w:r>
      <w:proofErr w:type="spellStart"/>
      <w:r w:rsidRPr="0030611E">
        <w:rPr>
          <w:rFonts w:ascii="Times New Roman" w:eastAsia="Times New Roman" w:hAnsi="Times New Roman" w:cs="Times New Roman"/>
          <w:sz w:val="24"/>
          <w:szCs w:val="24"/>
        </w:rPr>
        <w:t>Debebe</w:t>
      </w:r>
      <w:proofErr w:type="spellEnd"/>
      <w:r w:rsidRPr="0030611E">
        <w:rPr>
          <w:rFonts w:ascii="Times New Roman" w:eastAsia="Times New Roman" w:hAnsi="Times New Roman" w:cs="Times New Roman"/>
          <w:sz w:val="24"/>
          <w:szCs w:val="24"/>
        </w:rPr>
        <w:t xml:space="preserve"> et al., 2020). Together, these climatic shifts emphasize the importance of integrated food-security planning and climate-sensitive health surveillance systems in northern Ethiopia.</w:t>
      </w:r>
    </w:p>
    <w:p w14:paraId="73ABD8D7" w14:textId="25425ED4" w:rsidR="002E29C7" w:rsidRPr="0030611E" w:rsidRDefault="002E29C7" w:rsidP="002E29C7">
      <w:pPr>
        <w:spacing w:before="100" w:beforeAutospacing="1" w:after="100" w:afterAutospacing="1" w:line="360" w:lineRule="auto"/>
        <w:jc w:val="both"/>
        <w:rPr>
          <w:rFonts w:ascii="Times New Roman" w:eastAsia="Times New Roman" w:hAnsi="Times New Roman" w:cs="Times New Roman"/>
          <w:sz w:val="24"/>
          <w:szCs w:val="24"/>
        </w:rPr>
      </w:pPr>
      <w:r w:rsidRPr="0030611E">
        <w:rPr>
          <w:rFonts w:ascii="Times New Roman" w:eastAsia="Times New Roman" w:hAnsi="Times New Roman" w:cs="Times New Roman"/>
          <w:sz w:val="24"/>
          <w:szCs w:val="24"/>
        </w:rPr>
        <w:t>Rising potential evapotranspiration (</w:t>
      </w:r>
      <w:proofErr w:type="spellStart"/>
      <w:proofErr w:type="gramStart"/>
      <w:r w:rsidR="009528F8">
        <w:t>ET</w:t>
      </w:r>
      <w:r w:rsidR="009528F8" w:rsidRPr="008F0EFE">
        <w:rPr>
          <w:vertAlign w:val="subscript"/>
        </w:rPr>
        <w:t>o</w:t>
      </w:r>
      <w:proofErr w:type="spellEnd"/>
      <w:proofErr w:type="gramEnd"/>
      <w:r w:rsidRPr="0030611E">
        <w:rPr>
          <w:rFonts w:ascii="Times New Roman" w:eastAsia="Times New Roman" w:hAnsi="Times New Roman" w:cs="Times New Roman"/>
          <w:sz w:val="24"/>
          <w:szCs w:val="24"/>
        </w:rPr>
        <w:t xml:space="preserve">) across much of Ethiopia intensifies atmospheric dryness and thermal stress, contributing to higher risks of dehydration, heat exhaustion, heatstroke, and cardiovascular strain, particularly among outdoor workers and urban populations experiencing elevated temperatures. Empirical evidence from East Africa indicates that increasing temperatures and evaporative demand are closely associated with heightened heat-related morbidity and mortality (Wang et al., 2023; </w:t>
      </w:r>
      <w:proofErr w:type="spellStart"/>
      <w:r w:rsidRPr="0030611E">
        <w:rPr>
          <w:rFonts w:ascii="Times New Roman" w:eastAsia="Times New Roman" w:hAnsi="Times New Roman" w:cs="Times New Roman"/>
          <w:sz w:val="24"/>
          <w:szCs w:val="24"/>
        </w:rPr>
        <w:t>Wondimagegn</w:t>
      </w:r>
      <w:proofErr w:type="spellEnd"/>
      <w:r w:rsidRPr="0030611E">
        <w:rPr>
          <w:rFonts w:ascii="Times New Roman" w:eastAsia="Times New Roman" w:hAnsi="Times New Roman" w:cs="Times New Roman"/>
          <w:sz w:val="24"/>
          <w:szCs w:val="24"/>
        </w:rPr>
        <w:t xml:space="preserve"> et al., 2022). Elevated </w:t>
      </w:r>
      <w:proofErr w:type="spellStart"/>
      <w:proofErr w:type="gramStart"/>
      <w:r w:rsidR="009528F8">
        <w:t>ET</w:t>
      </w:r>
      <w:r w:rsidR="009528F8" w:rsidRPr="008F0EFE">
        <w:rPr>
          <w:vertAlign w:val="subscript"/>
        </w:rPr>
        <w:t>o</w:t>
      </w:r>
      <w:proofErr w:type="spellEnd"/>
      <w:proofErr w:type="gramEnd"/>
      <w:r w:rsidRPr="0030611E">
        <w:rPr>
          <w:rFonts w:ascii="Times New Roman" w:eastAsia="Times New Roman" w:hAnsi="Times New Roman" w:cs="Times New Roman"/>
          <w:sz w:val="24"/>
          <w:szCs w:val="24"/>
        </w:rPr>
        <w:t xml:space="preserve"> also places additional strain on already limited freshwater resources, indirectly influencing sanitation and hygiene. Studies in drought-prone areas show that declining water availability leads to reduced hygiene practices and greater reliance on unsafe water sources, resulting in increased diarrhea disease incidence (</w:t>
      </w:r>
      <w:proofErr w:type="spellStart"/>
      <w:r w:rsidRPr="0030611E">
        <w:rPr>
          <w:rFonts w:ascii="Times New Roman" w:eastAsia="Times New Roman" w:hAnsi="Times New Roman" w:cs="Times New Roman"/>
          <w:sz w:val="24"/>
          <w:szCs w:val="24"/>
        </w:rPr>
        <w:t>Asfaw</w:t>
      </w:r>
      <w:proofErr w:type="spellEnd"/>
      <w:r w:rsidRPr="0030611E">
        <w:rPr>
          <w:rFonts w:ascii="Times New Roman" w:eastAsia="Times New Roman" w:hAnsi="Times New Roman" w:cs="Times New Roman"/>
          <w:sz w:val="24"/>
          <w:szCs w:val="24"/>
        </w:rPr>
        <w:t xml:space="preserve"> et al., 2020).</w:t>
      </w:r>
    </w:p>
    <w:p w14:paraId="22AAA0CD" w14:textId="77777777" w:rsidR="002E29C7" w:rsidRPr="0030611E" w:rsidRDefault="002E29C7" w:rsidP="002E29C7">
      <w:pPr>
        <w:spacing w:before="100" w:beforeAutospacing="1" w:after="100" w:afterAutospacing="1" w:line="360" w:lineRule="auto"/>
        <w:jc w:val="both"/>
        <w:rPr>
          <w:rFonts w:ascii="Times New Roman" w:eastAsia="Times New Roman" w:hAnsi="Times New Roman" w:cs="Times New Roman"/>
          <w:sz w:val="24"/>
          <w:szCs w:val="24"/>
        </w:rPr>
      </w:pPr>
      <w:r w:rsidRPr="0030611E">
        <w:rPr>
          <w:rFonts w:ascii="Times New Roman" w:eastAsia="Times New Roman" w:hAnsi="Times New Roman" w:cs="Times New Roman"/>
          <w:sz w:val="24"/>
          <w:szCs w:val="24"/>
        </w:rPr>
        <w:t>High inter-annual variability in rainfall further amplifies climate-sensitive health risks. Years with anomalously high precipitation can increase the burden of vector-borne and water-borne diseases; for example, unusually wet conditions have been linked to malaria epidemics and acute watery diarrhea outbreaks across multiple regions of Ethiopia (</w:t>
      </w:r>
      <w:proofErr w:type="spellStart"/>
      <w:r w:rsidRPr="0030611E">
        <w:rPr>
          <w:rFonts w:ascii="Times New Roman" w:eastAsia="Times New Roman" w:hAnsi="Times New Roman" w:cs="Times New Roman"/>
          <w:sz w:val="24"/>
          <w:szCs w:val="24"/>
        </w:rPr>
        <w:t>Alemu</w:t>
      </w:r>
      <w:proofErr w:type="spellEnd"/>
      <w:r w:rsidRPr="0030611E">
        <w:rPr>
          <w:rFonts w:ascii="Times New Roman" w:eastAsia="Times New Roman" w:hAnsi="Times New Roman" w:cs="Times New Roman"/>
          <w:sz w:val="24"/>
          <w:szCs w:val="24"/>
        </w:rPr>
        <w:t xml:space="preserve"> et al., 2011; </w:t>
      </w:r>
      <w:proofErr w:type="spellStart"/>
      <w:r w:rsidRPr="0030611E">
        <w:rPr>
          <w:rFonts w:ascii="Times New Roman" w:eastAsia="Times New Roman" w:hAnsi="Times New Roman" w:cs="Times New Roman"/>
          <w:sz w:val="24"/>
          <w:szCs w:val="24"/>
        </w:rPr>
        <w:t>Debebe</w:t>
      </w:r>
      <w:proofErr w:type="spellEnd"/>
      <w:r w:rsidRPr="0030611E">
        <w:rPr>
          <w:rFonts w:ascii="Times New Roman" w:eastAsia="Times New Roman" w:hAnsi="Times New Roman" w:cs="Times New Roman"/>
          <w:sz w:val="24"/>
          <w:szCs w:val="24"/>
        </w:rPr>
        <w:t xml:space="preserve"> et al., 2020). Conversely, dry years exacerbate malnutrition, psychosocial stress, and water scarcity. Evidence from drought-affected areas consistently identifies food insecurity as a major driver of under nutrition and adverse maternal–child health outcomes (</w:t>
      </w:r>
      <w:proofErr w:type="spellStart"/>
      <w:r w:rsidRPr="0030611E">
        <w:rPr>
          <w:rFonts w:ascii="Times New Roman" w:eastAsia="Times New Roman" w:hAnsi="Times New Roman" w:cs="Times New Roman"/>
          <w:sz w:val="24"/>
          <w:szCs w:val="24"/>
        </w:rPr>
        <w:t>Gebremeskel</w:t>
      </w:r>
      <w:proofErr w:type="spellEnd"/>
      <w:r w:rsidRPr="0030611E">
        <w:rPr>
          <w:rFonts w:ascii="Times New Roman" w:eastAsia="Times New Roman" w:hAnsi="Times New Roman" w:cs="Times New Roman"/>
          <w:sz w:val="24"/>
          <w:szCs w:val="24"/>
        </w:rPr>
        <w:t xml:space="preserve"> et al., 2021; </w:t>
      </w:r>
      <w:proofErr w:type="spellStart"/>
      <w:r w:rsidRPr="0030611E">
        <w:rPr>
          <w:rFonts w:ascii="Times New Roman" w:eastAsia="Times New Roman" w:hAnsi="Times New Roman" w:cs="Times New Roman"/>
          <w:sz w:val="24"/>
          <w:szCs w:val="24"/>
        </w:rPr>
        <w:t>Hadgu</w:t>
      </w:r>
      <w:proofErr w:type="spellEnd"/>
      <w:r w:rsidRPr="0030611E">
        <w:rPr>
          <w:rFonts w:ascii="Times New Roman" w:eastAsia="Times New Roman" w:hAnsi="Times New Roman" w:cs="Times New Roman"/>
          <w:sz w:val="24"/>
          <w:szCs w:val="24"/>
        </w:rPr>
        <w:t xml:space="preserve"> et al., 2023). These contrasting risks underscore the need for climate-based early warning systems, strengthened disease surveillance, and flexible public health strategies capable of responding to rapid hydro climatic fluctuations.</w:t>
      </w:r>
    </w:p>
    <w:p w14:paraId="06E79325" w14:textId="641D7528" w:rsidR="002E29C7" w:rsidRPr="0030611E" w:rsidRDefault="002E29C7" w:rsidP="002E29C7">
      <w:pPr>
        <w:spacing w:before="100" w:beforeAutospacing="1" w:after="100" w:afterAutospacing="1" w:line="360" w:lineRule="auto"/>
        <w:jc w:val="both"/>
        <w:rPr>
          <w:rFonts w:ascii="Times New Roman" w:eastAsia="Times New Roman" w:hAnsi="Times New Roman" w:cs="Times New Roman"/>
          <w:sz w:val="24"/>
          <w:szCs w:val="24"/>
        </w:rPr>
      </w:pPr>
      <w:r w:rsidRPr="0030611E">
        <w:rPr>
          <w:rFonts w:ascii="Times New Roman" w:eastAsia="Times New Roman" w:hAnsi="Times New Roman" w:cs="Times New Roman"/>
          <w:sz w:val="24"/>
          <w:szCs w:val="24"/>
        </w:rPr>
        <w:t>Overall, the findings highlight the importance of systematically integr</w:t>
      </w:r>
      <w:r>
        <w:rPr>
          <w:rFonts w:ascii="Times New Roman" w:eastAsia="Times New Roman" w:hAnsi="Times New Roman" w:cs="Times New Roman"/>
          <w:sz w:val="24"/>
          <w:szCs w:val="24"/>
        </w:rPr>
        <w:t xml:space="preserve">ating hydro climatic information </w:t>
      </w:r>
      <w:r w:rsidRPr="0030611E">
        <w:rPr>
          <w:rFonts w:ascii="Times New Roman" w:eastAsia="Times New Roman" w:hAnsi="Times New Roman" w:cs="Times New Roman"/>
          <w:sz w:val="24"/>
          <w:szCs w:val="24"/>
        </w:rPr>
        <w:t xml:space="preserve">including rainfall variability, </w:t>
      </w:r>
      <w:proofErr w:type="spellStart"/>
      <w:proofErr w:type="gramStart"/>
      <w:r w:rsidR="009528F8">
        <w:t>ET</w:t>
      </w:r>
      <w:r w:rsidR="009528F8" w:rsidRPr="008F0EFE">
        <w:rPr>
          <w:vertAlign w:val="subscript"/>
        </w:rPr>
        <w:t>o</w:t>
      </w:r>
      <w:proofErr w:type="spellEnd"/>
      <w:proofErr w:type="gramEnd"/>
      <w:r w:rsidRPr="0030611E">
        <w:rPr>
          <w:rFonts w:ascii="Times New Roman" w:eastAsia="Times New Roman" w:hAnsi="Times New Roman" w:cs="Times New Roman"/>
          <w:sz w:val="24"/>
          <w:szCs w:val="24"/>
        </w:rPr>
        <w:t xml:space="preserve"> dynamics, and basin-level water </w:t>
      </w:r>
      <w:r>
        <w:rPr>
          <w:rFonts w:ascii="Times New Roman" w:eastAsia="Times New Roman" w:hAnsi="Times New Roman" w:cs="Times New Roman"/>
          <w:sz w:val="24"/>
          <w:szCs w:val="24"/>
        </w:rPr>
        <w:t xml:space="preserve">balance </w:t>
      </w:r>
      <w:r w:rsidRPr="0030611E">
        <w:rPr>
          <w:rFonts w:ascii="Times New Roman" w:eastAsia="Times New Roman" w:hAnsi="Times New Roman" w:cs="Times New Roman"/>
          <w:sz w:val="24"/>
          <w:szCs w:val="24"/>
        </w:rPr>
        <w:t xml:space="preserve">into public health planning and disease prevention. Developing basin-specific health adaptation frameworks will be essential for managing climate-related health risks, particularly in regions experiencing significant water stress or extreme rainfall variability. Key priorities include expanding water and sanitation infrastructure, enhancing vector control, addressing nutrition insecurity, and improving the resilience of health systems to climatic extremes. Future </w:t>
      </w:r>
      <w:r w:rsidRPr="0030611E">
        <w:rPr>
          <w:rFonts w:ascii="Times New Roman" w:eastAsia="Times New Roman" w:hAnsi="Times New Roman" w:cs="Times New Roman"/>
          <w:sz w:val="24"/>
          <w:szCs w:val="24"/>
        </w:rPr>
        <w:lastRenderedPageBreak/>
        <w:t>research should focus on quantifying relationships between hydro climatic variability and disease patterns across Ethiopia’s diverse climatic zones to inform early warning systems and long-term adaptation strategies.</w:t>
      </w:r>
    </w:p>
    <w:p w14:paraId="4ACB5588" w14:textId="66058FEF" w:rsidR="00A0143B" w:rsidRPr="00022CA4" w:rsidRDefault="00A0143B" w:rsidP="00A0143B">
      <w:pPr>
        <w:pStyle w:val="Heading3"/>
        <w:rPr>
          <w:rFonts w:ascii="Times New Roman" w:hAnsi="Times New Roman" w:cs="Times New Roman"/>
          <w:b/>
          <w:bCs/>
          <w:color w:val="auto"/>
        </w:rPr>
      </w:pPr>
      <w:r w:rsidRPr="00677389">
        <w:rPr>
          <w:rFonts w:ascii="Times New Roman" w:hAnsi="Times New Roman" w:cs="Times New Roman"/>
          <w:b/>
          <w:bCs/>
          <w:color w:val="auto"/>
        </w:rPr>
        <w:t>4.4.2 Limitations of the study</w:t>
      </w:r>
      <w:r w:rsidRPr="00022CA4">
        <w:rPr>
          <w:rFonts w:ascii="Times New Roman" w:hAnsi="Times New Roman" w:cs="Times New Roman"/>
          <w:b/>
          <w:bCs/>
          <w:color w:val="auto"/>
        </w:rPr>
        <w:t xml:space="preserve"> </w:t>
      </w:r>
    </w:p>
    <w:p w14:paraId="0B66FFCB" w14:textId="77777777" w:rsidR="00677389" w:rsidRPr="00677389" w:rsidRDefault="00677389" w:rsidP="00677389">
      <w:pPr>
        <w:widowControl/>
        <w:autoSpaceDE/>
        <w:autoSpaceDN/>
        <w:spacing w:before="100" w:beforeAutospacing="1" w:after="100" w:afterAutospacing="1" w:line="360" w:lineRule="auto"/>
        <w:jc w:val="both"/>
        <w:rPr>
          <w:rFonts w:ascii="Times New Roman" w:eastAsia="Times New Roman" w:hAnsi="Times New Roman" w:cs="Times New Roman"/>
          <w:sz w:val="24"/>
          <w:szCs w:val="24"/>
        </w:rPr>
      </w:pPr>
      <w:r w:rsidRPr="00677389">
        <w:rPr>
          <w:rFonts w:ascii="Times New Roman" w:eastAsia="Times New Roman" w:hAnsi="Times New Roman" w:cs="Times New Roman"/>
          <w:sz w:val="24"/>
          <w:szCs w:val="24"/>
        </w:rPr>
        <w:t xml:space="preserve">The main limitations of this study arise from relying on spatially averaged data to characterize basin-scale conditions. Although this approach offers a general perspective, it can obscure important small-scale variability that may matter for localized evaluations. In addition, the analysis centers on reference evapotranspiration, which reflects the atmospheric demand over a standardized, well-watered grass surface. Actual evapotranspiration, however, varies across land cover types and depends on soil moisture, meaning that real water balance conditions can differ from the reference-based estimates. Future work could be strengthened by incorporating higher-resolution climate inputs (for example, datasets derived from at least 600 stations or dense gridded products across Ethiopia), integrating actual evapotranspiration estimates from remote sensing or land surface modeling, and examining how year-to-year variability and long-term climate shifts influence water balance dynamics. Assessing the occurrence and severity of extreme rainfall events would also improve understanding of the country’s </w:t>
      </w:r>
      <w:proofErr w:type="spellStart"/>
      <w:r w:rsidRPr="00677389">
        <w:rPr>
          <w:rFonts w:ascii="Times New Roman" w:eastAsia="Times New Roman" w:hAnsi="Times New Roman" w:cs="Times New Roman"/>
          <w:sz w:val="24"/>
          <w:szCs w:val="24"/>
        </w:rPr>
        <w:t>hydroclimatic</w:t>
      </w:r>
      <w:proofErr w:type="spellEnd"/>
      <w:r w:rsidRPr="00677389">
        <w:rPr>
          <w:rFonts w:ascii="Times New Roman" w:eastAsia="Times New Roman" w:hAnsi="Times New Roman" w:cs="Times New Roman"/>
          <w:sz w:val="24"/>
          <w:szCs w:val="24"/>
        </w:rPr>
        <w:t xml:space="preserve"> vulnerabilities.</w:t>
      </w:r>
    </w:p>
    <w:p w14:paraId="096FD1A9" w14:textId="7940FA55" w:rsidR="00677389" w:rsidRPr="00677389" w:rsidRDefault="00677389" w:rsidP="00677389">
      <w:pPr>
        <w:widowControl/>
        <w:autoSpaceDE/>
        <w:autoSpaceDN/>
        <w:spacing w:before="100" w:beforeAutospacing="1" w:after="100" w:afterAutospacing="1" w:line="360" w:lineRule="auto"/>
        <w:jc w:val="both"/>
        <w:rPr>
          <w:rFonts w:ascii="Times New Roman" w:eastAsia="Times New Roman" w:hAnsi="Times New Roman" w:cs="Times New Roman"/>
          <w:sz w:val="24"/>
          <w:szCs w:val="24"/>
        </w:rPr>
      </w:pPr>
      <w:r w:rsidRPr="00677389">
        <w:rPr>
          <w:rFonts w:ascii="Times New Roman" w:eastAsia="Times New Roman" w:hAnsi="Times New Roman" w:cs="Times New Roman"/>
          <w:sz w:val="24"/>
          <w:szCs w:val="24"/>
        </w:rPr>
        <w:t xml:space="preserve">The extremely wide range of annual CWB </w:t>
      </w:r>
      <w:r>
        <w:rPr>
          <w:rFonts w:ascii="Times New Roman" w:eastAsia="Times New Roman" w:hAnsi="Times New Roman" w:cs="Times New Roman"/>
          <w:sz w:val="24"/>
          <w:szCs w:val="24"/>
        </w:rPr>
        <w:t xml:space="preserve">coefficient of variation values </w:t>
      </w:r>
      <w:r w:rsidRPr="00677389">
        <w:rPr>
          <w:rFonts w:ascii="Times New Roman" w:eastAsia="Times New Roman" w:hAnsi="Times New Roman" w:cs="Times New Roman"/>
          <w:sz w:val="24"/>
          <w:szCs w:val="24"/>
        </w:rPr>
        <w:t>from r</w:t>
      </w:r>
      <w:r>
        <w:rPr>
          <w:rFonts w:ascii="Times New Roman" w:eastAsia="Times New Roman" w:hAnsi="Times New Roman" w:cs="Times New Roman"/>
          <w:sz w:val="24"/>
          <w:szCs w:val="24"/>
        </w:rPr>
        <w:t xml:space="preserve">oughly 4% up to more than 2000% </w:t>
      </w:r>
      <w:r w:rsidRPr="00677389">
        <w:rPr>
          <w:rFonts w:ascii="Times New Roman" w:eastAsia="Times New Roman" w:hAnsi="Times New Roman" w:cs="Times New Roman"/>
          <w:sz w:val="24"/>
          <w:szCs w:val="24"/>
        </w:rPr>
        <w:t>should be interpreted with caution. These values may be affected by the chosen calculation method, particularly the use of absolute CWB magnitudes when computing mean CV to avoid negative values. This procedure can artificially inflate variability in areas where mean CWB is close to zero, producing disproportionately large percentage variations.</w:t>
      </w:r>
    </w:p>
    <w:p w14:paraId="1D21BF29" w14:textId="1BA93C1B" w:rsidR="007B46CB" w:rsidRPr="00022CA4" w:rsidRDefault="004469DE" w:rsidP="005C21CD">
      <w:pPr>
        <w:pStyle w:val="Heading1"/>
        <w:tabs>
          <w:tab w:val="left" w:pos="1269"/>
        </w:tabs>
        <w:spacing w:before="240" w:after="240" w:line="360" w:lineRule="auto"/>
        <w:ind w:left="0" w:firstLine="0"/>
        <w:rPr>
          <w:sz w:val="32"/>
          <w:szCs w:val="32"/>
        </w:rPr>
      </w:pPr>
      <w:r w:rsidRPr="00022CA4">
        <w:rPr>
          <w:sz w:val="32"/>
          <w:szCs w:val="32"/>
        </w:rPr>
        <w:t>5</w:t>
      </w:r>
      <w:r w:rsidR="00A66FC8" w:rsidRPr="00022CA4">
        <w:rPr>
          <w:sz w:val="32"/>
          <w:szCs w:val="32"/>
        </w:rPr>
        <w:t xml:space="preserve">. </w:t>
      </w:r>
      <w:r w:rsidR="00177A6D" w:rsidRPr="00022CA4">
        <w:rPr>
          <w:sz w:val="32"/>
          <w:szCs w:val="32"/>
        </w:rPr>
        <w:t xml:space="preserve">Conclusions and Recommendations </w:t>
      </w:r>
    </w:p>
    <w:p w14:paraId="700CD5D2" w14:textId="7CA811BC" w:rsidR="007B46CB" w:rsidRPr="00022CA4" w:rsidRDefault="005C21CD" w:rsidP="0015525E">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t>5.1</w:t>
      </w:r>
      <w:r w:rsidR="007B46CB" w:rsidRPr="00022CA4">
        <w:rPr>
          <w:rFonts w:ascii="Times New Roman" w:hAnsi="Times New Roman" w:cs="Times New Roman"/>
          <w:color w:val="auto"/>
          <w:sz w:val="28"/>
          <w:szCs w:val="28"/>
        </w:rPr>
        <w:t xml:space="preserve"> Conclusions </w:t>
      </w:r>
    </w:p>
    <w:p w14:paraId="4FD240F2" w14:textId="77777777" w:rsidR="008D7AFE" w:rsidRDefault="008D7AFE" w:rsidP="008D7AFE">
      <w:pPr>
        <w:pStyle w:val="NormalWeb"/>
        <w:spacing w:line="360" w:lineRule="auto"/>
        <w:jc w:val="both"/>
      </w:pPr>
      <w:r>
        <w:t xml:space="preserve">This study establishes important reference points for understanding how rainfall, reference evapotranspiration, and climatic water balance vary across space and time in Ethiopia, along with their implications for climate-sensitive public health concerns. The detailed assessment of </w:t>
      </w:r>
      <w:proofErr w:type="spellStart"/>
      <w:r>
        <w:t>hydroclimatic</w:t>
      </w:r>
      <w:proofErr w:type="spellEnd"/>
      <w:r>
        <w:t xml:space="preserve"> conditions from 1980 to 2021 offers essential insights for addressing the evolving challenges and opportunities within the health sector. Marked spatial differences in baseline rainfall and water balance underscore the need to adopt region-specific health and disease-prevention strategies. The widespread rise in evapotranspiration across the country further highlights the urgency of promoting water-efficient practices and climate-informed disease management to maintain adequate moisture conditions.</w:t>
      </w:r>
    </w:p>
    <w:p w14:paraId="501271D5" w14:textId="5DB488A7" w:rsidR="008D7AFE" w:rsidRDefault="008D7AFE" w:rsidP="008D7AFE">
      <w:pPr>
        <w:pStyle w:val="NormalWeb"/>
        <w:spacing w:line="360" w:lineRule="auto"/>
        <w:jc w:val="both"/>
      </w:pPr>
      <w:r>
        <w:lastRenderedPageBreak/>
        <w:t xml:space="preserve">In addition to spatial differences, the observed temporal trends and natural variability of </w:t>
      </w:r>
      <w:proofErr w:type="spellStart"/>
      <w:r>
        <w:t>hydroclimatic</w:t>
      </w:r>
      <w:proofErr w:type="spellEnd"/>
      <w:r>
        <w:t xml:space="preserve"> indicators carry major implications for long-term climate-related disease control. The more extensive and significant increase in evapotrans</w:t>
      </w:r>
      <w:r w:rsidR="00DC0449">
        <w:t xml:space="preserve">piration compared with rainfall </w:t>
      </w:r>
      <w:r>
        <w:t xml:space="preserve">along with declining rainfall during the </w:t>
      </w:r>
      <w:proofErr w:type="spellStart"/>
      <w:r>
        <w:t>Bel</w:t>
      </w:r>
      <w:r w:rsidR="00DC0449">
        <w:t>g</w:t>
      </w:r>
      <w:proofErr w:type="spellEnd"/>
      <w:r w:rsidR="00DC0449">
        <w:t xml:space="preserve"> season in some northern areas </w:t>
      </w:r>
      <w:r>
        <w:t>points to a heightened risk of water stress in already fragile regions. Considerable year-to-year fluctuations in rainfall and water balance also reinforce the importance of adaptive, climate-aware health planning. Overall, the findings stress the value of systematically incorpor</w:t>
      </w:r>
      <w:r w:rsidR="00DC0449">
        <w:t xml:space="preserve">ating </w:t>
      </w:r>
      <w:proofErr w:type="spellStart"/>
      <w:r w:rsidR="00DC0449">
        <w:t>hydroclimatic</w:t>
      </w:r>
      <w:proofErr w:type="spellEnd"/>
      <w:r w:rsidR="00DC0449">
        <w:t xml:space="preserve"> information </w:t>
      </w:r>
      <w:r>
        <w:t xml:space="preserve">including rainfall variability, </w:t>
      </w:r>
      <w:proofErr w:type="spellStart"/>
      <w:proofErr w:type="gramStart"/>
      <w:r w:rsidR="009528F8">
        <w:t>ET</w:t>
      </w:r>
      <w:r w:rsidR="009528F8" w:rsidRPr="008F0EFE">
        <w:rPr>
          <w:vertAlign w:val="subscript"/>
        </w:rPr>
        <w:t>o</w:t>
      </w:r>
      <w:proofErr w:type="spellEnd"/>
      <w:proofErr w:type="gramEnd"/>
      <w:r>
        <w:t xml:space="preserve"> behavior</w:t>
      </w:r>
      <w:r w:rsidR="00DC0449">
        <w:t xml:space="preserve">, and basin-level water balance </w:t>
      </w:r>
      <w:r>
        <w:t>into public health decision-making and disease prevention efforts.</w:t>
      </w:r>
    </w:p>
    <w:p w14:paraId="6EA5E420" w14:textId="77777777" w:rsidR="008D7AFE" w:rsidRDefault="008D7AFE" w:rsidP="008D7AFE">
      <w:pPr>
        <w:pStyle w:val="NormalWeb"/>
        <w:spacing w:line="360" w:lineRule="auto"/>
        <w:jc w:val="both"/>
      </w:pPr>
      <w:r>
        <w:t xml:space="preserve">Developing basin-specific health adaptation frameworks will be crucial for managing climate-related health risks, especially in areas facing severe water shortages or extreme rainfall variability. Priority actions include expanding water and sanitation infrastructure, strengthening vector-control programs, addressing nutrition-related vulnerabilities, and improving the resilience of health systems to climatic extremes. Future studies should aim to quantify how </w:t>
      </w:r>
      <w:proofErr w:type="spellStart"/>
      <w:r>
        <w:t>hydroclimatic</w:t>
      </w:r>
      <w:proofErr w:type="spellEnd"/>
      <w:r>
        <w:t xml:space="preserve"> variability influences disease patterns across Ethiopia’s diverse climate zones to support effective early-warning systems and long-term adaptation planning.</w:t>
      </w:r>
    </w:p>
    <w:p w14:paraId="45AE7534" w14:textId="530355C0" w:rsidR="005C21CD" w:rsidRPr="00022CA4" w:rsidRDefault="005C21CD" w:rsidP="005C21CD">
      <w:pPr>
        <w:pStyle w:val="Heading2"/>
        <w:spacing w:after="240" w:line="360" w:lineRule="auto"/>
        <w:rPr>
          <w:rFonts w:ascii="Times New Roman" w:hAnsi="Times New Roman" w:cs="Times New Roman"/>
          <w:color w:val="auto"/>
          <w:sz w:val="28"/>
          <w:szCs w:val="28"/>
        </w:rPr>
      </w:pPr>
      <w:r w:rsidRPr="00022CA4">
        <w:rPr>
          <w:rFonts w:ascii="Times New Roman" w:hAnsi="Times New Roman" w:cs="Times New Roman"/>
          <w:color w:val="auto"/>
          <w:sz w:val="28"/>
          <w:szCs w:val="28"/>
        </w:rPr>
        <w:t xml:space="preserve">5.2 Recommendations </w:t>
      </w:r>
    </w:p>
    <w:p w14:paraId="596F1630" w14:textId="4A679BC2" w:rsidR="004524B1" w:rsidRPr="004524B1" w:rsidRDefault="004524B1" w:rsidP="004524B1">
      <w:pPr>
        <w:pStyle w:val="BodyText"/>
        <w:spacing w:before="240" w:after="240" w:line="360" w:lineRule="auto"/>
        <w:jc w:val="both"/>
        <w:rPr>
          <w:rFonts w:ascii="Times New Roman" w:hAnsi="Times New Roman" w:cs="Times New Roman"/>
          <w:sz w:val="24"/>
          <w:szCs w:val="24"/>
        </w:rPr>
      </w:pPr>
      <w:r w:rsidRPr="004524B1">
        <w:rPr>
          <w:rFonts w:ascii="Times New Roman" w:hAnsi="Times New Roman" w:cs="Times New Roman"/>
          <w:sz w:val="24"/>
          <w:szCs w:val="24"/>
        </w:rPr>
        <w:t>A focused investigation into Ethiopia’s hydro-climatic variability is essential for strengthening public health preparedness in the face of evolving climate-sensitive disease risks. Shifts in rainfall patterns, potential evapotranspiration (</w:t>
      </w:r>
      <w:proofErr w:type="spellStart"/>
      <w:proofErr w:type="gramStart"/>
      <w:r w:rsidR="009528F8">
        <w:t>ET</w:t>
      </w:r>
      <w:r w:rsidR="009528F8" w:rsidRPr="008F0EFE">
        <w:rPr>
          <w:vertAlign w:val="subscript"/>
        </w:rPr>
        <w:t>o</w:t>
      </w:r>
      <w:proofErr w:type="spellEnd"/>
      <w:proofErr w:type="gramEnd"/>
      <w:r w:rsidRPr="004524B1">
        <w:rPr>
          <w:rFonts w:ascii="Times New Roman" w:hAnsi="Times New Roman" w:cs="Times New Roman"/>
          <w:sz w:val="24"/>
          <w:szCs w:val="24"/>
        </w:rPr>
        <w:t>), and climatic water balance (CWB) directly shape ecological conditions that support vector proliferation, influence water and food security, and heighten exposure to heat and hydrological extremes. Given Ethiopia’s diverse climatic zones and substantial reliance on rainfall-driven systems, understanding how these hydro-climatic changes translate into altered disease dynamics is vital. It is recommended that future research prioritize quantifying the causal pathways linking hydro-climatic fluctuations with disease incidence, integrating spatially resolved climate diagnostics with epidemiological data. Such work will provide the evidence base needed to guide region-specific health adaptation strategies, strengthen early-warning systems, and enhance the resilience of vulnerable populations under a changing climate.</w:t>
      </w:r>
    </w:p>
    <w:p w14:paraId="51980D13" w14:textId="15B31EB5" w:rsidR="005F2507" w:rsidRPr="00022CA4" w:rsidRDefault="005F2507" w:rsidP="005F2507">
      <w:pPr>
        <w:pStyle w:val="BodyText"/>
        <w:spacing w:before="240" w:after="240" w:line="360" w:lineRule="auto"/>
        <w:rPr>
          <w:rFonts w:ascii="Times New Roman" w:hAnsi="Times New Roman" w:cs="Times New Roman"/>
          <w:b/>
          <w:bCs/>
          <w:sz w:val="24"/>
          <w:szCs w:val="24"/>
        </w:rPr>
      </w:pPr>
      <w:r w:rsidRPr="00022CA4">
        <w:rPr>
          <w:rFonts w:ascii="Times New Roman" w:hAnsi="Times New Roman" w:cs="Times New Roman"/>
          <w:b/>
          <w:bCs/>
          <w:sz w:val="24"/>
          <w:szCs w:val="24"/>
        </w:rPr>
        <w:t>Acknowledgments</w:t>
      </w:r>
    </w:p>
    <w:p w14:paraId="4AF2255C" w14:textId="15A16EBC" w:rsidR="006C23FE" w:rsidRPr="006C23FE" w:rsidRDefault="006C23FE" w:rsidP="005F2507">
      <w:pPr>
        <w:spacing w:before="240" w:after="240" w:line="360" w:lineRule="auto"/>
        <w:rPr>
          <w:rFonts w:ascii="Times New Roman" w:hAnsi="Times New Roman" w:cs="Times New Roman"/>
          <w:sz w:val="24"/>
          <w:szCs w:val="24"/>
        </w:rPr>
      </w:pPr>
      <w:r w:rsidRPr="006C23FE">
        <w:rPr>
          <w:rFonts w:ascii="Times New Roman" w:hAnsi="Times New Roman" w:cs="Times New Roman"/>
          <w:sz w:val="24"/>
          <w:szCs w:val="24"/>
        </w:rPr>
        <w:t>The authors sincerely thank the anonymous reviewers for evaluating the final manuscript, the Ethiopian Meteorology Institute (EMI) for granting permission to carry out this research, the creators of the five data sets utilized in the study, and EMI for supplying long-term climate data used to validate these data sets.</w:t>
      </w:r>
    </w:p>
    <w:p w14:paraId="563C3CD4" w14:textId="77777777" w:rsidR="006C23FE" w:rsidRDefault="006C23FE" w:rsidP="005F2507">
      <w:pPr>
        <w:spacing w:before="240" w:after="240" w:line="360" w:lineRule="auto"/>
      </w:pPr>
    </w:p>
    <w:p w14:paraId="4783BDDF" w14:textId="46900BCB" w:rsidR="005F2507" w:rsidRPr="00022CA4" w:rsidRDefault="005F2507" w:rsidP="005F2507">
      <w:pPr>
        <w:spacing w:before="240" w:after="240" w:line="360" w:lineRule="auto"/>
        <w:rPr>
          <w:rFonts w:ascii="Times New Roman" w:hAnsi="Times New Roman" w:cs="Times New Roman"/>
          <w:b/>
          <w:sz w:val="24"/>
          <w:szCs w:val="24"/>
        </w:rPr>
      </w:pPr>
      <w:r w:rsidRPr="00022CA4">
        <w:rPr>
          <w:rFonts w:ascii="Times New Roman" w:hAnsi="Times New Roman" w:cs="Times New Roman"/>
          <w:b/>
          <w:sz w:val="24"/>
          <w:szCs w:val="24"/>
        </w:rPr>
        <w:lastRenderedPageBreak/>
        <w:t>Conflict of Interest</w:t>
      </w:r>
    </w:p>
    <w:p w14:paraId="2417E41D" w14:textId="77777777" w:rsidR="005F2507" w:rsidRPr="00022CA4" w:rsidRDefault="005F2507" w:rsidP="005F2507">
      <w:pPr>
        <w:spacing w:after="240" w:line="360" w:lineRule="auto"/>
        <w:rPr>
          <w:rFonts w:ascii="Times New Roman" w:hAnsi="Times New Roman" w:cs="Times New Roman"/>
          <w:sz w:val="24"/>
          <w:szCs w:val="24"/>
        </w:rPr>
      </w:pPr>
      <w:r w:rsidRPr="00022CA4">
        <w:rPr>
          <w:rFonts w:ascii="Times New Roman" w:hAnsi="Times New Roman" w:cs="Times New Roman"/>
          <w:sz w:val="24"/>
          <w:szCs w:val="24"/>
        </w:rPr>
        <w:t>The authors declare that they have no conflict of interest.</w:t>
      </w:r>
    </w:p>
    <w:p w14:paraId="4396E6AE" w14:textId="77777777" w:rsidR="005F2507" w:rsidRPr="00022CA4" w:rsidRDefault="005F2507" w:rsidP="005F2507">
      <w:pPr>
        <w:spacing w:after="240" w:line="360" w:lineRule="auto"/>
        <w:rPr>
          <w:rFonts w:ascii="Times New Roman" w:hAnsi="Times New Roman" w:cs="Times New Roman"/>
          <w:b/>
          <w:bCs/>
          <w:sz w:val="24"/>
          <w:szCs w:val="24"/>
        </w:rPr>
      </w:pPr>
      <w:r w:rsidRPr="00022CA4">
        <w:rPr>
          <w:rFonts w:ascii="Times New Roman" w:hAnsi="Times New Roman" w:cs="Times New Roman"/>
          <w:b/>
          <w:bCs/>
          <w:sz w:val="24"/>
          <w:szCs w:val="24"/>
        </w:rPr>
        <w:t xml:space="preserve">Consent to Publish declaration: </w:t>
      </w:r>
      <w:r w:rsidRPr="00022CA4">
        <w:rPr>
          <w:rFonts w:ascii="Times New Roman" w:hAnsi="Times New Roman" w:cs="Times New Roman"/>
          <w:bCs/>
          <w:sz w:val="24"/>
          <w:szCs w:val="24"/>
        </w:rPr>
        <w:t>not applicable</w:t>
      </w:r>
    </w:p>
    <w:p w14:paraId="0F1C7941" w14:textId="77777777" w:rsidR="005F2507" w:rsidRPr="00022CA4" w:rsidRDefault="005F2507" w:rsidP="005F2507">
      <w:pPr>
        <w:spacing w:after="240" w:line="360" w:lineRule="auto"/>
        <w:rPr>
          <w:rFonts w:ascii="Times New Roman" w:hAnsi="Times New Roman" w:cs="Times New Roman"/>
          <w:b/>
          <w:bCs/>
          <w:sz w:val="24"/>
          <w:szCs w:val="24"/>
        </w:rPr>
      </w:pPr>
      <w:r w:rsidRPr="00022CA4">
        <w:rPr>
          <w:rFonts w:ascii="Times New Roman" w:hAnsi="Times New Roman" w:cs="Times New Roman"/>
          <w:b/>
          <w:bCs/>
          <w:sz w:val="24"/>
          <w:szCs w:val="24"/>
        </w:rPr>
        <w:t xml:space="preserve">Ethics declaration: </w:t>
      </w:r>
      <w:r w:rsidRPr="00022CA4">
        <w:rPr>
          <w:rFonts w:ascii="Times New Roman" w:hAnsi="Times New Roman" w:cs="Times New Roman"/>
          <w:bCs/>
          <w:sz w:val="24"/>
          <w:szCs w:val="24"/>
        </w:rPr>
        <w:t>not applicable.</w:t>
      </w:r>
    </w:p>
    <w:p w14:paraId="5264767F" w14:textId="77777777" w:rsidR="005F2507" w:rsidRPr="00022CA4" w:rsidRDefault="005F2507" w:rsidP="005F2507">
      <w:pPr>
        <w:spacing w:after="240" w:line="360" w:lineRule="auto"/>
        <w:rPr>
          <w:rFonts w:ascii="Times New Roman" w:hAnsi="Times New Roman" w:cs="Times New Roman"/>
          <w:sz w:val="24"/>
          <w:szCs w:val="24"/>
        </w:rPr>
      </w:pPr>
      <w:r w:rsidRPr="00022CA4">
        <w:rPr>
          <w:rFonts w:ascii="Times New Roman" w:hAnsi="Times New Roman" w:cs="Times New Roman"/>
          <w:b/>
          <w:bCs/>
          <w:sz w:val="24"/>
          <w:szCs w:val="24"/>
        </w:rPr>
        <w:t>Consent to Participate declaration:</w:t>
      </w:r>
      <w:r w:rsidRPr="00022CA4">
        <w:rPr>
          <w:rFonts w:ascii="Segoe UI" w:eastAsia="Times New Roman" w:hAnsi="Segoe UI" w:cs="Segoe UI"/>
          <w:color w:val="1D1D1D"/>
          <w:sz w:val="21"/>
          <w:szCs w:val="21"/>
          <w:shd w:val="clear" w:color="auto" w:fill="FFFFFF"/>
          <w:lang w:eastAsia="en-GB"/>
        </w:rPr>
        <w:t xml:space="preserve"> </w:t>
      </w:r>
      <w:r w:rsidRPr="00022CA4">
        <w:rPr>
          <w:rFonts w:ascii="Times New Roman" w:hAnsi="Times New Roman" w:cs="Times New Roman"/>
          <w:sz w:val="24"/>
          <w:szCs w:val="24"/>
        </w:rPr>
        <w:t>not applicable</w:t>
      </w:r>
    </w:p>
    <w:p w14:paraId="7322D5B4" w14:textId="77777777" w:rsidR="005F2507" w:rsidRPr="00022CA4" w:rsidRDefault="005F2507" w:rsidP="005F2507">
      <w:pPr>
        <w:spacing w:after="240" w:line="360" w:lineRule="auto"/>
        <w:jc w:val="both"/>
        <w:rPr>
          <w:rFonts w:ascii="Times New Roman" w:hAnsi="Times New Roman" w:cs="Times New Roman"/>
          <w:sz w:val="24"/>
          <w:szCs w:val="24"/>
        </w:rPr>
      </w:pPr>
      <w:r w:rsidRPr="00022CA4">
        <w:rPr>
          <w:rFonts w:ascii="Times New Roman" w:hAnsi="Times New Roman" w:cs="Times New Roman"/>
          <w:b/>
          <w:bCs/>
          <w:sz w:val="24"/>
          <w:szCs w:val="24"/>
        </w:rPr>
        <w:t>Clinical trial number:</w:t>
      </w:r>
      <w:r w:rsidRPr="00022CA4">
        <w:rPr>
          <w:rFonts w:ascii="Segoe UI" w:eastAsia="Times New Roman" w:hAnsi="Segoe UI" w:cs="Segoe UI"/>
          <w:color w:val="1D1D1D"/>
          <w:sz w:val="21"/>
          <w:szCs w:val="21"/>
          <w:shd w:val="clear" w:color="auto" w:fill="FFFFFF"/>
          <w:lang w:eastAsia="en-GB"/>
        </w:rPr>
        <w:t xml:space="preserve"> </w:t>
      </w:r>
      <w:r w:rsidRPr="00022CA4">
        <w:rPr>
          <w:rFonts w:ascii="Times New Roman" w:hAnsi="Times New Roman" w:cs="Times New Roman"/>
          <w:sz w:val="24"/>
          <w:szCs w:val="24"/>
        </w:rPr>
        <w:t>not applicable.</w:t>
      </w:r>
    </w:p>
    <w:p w14:paraId="0A516B30" w14:textId="5B74E827" w:rsidR="00626C11" w:rsidRPr="00022CA4" w:rsidRDefault="005F2507" w:rsidP="00726640">
      <w:pPr>
        <w:pStyle w:val="BodyText"/>
        <w:spacing w:before="240" w:after="240" w:line="360" w:lineRule="auto"/>
        <w:rPr>
          <w:rFonts w:ascii="Times New Roman" w:hAnsi="Times New Roman" w:cs="Times New Roman"/>
          <w:sz w:val="24"/>
          <w:szCs w:val="24"/>
        </w:rPr>
      </w:pPr>
      <w:r w:rsidRPr="00022CA4">
        <w:rPr>
          <w:rFonts w:ascii="Times New Roman" w:hAnsi="Times New Roman" w:cs="Times New Roman"/>
          <w:b/>
          <w:bCs/>
          <w:sz w:val="24"/>
          <w:szCs w:val="24"/>
        </w:rPr>
        <w:t xml:space="preserve">Funding Information: </w:t>
      </w:r>
      <w:r w:rsidRPr="00022CA4">
        <w:rPr>
          <w:rFonts w:ascii="Times New Roman" w:hAnsi="Times New Roman" w:cs="Times New Roman"/>
          <w:sz w:val="24"/>
          <w:szCs w:val="24"/>
        </w:rPr>
        <w:t>Funding w</w:t>
      </w:r>
      <w:r w:rsidR="00726640" w:rsidRPr="00022CA4">
        <w:rPr>
          <w:rFonts w:ascii="Times New Roman" w:hAnsi="Times New Roman" w:cs="Times New Roman"/>
          <w:sz w:val="24"/>
          <w:szCs w:val="24"/>
        </w:rPr>
        <w:t xml:space="preserve">as not received for the study. </w:t>
      </w:r>
    </w:p>
    <w:p w14:paraId="7089C39C" w14:textId="5842D558" w:rsidR="00626C11" w:rsidRPr="00022CA4" w:rsidRDefault="00B55615" w:rsidP="00EE4D7D">
      <w:pPr>
        <w:pStyle w:val="Heading1"/>
        <w:spacing w:before="240" w:after="240" w:line="360" w:lineRule="auto"/>
        <w:ind w:left="0" w:firstLine="0"/>
        <w:rPr>
          <w:sz w:val="32"/>
          <w:szCs w:val="32"/>
        </w:rPr>
      </w:pPr>
      <w:r w:rsidRPr="00022CA4">
        <w:rPr>
          <w:sz w:val="32"/>
          <w:szCs w:val="32"/>
        </w:rPr>
        <w:t xml:space="preserve">6. </w:t>
      </w:r>
      <w:r w:rsidR="00626C11" w:rsidRPr="00022CA4">
        <w:rPr>
          <w:sz w:val="32"/>
          <w:szCs w:val="32"/>
        </w:rPr>
        <w:t>References</w:t>
      </w:r>
    </w:p>
    <w:p w14:paraId="4D79CB6D"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sz w:val="24"/>
          <w:szCs w:val="24"/>
        </w:rPr>
        <w:fldChar w:fldCharType="begin" w:fldLock="1"/>
      </w:r>
      <w:r w:rsidRPr="00F36A0C">
        <w:rPr>
          <w:rFonts w:ascii="Times New Roman" w:hAnsi="Times New Roman" w:cs="Times New Roman"/>
          <w:sz w:val="24"/>
          <w:szCs w:val="24"/>
        </w:rPr>
        <w:instrText xml:space="preserve">ADDIN Mendeley Bibliography CSL_BIBLIOGRAPHY </w:instrText>
      </w:r>
      <w:r w:rsidRPr="00F36A0C">
        <w:rPr>
          <w:rFonts w:ascii="Times New Roman" w:hAnsi="Times New Roman" w:cs="Times New Roman"/>
          <w:sz w:val="24"/>
          <w:szCs w:val="24"/>
        </w:rPr>
        <w:fldChar w:fldCharType="separate"/>
      </w:r>
      <w:r w:rsidRPr="00F36A0C">
        <w:rPr>
          <w:rFonts w:ascii="Times New Roman" w:hAnsi="Times New Roman" w:cs="Times New Roman"/>
          <w:noProof/>
          <w:sz w:val="24"/>
          <w:szCs w:val="24"/>
        </w:rPr>
        <w:t xml:space="preserve">Abegaz, W. B., &amp; Mekoya, A. (2020). Rainfall Variability and Trends over Central Ethiopia. </w:t>
      </w:r>
      <w:r w:rsidRPr="00F36A0C">
        <w:rPr>
          <w:rFonts w:ascii="Times New Roman" w:hAnsi="Times New Roman" w:cs="Times New Roman"/>
          <w:i/>
          <w:iCs/>
          <w:noProof/>
          <w:sz w:val="24"/>
          <w:szCs w:val="24"/>
        </w:rPr>
        <w:t>International Journal of Environmental Sciences &amp; Natural Resources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24</w:t>
      </w:r>
      <w:r w:rsidRPr="00F36A0C">
        <w:rPr>
          <w:rFonts w:ascii="Times New Roman" w:hAnsi="Times New Roman" w:cs="Times New Roman"/>
          <w:noProof/>
          <w:sz w:val="24"/>
          <w:szCs w:val="24"/>
        </w:rPr>
        <w:t>(4). https://doi.org/10.19080/ijesnr.2020.24.556144</w:t>
      </w:r>
    </w:p>
    <w:p w14:paraId="547DED9D"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Abraham, T., Liu, Y., Tekleab, S., &amp; Hartmann, A. (2021). Quantifying the Regional Water Balance of the Ethiopian Rift Valley Lake Basin Using an Uncertainty Estimation Framework. </w:t>
      </w:r>
      <w:r w:rsidRPr="00F36A0C">
        <w:rPr>
          <w:rFonts w:ascii="Times New Roman" w:hAnsi="Times New Roman" w:cs="Times New Roman"/>
          <w:i/>
          <w:iCs/>
          <w:noProof/>
          <w:sz w:val="24"/>
          <w:szCs w:val="24"/>
        </w:rPr>
        <w:t>Hydrol. Earth Syst. Sci. Discuss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July</w:t>
      </w:r>
      <w:r w:rsidRPr="00F36A0C">
        <w:rPr>
          <w:rFonts w:ascii="Times New Roman" w:hAnsi="Times New Roman" w:cs="Times New Roman"/>
          <w:noProof/>
          <w:sz w:val="24"/>
          <w:szCs w:val="24"/>
        </w:rPr>
        <w:t>. https://doi.org/https://doi.org/10.5194/hess-2021-271</w:t>
      </w:r>
    </w:p>
    <w:p w14:paraId="7E1171C7"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Adhikari, T. R., &amp; Devkota, L. P. (2012). Climatic Water Balance of Annapurna, Langtang and Khumbu regions of Nepal Himalaya. </w:t>
      </w:r>
      <w:r w:rsidRPr="00F36A0C">
        <w:rPr>
          <w:rFonts w:ascii="Times New Roman" w:hAnsi="Times New Roman" w:cs="Times New Roman"/>
          <w:i/>
          <w:iCs/>
          <w:noProof/>
          <w:sz w:val="24"/>
          <w:szCs w:val="24"/>
        </w:rPr>
        <w:t>Journal of Hydrology and Meteorology</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8</w:t>
      </w:r>
      <w:r w:rsidRPr="00F36A0C">
        <w:rPr>
          <w:rFonts w:ascii="Times New Roman" w:hAnsi="Times New Roman" w:cs="Times New Roman"/>
          <w:noProof/>
          <w:sz w:val="24"/>
          <w:szCs w:val="24"/>
        </w:rPr>
        <w:t>(1), 47–57. https://doi.org/10.3126/jhm.v8i1.15571</w:t>
      </w:r>
    </w:p>
    <w:p w14:paraId="7E46E603"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Ajjur, S. B., &amp; Al-Ghamdi, S. G. (2021). Evapotranspiration and water availability response to climate change in the Middle East and North Africa. </w:t>
      </w:r>
      <w:r w:rsidRPr="00F36A0C">
        <w:rPr>
          <w:rFonts w:ascii="Times New Roman" w:hAnsi="Times New Roman" w:cs="Times New Roman"/>
          <w:i/>
          <w:iCs/>
          <w:noProof/>
          <w:sz w:val="24"/>
          <w:szCs w:val="24"/>
        </w:rPr>
        <w:t>Climatic Change</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166</w:t>
      </w:r>
      <w:r w:rsidRPr="00F36A0C">
        <w:rPr>
          <w:rFonts w:ascii="Times New Roman" w:hAnsi="Times New Roman" w:cs="Times New Roman"/>
          <w:noProof/>
          <w:sz w:val="24"/>
          <w:szCs w:val="24"/>
        </w:rPr>
        <w:t>(3–4), 1–18. https://doi.org/10.1007/s10584-021-03122-z</w:t>
      </w:r>
    </w:p>
    <w:p w14:paraId="00F2F190"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Allen, R. G., PEREIRA, L. S., RAES, D., &amp; Martin, S. (1998). FAO Irrigation and Drainage Paper Crop by. </w:t>
      </w:r>
      <w:r w:rsidRPr="00F36A0C">
        <w:rPr>
          <w:rFonts w:ascii="Times New Roman" w:hAnsi="Times New Roman" w:cs="Times New Roman"/>
          <w:i/>
          <w:iCs/>
          <w:noProof/>
          <w:sz w:val="24"/>
          <w:szCs w:val="24"/>
        </w:rPr>
        <w:t>Irrigation and Drainage</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300</w:t>
      </w:r>
      <w:r w:rsidRPr="00F36A0C">
        <w:rPr>
          <w:rFonts w:ascii="Times New Roman" w:hAnsi="Times New Roman" w:cs="Times New Roman"/>
          <w:noProof/>
          <w:sz w:val="24"/>
          <w:szCs w:val="24"/>
        </w:rPr>
        <w:t>(56), 300. http://www.kimberly.uidaho.edu/water/fao56/fao56.pdf</w:t>
      </w:r>
    </w:p>
    <w:p w14:paraId="0329C72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Asaye, T. S., Amare, Z. Y., &amp; Geremew, B. B. (2025). Rainfall variability and trends in western Amhara : implication for sustainable water management and agricultural productivity. </w:t>
      </w:r>
      <w:r w:rsidRPr="00F36A0C">
        <w:rPr>
          <w:rFonts w:ascii="Times New Roman" w:hAnsi="Times New Roman" w:cs="Times New Roman"/>
          <w:i/>
          <w:iCs/>
          <w:noProof/>
          <w:sz w:val="24"/>
          <w:szCs w:val="24"/>
        </w:rPr>
        <w:t>Water Practice &amp; Technology</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20</w:t>
      </w:r>
      <w:r w:rsidRPr="00F36A0C">
        <w:rPr>
          <w:rFonts w:ascii="Times New Roman" w:hAnsi="Times New Roman" w:cs="Times New Roman"/>
          <w:noProof/>
          <w:sz w:val="24"/>
          <w:szCs w:val="24"/>
        </w:rPr>
        <w:t>(2), 449–467. https://doi.org/10.2166/wpt.2025.023</w:t>
      </w:r>
    </w:p>
    <w:p w14:paraId="74C9F297"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Ashaolu, E. D., &amp; Iroye, K. A. (2018). Rainfall and potential evapotranspiration patterns and their effects on climatic water balance in the Western Lithoral Hydrological Zone of Nigeria. </w:t>
      </w:r>
      <w:r w:rsidRPr="00F36A0C">
        <w:rPr>
          <w:rFonts w:ascii="Times New Roman" w:hAnsi="Times New Roman" w:cs="Times New Roman"/>
          <w:i/>
          <w:iCs/>
          <w:noProof/>
          <w:sz w:val="24"/>
          <w:szCs w:val="24"/>
        </w:rPr>
        <w:t>Faculty of Science, University of Ruhuna</w:t>
      </w:r>
      <w:r w:rsidRPr="00F36A0C">
        <w:rPr>
          <w:rFonts w:ascii="Times New Roman" w:hAnsi="Times New Roman" w:cs="Times New Roman"/>
          <w:noProof/>
          <w:sz w:val="24"/>
          <w:szCs w:val="24"/>
        </w:rPr>
        <w:t>, 1–23. https://doi.org/http://doi.org/10.4038/rjs.v9i2.45</w:t>
      </w:r>
    </w:p>
    <w:p w14:paraId="026C84E1"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Banda, L. B., &amp; Tassie, N. (2018). Modeling the distribution of four-bird species under climate change in </w:t>
      </w:r>
      <w:r w:rsidRPr="00F36A0C">
        <w:rPr>
          <w:rFonts w:ascii="Times New Roman" w:hAnsi="Times New Roman" w:cs="Times New Roman"/>
          <w:noProof/>
          <w:sz w:val="24"/>
          <w:szCs w:val="24"/>
        </w:rPr>
        <w:lastRenderedPageBreak/>
        <w:t xml:space="preserve">Ethipia. </w:t>
      </w:r>
      <w:r w:rsidRPr="00F36A0C">
        <w:rPr>
          <w:rFonts w:ascii="Times New Roman" w:hAnsi="Times New Roman" w:cs="Times New Roman"/>
          <w:i/>
          <w:iCs/>
          <w:noProof/>
          <w:sz w:val="24"/>
          <w:szCs w:val="24"/>
        </w:rPr>
        <w:t>Ethiopian Journal of Biological Sciences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September</w:t>
      </w:r>
      <w:r w:rsidRPr="00F36A0C">
        <w:rPr>
          <w:rFonts w:ascii="Times New Roman" w:hAnsi="Times New Roman" w:cs="Times New Roman"/>
          <w:noProof/>
          <w:sz w:val="24"/>
          <w:szCs w:val="24"/>
        </w:rPr>
        <w:t>, 0–17.</w:t>
      </w:r>
    </w:p>
    <w:p w14:paraId="183253D4"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Bank, W. (2021). Climate Risk Profile: Ethiopia. In </w:t>
      </w:r>
      <w:r w:rsidRPr="00F36A0C">
        <w:rPr>
          <w:rFonts w:ascii="Times New Roman" w:hAnsi="Times New Roman" w:cs="Times New Roman"/>
          <w:i/>
          <w:iCs/>
          <w:noProof/>
          <w:sz w:val="24"/>
          <w:szCs w:val="24"/>
        </w:rPr>
        <w:t>the World Bank Group</w:t>
      </w:r>
      <w:r w:rsidRPr="00F36A0C">
        <w:rPr>
          <w:rFonts w:ascii="Times New Roman" w:hAnsi="Times New Roman" w:cs="Times New Roman"/>
          <w:noProof/>
          <w:sz w:val="24"/>
          <w:szCs w:val="24"/>
        </w:rPr>
        <w:t>. https://doi.org/10.1596/36382</w:t>
      </w:r>
    </w:p>
    <w:p w14:paraId="5DC6A650" w14:textId="77777777" w:rsidR="00D40433"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Bayable, G., Amare, G., Alemu, G., &amp; Gashaw, T. (2021). Spatiotemporal variability and trends of rainfall and its association with Pacific Ocean Sea surface temperature in West Harerge Zone, Eastern Ethiopia. </w:t>
      </w:r>
      <w:r w:rsidRPr="00F36A0C">
        <w:rPr>
          <w:rFonts w:ascii="Times New Roman" w:hAnsi="Times New Roman" w:cs="Times New Roman"/>
          <w:i/>
          <w:iCs/>
          <w:noProof/>
          <w:sz w:val="24"/>
          <w:szCs w:val="24"/>
        </w:rPr>
        <w:t>Environmental Systems Research</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10</w:t>
      </w:r>
      <w:r w:rsidRPr="00F36A0C">
        <w:rPr>
          <w:rFonts w:ascii="Times New Roman" w:hAnsi="Times New Roman" w:cs="Times New Roman"/>
          <w:noProof/>
          <w:sz w:val="24"/>
          <w:szCs w:val="24"/>
        </w:rPr>
        <w:t>(1). https://doi.org/10.1186/s40068-020-00216-y</w:t>
      </w:r>
    </w:p>
    <w:p w14:paraId="28E721AE"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Ayele, H. T., Tesfaye, F., &amp; Worku, A. (2022). Seasonal variability influence on the prevalence </w:t>
      </w:r>
      <w:r w:rsidRPr="00F36A0C">
        <w:rPr>
          <w:rFonts w:ascii="Times New Roman" w:hAnsi="Times New Roman" w:cs="Times New Roman"/>
          <w:noProof/>
          <w:sz w:val="24"/>
          <w:szCs w:val="24"/>
        </w:rPr>
        <w:tab/>
        <w:t xml:space="preserve">of diarrhoea </w:t>
      </w:r>
      <w:r w:rsidRPr="00F36A0C">
        <w:rPr>
          <w:rFonts w:ascii="Times New Roman" w:hAnsi="Times New Roman" w:cs="Times New Roman"/>
          <w:noProof/>
          <w:sz w:val="24"/>
          <w:szCs w:val="24"/>
        </w:rPr>
        <w:tab/>
        <w:t xml:space="preserve">among under-five-year-old children in Kersa District, Eastern Ethiopia: a </w:t>
      </w:r>
      <w:r w:rsidRPr="00F36A0C">
        <w:rPr>
          <w:rFonts w:ascii="Times New Roman" w:hAnsi="Times New Roman" w:cs="Times New Roman"/>
          <w:noProof/>
          <w:sz w:val="24"/>
          <w:szCs w:val="24"/>
        </w:rPr>
        <w:tab/>
        <w:t xml:space="preserve">community-based </w:t>
      </w:r>
      <w:r w:rsidRPr="00F36A0C">
        <w:rPr>
          <w:rFonts w:ascii="Times New Roman" w:hAnsi="Times New Roman" w:cs="Times New Roman"/>
          <w:noProof/>
          <w:sz w:val="24"/>
          <w:szCs w:val="24"/>
        </w:rPr>
        <w:tab/>
        <w:t xml:space="preserve">longitudinal study. Environmental Health Insights, 16, 11786302221093480. </w:t>
      </w:r>
      <w:r w:rsidRPr="00F36A0C">
        <w:rPr>
          <w:rFonts w:ascii="Times New Roman" w:hAnsi="Times New Roman" w:cs="Times New Roman"/>
          <w:noProof/>
          <w:sz w:val="24"/>
          <w:szCs w:val="24"/>
        </w:rPr>
        <w:tab/>
        <w:t>https://doi.org/10.1177/11786302221093480</w:t>
      </w:r>
    </w:p>
    <w:p w14:paraId="4603E927"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Dereje, B., Bekele, M., &amp; Alemayehu, A. (2025). The relationship of climate change and malaria </w:t>
      </w:r>
      <w:r w:rsidRPr="00F36A0C">
        <w:rPr>
          <w:rFonts w:ascii="Times New Roman" w:hAnsi="Times New Roman" w:cs="Times New Roman"/>
          <w:noProof/>
          <w:sz w:val="24"/>
          <w:szCs w:val="24"/>
        </w:rPr>
        <w:tab/>
        <w:t xml:space="preserve">incidence in the Gambella Region, Ethiopia. Climate, 13(5), Article 104. </w:t>
      </w:r>
      <w:r w:rsidRPr="00F36A0C">
        <w:rPr>
          <w:rFonts w:ascii="Times New Roman" w:hAnsi="Times New Roman" w:cs="Times New Roman"/>
          <w:noProof/>
          <w:sz w:val="24"/>
          <w:szCs w:val="24"/>
        </w:rPr>
        <w:tab/>
      </w:r>
      <w:hyperlink r:id="rId32" w:history="1">
        <w:r w:rsidRPr="00F36A0C">
          <w:t>https://doi.org/10.3390/cli13050104</w:t>
        </w:r>
      </w:hyperlink>
    </w:p>
    <w:p w14:paraId="1F1447F3"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Letta, T. T., Belay, D. B., &amp; Ali, E. A. (2022). Determining factors associated with cholera disease in Ethiopia </w:t>
      </w:r>
      <w:r w:rsidRPr="00F36A0C">
        <w:rPr>
          <w:rFonts w:ascii="Times New Roman" w:hAnsi="Times New Roman" w:cs="Times New Roman"/>
          <w:noProof/>
          <w:sz w:val="24"/>
          <w:szCs w:val="24"/>
        </w:rPr>
        <w:tab/>
        <w:t xml:space="preserve">using Bayesian hierarchical modeling. BMC Public Health, 22, Article 1779. </w:t>
      </w:r>
      <w:r w:rsidRPr="00F36A0C">
        <w:rPr>
          <w:rFonts w:ascii="Times New Roman" w:hAnsi="Times New Roman" w:cs="Times New Roman"/>
          <w:noProof/>
          <w:sz w:val="24"/>
          <w:szCs w:val="24"/>
        </w:rPr>
        <w:tab/>
        <w:t>https://doi.org/10.1186/s12889-022-14153-1</w:t>
      </w:r>
    </w:p>
    <w:p w14:paraId="6818F364"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McCreesh, N., &amp; Booth, M. (2013). Exploring the interplay between climate change and </w:t>
      </w:r>
      <w:r w:rsidRPr="00F36A0C">
        <w:rPr>
          <w:rFonts w:ascii="Times New Roman" w:hAnsi="Times New Roman" w:cs="Times New Roman"/>
          <w:noProof/>
          <w:sz w:val="24"/>
          <w:szCs w:val="24"/>
        </w:rPr>
        <w:tab/>
        <w:t>schistosomiasis t</w:t>
      </w:r>
      <w:r w:rsidRPr="00F36A0C">
        <w:rPr>
          <w:rFonts w:ascii="Times New Roman" w:hAnsi="Times New Roman" w:cs="Times New Roman"/>
          <w:noProof/>
          <w:sz w:val="24"/>
          <w:szCs w:val="24"/>
        </w:rPr>
        <w:tab/>
        <w:t xml:space="preserve">ransmission dynamics. PLOS Neglected Tropical Diseases, 7(5), e2144. </w:t>
      </w:r>
      <w:r w:rsidRPr="00F36A0C">
        <w:rPr>
          <w:rFonts w:ascii="Times New Roman" w:hAnsi="Times New Roman" w:cs="Times New Roman"/>
          <w:noProof/>
          <w:sz w:val="24"/>
          <w:szCs w:val="24"/>
        </w:rPr>
        <w:tab/>
        <w:t>https://doi.org/10.1371/journal.pntd.0002144</w:t>
      </w:r>
    </w:p>
    <w:p w14:paraId="203E336C"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Mekuriaw, W., Kinde, S., Kindu, B., Mulualem, Y., Hailu, G., Gebresilassie, A., … Messenger, </w:t>
      </w:r>
      <w:r w:rsidRPr="00F36A0C">
        <w:rPr>
          <w:rFonts w:ascii="Times New Roman" w:hAnsi="Times New Roman" w:cs="Times New Roman"/>
          <w:noProof/>
          <w:sz w:val="24"/>
          <w:szCs w:val="24"/>
        </w:rPr>
        <w:tab/>
        <w:t xml:space="preserve">L. A. (2022). </w:t>
      </w:r>
      <w:r w:rsidRPr="00F36A0C">
        <w:rPr>
          <w:rFonts w:ascii="Times New Roman" w:hAnsi="Times New Roman" w:cs="Times New Roman"/>
          <w:noProof/>
          <w:sz w:val="24"/>
          <w:szCs w:val="24"/>
        </w:rPr>
        <w:tab/>
        <w:t xml:space="preserve">Epidemiological, entomological, and climatological investigation of the </w:t>
      </w:r>
      <w:r w:rsidRPr="00F36A0C">
        <w:rPr>
          <w:rFonts w:ascii="Times New Roman" w:hAnsi="Times New Roman" w:cs="Times New Roman"/>
          <w:noProof/>
          <w:sz w:val="24"/>
          <w:szCs w:val="24"/>
        </w:rPr>
        <w:tab/>
        <w:t xml:space="preserve">2019 dengue fever outbreak </w:t>
      </w:r>
      <w:r w:rsidRPr="00F36A0C">
        <w:rPr>
          <w:rFonts w:ascii="Times New Roman" w:hAnsi="Times New Roman" w:cs="Times New Roman"/>
          <w:noProof/>
          <w:sz w:val="24"/>
          <w:szCs w:val="24"/>
        </w:rPr>
        <w:tab/>
        <w:t xml:space="preserve">in Gewane District, Afar Region, northeastern Ethiopia. Insects, 13(11), 1066. </w:t>
      </w:r>
      <w:r w:rsidRPr="00F36A0C">
        <w:rPr>
          <w:rFonts w:ascii="Times New Roman" w:hAnsi="Times New Roman" w:cs="Times New Roman"/>
          <w:noProof/>
          <w:sz w:val="24"/>
          <w:szCs w:val="24"/>
        </w:rPr>
        <w:tab/>
      </w:r>
      <w:hyperlink r:id="rId33" w:history="1">
        <w:r w:rsidRPr="00F36A0C">
          <w:rPr>
            <w:noProof/>
          </w:rPr>
          <w:t>https://doi.org/10.3390/insects13111066</w:t>
        </w:r>
      </w:hyperlink>
    </w:p>
    <w:p w14:paraId="0D4785E3"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Simegn, G. L., Degu, M. Z., Gebeyehu, W. B., Senay, A. B., Krishnamoorthy, J., &amp; Tegenaw, G. S. (2024). </w:t>
      </w:r>
      <w:r w:rsidRPr="00F36A0C">
        <w:rPr>
          <w:rFonts w:ascii="Times New Roman" w:hAnsi="Times New Roman" w:cs="Times New Roman"/>
          <w:noProof/>
          <w:sz w:val="24"/>
          <w:szCs w:val="24"/>
        </w:rPr>
        <w:tab/>
        <w:t xml:space="preserve">Spatiotemporal distribution of climate-sensitive disease incidences in Ethiopia: a longitudinal </w:t>
      </w:r>
      <w:r w:rsidRPr="00F36A0C">
        <w:rPr>
          <w:rFonts w:ascii="Times New Roman" w:hAnsi="Times New Roman" w:cs="Times New Roman"/>
          <w:noProof/>
          <w:sz w:val="24"/>
          <w:szCs w:val="24"/>
        </w:rPr>
        <w:tab/>
        <w:t xml:space="preserve">retrospective </w:t>
      </w:r>
      <w:r w:rsidRPr="00F36A0C">
        <w:rPr>
          <w:rFonts w:ascii="Times New Roman" w:hAnsi="Times New Roman" w:cs="Times New Roman"/>
          <w:noProof/>
          <w:sz w:val="24"/>
          <w:szCs w:val="24"/>
        </w:rPr>
        <w:tab/>
        <w:t xml:space="preserve">analysis of malaria, meningitis, cholera, dysentery, leishmaniasis and dengue fever </w:t>
      </w:r>
      <w:r w:rsidRPr="00F36A0C">
        <w:rPr>
          <w:rFonts w:ascii="Times New Roman" w:hAnsi="Times New Roman" w:cs="Times New Roman"/>
          <w:noProof/>
          <w:sz w:val="24"/>
          <w:szCs w:val="24"/>
        </w:rPr>
        <w:tab/>
        <w:t xml:space="preserve">between 2010 and 2022/2023. </w:t>
      </w:r>
      <w:r w:rsidRPr="00F36A0C">
        <w:rPr>
          <w:rFonts w:ascii="Times New Roman" w:hAnsi="Times New Roman" w:cs="Times New Roman"/>
          <w:noProof/>
          <w:sz w:val="24"/>
          <w:szCs w:val="24"/>
        </w:rPr>
        <w:tab/>
        <w:t xml:space="preserve">BMC Public Health, 24, Article 697. </w:t>
      </w:r>
      <w:r w:rsidRPr="00F36A0C">
        <w:rPr>
          <w:rFonts w:ascii="Times New Roman" w:hAnsi="Times New Roman" w:cs="Times New Roman"/>
          <w:noProof/>
          <w:sz w:val="24"/>
          <w:szCs w:val="24"/>
        </w:rPr>
        <w:tab/>
        <w:t>https://doi.org/10.1186/s12889-024-18054-3</w:t>
      </w:r>
    </w:p>
    <w:p w14:paraId="0BE80C2A"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Tadesse, G., Terefe, T., &amp; Abebe, A. (2021). Biogeographical characteristics of Schistosoma mansoni </w:t>
      </w:r>
      <w:r w:rsidRPr="00F36A0C">
        <w:rPr>
          <w:rFonts w:ascii="Times New Roman" w:hAnsi="Times New Roman" w:cs="Times New Roman"/>
          <w:noProof/>
          <w:sz w:val="24"/>
          <w:szCs w:val="24"/>
        </w:rPr>
        <w:tab/>
        <w:t xml:space="preserve">endemic areas in Ethiopia: a systematic review and meta-analysis. Infectious Diseases of Poverty, 10, </w:t>
      </w:r>
      <w:r w:rsidRPr="00F36A0C">
        <w:rPr>
          <w:rFonts w:ascii="Times New Roman" w:hAnsi="Times New Roman" w:cs="Times New Roman"/>
          <w:noProof/>
          <w:sz w:val="24"/>
          <w:szCs w:val="24"/>
        </w:rPr>
        <w:tab/>
        <w:t xml:space="preserve">Article 89. </w:t>
      </w:r>
      <w:hyperlink r:id="rId34" w:history="1">
        <w:r w:rsidRPr="00F36A0C">
          <w:rPr>
            <w:noProof/>
          </w:rPr>
          <w:t>https://doi.org/10.1186/s40249-021-00864-x</w:t>
        </w:r>
      </w:hyperlink>
    </w:p>
    <w:p w14:paraId="602771A9"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Dabaro, D., Birhanu, Z., Negash, A., Hawaria, D., &amp; Yewhalaw, D. (2021). </w:t>
      </w:r>
      <w:r w:rsidRPr="00F36A0C">
        <w:rPr>
          <w:rFonts w:ascii="Times New Roman" w:hAnsi="Times New Roman" w:cs="Times New Roman"/>
          <w:i/>
          <w:iCs/>
          <w:noProof/>
          <w:sz w:val="24"/>
          <w:szCs w:val="24"/>
        </w:rPr>
        <w:t xml:space="preserve">Effects of rainfall, temperature and </w:t>
      </w:r>
      <w:r w:rsidRPr="00F36A0C">
        <w:rPr>
          <w:rFonts w:ascii="Times New Roman" w:hAnsi="Times New Roman" w:cs="Times New Roman"/>
          <w:i/>
          <w:iCs/>
          <w:noProof/>
          <w:sz w:val="24"/>
          <w:szCs w:val="24"/>
        </w:rPr>
        <w:tab/>
        <w:t>topography on malaria incidence in elimination targeted district of Ethiopia</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Malaria Journal, 20</w:t>
      </w:r>
      <w:r w:rsidRPr="00F36A0C">
        <w:rPr>
          <w:rFonts w:ascii="Times New Roman" w:hAnsi="Times New Roman" w:cs="Times New Roman"/>
          <w:noProof/>
          <w:sz w:val="24"/>
          <w:szCs w:val="24"/>
        </w:rPr>
        <w:t xml:space="preserve">(1), 104. </w:t>
      </w:r>
      <w:r w:rsidRPr="00F36A0C">
        <w:rPr>
          <w:rFonts w:ascii="Times New Roman" w:hAnsi="Times New Roman" w:cs="Times New Roman"/>
          <w:noProof/>
          <w:sz w:val="24"/>
          <w:szCs w:val="24"/>
        </w:rPr>
        <w:tab/>
        <w:t>https://doi.org/10.1186/s12936-021-03641-1</w:t>
      </w:r>
    </w:p>
    <w:p w14:paraId="64404865"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Wondimu, H., Gemechu, A., &amp; Kebede, B. (2024). Prevalence of acute diarrhea and its risk factors among </w:t>
      </w:r>
      <w:r w:rsidRPr="00F36A0C">
        <w:rPr>
          <w:rFonts w:ascii="Times New Roman" w:hAnsi="Times New Roman" w:cs="Times New Roman"/>
          <w:noProof/>
          <w:sz w:val="24"/>
          <w:szCs w:val="24"/>
        </w:rPr>
        <w:lastRenderedPageBreak/>
        <w:tab/>
        <w:t xml:space="preserve">under-five children in flood affected Dasenech District, Southern Ethiopia: a cross-sectional study. BMC </w:t>
      </w:r>
      <w:r w:rsidRPr="00F36A0C">
        <w:rPr>
          <w:rFonts w:ascii="Times New Roman" w:hAnsi="Times New Roman" w:cs="Times New Roman"/>
          <w:noProof/>
          <w:sz w:val="24"/>
          <w:szCs w:val="24"/>
        </w:rPr>
        <w:tab/>
        <w:t>Public Health, forthcoming.</w:t>
      </w:r>
    </w:p>
    <w:p w14:paraId="1126290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Alemu, A., Abebe, G., Tsegaye, W., &amp; Golassa, L. (2011). Climatic variables and malaria transmission </w:t>
      </w:r>
      <w:r w:rsidRPr="00F36A0C">
        <w:rPr>
          <w:rFonts w:ascii="Times New Roman" w:hAnsi="Times New Roman" w:cs="Times New Roman"/>
          <w:noProof/>
          <w:sz w:val="24"/>
          <w:szCs w:val="24"/>
        </w:rPr>
        <w:tab/>
        <w:t xml:space="preserve">dynamics in Jimma town, Southwest Ethiopia. </w:t>
      </w:r>
      <w:r w:rsidRPr="00F36A0C">
        <w:rPr>
          <w:rFonts w:ascii="Times New Roman" w:hAnsi="Times New Roman" w:cs="Times New Roman"/>
          <w:i/>
          <w:iCs/>
          <w:noProof/>
          <w:sz w:val="24"/>
          <w:szCs w:val="24"/>
        </w:rPr>
        <w:t>Parasites &amp; Vectors, 4</w:t>
      </w:r>
      <w:r w:rsidRPr="00F36A0C">
        <w:rPr>
          <w:rFonts w:ascii="Times New Roman" w:hAnsi="Times New Roman" w:cs="Times New Roman"/>
          <w:noProof/>
          <w:sz w:val="24"/>
          <w:szCs w:val="24"/>
        </w:rPr>
        <w:t xml:space="preserve">(1), </w:t>
      </w:r>
      <w:r w:rsidRPr="00F36A0C">
        <w:rPr>
          <w:rFonts w:ascii="Times New Roman" w:hAnsi="Times New Roman" w:cs="Times New Roman"/>
          <w:noProof/>
          <w:sz w:val="24"/>
          <w:szCs w:val="24"/>
        </w:rPr>
        <w:tab/>
        <w:t xml:space="preserve">30. </w:t>
      </w:r>
      <w:r w:rsidRPr="00F36A0C">
        <w:rPr>
          <w:rFonts w:ascii="Times New Roman" w:hAnsi="Times New Roman" w:cs="Times New Roman"/>
          <w:noProof/>
          <w:sz w:val="24"/>
          <w:szCs w:val="24"/>
        </w:rPr>
        <w:tab/>
        <w:t>https://doi.org/10.1186/1756-3305-4-30</w:t>
      </w:r>
    </w:p>
    <w:p w14:paraId="0000BF53"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Asfaw, H. S., Woldemichael, K., &amp; Gebrehiwot, T. (2020). Water quality and diarrhoeal disease </w:t>
      </w:r>
      <w:r w:rsidRPr="00F36A0C">
        <w:rPr>
          <w:rFonts w:ascii="Times New Roman" w:hAnsi="Times New Roman" w:cs="Times New Roman"/>
          <w:noProof/>
          <w:sz w:val="24"/>
          <w:szCs w:val="24"/>
        </w:rPr>
        <w:tab/>
        <w:t xml:space="preserve">among </w:t>
      </w:r>
      <w:r w:rsidRPr="00F36A0C">
        <w:rPr>
          <w:rFonts w:ascii="Times New Roman" w:hAnsi="Times New Roman" w:cs="Times New Roman"/>
          <w:noProof/>
          <w:sz w:val="24"/>
          <w:szCs w:val="24"/>
        </w:rPr>
        <w:tab/>
        <w:t xml:space="preserve">households in dryland areas of northeastern Ethiopia. BMC Public Health, 20, 1234. </w:t>
      </w:r>
      <w:r w:rsidRPr="00F36A0C">
        <w:rPr>
          <w:rFonts w:ascii="Times New Roman" w:hAnsi="Times New Roman" w:cs="Times New Roman"/>
          <w:noProof/>
          <w:sz w:val="24"/>
          <w:szCs w:val="24"/>
        </w:rPr>
        <w:tab/>
        <w:t>https://doi.org/10.1186/s12889-020-09276-7</w:t>
      </w:r>
    </w:p>
    <w:p w14:paraId="37B8751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Debebe, Y., Alemayehu, G., &amp; Tadesse, T. (2020). Climate variability and waterborne disease </w:t>
      </w:r>
      <w:r w:rsidRPr="00F36A0C">
        <w:rPr>
          <w:rFonts w:ascii="Times New Roman" w:hAnsi="Times New Roman" w:cs="Times New Roman"/>
          <w:noProof/>
          <w:sz w:val="24"/>
          <w:szCs w:val="24"/>
        </w:rPr>
        <w:tab/>
        <w:t xml:space="preserve">outbreaks in </w:t>
      </w:r>
      <w:r w:rsidRPr="00F36A0C">
        <w:rPr>
          <w:rFonts w:ascii="Times New Roman" w:hAnsi="Times New Roman" w:cs="Times New Roman"/>
          <w:noProof/>
          <w:sz w:val="24"/>
          <w:szCs w:val="24"/>
        </w:rPr>
        <w:tab/>
        <w:t xml:space="preserve">Ethiopia: A time-series analysis. Environmental Health Insights, 14, 1–12. </w:t>
      </w:r>
      <w:r w:rsidRPr="00F36A0C">
        <w:rPr>
          <w:rFonts w:ascii="Times New Roman" w:hAnsi="Times New Roman" w:cs="Times New Roman"/>
          <w:noProof/>
          <w:sz w:val="24"/>
          <w:szCs w:val="24"/>
        </w:rPr>
        <w:tab/>
        <w:t>https://doi.org/10.1177/1178630220905833</w:t>
      </w:r>
    </w:p>
    <w:p w14:paraId="3A70FE6D"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Demissie, T., Worku, A., &amp; Berhane, Y. (2024). Seasonal rainfall variability and its impact on </w:t>
      </w:r>
      <w:r w:rsidRPr="00F36A0C">
        <w:rPr>
          <w:rFonts w:ascii="Times New Roman" w:hAnsi="Times New Roman" w:cs="Times New Roman"/>
          <w:noProof/>
          <w:sz w:val="24"/>
          <w:szCs w:val="24"/>
        </w:rPr>
        <w:tab/>
        <w:t xml:space="preserve">household </w:t>
      </w:r>
      <w:r w:rsidRPr="00F36A0C">
        <w:rPr>
          <w:rFonts w:ascii="Times New Roman" w:hAnsi="Times New Roman" w:cs="Times New Roman"/>
          <w:noProof/>
          <w:sz w:val="24"/>
          <w:szCs w:val="24"/>
        </w:rPr>
        <w:tab/>
        <w:t xml:space="preserve">food insecurity in northern Ethiopia. Climate and Development, 16(2), 150–164. </w:t>
      </w:r>
      <w:r w:rsidRPr="00F36A0C">
        <w:rPr>
          <w:rFonts w:ascii="Times New Roman" w:hAnsi="Times New Roman" w:cs="Times New Roman"/>
          <w:noProof/>
          <w:sz w:val="24"/>
          <w:szCs w:val="24"/>
        </w:rPr>
        <w:tab/>
        <w:t>https://doi.org/10.1080/17565529.2023.2175980</w:t>
      </w:r>
    </w:p>
    <w:p w14:paraId="1BDD61A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Feyisa, G. L., Teka, A., &amp; Endris, H. (2022). Heat exposure, dust pollution, and respiratory symptoms in </w:t>
      </w:r>
      <w:r w:rsidRPr="00F36A0C">
        <w:rPr>
          <w:rFonts w:ascii="Times New Roman" w:hAnsi="Times New Roman" w:cs="Times New Roman"/>
          <w:noProof/>
          <w:sz w:val="24"/>
          <w:szCs w:val="24"/>
        </w:rPr>
        <w:tab/>
        <w:t xml:space="preserve">lowland pastoral communities of Ethiopia. International Journal of Environmental Research and Public </w:t>
      </w:r>
      <w:r w:rsidRPr="00F36A0C">
        <w:rPr>
          <w:rFonts w:ascii="Times New Roman" w:hAnsi="Times New Roman" w:cs="Times New Roman"/>
          <w:noProof/>
          <w:sz w:val="24"/>
          <w:szCs w:val="24"/>
        </w:rPr>
        <w:tab/>
        <w:t xml:space="preserve">Health, 19(11), 6782. </w:t>
      </w:r>
      <w:r w:rsidRPr="00F36A0C">
        <w:rPr>
          <w:rFonts w:ascii="Times New Roman" w:hAnsi="Times New Roman" w:cs="Times New Roman"/>
          <w:noProof/>
          <w:sz w:val="24"/>
          <w:szCs w:val="24"/>
        </w:rPr>
        <w:tab/>
        <w:t>https://doi.org/10.3390/ijerph19116782</w:t>
      </w:r>
    </w:p>
    <w:p w14:paraId="16F83D81"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Gebremeskel, T., Tesfay, G., &amp; Berhe, M. (2021). Impacts of recurrent drought on household </w:t>
      </w:r>
      <w:r w:rsidRPr="00F36A0C">
        <w:rPr>
          <w:rFonts w:ascii="Times New Roman" w:hAnsi="Times New Roman" w:cs="Times New Roman"/>
          <w:noProof/>
          <w:sz w:val="24"/>
          <w:szCs w:val="24"/>
        </w:rPr>
        <w:tab/>
        <w:t xml:space="preserve">food security </w:t>
      </w:r>
      <w:r w:rsidRPr="00F36A0C">
        <w:rPr>
          <w:rFonts w:ascii="Times New Roman" w:hAnsi="Times New Roman" w:cs="Times New Roman"/>
          <w:noProof/>
          <w:sz w:val="24"/>
          <w:szCs w:val="24"/>
        </w:rPr>
        <w:tab/>
        <w:t xml:space="preserve">in Tigray, northern Ethiopia. Sustainability, 13(12), 6517. </w:t>
      </w:r>
      <w:r w:rsidRPr="00F36A0C">
        <w:rPr>
          <w:rFonts w:ascii="Times New Roman" w:hAnsi="Times New Roman" w:cs="Times New Roman"/>
          <w:noProof/>
          <w:sz w:val="24"/>
          <w:szCs w:val="24"/>
        </w:rPr>
        <w:tab/>
        <w:t>https://doi.org/10.3390/su13126517</w:t>
      </w:r>
    </w:p>
    <w:p w14:paraId="4C5C3EAD"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Hadgu, G., Degefie, T., &amp; Mulugeta, A. (2023). Drought and malnutrition in semi-arid regions of </w:t>
      </w:r>
      <w:r w:rsidRPr="00F36A0C">
        <w:rPr>
          <w:rFonts w:ascii="Times New Roman" w:hAnsi="Times New Roman" w:cs="Times New Roman"/>
          <w:noProof/>
          <w:sz w:val="24"/>
          <w:szCs w:val="24"/>
        </w:rPr>
        <w:tab/>
        <w:t xml:space="preserve">Ethiopia: A systematic review. Ecology of Food and Nutrition, 62(5), 571–588. </w:t>
      </w:r>
      <w:r w:rsidRPr="00F36A0C">
        <w:rPr>
          <w:rFonts w:ascii="Times New Roman" w:hAnsi="Times New Roman" w:cs="Times New Roman"/>
          <w:noProof/>
          <w:sz w:val="24"/>
          <w:szCs w:val="24"/>
        </w:rPr>
        <w:tab/>
        <w:t>https://doi.org/10.1080/03670244.2023.2234569</w:t>
      </w:r>
    </w:p>
    <w:p w14:paraId="09DD5143"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Viste, E., Korecha, D., &amp; Sorteberg, A. (2013). The effect of rainfall variability on crop </w:t>
      </w:r>
      <w:r w:rsidRPr="00F36A0C">
        <w:rPr>
          <w:rFonts w:ascii="Times New Roman" w:hAnsi="Times New Roman" w:cs="Times New Roman"/>
          <w:noProof/>
          <w:sz w:val="24"/>
          <w:szCs w:val="24"/>
        </w:rPr>
        <w:tab/>
        <w:t xml:space="preserve">production in </w:t>
      </w:r>
      <w:r w:rsidRPr="00F36A0C">
        <w:rPr>
          <w:rFonts w:ascii="Times New Roman" w:hAnsi="Times New Roman" w:cs="Times New Roman"/>
          <w:noProof/>
          <w:sz w:val="24"/>
          <w:szCs w:val="24"/>
        </w:rPr>
        <w:tab/>
        <w:t>Ethiopia. Climate Research, 58(2), 235–248. https://doi.org/10.3354/cr01182</w:t>
      </w:r>
    </w:p>
    <w:p w14:paraId="0A8325B9"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Asfaw, H. S., Woldemichael, K., &amp; Gebrehiwot, T. (2020). Water quality and diarrhoeal disease </w:t>
      </w:r>
      <w:r w:rsidRPr="00F36A0C">
        <w:rPr>
          <w:rFonts w:ascii="Times New Roman" w:hAnsi="Times New Roman" w:cs="Times New Roman"/>
          <w:noProof/>
          <w:sz w:val="24"/>
          <w:szCs w:val="24"/>
        </w:rPr>
        <w:tab/>
        <w:t xml:space="preserve">among </w:t>
      </w:r>
      <w:r w:rsidRPr="00F36A0C">
        <w:rPr>
          <w:rFonts w:ascii="Times New Roman" w:hAnsi="Times New Roman" w:cs="Times New Roman"/>
          <w:noProof/>
          <w:sz w:val="24"/>
          <w:szCs w:val="24"/>
        </w:rPr>
        <w:tab/>
        <w:t xml:space="preserve">households in dryland areas of northeastern Ethiopia. BMC Public Health, 20, </w:t>
      </w:r>
      <w:r w:rsidRPr="00F36A0C">
        <w:rPr>
          <w:rFonts w:ascii="Times New Roman" w:hAnsi="Times New Roman" w:cs="Times New Roman"/>
          <w:noProof/>
          <w:sz w:val="24"/>
          <w:szCs w:val="24"/>
        </w:rPr>
        <w:tab/>
        <w:t xml:space="preserve">1234. </w:t>
      </w:r>
      <w:r w:rsidRPr="00F36A0C">
        <w:rPr>
          <w:rFonts w:ascii="Times New Roman" w:hAnsi="Times New Roman" w:cs="Times New Roman"/>
          <w:noProof/>
          <w:sz w:val="24"/>
          <w:szCs w:val="24"/>
        </w:rPr>
        <w:tab/>
        <w:t>https://doi.org/10.1186/s12889-020-09276-7</w:t>
      </w:r>
    </w:p>
    <w:p w14:paraId="644AEE64"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Debebe, Y., Alemayehu, G., &amp; Tadesse, T. (2020). Climate variability and waterborne disease </w:t>
      </w:r>
      <w:r w:rsidRPr="00F36A0C">
        <w:rPr>
          <w:rFonts w:ascii="Times New Roman" w:hAnsi="Times New Roman" w:cs="Times New Roman"/>
          <w:noProof/>
          <w:sz w:val="24"/>
          <w:szCs w:val="24"/>
        </w:rPr>
        <w:tab/>
        <w:t xml:space="preserve">outbreaks in </w:t>
      </w:r>
      <w:r w:rsidRPr="00F36A0C">
        <w:rPr>
          <w:rFonts w:ascii="Times New Roman" w:hAnsi="Times New Roman" w:cs="Times New Roman"/>
          <w:noProof/>
          <w:sz w:val="24"/>
          <w:szCs w:val="24"/>
        </w:rPr>
        <w:tab/>
        <w:t xml:space="preserve">Ethiopia: A time-series analysis. Environmental Health Insights, 14, 1–12. </w:t>
      </w:r>
      <w:r w:rsidRPr="00F36A0C">
        <w:rPr>
          <w:rFonts w:ascii="Times New Roman" w:hAnsi="Times New Roman" w:cs="Times New Roman"/>
          <w:noProof/>
          <w:sz w:val="24"/>
          <w:szCs w:val="24"/>
        </w:rPr>
        <w:tab/>
        <w:t>https://doi.org/10.1177/1178630220905833</w:t>
      </w:r>
    </w:p>
    <w:p w14:paraId="29A8576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Wang, X., Niu, S., &amp; Zhou, Y. (2023). Evaporative demand and heat-related health outcomes in </w:t>
      </w:r>
      <w:r w:rsidRPr="00F36A0C">
        <w:rPr>
          <w:rFonts w:ascii="Times New Roman" w:hAnsi="Times New Roman" w:cs="Times New Roman"/>
          <w:noProof/>
          <w:sz w:val="24"/>
          <w:szCs w:val="24"/>
        </w:rPr>
        <w:tab/>
        <w:t xml:space="preserve">East Africa </w:t>
      </w:r>
      <w:r w:rsidRPr="00F36A0C">
        <w:rPr>
          <w:rFonts w:ascii="Times New Roman" w:hAnsi="Times New Roman" w:cs="Times New Roman"/>
          <w:noProof/>
          <w:sz w:val="24"/>
          <w:szCs w:val="24"/>
        </w:rPr>
        <w:tab/>
        <w:t xml:space="preserve">under climate warming. Science of the Total Environment, 857, 159614. </w:t>
      </w:r>
      <w:r w:rsidRPr="00F36A0C">
        <w:rPr>
          <w:rFonts w:ascii="Times New Roman" w:hAnsi="Times New Roman" w:cs="Times New Roman"/>
          <w:noProof/>
          <w:sz w:val="24"/>
          <w:szCs w:val="24"/>
        </w:rPr>
        <w:tab/>
      </w:r>
      <w:hyperlink r:id="rId35" w:history="1">
        <w:r w:rsidRPr="00F36A0C">
          <w:rPr>
            <w:rFonts w:ascii="Times New Roman" w:hAnsi="Times New Roman" w:cs="Times New Roman"/>
            <w:noProof/>
            <w:sz w:val="24"/>
            <w:szCs w:val="24"/>
          </w:rPr>
          <w:t>https://doi.org/10.1016/j.scitotenv.2022.159614</w:t>
        </w:r>
      </w:hyperlink>
    </w:p>
    <w:p w14:paraId="3A2E0BE5"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Wondimagegn, M. B., Bitew, S., &amp; Teshome, D. (2022). Heat exposure and heat-related </w:t>
      </w:r>
      <w:r w:rsidRPr="00F36A0C">
        <w:rPr>
          <w:rFonts w:ascii="Times New Roman" w:hAnsi="Times New Roman" w:cs="Times New Roman"/>
          <w:noProof/>
          <w:sz w:val="24"/>
          <w:szCs w:val="24"/>
        </w:rPr>
        <w:tab/>
        <w:t xml:space="preserve">illnesses among </w:t>
      </w:r>
      <w:r w:rsidRPr="00F36A0C">
        <w:rPr>
          <w:rFonts w:ascii="Times New Roman" w:hAnsi="Times New Roman" w:cs="Times New Roman"/>
          <w:noProof/>
          <w:sz w:val="24"/>
          <w:szCs w:val="24"/>
        </w:rPr>
        <w:lastRenderedPageBreak/>
        <w:tab/>
        <w:t xml:space="preserve">outdoor workers in Ethiopia: A cross-sectional study. Environmental </w:t>
      </w:r>
      <w:r w:rsidRPr="00F36A0C">
        <w:rPr>
          <w:rFonts w:ascii="Times New Roman" w:hAnsi="Times New Roman" w:cs="Times New Roman"/>
          <w:noProof/>
          <w:sz w:val="24"/>
          <w:szCs w:val="24"/>
        </w:rPr>
        <w:tab/>
        <w:t xml:space="preserve">Health and Preventive </w:t>
      </w:r>
      <w:r w:rsidRPr="00F36A0C">
        <w:rPr>
          <w:rFonts w:ascii="Times New Roman" w:hAnsi="Times New Roman" w:cs="Times New Roman"/>
          <w:noProof/>
          <w:sz w:val="24"/>
          <w:szCs w:val="24"/>
        </w:rPr>
        <w:tab/>
        <w:t>Medicine, 27(1), 52. https://doi.org/10.1186/s12199-022-01087</w:t>
      </w:r>
    </w:p>
    <w:p w14:paraId="138B253D"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Bekele-Biratu, E., Thiaw, W. M., &amp; Korecha, D. (2018). Sub-seasonal variability of the Belg rains in Ethiopia. </w:t>
      </w:r>
      <w:r w:rsidRPr="00F36A0C">
        <w:rPr>
          <w:rFonts w:ascii="Times New Roman" w:hAnsi="Times New Roman" w:cs="Times New Roman"/>
          <w:i/>
          <w:iCs/>
          <w:noProof/>
          <w:sz w:val="24"/>
          <w:szCs w:val="24"/>
        </w:rPr>
        <w:t>International Journal of Climatology</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38</w:t>
      </w:r>
      <w:r w:rsidRPr="00F36A0C">
        <w:rPr>
          <w:rFonts w:ascii="Times New Roman" w:hAnsi="Times New Roman" w:cs="Times New Roman"/>
          <w:noProof/>
          <w:sz w:val="24"/>
          <w:szCs w:val="24"/>
        </w:rPr>
        <w:t>(7), 2940–2953. https://doi.org/10.1002/joc.5474</w:t>
      </w:r>
    </w:p>
    <w:p w14:paraId="5C204EDB"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Berhanu, B., Melesse, A. M., &amp; Seleshi, Y. (2013). GIS-based hydrological zones and soil geo-database of Ethiopia. </w:t>
      </w:r>
      <w:r w:rsidRPr="00F36A0C">
        <w:rPr>
          <w:rFonts w:ascii="Times New Roman" w:hAnsi="Times New Roman" w:cs="Times New Roman"/>
          <w:i/>
          <w:iCs/>
          <w:noProof/>
          <w:sz w:val="24"/>
          <w:szCs w:val="24"/>
        </w:rPr>
        <w:t>Catena</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104</w:t>
      </w:r>
      <w:r w:rsidRPr="00F36A0C">
        <w:rPr>
          <w:rFonts w:ascii="Times New Roman" w:hAnsi="Times New Roman" w:cs="Times New Roman"/>
          <w:noProof/>
          <w:sz w:val="24"/>
          <w:szCs w:val="24"/>
        </w:rPr>
        <w:t>, 21–31. https://doi.org/10.1016/j.catena.2012.12.007</w:t>
      </w:r>
    </w:p>
    <w:p w14:paraId="5E7DFC27"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Berhanu, B., Seleshi, Y., &amp; Melesse, A. M. (2014). Chapter 6 Surface Water and Groundwater Resources of Ethiopia: Potentials and Challenges of Water Resources Development. In </w:t>
      </w:r>
      <w:r w:rsidRPr="00F36A0C">
        <w:rPr>
          <w:rFonts w:ascii="Times New Roman" w:hAnsi="Times New Roman" w:cs="Times New Roman"/>
          <w:i/>
          <w:iCs/>
          <w:noProof/>
          <w:sz w:val="24"/>
          <w:szCs w:val="24"/>
        </w:rPr>
        <w:t>Nile River Basin: Ecohydrological Challenges, Climate Change and Hydropolitics</w:t>
      </w:r>
      <w:r w:rsidRPr="00F36A0C">
        <w:rPr>
          <w:rFonts w:ascii="Times New Roman" w:hAnsi="Times New Roman" w:cs="Times New Roman"/>
          <w:noProof/>
          <w:sz w:val="24"/>
          <w:szCs w:val="24"/>
        </w:rPr>
        <w:t>. Springer International Publishing Switzerland. https://doi.org/10.1007/978-3-319-02720-3</w:t>
      </w:r>
    </w:p>
    <w:p w14:paraId="223F40C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Bewket, W., &amp; Conway, D. (2007). </w:t>
      </w:r>
      <w:r w:rsidRPr="00F36A0C">
        <w:rPr>
          <w:rFonts w:ascii="Times New Roman" w:hAnsi="Times New Roman" w:cs="Times New Roman"/>
          <w:i/>
          <w:iCs/>
          <w:noProof/>
          <w:sz w:val="24"/>
          <w:szCs w:val="24"/>
        </w:rPr>
        <w:t>A note on the temporal and spatial variability of rainfall in the drought-prone Amhara region of Ethiopia</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1477</w:t>
      </w:r>
      <w:r w:rsidRPr="00F36A0C">
        <w:rPr>
          <w:rFonts w:ascii="Times New Roman" w:hAnsi="Times New Roman" w:cs="Times New Roman"/>
          <w:noProof/>
          <w:sz w:val="24"/>
          <w:szCs w:val="24"/>
        </w:rPr>
        <w:t>(May), 1467–1477. https://doi.org/10.1002/joc.1481</w:t>
      </w:r>
    </w:p>
    <w:p w14:paraId="6FA4FF9C"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Bouteska, A., Sharif, T., Bhuiyan, F., &amp; Abedin, M. Z. (2024). Impacts of the changing climate on agricultural productivity and food security: Evidence from Ethiopia. </w:t>
      </w:r>
      <w:r w:rsidRPr="00F36A0C">
        <w:rPr>
          <w:rFonts w:ascii="Times New Roman" w:hAnsi="Times New Roman" w:cs="Times New Roman"/>
          <w:i/>
          <w:iCs/>
          <w:noProof/>
          <w:sz w:val="24"/>
          <w:szCs w:val="24"/>
        </w:rPr>
        <w:t>Journal of Cleaner Production</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449</w:t>
      </w:r>
      <w:r w:rsidRPr="00F36A0C">
        <w:rPr>
          <w:rFonts w:ascii="Times New Roman" w:hAnsi="Times New Roman" w:cs="Times New Roman"/>
          <w:noProof/>
          <w:sz w:val="24"/>
          <w:szCs w:val="24"/>
        </w:rPr>
        <w:t>(February). https://doi.org/10.1016/j.jclepro.2024.141793</w:t>
      </w:r>
    </w:p>
    <w:p w14:paraId="27EF0467"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Dalle, D., Gecho, Y., &amp; Bedeke, S. B. (2023). Spatiotemporal Variability and Trends in Rainfall and Temperature in South Ethiopia: Implications for Climate Change Adaptations in Rural Communities. </w:t>
      </w:r>
      <w:r w:rsidRPr="00F36A0C">
        <w:rPr>
          <w:rFonts w:ascii="Times New Roman" w:hAnsi="Times New Roman" w:cs="Times New Roman"/>
          <w:i/>
          <w:iCs/>
          <w:noProof/>
          <w:sz w:val="24"/>
          <w:szCs w:val="24"/>
        </w:rPr>
        <w:t>Advances in Meteorology</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2023</w:t>
      </w:r>
      <w:r w:rsidRPr="00F36A0C">
        <w:rPr>
          <w:rFonts w:ascii="Times New Roman" w:hAnsi="Times New Roman" w:cs="Times New Roman"/>
          <w:noProof/>
          <w:sz w:val="24"/>
          <w:szCs w:val="24"/>
        </w:rPr>
        <w:t>. https://doi.org/10.1155/2023/1939528</w:t>
      </w:r>
    </w:p>
    <w:p w14:paraId="17889925"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Ebrahem, M. A.-H., &amp; Al-Nasser, A. D. (2005). Estimating the slope of simple linear regression in the presence of outliers. </w:t>
      </w:r>
      <w:r w:rsidRPr="00F36A0C">
        <w:rPr>
          <w:rFonts w:ascii="Times New Roman" w:hAnsi="Times New Roman" w:cs="Times New Roman"/>
          <w:i/>
          <w:iCs/>
          <w:noProof/>
          <w:sz w:val="24"/>
          <w:szCs w:val="24"/>
        </w:rPr>
        <w:t>Journal of Modern Applied Statistical Methods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4</w:t>
      </w:r>
      <w:r w:rsidRPr="00F36A0C">
        <w:rPr>
          <w:rFonts w:ascii="Times New Roman" w:hAnsi="Times New Roman" w:cs="Times New Roman"/>
          <w:noProof/>
          <w:sz w:val="24"/>
          <w:szCs w:val="24"/>
        </w:rPr>
        <w:t>(2), 509–513. https://doi.org/10.22237/jmasm/1130804040</w:t>
      </w:r>
    </w:p>
    <w:p w14:paraId="6E67DCFB"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Egwuonwu, C. C., Okafor, V. C., Ezeanya, N. C., Nzediegwu, C., &amp; Okorafor, K. (2012). A Comparison of the Reliability of Six Evapotranspiration Computing Models for Abeokuta in South Western Nigeria. </w:t>
      </w:r>
      <w:r w:rsidRPr="00F36A0C">
        <w:rPr>
          <w:rFonts w:ascii="Times New Roman" w:hAnsi="Times New Roman" w:cs="Times New Roman"/>
          <w:i/>
          <w:iCs/>
          <w:noProof/>
          <w:sz w:val="24"/>
          <w:szCs w:val="24"/>
        </w:rPr>
        <w:t>Greener Journal of Physical Sciences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w:t>
      </w:r>
      <w:r w:rsidRPr="00F36A0C">
        <w:rPr>
          <w:rFonts w:ascii="Times New Roman" w:hAnsi="Times New Roman" w:cs="Times New Roman"/>
          <w:noProof/>
          <w:sz w:val="24"/>
          <w:szCs w:val="24"/>
        </w:rPr>
        <w:t>(4), 64–69. https://www.researchgate.net/publication/334277104_A_Comparison_of_the_Reliability_of_Six_Evapotranspiration_Computing_Models_for_Abeokuta_in_South_Western_Nigeria</w:t>
      </w:r>
    </w:p>
    <w:p w14:paraId="21958066"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Ehsan, M. A., Tippett, M. K., Robertson, A. W., Almazroui, M., Ismail, M., Dinku, T., Acharya, N., Siebert, A., Ahmed, J. S., &amp; Teshome, A. (2021). Seasonal predictability of Ethiopian Kiremt rainfall and forecast skill of ECMWF’s SEAS5 model. </w:t>
      </w:r>
      <w:r w:rsidRPr="00F36A0C">
        <w:rPr>
          <w:rFonts w:ascii="Times New Roman" w:hAnsi="Times New Roman" w:cs="Times New Roman"/>
          <w:i/>
          <w:iCs/>
          <w:noProof/>
          <w:sz w:val="24"/>
          <w:szCs w:val="24"/>
        </w:rPr>
        <w:t>Climate Dynamics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57</w:t>
      </w:r>
      <w:r w:rsidRPr="00F36A0C">
        <w:rPr>
          <w:rFonts w:ascii="Times New Roman" w:hAnsi="Times New Roman" w:cs="Times New Roman"/>
          <w:noProof/>
          <w:sz w:val="24"/>
          <w:szCs w:val="24"/>
        </w:rPr>
        <w:t>(11–12), 3075–3091. https://doi.org/10.1007/s00382-021-05855-0</w:t>
      </w:r>
    </w:p>
    <w:p w14:paraId="7F6B7C3A"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Ejieji, C. J. (2011). Performance of three empirical reference evapotranspiration models under three sky conditions using two solar radiation estimation methods at Ilorin, Nigeria. </w:t>
      </w:r>
      <w:r w:rsidRPr="00F36A0C">
        <w:rPr>
          <w:rFonts w:ascii="Times New Roman" w:hAnsi="Times New Roman" w:cs="Times New Roman"/>
          <w:i/>
          <w:iCs/>
          <w:noProof/>
          <w:sz w:val="24"/>
          <w:szCs w:val="24"/>
        </w:rPr>
        <w:t>Agricultural Engineering International: CIGR Journal</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13</w:t>
      </w:r>
      <w:r w:rsidRPr="00F36A0C">
        <w:rPr>
          <w:rFonts w:ascii="Times New Roman" w:hAnsi="Times New Roman" w:cs="Times New Roman"/>
          <w:noProof/>
          <w:sz w:val="24"/>
          <w:szCs w:val="24"/>
        </w:rPr>
        <w:t>(3). https://cigrjournal.org/index.php/Ejounral/article/view/1673/1490</w:t>
      </w:r>
    </w:p>
    <w:p w14:paraId="5989BF9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Eshete, D. G., Sinshaw, B. G., &amp; Legese, K. G. (2020). Critical review on improving irrigation water use </w:t>
      </w:r>
      <w:r w:rsidRPr="00F36A0C">
        <w:rPr>
          <w:rFonts w:ascii="Times New Roman" w:hAnsi="Times New Roman" w:cs="Times New Roman"/>
          <w:noProof/>
          <w:sz w:val="24"/>
          <w:szCs w:val="24"/>
        </w:rPr>
        <w:lastRenderedPageBreak/>
        <w:t xml:space="preserve">efficiency: Advances, challenges, and opportunities in the Ethiopia context. </w:t>
      </w:r>
      <w:r w:rsidRPr="00F36A0C">
        <w:rPr>
          <w:rFonts w:ascii="Times New Roman" w:hAnsi="Times New Roman" w:cs="Times New Roman"/>
          <w:i/>
          <w:iCs/>
          <w:noProof/>
          <w:sz w:val="24"/>
          <w:szCs w:val="24"/>
        </w:rPr>
        <w:t>Water-Energy Nexus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3</w:t>
      </w:r>
      <w:r w:rsidRPr="00F36A0C">
        <w:rPr>
          <w:rFonts w:ascii="Times New Roman" w:hAnsi="Times New Roman" w:cs="Times New Roman"/>
          <w:noProof/>
          <w:sz w:val="24"/>
          <w:szCs w:val="24"/>
        </w:rPr>
        <w:t>, 143–154. https://doi.org/10.1016/j.wen.2020.09.001</w:t>
      </w:r>
    </w:p>
    <w:p w14:paraId="1488141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Fanta, S. S., Yesuf, M. B., Merkos, M. T., &amp; Demissie, T. A. (2025). The spatio-temporal trend of climate and characterization of drought in Borana Zone, Ethiopia. </w:t>
      </w:r>
      <w:r w:rsidRPr="00F36A0C">
        <w:rPr>
          <w:rFonts w:ascii="Times New Roman" w:hAnsi="Times New Roman" w:cs="Times New Roman"/>
          <w:i/>
          <w:iCs/>
          <w:noProof/>
          <w:sz w:val="24"/>
          <w:szCs w:val="24"/>
        </w:rPr>
        <w:t>Scientific Reports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15</w:t>
      </w:r>
      <w:r w:rsidRPr="00F36A0C">
        <w:rPr>
          <w:rFonts w:ascii="Times New Roman" w:hAnsi="Times New Roman" w:cs="Times New Roman"/>
          <w:noProof/>
          <w:sz w:val="24"/>
          <w:szCs w:val="24"/>
        </w:rPr>
        <w:t>(1), 1–18. https://doi.org/10.1038/s41598-025-87345-5</w:t>
      </w:r>
    </w:p>
    <w:p w14:paraId="4377A972"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color w:val="222222"/>
          <w:sz w:val="20"/>
          <w:szCs w:val="20"/>
          <w:shd w:val="clear" w:color="auto" w:fill="FFFFFF"/>
        </w:rPr>
        <w:t>Moore, B. A., &amp; Allard, G. B. (2008). Climate change impacts on forest health (Forest Health &amp; Biosecurity Working Papers FBS/34E). </w:t>
      </w:r>
      <w:r w:rsidRPr="00F36A0C">
        <w:rPr>
          <w:rFonts w:ascii="Times New Roman" w:hAnsi="Times New Roman" w:cs="Times New Roman"/>
          <w:i/>
          <w:iCs/>
          <w:color w:val="222222"/>
          <w:sz w:val="20"/>
          <w:szCs w:val="20"/>
          <w:shd w:val="clear" w:color="auto" w:fill="FFFFFF"/>
        </w:rPr>
        <w:t>Forest Resources Development Service. Forest Management Division, FAO, Rome, Italy</w:t>
      </w:r>
      <w:r w:rsidRPr="00F36A0C">
        <w:rPr>
          <w:rFonts w:ascii="Times New Roman" w:hAnsi="Times New Roman" w:cs="Times New Roman"/>
          <w:color w:val="222222"/>
          <w:sz w:val="20"/>
          <w:szCs w:val="20"/>
          <w:shd w:val="clear" w:color="auto" w:fill="FFFFFF"/>
        </w:rPr>
        <w:t>.</w:t>
      </w:r>
      <w:r w:rsidRPr="00F36A0C">
        <w:rPr>
          <w:rFonts w:ascii="Times New Roman" w:hAnsi="Times New Roman" w:cs="Times New Roman"/>
          <w:noProof/>
          <w:sz w:val="24"/>
          <w:szCs w:val="24"/>
        </w:rPr>
        <w:t>. https://www.fao.org/forestry-fao/15905-0dc804ee7d97e656f06507bdcecddc721.pdf</w:t>
      </w:r>
    </w:p>
    <w:p w14:paraId="60AC5440"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 Allard, G. B., Fortuna, S., See, L. S., Novotny, J., Baldini, A., &amp; Courtinho, T. (2003). Global information on outbreaks and impact of major forest insect pests and diseases. In Proceedings of the 2003 XII World Forestry Congress.https://openknowledge.fao.org/server/api/core/bitstreams/6ff74325-97d5-402d-8bc6-a13209a84005/content</w:t>
      </w:r>
    </w:p>
    <w:p w14:paraId="4E291349"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Hirwa, H., Zhang, Q., Li, F., Qiao, Y., Measho, S., Muhirwa, F., ... &amp; Itangishaka, A. C. (2022). Water accounting and productivity analysis to improve water savings of Nile River Basin, East Africa: from accountability to sustainability.</w:t>
      </w:r>
      <w:r w:rsidRPr="00F36A0C">
        <w:rPr>
          <w:rFonts w:ascii="Times New Roman" w:hAnsi="Times New Roman" w:cs="Times New Roman"/>
          <w:color w:val="222222"/>
          <w:sz w:val="20"/>
          <w:szCs w:val="20"/>
          <w:shd w:val="clear" w:color="auto" w:fill="FFFFFF"/>
        </w:rPr>
        <w:t> </w:t>
      </w:r>
      <w:r w:rsidRPr="00F36A0C">
        <w:rPr>
          <w:rFonts w:ascii="Times New Roman" w:hAnsi="Times New Roman" w:cs="Times New Roman"/>
          <w:i/>
          <w:iCs/>
          <w:color w:val="222222"/>
          <w:sz w:val="20"/>
          <w:szCs w:val="20"/>
          <w:shd w:val="clear" w:color="auto" w:fill="FFFFFF"/>
        </w:rPr>
        <w:t>Agronomy</w:t>
      </w:r>
      <w:r w:rsidRPr="00F36A0C">
        <w:rPr>
          <w:rFonts w:ascii="Times New Roman" w:hAnsi="Times New Roman" w:cs="Times New Roman"/>
          <w:color w:val="222222"/>
          <w:sz w:val="20"/>
          <w:szCs w:val="20"/>
          <w:shd w:val="clear" w:color="auto" w:fill="FFFFFF"/>
        </w:rPr>
        <w:t>, </w:t>
      </w:r>
      <w:r w:rsidRPr="00F36A0C">
        <w:rPr>
          <w:rFonts w:ascii="Times New Roman" w:hAnsi="Times New Roman" w:cs="Times New Roman"/>
          <w:i/>
          <w:iCs/>
          <w:color w:val="222222"/>
          <w:sz w:val="20"/>
          <w:szCs w:val="20"/>
          <w:shd w:val="clear" w:color="auto" w:fill="FFFFFF"/>
        </w:rPr>
        <w:t>12</w:t>
      </w:r>
      <w:r w:rsidRPr="00F36A0C">
        <w:rPr>
          <w:rFonts w:ascii="Times New Roman" w:hAnsi="Times New Roman" w:cs="Times New Roman"/>
          <w:color w:val="222222"/>
          <w:sz w:val="20"/>
          <w:szCs w:val="20"/>
          <w:shd w:val="clear" w:color="auto" w:fill="FFFFFF"/>
        </w:rPr>
        <w:t>(4), 818.</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Water Accounting in the Nile River Basin (WaPOR water accounting series)</w:t>
      </w:r>
      <w:r w:rsidRPr="00F36A0C">
        <w:rPr>
          <w:rFonts w:ascii="Times New Roman" w:hAnsi="Times New Roman" w:cs="Times New Roman"/>
          <w:noProof/>
          <w:sz w:val="24"/>
          <w:szCs w:val="24"/>
        </w:rPr>
        <w:t>. https://doi.org/https://doi.org/10.4060/ca9895en</w:t>
      </w:r>
    </w:p>
    <w:p w14:paraId="18D5B0E9"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Fazzini, M., Bisci, C., &amp; Billi, P. (2015). The Climate of Ethiopia. </w:t>
      </w:r>
      <w:r w:rsidRPr="00F36A0C">
        <w:rPr>
          <w:rFonts w:ascii="Times New Roman" w:hAnsi="Times New Roman" w:cs="Times New Roman"/>
          <w:i/>
          <w:iCs/>
          <w:noProof/>
          <w:sz w:val="24"/>
          <w:szCs w:val="24"/>
        </w:rPr>
        <w:t>World Geomorphological Landscapes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February 2016</w:t>
      </w:r>
      <w:r w:rsidRPr="00F36A0C">
        <w:rPr>
          <w:rFonts w:ascii="Times New Roman" w:hAnsi="Times New Roman" w:cs="Times New Roman"/>
          <w:noProof/>
          <w:sz w:val="24"/>
          <w:szCs w:val="24"/>
        </w:rPr>
        <w:t>, 65–87. https://doi.org/10.1007/978-94-017-8026-1_3</w:t>
      </w:r>
    </w:p>
    <w:p w14:paraId="58F0A8DE"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Funk, C. C., Peterson, P. J., Landsfeld, M. F., Pedreros, D. H., Verdin, J. P., Rowland, J. D., Romero, B. E., Husak, G. J., Michaelsen, J. C., &amp; Verdin, A. P. (2014). A Quasi-Global Rainfall Time Series for Drought Monitoring. </w:t>
      </w:r>
      <w:r w:rsidRPr="00F36A0C">
        <w:rPr>
          <w:rFonts w:ascii="Times New Roman" w:hAnsi="Times New Roman" w:cs="Times New Roman"/>
          <w:i/>
          <w:iCs/>
          <w:noProof/>
          <w:sz w:val="24"/>
          <w:szCs w:val="24"/>
        </w:rPr>
        <w:t>U.S. Geological Survey Data Series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832</w:t>
      </w:r>
      <w:r w:rsidRPr="00F36A0C">
        <w:rPr>
          <w:rFonts w:ascii="Times New Roman" w:hAnsi="Times New Roman" w:cs="Times New Roman"/>
          <w:noProof/>
          <w:sz w:val="24"/>
          <w:szCs w:val="24"/>
        </w:rPr>
        <w:t>, 4. https://doi.org/https://dx.doi.org/10.3133/ds832</w:t>
      </w:r>
    </w:p>
    <w:p w14:paraId="238B3EC4"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Funk, C., Peterson, P., Landsfeld, M., Pedreros, D., Verdin, J., Shukla, S., Husak, G., Rowland, J., Harrison, L., Hoell, A., &amp; Michaelsen, J. (2015). The climate hazards infrared rainfall with stations - A new environmental record for monitoring extremes. </w:t>
      </w:r>
      <w:r w:rsidRPr="00F36A0C">
        <w:rPr>
          <w:rFonts w:ascii="Times New Roman" w:hAnsi="Times New Roman" w:cs="Times New Roman"/>
          <w:i/>
          <w:iCs/>
          <w:noProof/>
          <w:sz w:val="24"/>
          <w:szCs w:val="24"/>
        </w:rPr>
        <w:t>Scientific Data</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w:t>
      </w:r>
      <w:r w:rsidRPr="00F36A0C">
        <w:rPr>
          <w:rFonts w:ascii="Times New Roman" w:hAnsi="Times New Roman" w:cs="Times New Roman"/>
          <w:noProof/>
          <w:sz w:val="24"/>
          <w:szCs w:val="24"/>
        </w:rPr>
        <w:t>, 1–21. https://doi.org/10.1038/sdata.2015.66</w:t>
      </w:r>
    </w:p>
    <w:p w14:paraId="2FF3B12F"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Gleixner, S., Keenlyside, N., Viste, E., &amp; Korecha, D. (2017). The El Niño effect on Ethiopian summer rainfall. </w:t>
      </w:r>
      <w:r w:rsidRPr="00F36A0C">
        <w:rPr>
          <w:rFonts w:ascii="Times New Roman" w:hAnsi="Times New Roman" w:cs="Times New Roman"/>
          <w:i/>
          <w:iCs/>
          <w:noProof/>
          <w:sz w:val="24"/>
          <w:szCs w:val="24"/>
        </w:rPr>
        <w:t>Climate Dynamics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49</w:t>
      </w:r>
      <w:r w:rsidRPr="00F36A0C">
        <w:rPr>
          <w:rFonts w:ascii="Times New Roman" w:hAnsi="Times New Roman" w:cs="Times New Roman"/>
          <w:noProof/>
          <w:sz w:val="24"/>
          <w:szCs w:val="24"/>
        </w:rPr>
        <w:t>(5–6), 1865–1883. https://doi.org/10.1007/s00382-016-3421-z</w:t>
      </w:r>
    </w:p>
    <w:p w14:paraId="32E1129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Gryseels, G., &amp; Anderson, F. M. (1983). Research on farm and livestock productivity in the central Ethiopian highlands: initial results, 1977-1980. In </w:t>
      </w:r>
      <w:r w:rsidRPr="00F36A0C">
        <w:rPr>
          <w:rFonts w:ascii="Times New Roman" w:hAnsi="Times New Roman" w:cs="Times New Roman"/>
          <w:i/>
          <w:iCs/>
          <w:noProof/>
          <w:sz w:val="24"/>
          <w:szCs w:val="24"/>
        </w:rPr>
        <w:t>Research Report - International Livestock Centre for Africa</w:t>
      </w:r>
      <w:r w:rsidRPr="00F36A0C">
        <w:rPr>
          <w:rFonts w:ascii="Times New Roman" w:hAnsi="Times New Roman" w:cs="Times New Roman"/>
          <w:noProof/>
          <w:sz w:val="24"/>
          <w:szCs w:val="24"/>
        </w:rPr>
        <w:t xml:space="preserve"> (Vol. 4, Issue 4).</w:t>
      </w:r>
    </w:p>
    <w:p w14:paraId="7F9325BC"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Hawando, T. (1997). Desertification in Ethiopian Highlands. </w:t>
      </w:r>
      <w:r w:rsidRPr="00F36A0C">
        <w:rPr>
          <w:rFonts w:ascii="Times New Roman" w:hAnsi="Times New Roman" w:cs="Times New Roman"/>
          <w:i/>
          <w:iCs/>
          <w:noProof/>
          <w:sz w:val="24"/>
          <w:szCs w:val="24"/>
        </w:rPr>
        <w:t>Rala Report</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200</w:t>
      </w:r>
      <w:r w:rsidRPr="00F36A0C">
        <w:rPr>
          <w:rFonts w:ascii="Times New Roman" w:hAnsi="Times New Roman" w:cs="Times New Roman"/>
          <w:noProof/>
          <w:sz w:val="24"/>
          <w:szCs w:val="24"/>
        </w:rPr>
        <w:t>, 75–86.</w:t>
      </w:r>
    </w:p>
    <w:p w14:paraId="4B1B994E"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Hurni, H. (1988). Degradation and conservation of the resources in the Ethiopian highlands. </w:t>
      </w:r>
      <w:r w:rsidRPr="00F36A0C">
        <w:rPr>
          <w:rFonts w:ascii="Times New Roman" w:hAnsi="Times New Roman" w:cs="Times New Roman"/>
          <w:i/>
          <w:iCs/>
          <w:noProof/>
          <w:sz w:val="24"/>
          <w:szCs w:val="24"/>
        </w:rPr>
        <w:t>Mountain Research &amp; Development</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8</w:t>
      </w:r>
      <w:r w:rsidRPr="00F36A0C">
        <w:rPr>
          <w:rFonts w:ascii="Times New Roman" w:hAnsi="Times New Roman" w:cs="Times New Roman"/>
          <w:noProof/>
          <w:sz w:val="24"/>
          <w:szCs w:val="24"/>
        </w:rPr>
        <w:t>(2–3), 123–130. https://doi.org/10.2307/3673438</w:t>
      </w:r>
    </w:p>
    <w:p w14:paraId="7CD5107C"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IPCC. (2021). Supplementary Material. </w:t>
      </w:r>
      <w:r w:rsidRPr="00F36A0C">
        <w:rPr>
          <w:rFonts w:ascii="Times New Roman" w:hAnsi="Times New Roman" w:cs="Times New Roman"/>
          <w:i/>
          <w:iCs/>
          <w:noProof/>
          <w:sz w:val="24"/>
          <w:szCs w:val="24"/>
        </w:rPr>
        <w:t>IPCC WGII Sixth Assessment Report</w:t>
      </w:r>
      <w:r w:rsidRPr="00F36A0C">
        <w:rPr>
          <w:rFonts w:ascii="Times New Roman" w:hAnsi="Times New Roman" w:cs="Times New Roman"/>
          <w:noProof/>
          <w:sz w:val="24"/>
          <w:szCs w:val="24"/>
        </w:rPr>
        <w:t>, 1–225.</w:t>
      </w:r>
    </w:p>
    <w:p w14:paraId="14E66C5F"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lastRenderedPageBreak/>
        <w:t xml:space="preserve">Jat, R. A., Jinger, D., Kumawat, A., Kar, S. K., Rawat, I., Kumar, S., Paramesh, V., Meena, V. S., Kaushal, R., Kumar, K., Meena, H. S., Wani, S. P., Singh, R., &amp; Madhu, M. (2025). Integrated watershed management for transforming dryland livelihoods: A climate-smart strategy for sustainable dryland agriculture in India. </w:t>
      </w:r>
      <w:r w:rsidRPr="00F36A0C">
        <w:rPr>
          <w:rFonts w:ascii="Times New Roman" w:hAnsi="Times New Roman" w:cs="Times New Roman"/>
          <w:i/>
          <w:iCs/>
          <w:noProof/>
          <w:sz w:val="24"/>
          <w:szCs w:val="24"/>
        </w:rPr>
        <w:t>Watershed Ecology and the Environment</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7</w:t>
      </w:r>
      <w:r w:rsidRPr="00F36A0C">
        <w:rPr>
          <w:rFonts w:ascii="Times New Roman" w:hAnsi="Times New Roman" w:cs="Times New Roman"/>
          <w:noProof/>
          <w:sz w:val="24"/>
          <w:szCs w:val="24"/>
        </w:rPr>
        <w:t>(March), 159–177. https://doi.org/10.1016/j.wsee.2025.03.006</w:t>
      </w:r>
    </w:p>
    <w:p w14:paraId="66D82DA2"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Jury, M. R. (2024). Climate variability and hydrology impacts in east Africa’s Rwenzori Mountains. </w:t>
      </w:r>
      <w:r w:rsidRPr="00F36A0C">
        <w:rPr>
          <w:rFonts w:ascii="Times New Roman" w:hAnsi="Times New Roman" w:cs="Times New Roman"/>
          <w:i/>
          <w:iCs/>
          <w:noProof/>
          <w:sz w:val="24"/>
          <w:szCs w:val="24"/>
        </w:rPr>
        <w:t>Journal of Hydrology: Regional Studies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55</w:t>
      </w:r>
      <w:r w:rsidRPr="00F36A0C">
        <w:rPr>
          <w:rFonts w:ascii="Times New Roman" w:hAnsi="Times New Roman" w:cs="Times New Roman"/>
          <w:noProof/>
          <w:sz w:val="24"/>
          <w:szCs w:val="24"/>
        </w:rPr>
        <w:t>(April). https://doi.org/10.1016/j.ejrh.2024.101922</w:t>
      </w:r>
    </w:p>
    <w:p w14:paraId="0E5B97BD"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Khatami, R., Southworth, J., Muir, C., Caughlin, T., Ayana, A. N., Brown, D. G., Liao, C., &amp; Agrawal, A. (2020). Operational large-area land-cover mapping: An Ethiopia case study. </w:t>
      </w:r>
      <w:r w:rsidRPr="00F36A0C">
        <w:rPr>
          <w:rFonts w:ascii="Times New Roman" w:hAnsi="Times New Roman" w:cs="Times New Roman"/>
          <w:i/>
          <w:iCs/>
          <w:noProof/>
          <w:sz w:val="24"/>
          <w:szCs w:val="24"/>
        </w:rPr>
        <w:t>Remote Sensing</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12</w:t>
      </w:r>
      <w:r w:rsidRPr="00F36A0C">
        <w:rPr>
          <w:rFonts w:ascii="Times New Roman" w:hAnsi="Times New Roman" w:cs="Times New Roman"/>
          <w:noProof/>
          <w:sz w:val="24"/>
          <w:szCs w:val="24"/>
        </w:rPr>
        <w:t>(6). https://doi.org/10.3390/rs12060954</w:t>
      </w:r>
    </w:p>
    <w:p w14:paraId="6AD8F91C"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Lahlali, R., Taoussi, M., Laasli, S. E., Gachara, G., Ezzouggari, R., Belabess, Z., Aberkani, K., Assouguem, A., Meddich, A., El Jarroudi, M., &amp; Barka, E. A. (2024). Effects of climate change on plant pathogens and host-pathogen interactions. </w:t>
      </w:r>
      <w:r w:rsidRPr="00F36A0C">
        <w:rPr>
          <w:rFonts w:ascii="Times New Roman" w:hAnsi="Times New Roman" w:cs="Times New Roman"/>
          <w:i/>
          <w:iCs/>
          <w:noProof/>
          <w:sz w:val="24"/>
          <w:szCs w:val="24"/>
        </w:rPr>
        <w:t>Crop and Environment</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3</w:t>
      </w:r>
      <w:r w:rsidRPr="00F36A0C">
        <w:rPr>
          <w:rFonts w:ascii="Times New Roman" w:hAnsi="Times New Roman" w:cs="Times New Roman"/>
          <w:noProof/>
          <w:sz w:val="24"/>
          <w:szCs w:val="24"/>
        </w:rPr>
        <w:t>(3), 159–170. https://doi.org/10.1016/j.crope.2024.05.003</w:t>
      </w:r>
    </w:p>
    <w:p w14:paraId="20D9A401"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Lawson, S. S., &amp; Michler, C. H. (2014). Afforestation, restoration and regeneration - Not all trees are created equal. </w:t>
      </w:r>
      <w:r w:rsidRPr="00F36A0C">
        <w:rPr>
          <w:rFonts w:ascii="Times New Roman" w:hAnsi="Times New Roman" w:cs="Times New Roman"/>
          <w:i/>
          <w:iCs/>
          <w:noProof/>
          <w:sz w:val="24"/>
          <w:szCs w:val="24"/>
        </w:rPr>
        <w:t>Journal of Forestry Research</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25</w:t>
      </w:r>
      <w:r w:rsidRPr="00F36A0C">
        <w:rPr>
          <w:rFonts w:ascii="Times New Roman" w:hAnsi="Times New Roman" w:cs="Times New Roman"/>
          <w:noProof/>
          <w:sz w:val="24"/>
          <w:szCs w:val="24"/>
        </w:rPr>
        <w:t>(1), 3–20. https://doi.org/10.1007/s11676-014-0426-5</w:t>
      </w:r>
    </w:p>
    <w:p w14:paraId="5875855E"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Lee, J.-Y., Marotzke, J., Bala, G., Cao, L., Corti, S., Dunne, J., Engelbrecht, F., Fischer, E., Fyfe, J., Jones, C., Maycock, A., Mutemi, J., Ndiaye, O., Panickal, S., &amp; Zhou:, T. (2021). Future global climate: scenario-based projections and near-term information. In </w:t>
      </w:r>
      <w:r w:rsidRPr="00F36A0C">
        <w:rPr>
          <w:rFonts w:ascii="Times New Roman" w:hAnsi="Times New Roman" w:cs="Times New Roman"/>
          <w:i/>
          <w:iCs/>
          <w:noProof/>
          <w:sz w:val="24"/>
          <w:szCs w:val="24"/>
        </w:rPr>
        <w:t>Climate Change 2021: The Physical Science Basis. Contribution of Working Group I to the Sixth Assessment Report of the Intergovernmental Panel on Climate Change</w:t>
      </w:r>
      <w:r w:rsidRPr="00F36A0C">
        <w:rPr>
          <w:rFonts w:ascii="Times New Roman" w:hAnsi="Times New Roman" w:cs="Times New Roman"/>
          <w:noProof/>
          <w:sz w:val="24"/>
          <w:szCs w:val="24"/>
        </w:rPr>
        <w:t>. https://doi.org/10.1017/9781009157896.006.553</w:t>
      </w:r>
    </w:p>
    <w:p w14:paraId="2F8A3A2C"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Liu, J., You, Y., Li, J., Sitch, S., Gu, X., Nabel, J. E. M. S., Lombardozzi, D., Luo, M., Feng, X., Arneth, A., Jain, A. K., Friedlingstein, P., Tian, H., Poulter, B., &amp; Kong, D. (2021). Response of global land evapotranspiration to climate change, elevated CO2, and land use change. </w:t>
      </w:r>
      <w:r w:rsidRPr="00F36A0C">
        <w:rPr>
          <w:rFonts w:ascii="Times New Roman" w:hAnsi="Times New Roman" w:cs="Times New Roman"/>
          <w:i/>
          <w:iCs/>
          <w:noProof/>
          <w:sz w:val="24"/>
          <w:szCs w:val="24"/>
        </w:rPr>
        <w:t>Agricultural and Forest Meteorology</w:t>
      </w:r>
      <w:r w:rsidRPr="00F36A0C">
        <w:rPr>
          <w:rFonts w:ascii="Times New Roman" w:hAnsi="Times New Roman" w:cs="Times New Roman"/>
          <w:noProof/>
          <w:sz w:val="24"/>
          <w:szCs w:val="24"/>
        </w:rPr>
        <w:t>. https://doi.org/https://doi.org/10.1016/j.agrformet.2021.108663</w:t>
      </w:r>
    </w:p>
    <w:p w14:paraId="64E66759"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Mamo, S., Berhanu, B., &amp; Melesse, A. M. (2019). Historical flood events and hydrological extremes in Ethiopia. </w:t>
      </w:r>
      <w:r w:rsidRPr="00F36A0C">
        <w:rPr>
          <w:rFonts w:ascii="Times New Roman" w:hAnsi="Times New Roman" w:cs="Times New Roman"/>
          <w:i/>
          <w:iCs/>
          <w:noProof/>
          <w:sz w:val="24"/>
          <w:szCs w:val="24"/>
        </w:rPr>
        <w:t>Extreme Hydrology and Climate Variability: Monitoring, Modelling, Adaptation and Mitigation</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July</w:t>
      </w:r>
      <w:r w:rsidRPr="00F36A0C">
        <w:rPr>
          <w:rFonts w:ascii="Times New Roman" w:hAnsi="Times New Roman" w:cs="Times New Roman"/>
          <w:noProof/>
          <w:sz w:val="24"/>
          <w:szCs w:val="24"/>
        </w:rPr>
        <w:t>, 379–384. https://doi.org/10.1016/B978-0-12-815998-9.00029-4</w:t>
      </w:r>
    </w:p>
    <w:p w14:paraId="7617B877"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Mekoya, A. (2019). Estimation of Evaporation at Tharandt, using Daily and Ten-Minute Class-A Pan Data from Automatic Measuring Pressure Sensor Instrument. </w:t>
      </w:r>
      <w:r w:rsidRPr="00F36A0C">
        <w:rPr>
          <w:rFonts w:ascii="Times New Roman" w:hAnsi="Times New Roman" w:cs="Times New Roman"/>
          <w:i/>
          <w:iCs/>
          <w:noProof/>
          <w:sz w:val="24"/>
          <w:szCs w:val="24"/>
        </w:rPr>
        <w:t>International Journal of Environmental Sciences &amp; Natural Resources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19</w:t>
      </w:r>
      <w:r w:rsidRPr="00F36A0C">
        <w:rPr>
          <w:rFonts w:ascii="Times New Roman" w:hAnsi="Times New Roman" w:cs="Times New Roman"/>
          <w:noProof/>
          <w:sz w:val="24"/>
          <w:szCs w:val="24"/>
        </w:rPr>
        <w:t>(1). https://doi.org/10.19080/ijesnr.2019.19.556003</w:t>
      </w:r>
    </w:p>
    <w:p w14:paraId="070CA61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Mekoya, A. (2020a). Dependency of Evaporation and Class A Pan Coefficient on Meteorological Parameters. </w:t>
      </w:r>
      <w:r w:rsidRPr="00F36A0C">
        <w:rPr>
          <w:rFonts w:ascii="Times New Roman" w:hAnsi="Times New Roman" w:cs="Times New Roman"/>
          <w:i/>
          <w:iCs/>
          <w:noProof/>
          <w:sz w:val="24"/>
          <w:szCs w:val="24"/>
        </w:rPr>
        <w:t>International Journal of Environmental Sciences &amp; Natural Resources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24</w:t>
      </w:r>
      <w:r w:rsidRPr="00F36A0C">
        <w:rPr>
          <w:rFonts w:ascii="Times New Roman" w:hAnsi="Times New Roman" w:cs="Times New Roman"/>
          <w:noProof/>
          <w:sz w:val="24"/>
          <w:szCs w:val="24"/>
        </w:rPr>
        <w:t>(2). https://doi.org/10.19080/ijesnr.2020.24.556134</w:t>
      </w:r>
    </w:p>
    <w:p w14:paraId="0B4C99C0"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Mekoya, A. (2020b). Evaluation of Evaporation Paradox at Tharandt. </w:t>
      </w:r>
      <w:r w:rsidRPr="00F36A0C">
        <w:rPr>
          <w:rFonts w:ascii="Times New Roman" w:hAnsi="Times New Roman" w:cs="Times New Roman"/>
          <w:i/>
          <w:iCs/>
          <w:noProof/>
          <w:sz w:val="24"/>
          <w:szCs w:val="24"/>
        </w:rPr>
        <w:t xml:space="preserve">International Journal of Environmental </w:t>
      </w:r>
      <w:r w:rsidRPr="00F36A0C">
        <w:rPr>
          <w:rFonts w:ascii="Times New Roman" w:hAnsi="Times New Roman" w:cs="Times New Roman"/>
          <w:i/>
          <w:iCs/>
          <w:noProof/>
          <w:sz w:val="24"/>
          <w:szCs w:val="24"/>
        </w:rPr>
        <w:lastRenderedPageBreak/>
        <w:t>Sciences &amp; Natural Resources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24</w:t>
      </w:r>
      <w:r w:rsidRPr="00F36A0C">
        <w:rPr>
          <w:rFonts w:ascii="Times New Roman" w:hAnsi="Times New Roman" w:cs="Times New Roman"/>
          <w:noProof/>
          <w:sz w:val="24"/>
          <w:szCs w:val="24"/>
        </w:rPr>
        <w:t>(4). https://doi.org/10.19080/ijesnr.2020.24.556142</w:t>
      </w:r>
    </w:p>
    <w:p w14:paraId="14B3029D"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Mekoya, A. (2021). Comparison of Evaporation Schemes and Methods of Estimation of Class A Pan Coefficient at Tharandt, Germany. </w:t>
      </w:r>
      <w:r w:rsidRPr="00F36A0C">
        <w:rPr>
          <w:rFonts w:ascii="Times New Roman" w:hAnsi="Times New Roman" w:cs="Times New Roman"/>
          <w:i/>
          <w:iCs/>
          <w:noProof/>
          <w:sz w:val="24"/>
          <w:szCs w:val="24"/>
        </w:rPr>
        <w:t>Water Conservation Science and Engineering</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6</w:t>
      </w:r>
      <w:r w:rsidRPr="00F36A0C">
        <w:rPr>
          <w:rFonts w:ascii="Times New Roman" w:hAnsi="Times New Roman" w:cs="Times New Roman"/>
          <w:noProof/>
          <w:sz w:val="24"/>
          <w:szCs w:val="24"/>
        </w:rPr>
        <w:t>(1), 25–35. https://doi.org/10.1007/s41101-020-00099-1</w:t>
      </w:r>
    </w:p>
    <w:p w14:paraId="32780CCA"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Mekoya, A., &amp; Molla, M. (2024). Testing CORDEX GCMs for Projecting Rainfall in Amhara , Ethiopia. </w:t>
      </w:r>
      <w:r w:rsidRPr="00F36A0C">
        <w:rPr>
          <w:rFonts w:ascii="Times New Roman" w:hAnsi="Times New Roman" w:cs="Times New Roman"/>
          <w:i/>
          <w:iCs/>
          <w:noProof/>
          <w:sz w:val="24"/>
          <w:szCs w:val="24"/>
        </w:rPr>
        <w:t>African Journal of Climate Change and Resource Sustainability</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3</w:t>
      </w:r>
      <w:r w:rsidRPr="00F36A0C">
        <w:rPr>
          <w:rFonts w:ascii="Times New Roman" w:hAnsi="Times New Roman" w:cs="Times New Roman"/>
          <w:noProof/>
          <w:sz w:val="24"/>
          <w:szCs w:val="24"/>
        </w:rPr>
        <w:t>(1), 24–48. https://doi.org/10.37284/ajccrs.3.1.1730.24</w:t>
      </w:r>
    </w:p>
    <w:p w14:paraId="428F6D5C"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Mekoya, A., Molla, M., Workneh, M., &amp; Worku, T. (2024). Historical Trend Analysis and Future Projections of Rainfall in Amhara, Ethiopia. In </w:t>
      </w:r>
      <w:r w:rsidRPr="00F36A0C">
        <w:rPr>
          <w:rFonts w:ascii="Times New Roman" w:hAnsi="Times New Roman" w:cs="Times New Roman"/>
          <w:i/>
          <w:iCs/>
          <w:noProof/>
          <w:sz w:val="24"/>
          <w:szCs w:val="24"/>
        </w:rPr>
        <w:t>East African Journal of Forestry and Agroforestry</w:t>
      </w:r>
      <w:r w:rsidRPr="00F36A0C">
        <w:rPr>
          <w:rFonts w:ascii="Times New Roman" w:hAnsi="Times New Roman" w:cs="Times New Roman"/>
          <w:noProof/>
          <w:sz w:val="24"/>
          <w:szCs w:val="24"/>
        </w:rPr>
        <w:t xml:space="preserve"> (Vol. 7, Issue 1). https://doi.org/10.37284/eajfa.7.1.1760</w:t>
      </w:r>
    </w:p>
    <w:p w14:paraId="1363434F"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Mekoya, A., &amp; Workneh, M. (2024). Comparison of potential evapotranspiration methods in Ethiopia. </w:t>
      </w:r>
      <w:r w:rsidRPr="00F36A0C">
        <w:rPr>
          <w:rFonts w:ascii="Times New Roman" w:hAnsi="Times New Roman" w:cs="Times New Roman"/>
          <w:i/>
          <w:iCs/>
          <w:noProof/>
          <w:sz w:val="24"/>
          <w:szCs w:val="24"/>
        </w:rPr>
        <w:t>Discover Atmosphere</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December 2023</w:t>
      </w:r>
      <w:r w:rsidRPr="00F36A0C">
        <w:rPr>
          <w:rFonts w:ascii="Times New Roman" w:hAnsi="Times New Roman" w:cs="Times New Roman"/>
          <w:noProof/>
          <w:sz w:val="24"/>
          <w:szCs w:val="24"/>
        </w:rPr>
        <w:t>. https://doi.org/10.1007/s44292-024-00003-9</w:t>
      </w:r>
    </w:p>
    <w:p w14:paraId="6219DBDA"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Mengistu, A. G., Woldesenbet, T. A., Dile, Y. T., Bayabil, H. K., &amp; Tefera, G. W. (2023). Modeling impacts of projected land use and climate changes on the water balance in the Baro basin, Ethiopia. </w:t>
      </w:r>
      <w:r w:rsidRPr="00F36A0C">
        <w:rPr>
          <w:rFonts w:ascii="Times New Roman" w:hAnsi="Times New Roman" w:cs="Times New Roman"/>
          <w:i/>
          <w:iCs/>
          <w:noProof/>
          <w:sz w:val="24"/>
          <w:szCs w:val="24"/>
        </w:rPr>
        <w:t>Heliyon</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9</w:t>
      </w:r>
      <w:r w:rsidRPr="00F36A0C">
        <w:rPr>
          <w:rFonts w:ascii="Times New Roman" w:hAnsi="Times New Roman" w:cs="Times New Roman"/>
          <w:noProof/>
          <w:sz w:val="24"/>
          <w:szCs w:val="24"/>
        </w:rPr>
        <w:t>. https://doi.org/https://doi.org/10.1016/j.heliyon.2023.e13965</w:t>
      </w:r>
    </w:p>
    <w:p w14:paraId="15143634"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Mera, G. A. (2018). Drought and its impacts in Ethiopia. </w:t>
      </w:r>
      <w:r w:rsidRPr="00F36A0C">
        <w:rPr>
          <w:rFonts w:ascii="Times New Roman" w:hAnsi="Times New Roman" w:cs="Times New Roman"/>
          <w:i/>
          <w:iCs/>
          <w:noProof/>
          <w:sz w:val="24"/>
          <w:szCs w:val="24"/>
        </w:rPr>
        <w:t>Weather and Climate Extremes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22</w:t>
      </w:r>
      <w:r w:rsidRPr="00F36A0C">
        <w:rPr>
          <w:rFonts w:ascii="Times New Roman" w:hAnsi="Times New Roman" w:cs="Times New Roman"/>
          <w:noProof/>
          <w:sz w:val="24"/>
          <w:szCs w:val="24"/>
        </w:rPr>
        <w:t>(September), 24–35. https://doi.org/10.1016/j.wace.2018.10.002</w:t>
      </w:r>
    </w:p>
    <w:p w14:paraId="437033F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NOAA. (2025). </w:t>
      </w:r>
      <w:r w:rsidRPr="00F36A0C">
        <w:rPr>
          <w:rFonts w:ascii="Times New Roman" w:hAnsi="Times New Roman" w:cs="Times New Roman"/>
          <w:i/>
          <w:iCs/>
          <w:noProof/>
          <w:sz w:val="24"/>
          <w:szCs w:val="24"/>
        </w:rPr>
        <w:t>Cold &amp; Warm Episodes by Season</w:t>
      </w:r>
      <w:r w:rsidRPr="00F36A0C">
        <w:rPr>
          <w:rFonts w:ascii="Times New Roman" w:hAnsi="Times New Roman" w:cs="Times New Roman"/>
          <w:noProof/>
          <w:sz w:val="24"/>
          <w:szCs w:val="24"/>
        </w:rPr>
        <w:t>. Climate Prediction Center Internet Team. https://origin.cpc.ncep.noaa.gov/products/analysis_monitoring/ensostuff/ONI_v5.php</w:t>
      </w:r>
    </w:p>
    <w:p w14:paraId="42868B15"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Rosell, S., &amp; Holmer, B. (2007). Rainfall change and its implications for Belg harvest in South Wollo, Ethiopia. </w:t>
      </w:r>
      <w:r w:rsidRPr="00F36A0C">
        <w:rPr>
          <w:rFonts w:ascii="Times New Roman" w:hAnsi="Times New Roman" w:cs="Times New Roman"/>
          <w:i/>
          <w:iCs/>
          <w:noProof/>
          <w:sz w:val="24"/>
          <w:szCs w:val="24"/>
        </w:rPr>
        <w:t>Geografiska Annaler, Series A: Physical Geography</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89 A</w:t>
      </w:r>
      <w:r w:rsidRPr="00F36A0C">
        <w:rPr>
          <w:rFonts w:ascii="Times New Roman" w:hAnsi="Times New Roman" w:cs="Times New Roman"/>
          <w:noProof/>
          <w:sz w:val="24"/>
          <w:szCs w:val="24"/>
        </w:rPr>
        <w:t>(4), 287–299. https://doi.org/10.1111/j.1468-0459.2007.00327.x</w:t>
      </w:r>
    </w:p>
    <w:p w14:paraId="3E92843D"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Seleshi, Y., &amp; Zanke, U. (2004). Recent changes in rainfall and rainy days in Ethiopia. </w:t>
      </w:r>
      <w:r w:rsidRPr="00F36A0C">
        <w:rPr>
          <w:rFonts w:ascii="Times New Roman" w:hAnsi="Times New Roman" w:cs="Times New Roman"/>
          <w:i/>
          <w:iCs/>
          <w:noProof/>
          <w:sz w:val="24"/>
          <w:szCs w:val="24"/>
        </w:rPr>
        <w:t>International Journal of Climatology</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24</w:t>
      </w:r>
      <w:r w:rsidRPr="00F36A0C">
        <w:rPr>
          <w:rFonts w:ascii="Times New Roman" w:hAnsi="Times New Roman" w:cs="Times New Roman"/>
          <w:noProof/>
          <w:sz w:val="24"/>
          <w:szCs w:val="24"/>
        </w:rPr>
        <w:t>(8), 973–983. https://doi.org/10.1002/joc.1052</w:t>
      </w:r>
    </w:p>
    <w:p w14:paraId="15E7E94F"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Sewagegn, T. (2024). Analysis of Temporal Variability and Trends of Rainfall and Temperature Over Western Amhara Region, Ethiopia. </w:t>
      </w:r>
      <w:r w:rsidRPr="00F36A0C">
        <w:rPr>
          <w:rFonts w:ascii="Times New Roman" w:hAnsi="Times New Roman" w:cs="Times New Roman"/>
          <w:i/>
          <w:iCs/>
          <w:noProof/>
          <w:sz w:val="24"/>
          <w:szCs w:val="24"/>
        </w:rPr>
        <w:t>International Journal of Scientific Research in Multidisciplinary Studies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10</w:t>
      </w:r>
      <w:r w:rsidRPr="00F36A0C">
        <w:rPr>
          <w:rFonts w:ascii="Times New Roman" w:hAnsi="Times New Roman" w:cs="Times New Roman"/>
          <w:noProof/>
          <w:sz w:val="24"/>
          <w:szCs w:val="24"/>
        </w:rPr>
        <w:t>(7), 96–106. www.isroset.org</w:t>
      </w:r>
    </w:p>
    <w:p w14:paraId="7CEE4AAC"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Singh, B., Jeganathan, C., Rathore, V. S., Behera, M. D., Singh, C. P., Roy, P. S., &amp; Atkinson, P. M. (2021). Resilience of the central indian forest ecosystem to rainfall variability in the context of a changing climate. </w:t>
      </w:r>
      <w:r w:rsidRPr="00F36A0C">
        <w:rPr>
          <w:rFonts w:ascii="Times New Roman" w:hAnsi="Times New Roman" w:cs="Times New Roman"/>
          <w:i/>
          <w:iCs/>
          <w:noProof/>
          <w:sz w:val="24"/>
          <w:szCs w:val="24"/>
        </w:rPr>
        <w:t>Remote Sensing</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13</w:t>
      </w:r>
      <w:r w:rsidRPr="00F36A0C">
        <w:rPr>
          <w:rFonts w:ascii="Times New Roman" w:hAnsi="Times New Roman" w:cs="Times New Roman"/>
          <w:noProof/>
          <w:sz w:val="24"/>
          <w:szCs w:val="24"/>
        </w:rPr>
        <w:t>(21). https://doi.org/10.3390/rs13214474</w:t>
      </w:r>
    </w:p>
    <w:p w14:paraId="5CB3938E"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Tibebe, D., Mamo, G., Zenebe, A., &amp; Ali, A. (2023). The Soils of Ethiopia: Climate. In </w:t>
      </w:r>
      <w:r w:rsidRPr="00F36A0C">
        <w:rPr>
          <w:rFonts w:ascii="Times New Roman" w:hAnsi="Times New Roman" w:cs="Times New Roman"/>
          <w:i/>
          <w:iCs/>
          <w:noProof/>
          <w:sz w:val="24"/>
          <w:szCs w:val="24"/>
        </w:rPr>
        <w:t>World Soils Book Series (WSBS)</w:t>
      </w:r>
      <w:r w:rsidRPr="00F36A0C">
        <w:rPr>
          <w:rFonts w:ascii="Times New Roman" w:hAnsi="Times New Roman" w:cs="Times New Roman"/>
          <w:noProof/>
          <w:sz w:val="24"/>
          <w:szCs w:val="24"/>
        </w:rPr>
        <w:t>. Springer. https://doi.org/https://doi.org/10.1007/978-3-031-17012-6_3</w:t>
      </w:r>
    </w:p>
    <w:p w14:paraId="70309E27"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Toni, A. T., Malcherek, A., &amp; Kassa, A. K. (2022). Agroclimatic Zone-Based Analysis of Rainfall Variability and Trends in the Wabi Shebele River Basin, Ethiopia. </w:t>
      </w:r>
      <w:r w:rsidRPr="00F36A0C">
        <w:rPr>
          <w:rFonts w:ascii="Times New Roman" w:hAnsi="Times New Roman" w:cs="Times New Roman"/>
          <w:i/>
          <w:iCs/>
          <w:noProof/>
          <w:sz w:val="24"/>
          <w:szCs w:val="24"/>
        </w:rPr>
        <w:t>Water (Switzerland)</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14</w:t>
      </w:r>
      <w:r w:rsidRPr="00F36A0C">
        <w:rPr>
          <w:rFonts w:ascii="Times New Roman" w:hAnsi="Times New Roman" w:cs="Times New Roman"/>
          <w:noProof/>
          <w:sz w:val="24"/>
          <w:szCs w:val="24"/>
        </w:rPr>
        <w:t xml:space="preserve">(22), 0–16. </w:t>
      </w:r>
      <w:r w:rsidRPr="00F36A0C">
        <w:rPr>
          <w:rFonts w:ascii="Times New Roman" w:hAnsi="Times New Roman" w:cs="Times New Roman"/>
          <w:noProof/>
          <w:sz w:val="24"/>
          <w:szCs w:val="24"/>
        </w:rPr>
        <w:lastRenderedPageBreak/>
        <w:t>https://doi.org/10.3390/w14223699</w:t>
      </w:r>
    </w:p>
    <w:p w14:paraId="143029C5"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Van den Hende, C., Van Schaeybroeck, B., Nyssen, J., Van Vooren, S., Van Ginderachter, M., &amp; Termonia, P. (2021). Analysis of rain-shadows in the Ethiopian Mountains using climatological model data. </w:t>
      </w:r>
      <w:r w:rsidRPr="00F36A0C">
        <w:rPr>
          <w:rFonts w:ascii="Times New Roman" w:hAnsi="Times New Roman" w:cs="Times New Roman"/>
          <w:i/>
          <w:iCs/>
          <w:noProof/>
          <w:sz w:val="24"/>
          <w:szCs w:val="24"/>
        </w:rPr>
        <w:t>Climate Dynamics</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56</w:t>
      </w:r>
      <w:r w:rsidRPr="00F36A0C">
        <w:rPr>
          <w:rFonts w:ascii="Times New Roman" w:hAnsi="Times New Roman" w:cs="Times New Roman"/>
          <w:noProof/>
          <w:sz w:val="24"/>
          <w:szCs w:val="24"/>
        </w:rPr>
        <w:t>(5–6), 1663–1679. https://doi.org/10.1007/s00382-020-05554-2</w:t>
      </w:r>
    </w:p>
    <w:p w14:paraId="16BF17C0"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 xml:space="preserve">Ware, M. B., Matewos, T., Guye, M., Legesse, A., &amp; Mohammed, Y. (2023). Spatiotemporal variability and trend of rainfall and temperature in Sidama Regional State, Ethiopia. </w:t>
      </w:r>
      <w:r w:rsidRPr="00F36A0C">
        <w:rPr>
          <w:rFonts w:ascii="Times New Roman" w:hAnsi="Times New Roman" w:cs="Times New Roman"/>
          <w:i/>
          <w:iCs/>
          <w:noProof/>
          <w:sz w:val="24"/>
          <w:szCs w:val="24"/>
        </w:rPr>
        <w:t>Theoretical and Applied Climatology</w:t>
      </w:r>
      <w:r w:rsidRPr="00F36A0C">
        <w:rPr>
          <w:rFonts w:ascii="Times New Roman" w:hAnsi="Times New Roman" w:cs="Times New Roman"/>
          <w:noProof/>
          <w:sz w:val="24"/>
          <w:szCs w:val="24"/>
        </w:rPr>
        <w:t xml:space="preserve">, </w:t>
      </w:r>
      <w:r w:rsidRPr="00F36A0C">
        <w:rPr>
          <w:rFonts w:ascii="Times New Roman" w:hAnsi="Times New Roman" w:cs="Times New Roman"/>
          <w:i/>
          <w:iCs/>
          <w:noProof/>
          <w:sz w:val="24"/>
          <w:szCs w:val="24"/>
        </w:rPr>
        <w:t>153</w:t>
      </w:r>
      <w:r w:rsidRPr="00F36A0C">
        <w:rPr>
          <w:rFonts w:ascii="Times New Roman" w:hAnsi="Times New Roman" w:cs="Times New Roman"/>
          <w:noProof/>
          <w:sz w:val="24"/>
          <w:szCs w:val="24"/>
        </w:rPr>
        <w:t>(1–2), 213–226. https://doi.org/10.1007/s00704-023-04463-8</w:t>
      </w:r>
    </w:p>
    <w:p w14:paraId="3BFEE888" w14:textId="77777777" w:rsidR="00D40433" w:rsidRPr="00F36A0C" w:rsidRDefault="00D40433" w:rsidP="00D40433">
      <w:pPr>
        <w:adjustRightInd w:val="0"/>
        <w:spacing w:line="360" w:lineRule="auto"/>
        <w:ind w:left="480" w:hanging="480"/>
        <w:rPr>
          <w:rFonts w:ascii="Times New Roman" w:hAnsi="Times New Roman" w:cs="Times New Roman"/>
          <w:noProof/>
          <w:sz w:val="24"/>
          <w:szCs w:val="24"/>
        </w:rPr>
      </w:pPr>
      <w:r w:rsidRPr="00F36A0C">
        <w:rPr>
          <w:rFonts w:ascii="Times New Roman" w:hAnsi="Times New Roman" w:cs="Times New Roman"/>
          <w:noProof/>
          <w:sz w:val="24"/>
          <w:szCs w:val="24"/>
        </w:rPr>
        <w:t>Workneh, M., Sun, S., &amp; Mekoya, A. (2025). Causes for the Changes in Reference Crop Evapotranspiration Over Ethiopia During 1980 – 2021. International Journal of Climatology Published by John Wiley &amp; Sons Ltd on Behalf of Royal Meteorological Society., 1–17. https://doi.org/10.1002/joc.8805</w:t>
      </w:r>
    </w:p>
    <w:p w14:paraId="3D2B83B2" w14:textId="77777777" w:rsidR="00D40433" w:rsidRPr="00F36A0C" w:rsidRDefault="00D40433" w:rsidP="00D40433">
      <w:pPr>
        <w:adjustRightInd w:val="0"/>
        <w:spacing w:line="360" w:lineRule="auto"/>
        <w:ind w:left="480" w:hanging="480"/>
      </w:pPr>
      <w:r w:rsidRPr="00F36A0C">
        <w:rPr>
          <w:rFonts w:ascii="Times New Roman" w:hAnsi="Times New Roman" w:cs="Times New Roman"/>
          <w:sz w:val="24"/>
          <w:szCs w:val="24"/>
        </w:rPr>
        <w:fldChar w:fldCharType="end"/>
      </w:r>
      <w:r w:rsidRPr="00F36A0C">
        <w:t xml:space="preserve"> </w:t>
      </w:r>
    </w:p>
    <w:p w14:paraId="527B3005" w14:textId="01A6ADC4" w:rsidR="00626C11" w:rsidRPr="008056DE" w:rsidRDefault="00626C11" w:rsidP="00D40433">
      <w:pPr>
        <w:adjustRightInd w:val="0"/>
        <w:spacing w:line="360" w:lineRule="auto"/>
        <w:ind w:left="480" w:hanging="480"/>
        <w:rPr>
          <w:rFonts w:ascii="Times New Roman" w:hAnsi="Times New Roman" w:cs="Times New Roman"/>
          <w:sz w:val="24"/>
          <w:szCs w:val="24"/>
        </w:rPr>
      </w:pPr>
    </w:p>
    <w:sectPr w:rsidR="00626C11" w:rsidRPr="008056DE" w:rsidSect="00B55615">
      <w:headerReference w:type="default" r:id="rId36"/>
      <w:footerReference w:type="default" r:id="rId37"/>
      <w:pgSz w:w="12240" w:h="15840"/>
      <w:pgMar w:top="720" w:right="720" w:bottom="720" w:left="72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154046" w15:done="0"/>
  <w15:commentEx w15:paraId="7E5E325F" w15:done="0"/>
  <w15:commentEx w15:paraId="40AE6405" w15:done="0"/>
  <w15:commentEx w15:paraId="1AAC2F23" w15:done="0"/>
  <w15:commentEx w15:paraId="34E6314D" w15:done="0"/>
  <w15:commentEx w15:paraId="49246A78" w15:done="0"/>
  <w15:commentEx w15:paraId="6193F855" w15:done="0"/>
  <w15:commentEx w15:paraId="6CB0AB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F063A1" w16cex:dateUtc="2024-11-26T12:11:00Z"/>
  <w16cex:commentExtensible w16cex:durableId="2AF06459" w16cex:dateUtc="2024-11-26T12:14:00Z"/>
  <w16cex:commentExtensible w16cex:durableId="7870B81B" w16cex:dateUtc="2025-01-26T13:34:00Z"/>
  <w16cex:commentExtensible w16cex:durableId="32E4256A" w16cex:dateUtc="2025-01-26T13:37:00Z"/>
  <w16cex:commentExtensible w16cex:durableId="3AE2AEF9" w16cex:dateUtc="2025-01-26T13:29:00Z"/>
  <w16cex:commentExtensible w16cex:durableId="2B66682B" w16cex:dateUtc="2025-01-26T12:10:00Z"/>
  <w16cex:commentExtensible w16cex:durableId="2AF08BCF" w16cex:dateUtc="2024-11-26T15:02:00Z"/>
  <w16cex:commentExtensible w16cex:durableId="2AF08C47" w16cex:dateUtc="2024-11-26T1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154046" w16cid:durableId="2AF063A1"/>
  <w16cid:commentId w16cid:paraId="7E5E325F" w16cid:durableId="2AF06459"/>
  <w16cid:commentId w16cid:paraId="40AE6405" w16cid:durableId="7870B81B"/>
  <w16cid:commentId w16cid:paraId="1AAC2F23" w16cid:durableId="32E4256A"/>
  <w16cid:commentId w16cid:paraId="34E6314D" w16cid:durableId="3AE2AEF9"/>
  <w16cid:commentId w16cid:paraId="49246A78" w16cid:durableId="2B66682B"/>
  <w16cid:commentId w16cid:paraId="6193F855" w16cid:durableId="2AF08BCF"/>
  <w16cid:commentId w16cid:paraId="6CB0ABC0" w16cid:durableId="2AF08C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2AFBF" w14:textId="77777777" w:rsidR="001008F9" w:rsidRDefault="001008F9" w:rsidP="00FD1580">
      <w:r>
        <w:separator/>
      </w:r>
    </w:p>
  </w:endnote>
  <w:endnote w:type="continuationSeparator" w:id="0">
    <w:p w14:paraId="15A11F31" w14:textId="77777777" w:rsidR="001008F9" w:rsidRDefault="001008F9" w:rsidP="00FD1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os">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Nyala">
    <w:altName w:val="Times New Roman"/>
    <w:charset w:val="00"/>
    <w:family w:val="auto"/>
    <w:pitch w:val="variable"/>
    <w:sig w:usb0="A000006F" w:usb1="00000000" w:usb2="000008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BF288" w14:textId="77777777" w:rsidR="000C7D59" w:rsidRDefault="000C7D59">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04227" w14:textId="77777777" w:rsidR="001008F9" w:rsidRDefault="001008F9" w:rsidP="00FD1580">
      <w:r>
        <w:separator/>
      </w:r>
    </w:p>
  </w:footnote>
  <w:footnote w:type="continuationSeparator" w:id="0">
    <w:p w14:paraId="30E4953A" w14:textId="77777777" w:rsidR="001008F9" w:rsidRDefault="001008F9" w:rsidP="00FD1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149108"/>
      <w:docPartObj>
        <w:docPartGallery w:val="Page Numbers (Top of Page)"/>
        <w:docPartUnique/>
      </w:docPartObj>
    </w:sdtPr>
    <w:sdtEndPr>
      <w:rPr>
        <w:noProof/>
      </w:rPr>
    </w:sdtEndPr>
    <w:sdtContent>
      <w:p w14:paraId="1B0B92AC" w14:textId="65BEA67B" w:rsidR="000C7D59" w:rsidRDefault="000C7D59">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6AB38534" w14:textId="77777777" w:rsidR="000C7D59" w:rsidRPr="00FC5059" w:rsidRDefault="000C7D59">
    <w:pPr>
      <w:pStyle w:val="BodyText"/>
      <w:spacing w:line="14" w:lineRule="auto"/>
      <w:rPr>
        <w:sz w:val="2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6486"/>
    <w:multiLevelType w:val="multilevel"/>
    <w:tmpl w:val="D6840CAA"/>
    <w:lvl w:ilvl="0">
      <w:start w:val="1"/>
      <w:numFmt w:val="decimal"/>
      <w:lvlText w:val="%1"/>
      <w:lvlJc w:val="left"/>
      <w:pPr>
        <w:ind w:left="1116" w:hanging="300"/>
      </w:pPr>
      <w:rPr>
        <w:rFonts w:hint="default"/>
        <w:spacing w:val="0"/>
        <w:w w:val="100"/>
        <w:lang w:val="en-US" w:eastAsia="en-US" w:bidi="ar-SA"/>
      </w:rPr>
    </w:lvl>
    <w:lvl w:ilvl="1">
      <w:start w:val="1"/>
      <w:numFmt w:val="decimal"/>
      <w:lvlText w:val="%1.%2"/>
      <w:lvlJc w:val="left"/>
      <w:pPr>
        <w:ind w:left="1270" w:hanging="454"/>
      </w:pPr>
      <w:rPr>
        <w:rFonts w:hint="default"/>
        <w:spacing w:val="0"/>
        <w:w w:val="100"/>
        <w:lang w:val="en-US" w:eastAsia="en-US" w:bidi="ar-SA"/>
      </w:rPr>
    </w:lvl>
    <w:lvl w:ilvl="2">
      <w:numFmt w:val="bullet"/>
      <w:lvlText w:val="•"/>
      <w:lvlJc w:val="left"/>
      <w:pPr>
        <w:ind w:left="1180" w:hanging="454"/>
      </w:pPr>
      <w:rPr>
        <w:rFonts w:hint="default"/>
        <w:lang w:val="en-US" w:eastAsia="en-US" w:bidi="ar-SA"/>
      </w:rPr>
    </w:lvl>
    <w:lvl w:ilvl="3">
      <w:numFmt w:val="bullet"/>
      <w:lvlText w:val="•"/>
      <w:lvlJc w:val="left"/>
      <w:pPr>
        <w:ind w:left="1280" w:hanging="454"/>
      </w:pPr>
      <w:rPr>
        <w:rFonts w:hint="default"/>
        <w:lang w:val="en-US" w:eastAsia="en-US" w:bidi="ar-SA"/>
      </w:rPr>
    </w:lvl>
    <w:lvl w:ilvl="4">
      <w:numFmt w:val="bullet"/>
      <w:lvlText w:val="•"/>
      <w:lvlJc w:val="left"/>
      <w:pPr>
        <w:ind w:left="2318" w:hanging="454"/>
      </w:pPr>
      <w:rPr>
        <w:rFonts w:hint="default"/>
        <w:lang w:val="en-US" w:eastAsia="en-US" w:bidi="ar-SA"/>
      </w:rPr>
    </w:lvl>
    <w:lvl w:ilvl="5">
      <w:numFmt w:val="bullet"/>
      <w:lvlText w:val="•"/>
      <w:lvlJc w:val="left"/>
      <w:pPr>
        <w:ind w:left="3356" w:hanging="454"/>
      </w:pPr>
      <w:rPr>
        <w:rFonts w:hint="default"/>
        <w:lang w:val="en-US" w:eastAsia="en-US" w:bidi="ar-SA"/>
      </w:rPr>
    </w:lvl>
    <w:lvl w:ilvl="6">
      <w:numFmt w:val="bullet"/>
      <w:lvlText w:val="•"/>
      <w:lvlJc w:val="left"/>
      <w:pPr>
        <w:ind w:left="4394" w:hanging="454"/>
      </w:pPr>
      <w:rPr>
        <w:rFonts w:hint="default"/>
        <w:lang w:val="en-US" w:eastAsia="en-US" w:bidi="ar-SA"/>
      </w:rPr>
    </w:lvl>
    <w:lvl w:ilvl="7">
      <w:numFmt w:val="bullet"/>
      <w:lvlText w:val="•"/>
      <w:lvlJc w:val="left"/>
      <w:pPr>
        <w:ind w:left="5432" w:hanging="454"/>
      </w:pPr>
      <w:rPr>
        <w:rFonts w:hint="default"/>
        <w:lang w:val="en-US" w:eastAsia="en-US" w:bidi="ar-SA"/>
      </w:rPr>
    </w:lvl>
    <w:lvl w:ilvl="8">
      <w:numFmt w:val="bullet"/>
      <w:lvlText w:val="•"/>
      <w:lvlJc w:val="left"/>
      <w:pPr>
        <w:ind w:left="6470" w:hanging="454"/>
      </w:pPr>
      <w:rPr>
        <w:rFonts w:hint="default"/>
        <w:lang w:val="en-US" w:eastAsia="en-US" w:bidi="ar-SA"/>
      </w:rPr>
    </w:lvl>
  </w:abstractNum>
  <w:abstractNum w:abstractNumId="1">
    <w:nsid w:val="044F68F9"/>
    <w:multiLevelType w:val="multilevel"/>
    <w:tmpl w:val="E00E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13F37"/>
    <w:multiLevelType w:val="multilevel"/>
    <w:tmpl w:val="D942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C558A0"/>
    <w:multiLevelType w:val="multilevel"/>
    <w:tmpl w:val="85F2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E3830"/>
    <w:multiLevelType w:val="multilevel"/>
    <w:tmpl w:val="D6840CAA"/>
    <w:lvl w:ilvl="0">
      <w:start w:val="1"/>
      <w:numFmt w:val="decimal"/>
      <w:lvlText w:val="%1"/>
      <w:lvlJc w:val="left"/>
      <w:pPr>
        <w:ind w:left="1116" w:hanging="300"/>
      </w:pPr>
      <w:rPr>
        <w:rFonts w:hint="default"/>
        <w:spacing w:val="0"/>
        <w:w w:val="100"/>
        <w:lang w:val="en-US" w:eastAsia="en-US" w:bidi="ar-SA"/>
      </w:rPr>
    </w:lvl>
    <w:lvl w:ilvl="1">
      <w:start w:val="1"/>
      <w:numFmt w:val="decimal"/>
      <w:lvlText w:val="%1.%2"/>
      <w:lvlJc w:val="left"/>
      <w:pPr>
        <w:ind w:left="1270" w:hanging="454"/>
      </w:pPr>
      <w:rPr>
        <w:rFonts w:hint="default"/>
        <w:spacing w:val="0"/>
        <w:w w:val="100"/>
        <w:lang w:val="en-US" w:eastAsia="en-US" w:bidi="ar-SA"/>
      </w:rPr>
    </w:lvl>
    <w:lvl w:ilvl="2">
      <w:numFmt w:val="bullet"/>
      <w:lvlText w:val="•"/>
      <w:lvlJc w:val="left"/>
      <w:pPr>
        <w:ind w:left="1180" w:hanging="454"/>
      </w:pPr>
      <w:rPr>
        <w:rFonts w:hint="default"/>
        <w:lang w:val="en-US" w:eastAsia="en-US" w:bidi="ar-SA"/>
      </w:rPr>
    </w:lvl>
    <w:lvl w:ilvl="3">
      <w:numFmt w:val="bullet"/>
      <w:lvlText w:val="•"/>
      <w:lvlJc w:val="left"/>
      <w:pPr>
        <w:ind w:left="1280" w:hanging="454"/>
      </w:pPr>
      <w:rPr>
        <w:rFonts w:hint="default"/>
        <w:lang w:val="en-US" w:eastAsia="en-US" w:bidi="ar-SA"/>
      </w:rPr>
    </w:lvl>
    <w:lvl w:ilvl="4">
      <w:numFmt w:val="bullet"/>
      <w:lvlText w:val="•"/>
      <w:lvlJc w:val="left"/>
      <w:pPr>
        <w:ind w:left="2318" w:hanging="454"/>
      </w:pPr>
      <w:rPr>
        <w:rFonts w:hint="default"/>
        <w:lang w:val="en-US" w:eastAsia="en-US" w:bidi="ar-SA"/>
      </w:rPr>
    </w:lvl>
    <w:lvl w:ilvl="5">
      <w:numFmt w:val="bullet"/>
      <w:lvlText w:val="•"/>
      <w:lvlJc w:val="left"/>
      <w:pPr>
        <w:ind w:left="3356" w:hanging="454"/>
      </w:pPr>
      <w:rPr>
        <w:rFonts w:hint="default"/>
        <w:lang w:val="en-US" w:eastAsia="en-US" w:bidi="ar-SA"/>
      </w:rPr>
    </w:lvl>
    <w:lvl w:ilvl="6">
      <w:numFmt w:val="bullet"/>
      <w:lvlText w:val="•"/>
      <w:lvlJc w:val="left"/>
      <w:pPr>
        <w:ind w:left="4394" w:hanging="454"/>
      </w:pPr>
      <w:rPr>
        <w:rFonts w:hint="default"/>
        <w:lang w:val="en-US" w:eastAsia="en-US" w:bidi="ar-SA"/>
      </w:rPr>
    </w:lvl>
    <w:lvl w:ilvl="7">
      <w:numFmt w:val="bullet"/>
      <w:lvlText w:val="•"/>
      <w:lvlJc w:val="left"/>
      <w:pPr>
        <w:ind w:left="5432" w:hanging="454"/>
      </w:pPr>
      <w:rPr>
        <w:rFonts w:hint="default"/>
        <w:lang w:val="en-US" w:eastAsia="en-US" w:bidi="ar-SA"/>
      </w:rPr>
    </w:lvl>
    <w:lvl w:ilvl="8">
      <w:numFmt w:val="bullet"/>
      <w:lvlText w:val="•"/>
      <w:lvlJc w:val="left"/>
      <w:pPr>
        <w:ind w:left="6470" w:hanging="454"/>
      </w:pPr>
      <w:rPr>
        <w:rFonts w:hint="default"/>
        <w:lang w:val="en-US" w:eastAsia="en-US" w:bidi="ar-SA"/>
      </w:rPr>
    </w:lvl>
  </w:abstractNum>
  <w:abstractNum w:abstractNumId="5">
    <w:nsid w:val="095F321C"/>
    <w:multiLevelType w:val="multilevel"/>
    <w:tmpl w:val="1ED0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9D4597"/>
    <w:multiLevelType w:val="multilevel"/>
    <w:tmpl w:val="D694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DF2597"/>
    <w:multiLevelType w:val="multilevel"/>
    <w:tmpl w:val="52BC63D2"/>
    <w:lvl w:ilvl="0">
      <w:start w:val="2"/>
      <w:numFmt w:val="decimal"/>
      <w:lvlText w:val="%1."/>
      <w:lvlJc w:val="left"/>
      <w:pPr>
        <w:ind w:left="360" w:hanging="360"/>
      </w:pPr>
      <w:rPr>
        <w:rFonts w:hint="default"/>
      </w:rPr>
    </w:lvl>
    <w:lvl w:ilvl="1">
      <w:start w:val="1"/>
      <w:numFmt w:val="decimal"/>
      <w:isLgl/>
      <w:lvlText w:val="3.%2."/>
      <w:lvlJc w:val="left"/>
      <w:pPr>
        <w:ind w:left="360" w:hanging="360"/>
      </w:pPr>
      <w:rPr>
        <w:rFonts w:hint="default"/>
        <w:sz w:val="32"/>
        <w:szCs w:val="32"/>
      </w:rPr>
    </w:lvl>
    <w:lvl w:ilvl="2">
      <w:start w:val="1"/>
      <w:numFmt w:val="decimal"/>
      <w:isLgl/>
      <w:lvlText w:val="3.%2.%3."/>
      <w:lvlJc w:val="left"/>
      <w:pPr>
        <w:ind w:left="720" w:hanging="720"/>
      </w:pPr>
      <w:rPr>
        <w:rFonts w:hint="default"/>
      </w:rPr>
    </w:lvl>
    <w:lvl w:ilvl="3">
      <w:start w:val="1"/>
      <w:numFmt w:val="decimal"/>
      <w:isLgl/>
      <w:lvlText w:val="%1.%2.%3.%4."/>
      <w:lvlJc w:val="left"/>
      <w:pPr>
        <w:ind w:left="2256" w:hanging="720"/>
      </w:pPr>
      <w:rPr>
        <w:rFonts w:hint="default"/>
      </w:rPr>
    </w:lvl>
    <w:lvl w:ilvl="4">
      <w:start w:val="1"/>
      <w:numFmt w:val="decimal"/>
      <w:isLgl/>
      <w:lvlText w:val="%1.%2.%3.%4.%5."/>
      <w:lvlJc w:val="left"/>
      <w:pPr>
        <w:ind w:left="2796"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516" w:hanging="1440"/>
      </w:pPr>
      <w:rPr>
        <w:rFonts w:hint="default"/>
      </w:rPr>
    </w:lvl>
    <w:lvl w:ilvl="7">
      <w:start w:val="1"/>
      <w:numFmt w:val="decimal"/>
      <w:isLgl/>
      <w:lvlText w:val="%1.%2.%3.%4.%5.%6.%7.%8."/>
      <w:lvlJc w:val="left"/>
      <w:pPr>
        <w:ind w:left="3696" w:hanging="1440"/>
      </w:pPr>
      <w:rPr>
        <w:rFonts w:hint="default"/>
      </w:rPr>
    </w:lvl>
    <w:lvl w:ilvl="8">
      <w:start w:val="1"/>
      <w:numFmt w:val="decimal"/>
      <w:isLgl/>
      <w:lvlText w:val="%1.%2.%3.%4.%5.%6.%7.%8.%9."/>
      <w:lvlJc w:val="left"/>
      <w:pPr>
        <w:ind w:left="4236" w:hanging="1800"/>
      </w:pPr>
      <w:rPr>
        <w:rFonts w:hint="default"/>
      </w:rPr>
    </w:lvl>
  </w:abstractNum>
  <w:abstractNum w:abstractNumId="8">
    <w:nsid w:val="1E8E776F"/>
    <w:multiLevelType w:val="multilevel"/>
    <w:tmpl w:val="D6840CAA"/>
    <w:lvl w:ilvl="0">
      <w:start w:val="1"/>
      <w:numFmt w:val="decimal"/>
      <w:lvlText w:val="%1"/>
      <w:lvlJc w:val="left"/>
      <w:pPr>
        <w:ind w:left="1116" w:hanging="300"/>
      </w:pPr>
      <w:rPr>
        <w:rFonts w:hint="default"/>
        <w:spacing w:val="0"/>
        <w:w w:val="100"/>
        <w:lang w:val="en-US" w:eastAsia="en-US" w:bidi="ar-SA"/>
      </w:rPr>
    </w:lvl>
    <w:lvl w:ilvl="1">
      <w:start w:val="1"/>
      <w:numFmt w:val="decimal"/>
      <w:lvlText w:val="%1.%2"/>
      <w:lvlJc w:val="left"/>
      <w:pPr>
        <w:ind w:left="1270" w:hanging="454"/>
      </w:pPr>
      <w:rPr>
        <w:rFonts w:hint="default"/>
        <w:spacing w:val="0"/>
        <w:w w:val="100"/>
        <w:lang w:val="en-US" w:eastAsia="en-US" w:bidi="ar-SA"/>
      </w:rPr>
    </w:lvl>
    <w:lvl w:ilvl="2">
      <w:numFmt w:val="bullet"/>
      <w:lvlText w:val="•"/>
      <w:lvlJc w:val="left"/>
      <w:pPr>
        <w:ind w:left="1180" w:hanging="454"/>
      </w:pPr>
      <w:rPr>
        <w:rFonts w:hint="default"/>
        <w:lang w:val="en-US" w:eastAsia="en-US" w:bidi="ar-SA"/>
      </w:rPr>
    </w:lvl>
    <w:lvl w:ilvl="3">
      <w:numFmt w:val="bullet"/>
      <w:lvlText w:val="•"/>
      <w:lvlJc w:val="left"/>
      <w:pPr>
        <w:ind w:left="1280" w:hanging="454"/>
      </w:pPr>
      <w:rPr>
        <w:rFonts w:hint="default"/>
        <w:lang w:val="en-US" w:eastAsia="en-US" w:bidi="ar-SA"/>
      </w:rPr>
    </w:lvl>
    <w:lvl w:ilvl="4">
      <w:numFmt w:val="bullet"/>
      <w:lvlText w:val="•"/>
      <w:lvlJc w:val="left"/>
      <w:pPr>
        <w:ind w:left="2318" w:hanging="454"/>
      </w:pPr>
      <w:rPr>
        <w:rFonts w:hint="default"/>
        <w:lang w:val="en-US" w:eastAsia="en-US" w:bidi="ar-SA"/>
      </w:rPr>
    </w:lvl>
    <w:lvl w:ilvl="5">
      <w:numFmt w:val="bullet"/>
      <w:lvlText w:val="•"/>
      <w:lvlJc w:val="left"/>
      <w:pPr>
        <w:ind w:left="3356" w:hanging="454"/>
      </w:pPr>
      <w:rPr>
        <w:rFonts w:hint="default"/>
        <w:lang w:val="en-US" w:eastAsia="en-US" w:bidi="ar-SA"/>
      </w:rPr>
    </w:lvl>
    <w:lvl w:ilvl="6">
      <w:numFmt w:val="bullet"/>
      <w:lvlText w:val="•"/>
      <w:lvlJc w:val="left"/>
      <w:pPr>
        <w:ind w:left="4394" w:hanging="454"/>
      </w:pPr>
      <w:rPr>
        <w:rFonts w:hint="default"/>
        <w:lang w:val="en-US" w:eastAsia="en-US" w:bidi="ar-SA"/>
      </w:rPr>
    </w:lvl>
    <w:lvl w:ilvl="7">
      <w:numFmt w:val="bullet"/>
      <w:lvlText w:val="•"/>
      <w:lvlJc w:val="left"/>
      <w:pPr>
        <w:ind w:left="5432" w:hanging="454"/>
      </w:pPr>
      <w:rPr>
        <w:rFonts w:hint="default"/>
        <w:lang w:val="en-US" w:eastAsia="en-US" w:bidi="ar-SA"/>
      </w:rPr>
    </w:lvl>
    <w:lvl w:ilvl="8">
      <w:numFmt w:val="bullet"/>
      <w:lvlText w:val="•"/>
      <w:lvlJc w:val="left"/>
      <w:pPr>
        <w:ind w:left="6470" w:hanging="454"/>
      </w:pPr>
      <w:rPr>
        <w:rFonts w:hint="default"/>
        <w:lang w:val="en-US" w:eastAsia="en-US" w:bidi="ar-SA"/>
      </w:rPr>
    </w:lvl>
  </w:abstractNum>
  <w:abstractNum w:abstractNumId="9">
    <w:nsid w:val="26C21C0E"/>
    <w:multiLevelType w:val="multilevel"/>
    <w:tmpl w:val="409E7D86"/>
    <w:lvl w:ilvl="0">
      <w:start w:val="2"/>
      <w:numFmt w:val="decimal"/>
      <w:lvlText w:val="%1."/>
      <w:lvlJc w:val="left"/>
      <w:pPr>
        <w:ind w:left="1356" w:hanging="360"/>
      </w:pPr>
      <w:rPr>
        <w:rFonts w:hint="default"/>
      </w:rPr>
    </w:lvl>
    <w:lvl w:ilvl="1">
      <w:start w:val="1"/>
      <w:numFmt w:val="decimal"/>
      <w:isLgl/>
      <w:lvlText w:val="%1.%2."/>
      <w:lvlJc w:val="left"/>
      <w:pPr>
        <w:ind w:left="1536" w:hanging="360"/>
      </w:pPr>
      <w:rPr>
        <w:rFonts w:hint="default"/>
      </w:rPr>
    </w:lvl>
    <w:lvl w:ilvl="2">
      <w:start w:val="1"/>
      <w:numFmt w:val="decimal"/>
      <w:isLgl/>
      <w:lvlText w:val="%1.%2.%3."/>
      <w:lvlJc w:val="left"/>
      <w:pPr>
        <w:ind w:left="2076" w:hanging="720"/>
      </w:pPr>
      <w:rPr>
        <w:rFonts w:hint="default"/>
      </w:rPr>
    </w:lvl>
    <w:lvl w:ilvl="3">
      <w:start w:val="1"/>
      <w:numFmt w:val="decimal"/>
      <w:isLgl/>
      <w:lvlText w:val="%1.%2.%3.%4."/>
      <w:lvlJc w:val="left"/>
      <w:pPr>
        <w:ind w:left="2256" w:hanging="720"/>
      </w:pPr>
      <w:rPr>
        <w:rFonts w:hint="default"/>
      </w:rPr>
    </w:lvl>
    <w:lvl w:ilvl="4">
      <w:start w:val="1"/>
      <w:numFmt w:val="decimal"/>
      <w:isLgl/>
      <w:lvlText w:val="%1.%2.%3.%4.%5."/>
      <w:lvlJc w:val="left"/>
      <w:pPr>
        <w:ind w:left="2796"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516" w:hanging="1440"/>
      </w:pPr>
      <w:rPr>
        <w:rFonts w:hint="default"/>
      </w:rPr>
    </w:lvl>
    <w:lvl w:ilvl="7">
      <w:start w:val="1"/>
      <w:numFmt w:val="decimal"/>
      <w:isLgl/>
      <w:lvlText w:val="%1.%2.%3.%4.%5.%6.%7.%8."/>
      <w:lvlJc w:val="left"/>
      <w:pPr>
        <w:ind w:left="3696" w:hanging="1440"/>
      </w:pPr>
      <w:rPr>
        <w:rFonts w:hint="default"/>
      </w:rPr>
    </w:lvl>
    <w:lvl w:ilvl="8">
      <w:start w:val="1"/>
      <w:numFmt w:val="decimal"/>
      <w:isLgl/>
      <w:lvlText w:val="%1.%2.%3.%4.%5.%6.%7.%8.%9."/>
      <w:lvlJc w:val="left"/>
      <w:pPr>
        <w:ind w:left="4236" w:hanging="1800"/>
      </w:pPr>
      <w:rPr>
        <w:rFonts w:hint="default"/>
      </w:rPr>
    </w:lvl>
  </w:abstractNum>
  <w:abstractNum w:abstractNumId="10">
    <w:nsid w:val="2E342E5D"/>
    <w:multiLevelType w:val="multilevel"/>
    <w:tmpl w:val="C112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FF4982"/>
    <w:multiLevelType w:val="multilevel"/>
    <w:tmpl w:val="833A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BB6628"/>
    <w:multiLevelType w:val="multilevel"/>
    <w:tmpl w:val="D456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7D5A06"/>
    <w:multiLevelType w:val="multilevel"/>
    <w:tmpl w:val="A2E6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804BB5"/>
    <w:multiLevelType w:val="multilevel"/>
    <w:tmpl w:val="2E8C28CA"/>
    <w:lvl w:ilvl="0">
      <w:start w:val="3"/>
      <w:numFmt w:val="decimal"/>
      <w:lvlText w:val="%1."/>
      <w:lvlJc w:val="left"/>
      <w:pPr>
        <w:ind w:left="540" w:hanging="540"/>
      </w:pPr>
      <w:rPr>
        <w:rFonts w:hint="default"/>
      </w:rPr>
    </w:lvl>
    <w:lvl w:ilvl="1">
      <w:start w:val="2"/>
      <w:numFmt w:val="decimal"/>
      <w:lvlText w:val="%1.%2."/>
      <w:lvlJc w:val="left"/>
      <w:pPr>
        <w:ind w:left="1128"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15">
    <w:nsid w:val="501A3B61"/>
    <w:multiLevelType w:val="hybridMultilevel"/>
    <w:tmpl w:val="E61A34B8"/>
    <w:lvl w:ilvl="0" w:tplc="58508CF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EC389B"/>
    <w:multiLevelType w:val="multilevel"/>
    <w:tmpl w:val="8A36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3C4EF3"/>
    <w:multiLevelType w:val="multilevel"/>
    <w:tmpl w:val="5D8AE7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54A7614C"/>
    <w:multiLevelType w:val="hybridMultilevel"/>
    <w:tmpl w:val="B4D4B1CA"/>
    <w:lvl w:ilvl="0" w:tplc="89365746">
      <w:start w:val="1"/>
      <w:numFmt w:val="decimal"/>
      <w:lvlText w:val="%1"/>
      <w:lvlJc w:val="left"/>
      <w:pPr>
        <w:ind w:left="360" w:hanging="360"/>
      </w:pPr>
      <w:rPr>
        <w:rFonts w:eastAsia="Tino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6997B4E"/>
    <w:multiLevelType w:val="multilevel"/>
    <w:tmpl w:val="D6840CAA"/>
    <w:lvl w:ilvl="0">
      <w:start w:val="1"/>
      <w:numFmt w:val="decimal"/>
      <w:lvlText w:val="%1"/>
      <w:lvlJc w:val="left"/>
      <w:pPr>
        <w:ind w:left="1116" w:hanging="300"/>
      </w:pPr>
      <w:rPr>
        <w:rFonts w:hint="default"/>
        <w:spacing w:val="0"/>
        <w:w w:val="100"/>
        <w:lang w:val="en-US" w:eastAsia="en-US" w:bidi="ar-SA"/>
      </w:rPr>
    </w:lvl>
    <w:lvl w:ilvl="1">
      <w:start w:val="1"/>
      <w:numFmt w:val="decimal"/>
      <w:lvlText w:val="%1.%2"/>
      <w:lvlJc w:val="left"/>
      <w:pPr>
        <w:ind w:left="1270" w:hanging="454"/>
      </w:pPr>
      <w:rPr>
        <w:rFonts w:hint="default"/>
        <w:spacing w:val="0"/>
        <w:w w:val="100"/>
        <w:lang w:val="en-US" w:eastAsia="en-US" w:bidi="ar-SA"/>
      </w:rPr>
    </w:lvl>
    <w:lvl w:ilvl="2">
      <w:numFmt w:val="bullet"/>
      <w:lvlText w:val="•"/>
      <w:lvlJc w:val="left"/>
      <w:pPr>
        <w:ind w:left="1180" w:hanging="454"/>
      </w:pPr>
      <w:rPr>
        <w:rFonts w:hint="default"/>
        <w:lang w:val="en-US" w:eastAsia="en-US" w:bidi="ar-SA"/>
      </w:rPr>
    </w:lvl>
    <w:lvl w:ilvl="3">
      <w:numFmt w:val="bullet"/>
      <w:lvlText w:val="•"/>
      <w:lvlJc w:val="left"/>
      <w:pPr>
        <w:ind w:left="1280" w:hanging="454"/>
      </w:pPr>
      <w:rPr>
        <w:rFonts w:hint="default"/>
        <w:lang w:val="en-US" w:eastAsia="en-US" w:bidi="ar-SA"/>
      </w:rPr>
    </w:lvl>
    <w:lvl w:ilvl="4">
      <w:numFmt w:val="bullet"/>
      <w:lvlText w:val="•"/>
      <w:lvlJc w:val="left"/>
      <w:pPr>
        <w:ind w:left="2318" w:hanging="454"/>
      </w:pPr>
      <w:rPr>
        <w:rFonts w:hint="default"/>
        <w:lang w:val="en-US" w:eastAsia="en-US" w:bidi="ar-SA"/>
      </w:rPr>
    </w:lvl>
    <w:lvl w:ilvl="5">
      <w:numFmt w:val="bullet"/>
      <w:lvlText w:val="•"/>
      <w:lvlJc w:val="left"/>
      <w:pPr>
        <w:ind w:left="3356" w:hanging="454"/>
      </w:pPr>
      <w:rPr>
        <w:rFonts w:hint="default"/>
        <w:lang w:val="en-US" w:eastAsia="en-US" w:bidi="ar-SA"/>
      </w:rPr>
    </w:lvl>
    <w:lvl w:ilvl="6">
      <w:numFmt w:val="bullet"/>
      <w:lvlText w:val="•"/>
      <w:lvlJc w:val="left"/>
      <w:pPr>
        <w:ind w:left="4394" w:hanging="454"/>
      </w:pPr>
      <w:rPr>
        <w:rFonts w:hint="default"/>
        <w:lang w:val="en-US" w:eastAsia="en-US" w:bidi="ar-SA"/>
      </w:rPr>
    </w:lvl>
    <w:lvl w:ilvl="7">
      <w:numFmt w:val="bullet"/>
      <w:lvlText w:val="•"/>
      <w:lvlJc w:val="left"/>
      <w:pPr>
        <w:ind w:left="5432" w:hanging="454"/>
      </w:pPr>
      <w:rPr>
        <w:rFonts w:hint="default"/>
        <w:lang w:val="en-US" w:eastAsia="en-US" w:bidi="ar-SA"/>
      </w:rPr>
    </w:lvl>
    <w:lvl w:ilvl="8">
      <w:numFmt w:val="bullet"/>
      <w:lvlText w:val="•"/>
      <w:lvlJc w:val="left"/>
      <w:pPr>
        <w:ind w:left="6470" w:hanging="454"/>
      </w:pPr>
      <w:rPr>
        <w:rFonts w:hint="default"/>
        <w:lang w:val="en-US" w:eastAsia="en-US" w:bidi="ar-SA"/>
      </w:rPr>
    </w:lvl>
  </w:abstractNum>
  <w:abstractNum w:abstractNumId="20">
    <w:nsid w:val="5835432B"/>
    <w:multiLevelType w:val="multilevel"/>
    <w:tmpl w:val="0F800190"/>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B48295F"/>
    <w:multiLevelType w:val="multilevel"/>
    <w:tmpl w:val="5EC4172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b/>
        <w:bCs/>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5D56F81"/>
    <w:multiLevelType w:val="multilevel"/>
    <w:tmpl w:val="20D26F50"/>
    <w:lvl w:ilvl="0">
      <w:start w:val="3"/>
      <w:numFmt w:val="decimal"/>
      <w:lvlText w:val="%1"/>
      <w:lvlJc w:val="left"/>
      <w:pPr>
        <w:ind w:left="480" w:hanging="480"/>
      </w:pPr>
      <w:rPr>
        <w:rFonts w:hint="default"/>
      </w:rPr>
    </w:lvl>
    <w:lvl w:ilvl="1">
      <w:start w:val="2"/>
      <w:numFmt w:val="decimal"/>
      <w:lvlText w:val="%1.%2"/>
      <w:lvlJc w:val="left"/>
      <w:pPr>
        <w:ind w:left="1068" w:hanging="48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23">
    <w:nsid w:val="66C442BD"/>
    <w:multiLevelType w:val="multilevel"/>
    <w:tmpl w:val="3224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660F78"/>
    <w:multiLevelType w:val="multilevel"/>
    <w:tmpl w:val="B992ACD4"/>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sz w:val="32"/>
        <w:szCs w:val="32"/>
      </w:rPr>
    </w:lvl>
    <w:lvl w:ilvl="2">
      <w:start w:val="1"/>
      <w:numFmt w:val="decimal"/>
      <w:isLgl/>
      <w:lvlText w:val="%1.%2.%3."/>
      <w:lvlJc w:val="left"/>
      <w:pPr>
        <w:ind w:left="2076" w:hanging="720"/>
      </w:pPr>
      <w:rPr>
        <w:rFonts w:hint="default"/>
      </w:rPr>
    </w:lvl>
    <w:lvl w:ilvl="3">
      <w:start w:val="1"/>
      <w:numFmt w:val="decimal"/>
      <w:isLgl/>
      <w:lvlText w:val="%1.%2.%3.%4."/>
      <w:lvlJc w:val="left"/>
      <w:pPr>
        <w:ind w:left="2256" w:hanging="720"/>
      </w:pPr>
      <w:rPr>
        <w:rFonts w:hint="default"/>
      </w:rPr>
    </w:lvl>
    <w:lvl w:ilvl="4">
      <w:start w:val="1"/>
      <w:numFmt w:val="decimal"/>
      <w:isLgl/>
      <w:lvlText w:val="%1.%2.%3.%4.%5."/>
      <w:lvlJc w:val="left"/>
      <w:pPr>
        <w:ind w:left="2796"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516" w:hanging="1440"/>
      </w:pPr>
      <w:rPr>
        <w:rFonts w:hint="default"/>
      </w:rPr>
    </w:lvl>
    <w:lvl w:ilvl="7">
      <w:start w:val="1"/>
      <w:numFmt w:val="decimal"/>
      <w:isLgl/>
      <w:lvlText w:val="%1.%2.%3.%4.%5.%6.%7.%8."/>
      <w:lvlJc w:val="left"/>
      <w:pPr>
        <w:ind w:left="3696" w:hanging="1440"/>
      </w:pPr>
      <w:rPr>
        <w:rFonts w:hint="default"/>
      </w:rPr>
    </w:lvl>
    <w:lvl w:ilvl="8">
      <w:start w:val="1"/>
      <w:numFmt w:val="decimal"/>
      <w:isLgl/>
      <w:lvlText w:val="%1.%2.%3.%4.%5.%6.%7.%8.%9."/>
      <w:lvlJc w:val="left"/>
      <w:pPr>
        <w:ind w:left="4236" w:hanging="1800"/>
      </w:pPr>
      <w:rPr>
        <w:rFonts w:hint="default"/>
      </w:rPr>
    </w:lvl>
  </w:abstractNum>
  <w:abstractNum w:abstractNumId="25">
    <w:nsid w:val="693A1E47"/>
    <w:multiLevelType w:val="multilevel"/>
    <w:tmpl w:val="657A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4C6B2E"/>
    <w:multiLevelType w:val="multilevel"/>
    <w:tmpl w:val="20D26F50"/>
    <w:lvl w:ilvl="0">
      <w:start w:val="3"/>
      <w:numFmt w:val="decimal"/>
      <w:lvlText w:val="%1"/>
      <w:lvlJc w:val="left"/>
      <w:pPr>
        <w:ind w:left="480" w:hanging="480"/>
      </w:pPr>
      <w:rPr>
        <w:rFonts w:hint="default"/>
      </w:rPr>
    </w:lvl>
    <w:lvl w:ilvl="1">
      <w:start w:val="2"/>
      <w:numFmt w:val="decimal"/>
      <w:lvlText w:val="%1.%2"/>
      <w:lvlJc w:val="left"/>
      <w:pPr>
        <w:ind w:left="106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27">
    <w:nsid w:val="7E600BF9"/>
    <w:multiLevelType w:val="multilevel"/>
    <w:tmpl w:val="409E7D86"/>
    <w:lvl w:ilvl="0">
      <w:start w:val="2"/>
      <w:numFmt w:val="decimal"/>
      <w:lvlText w:val="%1."/>
      <w:lvlJc w:val="left"/>
      <w:pPr>
        <w:ind w:left="1356" w:hanging="360"/>
      </w:pPr>
      <w:rPr>
        <w:rFonts w:hint="default"/>
      </w:rPr>
    </w:lvl>
    <w:lvl w:ilvl="1">
      <w:start w:val="1"/>
      <w:numFmt w:val="decimal"/>
      <w:isLgl/>
      <w:lvlText w:val="%1.%2."/>
      <w:lvlJc w:val="left"/>
      <w:pPr>
        <w:ind w:left="1536" w:hanging="360"/>
      </w:pPr>
      <w:rPr>
        <w:rFonts w:hint="default"/>
      </w:rPr>
    </w:lvl>
    <w:lvl w:ilvl="2">
      <w:start w:val="1"/>
      <w:numFmt w:val="decimal"/>
      <w:isLgl/>
      <w:lvlText w:val="%1.%2.%3."/>
      <w:lvlJc w:val="left"/>
      <w:pPr>
        <w:ind w:left="2076" w:hanging="720"/>
      </w:pPr>
      <w:rPr>
        <w:rFonts w:hint="default"/>
      </w:rPr>
    </w:lvl>
    <w:lvl w:ilvl="3">
      <w:start w:val="1"/>
      <w:numFmt w:val="decimal"/>
      <w:isLgl/>
      <w:lvlText w:val="%1.%2.%3.%4."/>
      <w:lvlJc w:val="left"/>
      <w:pPr>
        <w:ind w:left="2256" w:hanging="720"/>
      </w:pPr>
      <w:rPr>
        <w:rFonts w:hint="default"/>
      </w:rPr>
    </w:lvl>
    <w:lvl w:ilvl="4">
      <w:start w:val="1"/>
      <w:numFmt w:val="decimal"/>
      <w:isLgl/>
      <w:lvlText w:val="%1.%2.%3.%4.%5."/>
      <w:lvlJc w:val="left"/>
      <w:pPr>
        <w:ind w:left="2796"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516" w:hanging="1440"/>
      </w:pPr>
      <w:rPr>
        <w:rFonts w:hint="default"/>
      </w:rPr>
    </w:lvl>
    <w:lvl w:ilvl="7">
      <w:start w:val="1"/>
      <w:numFmt w:val="decimal"/>
      <w:isLgl/>
      <w:lvlText w:val="%1.%2.%3.%4.%5.%6.%7.%8."/>
      <w:lvlJc w:val="left"/>
      <w:pPr>
        <w:ind w:left="3696" w:hanging="1440"/>
      </w:pPr>
      <w:rPr>
        <w:rFonts w:hint="default"/>
      </w:rPr>
    </w:lvl>
    <w:lvl w:ilvl="8">
      <w:start w:val="1"/>
      <w:numFmt w:val="decimal"/>
      <w:isLgl/>
      <w:lvlText w:val="%1.%2.%3.%4.%5.%6.%7.%8.%9."/>
      <w:lvlJc w:val="left"/>
      <w:pPr>
        <w:ind w:left="4236" w:hanging="1800"/>
      </w:pPr>
      <w:rPr>
        <w:rFonts w:hint="default"/>
      </w:rPr>
    </w:lvl>
  </w:abstractNum>
  <w:num w:numId="1">
    <w:abstractNumId w:val="18"/>
  </w:num>
  <w:num w:numId="2">
    <w:abstractNumId w:val="0"/>
  </w:num>
  <w:num w:numId="3">
    <w:abstractNumId w:val="8"/>
  </w:num>
  <w:num w:numId="4">
    <w:abstractNumId w:val="19"/>
  </w:num>
  <w:num w:numId="5">
    <w:abstractNumId w:val="4"/>
  </w:num>
  <w:num w:numId="6">
    <w:abstractNumId w:val="24"/>
  </w:num>
  <w:num w:numId="7">
    <w:abstractNumId w:val="27"/>
  </w:num>
  <w:num w:numId="8">
    <w:abstractNumId w:val="9"/>
  </w:num>
  <w:num w:numId="9">
    <w:abstractNumId w:val="26"/>
  </w:num>
  <w:num w:numId="10">
    <w:abstractNumId w:val="22"/>
  </w:num>
  <w:num w:numId="11">
    <w:abstractNumId w:val="14"/>
  </w:num>
  <w:num w:numId="12">
    <w:abstractNumId w:val="7"/>
  </w:num>
  <w:num w:numId="13">
    <w:abstractNumId w:val="17"/>
  </w:num>
  <w:num w:numId="14">
    <w:abstractNumId w:val="21"/>
  </w:num>
  <w:num w:numId="15">
    <w:abstractNumId w:val="20"/>
  </w:num>
  <w:num w:numId="16">
    <w:abstractNumId w:val="2"/>
  </w:num>
  <w:num w:numId="17">
    <w:abstractNumId w:val="25"/>
  </w:num>
  <w:num w:numId="18">
    <w:abstractNumId w:val="15"/>
  </w:num>
  <w:num w:numId="19">
    <w:abstractNumId w:val="5"/>
  </w:num>
  <w:num w:numId="20">
    <w:abstractNumId w:val="3"/>
  </w:num>
  <w:num w:numId="21">
    <w:abstractNumId w:val="10"/>
  </w:num>
  <w:num w:numId="22">
    <w:abstractNumId w:val="16"/>
  </w:num>
  <w:num w:numId="23">
    <w:abstractNumId w:val="13"/>
  </w:num>
  <w:num w:numId="24">
    <w:abstractNumId w:val="6"/>
  </w:num>
  <w:num w:numId="25">
    <w:abstractNumId w:val="1"/>
  </w:num>
  <w:num w:numId="26">
    <w:abstractNumId w:val="23"/>
  </w:num>
  <w:num w:numId="27">
    <w:abstractNumId w:val="11"/>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tensay Mekoya">
    <w15:presenceInfo w15:providerId="Windows Live" w15:userId="1f8ad49fdd70017e"/>
  </w15:person>
  <w15:person w15:author="Abeba">
    <w15:presenceInfo w15:providerId="None" w15:userId="Abe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DYyNTUxNzIyNjW1MDVT0lEKTi0uzszPAykwNKoFAPgTmFwtAAAA"/>
  </w:docVars>
  <w:rsids>
    <w:rsidRoot w:val="00ED56FB"/>
    <w:rsid w:val="000013FA"/>
    <w:rsid w:val="00006B27"/>
    <w:rsid w:val="00007B16"/>
    <w:rsid w:val="00010B52"/>
    <w:rsid w:val="00011FCF"/>
    <w:rsid w:val="000135EE"/>
    <w:rsid w:val="00013B2B"/>
    <w:rsid w:val="000143F7"/>
    <w:rsid w:val="00014D47"/>
    <w:rsid w:val="00014EDB"/>
    <w:rsid w:val="000166FE"/>
    <w:rsid w:val="00016B94"/>
    <w:rsid w:val="00020478"/>
    <w:rsid w:val="000210A3"/>
    <w:rsid w:val="00021967"/>
    <w:rsid w:val="00021A3B"/>
    <w:rsid w:val="00022CA4"/>
    <w:rsid w:val="00023278"/>
    <w:rsid w:val="00024241"/>
    <w:rsid w:val="00024BCE"/>
    <w:rsid w:val="00025758"/>
    <w:rsid w:val="0003171D"/>
    <w:rsid w:val="00040451"/>
    <w:rsid w:val="00041372"/>
    <w:rsid w:val="00041C80"/>
    <w:rsid w:val="000437BA"/>
    <w:rsid w:val="00045BCE"/>
    <w:rsid w:val="000464CD"/>
    <w:rsid w:val="00047B7B"/>
    <w:rsid w:val="00052E14"/>
    <w:rsid w:val="00056852"/>
    <w:rsid w:val="0006014E"/>
    <w:rsid w:val="00060BC0"/>
    <w:rsid w:val="000623CD"/>
    <w:rsid w:val="0006566A"/>
    <w:rsid w:val="00065D98"/>
    <w:rsid w:val="0007281E"/>
    <w:rsid w:val="00072A0A"/>
    <w:rsid w:val="000741BF"/>
    <w:rsid w:val="00074B46"/>
    <w:rsid w:val="00077A90"/>
    <w:rsid w:val="00077CA9"/>
    <w:rsid w:val="00077F9F"/>
    <w:rsid w:val="00080E99"/>
    <w:rsid w:val="00081243"/>
    <w:rsid w:val="00082551"/>
    <w:rsid w:val="0008294E"/>
    <w:rsid w:val="000838F5"/>
    <w:rsid w:val="000839F2"/>
    <w:rsid w:val="000862B5"/>
    <w:rsid w:val="00087101"/>
    <w:rsid w:val="0009144A"/>
    <w:rsid w:val="00093BD1"/>
    <w:rsid w:val="000A20DA"/>
    <w:rsid w:val="000A51BE"/>
    <w:rsid w:val="000A60FF"/>
    <w:rsid w:val="000A75CD"/>
    <w:rsid w:val="000B1367"/>
    <w:rsid w:val="000B1CC4"/>
    <w:rsid w:val="000B3208"/>
    <w:rsid w:val="000B548E"/>
    <w:rsid w:val="000C05E1"/>
    <w:rsid w:val="000C0DEE"/>
    <w:rsid w:val="000C27D0"/>
    <w:rsid w:val="000C2B0E"/>
    <w:rsid w:val="000C3A1C"/>
    <w:rsid w:val="000C6A73"/>
    <w:rsid w:val="000C6CE4"/>
    <w:rsid w:val="000C7D59"/>
    <w:rsid w:val="000D1770"/>
    <w:rsid w:val="000D1EA1"/>
    <w:rsid w:val="000D23AA"/>
    <w:rsid w:val="000D4933"/>
    <w:rsid w:val="000D4F5F"/>
    <w:rsid w:val="000D6473"/>
    <w:rsid w:val="000D797B"/>
    <w:rsid w:val="000E1728"/>
    <w:rsid w:val="000E1CB6"/>
    <w:rsid w:val="000E1DF4"/>
    <w:rsid w:val="000E3CF3"/>
    <w:rsid w:val="000F1D24"/>
    <w:rsid w:val="000F5F2B"/>
    <w:rsid w:val="000F7F1B"/>
    <w:rsid w:val="001008F9"/>
    <w:rsid w:val="00100C3F"/>
    <w:rsid w:val="001015C6"/>
    <w:rsid w:val="00104165"/>
    <w:rsid w:val="001063DA"/>
    <w:rsid w:val="00106830"/>
    <w:rsid w:val="001069BA"/>
    <w:rsid w:val="00107473"/>
    <w:rsid w:val="001079A8"/>
    <w:rsid w:val="00110D51"/>
    <w:rsid w:val="00110EBB"/>
    <w:rsid w:val="001120E5"/>
    <w:rsid w:val="001154C1"/>
    <w:rsid w:val="00117224"/>
    <w:rsid w:val="00123C19"/>
    <w:rsid w:val="00123E71"/>
    <w:rsid w:val="00124121"/>
    <w:rsid w:val="001253FA"/>
    <w:rsid w:val="00125464"/>
    <w:rsid w:val="00125EBF"/>
    <w:rsid w:val="00126037"/>
    <w:rsid w:val="001276B9"/>
    <w:rsid w:val="00127D43"/>
    <w:rsid w:val="00132728"/>
    <w:rsid w:val="001335F3"/>
    <w:rsid w:val="00135AF7"/>
    <w:rsid w:val="00142EBC"/>
    <w:rsid w:val="001445A9"/>
    <w:rsid w:val="00144C0C"/>
    <w:rsid w:val="0014609A"/>
    <w:rsid w:val="0014628E"/>
    <w:rsid w:val="0015296D"/>
    <w:rsid w:val="00152F22"/>
    <w:rsid w:val="0015525E"/>
    <w:rsid w:val="00156B31"/>
    <w:rsid w:val="001576FD"/>
    <w:rsid w:val="00157E87"/>
    <w:rsid w:val="001601D1"/>
    <w:rsid w:val="00165C94"/>
    <w:rsid w:val="00165CEC"/>
    <w:rsid w:val="00167050"/>
    <w:rsid w:val="00171BB1"/>
    <w:rsid w:val="0017200E"/>
    <w:rsid w:val="0017283D"/>
    <w:rsid w:val="00173596"/>
    <w:rsid w:val="00175272"/>
    <w:rsid w:val="00176C57"/>
    <w:rsid w:val="00177A6D"/>
    <w:rsid w:val="001801D7"/>
    <w:rsid w:val="001829E1"/>
    <w:rsid w:val="00183C8D"/>
    <w:rsid w:val="0018436D"/>
    <w:rsid w:val="0018509A"/>
    <w:rsid w:val="001856FC"/>
    <w:rsid w:val="00185C52"/>
    <w:rsid w:val="00186C28"/>
    <w:rsid w:val="00186C8F"/>
    <w:rsid w:val="00186CE9"/>
    <w:rsid w:val="0019165D"/>
    <w:rsid w:val="00192784"/>
    <w:rsid w:val="00195803"/>
    <w:rsid w:val="00195996"/>
    <w:rsid w:val="00197112"/>
    <w:rsid w:val="001A4B42"/>
    <w:rsid w:val="001A52F0"/>
    <w:rsid w:val="001B0422"/>
    <w:rsid w:val="001B133C"/>
    <w:rsid w:val="001B1B29"/>
    <w:rsid w:val="001B2B24"/>
    <w:rsid w:val="001B3CAF"/>
    <w:rsid w:val="001B3D8D"/>
    <w:rsid w:val="001B5A9B"/>
    <w:rsid w:val="001B770C"/>
    <w:rsid w:val="001C1249"/>
    <w:rsid w:val="001C4477"/>
    <w:rsid w:val="001C5340"/>
    <w:rsid w:val="001C5C94"/>
    <w:rsid w:val="001C659A"/>
    <w:rsid w:val="001C7127"/>
    <w:rsid w:val="001C79FE"/>
    <w:rsid w:val="001D1A62"/>
    <w:rsid w:val="001D58DE"/>
    <w:rsid w:val="001D5DFA"/>
    <w:rsid w:val="001D6A9C"/>
    <w:rsid w:val="001D6D6F"/>
    <w:rsid w:val="001D7DE2"/>
    <w:rsid w:val="001E1EE8"/>
    <w:rsid w:val="001E5484"/>
    <w:rsid w:val="001F316E"/>
    <w:rsid w:val="001F346B"/>
    <w:rsid w:val="001F3668"/>
    <w:rsid w:val="001F36DE"/>
    <w:rsid w:val="001F5338"/>
    <w:rsid w:val="001F6B4F"/>
    <w:rsid w:val="00201877"/>
    <w:rsid w:val="00202495"/>
    <w:rsid w:val="00203DF4"/>
    <w:rsid w:val="00205F6F"/>
    <w:rsid w:val="00210C08"/>
    <w:rsid w:val="00210D52"/>
    <w:rsid w:val="002126BE"/>
    <w:rsid w:val="00215530"/>
    <w:rsid w:val="0021640C"/>
    <w:rsid w:val="00217A85"/>
    <w:rsid w:val="00217FC8"/>
    <w:rsid w:val="00220F5A"/>
    <w:rsid w:val="00222775"/>
    <w:rsid w:val="00224A4B"/>
    <w:rsid w:val="00227F99"/>
    <w:rsid w:val="00230236"/>
    <w:rsid w:val="00232FCC"/>
    <w:rsid w:val="00233796"/>
    <w:rsid w:val="00233F50"/>
    <w:rsid w:val="00233FC4"/>
    <w:rsid w:val="00234262"/>
    <w:rsid w:val="0023477F"/>
    <w:rsid w:val="00236475"/>
    <w:rsid w:val="002375AB"/>
    <w:rsid w:val="00246256"/>
    <w:rsid w:val="002504B1"/>
    <w:rsid w:val="00253A3A"/>
    <w:rsid w:val="00254FB4"/>
    <w:rsid w:val="00256C7E"/>
    <w:rsid w:val="00257D73"/>
    <w:rsid w:val="002615B1"/>
    <w:rsid w:val="002617C2"/>
    <w:rsid w:val="00262C4A"/>
    <w:rsid w:val="00262C86"/>
    <w:rsid w:val="00263907"/>
    <w:rsid w:val="00265EAF"/>
    <w:rsid w:val="00267FE3"/>
    <w:rsid w:val="002702D0"/>
    <w:rsid w:val="00273E50"/>
    <w:rsid w:val="00277976"/>
    <w:rsid w:val="00280025"/>
    <w:rsid w:val="00281504"/>
    <w:rsid w:val="002833E3"/>
    <w:rsid w:val="00283BDA"/>
    <w:rsid w:val="00287DF5"/>
    <w:rsid w:val="0029328C"/>
    <w:rsid w:val="00293547"/>
    <w:rsid w:val="00293C7A"/>
    <w:rsid w:val="0029581A"/>
    <w:rsid w:val="00296FFC"/>
    <w:rsid w:val="0029748D"/>
    <w:rsid w:val="002A40FF"/>
    <w:rsid w:val="002A6C46"/>
    <w:rsid w:val="002B0371"/>
    <w:rsid w:val="002B0414"/>
    <w:rsid w:val="002B0E0E"/>
    <w:rsid w:val="002B3165"/>
    <w:rsid w:val="002B7C28"/>
    <w:rsid w:val="002C3A5E"/>
    <w:rsid w:val="002C3FE3"/>
    <w:rsid w:val="002C633D"/>
    <w:rsid w:val="002C6DA1"/>
    <w:rsid w:val="002C7743"/>
    <w:rsid w:val="002D4C4A"/>
    <w:rsid w:val="002D61A0"/>
    <w:rsid w:val="002D6C63"/>
    <w:rsid w:val="002D7C70"/>
    <w:rsid w:val="002E2605"/>
    <w:rsid w:val="002E29C7"/>
    <w:rsid w:val="002E2AB4"/>
    <w:rsid w:val="002E4FE1"/>
    <w:rsid w:val="002E7DC6"/>
    <w:rsid w:val="002F081E"/>
    <w:rsid w:val="002F14FC"/>
    <w:rsid w:val="002F341B"/>
    <w:rsid w:val="002F4625"/>
    <w:rsid w:val="002F4E44"/>
    <w:rsid w:val="002F5CDF"/>
    <w:rsid w:val="002F75D7"/>
    <w:rsid w:val="00301B1E"/>
    <w:rsid w:val="00301E52"/>
    <w:rsid w:val="003027FD"/>
    <w:rsid w:val="003051CB"/>
    <w:rsid w:val="00305D96"/>
    <w:rsid w:val="003064C8"/>
    <w:rsid w:val="0031061F"/>
    <w:rsid w:val="00310EB7"/>
    <w:rsid w:val="003207E2"/>
    <w:rsid w:val="00321617"/>
    <w:rsid w:val="00321BDB"/>
    <w:rsid w:val="00321FE5"/>
    <w:rsid w:val="00322F04"/>
    <w:rsid w:val="003242FC"/>
    <w:rsid w:val="00327163"/>
    <w:rsid w:val="00327BF5"/>
    <w:rsid w:val="00330730"/>
    <w:rsid w:val="00337B34"/>
    <w:rsid w:val="0034171B"/>
    <w:rsid w:val="003436B5"/>
    <w:rsid w:val="00344452"/>
    <w:rsid w:val="003504C2"/>
    <w:rsid w:val="00354684"/>
    <w:rsid w:val="003551D6"/>
    <w:rsid w:val="00356805"/>
    <w:rsid w:val="003577E4"/>
    <w:rsid w:val="003601DA"/>
    <w:rsid w:val="00361CD6"/>
    <w:rsid w:val="003621A0"/>
    <w:rsid w:val="003629D4"/>
    <w:rsid w:val="00362B69"/>
    <w:rsid w:val="003644A2"/>
    <w:rsid w:val="00367055"/>
    <w:rsid w:val="003677EF"/>
    <w:rsid w:val="003702CF"/>
    <w:rsid w:val="00373B45"/>
    <w:rsid w:val="00374A64"/>
    <w:rsid w:val="0037586C"/>
    <w:rsid w:val="003769DF"/>
    <w:rsid w:val="00377BD5"/>
    <w:rsid w:val="00381C30"/>
    <w:rsid w:val="00383A1E"/>
    <w:rsid w:val="0039088E"/>
    <w:rsid w:val="0039390F"/>
    <w:rsid w:val="00394EC7"/>
    <w:rsid w:val="00394ED1"/>
    <w:rsid w:val="00395C93"/>
    <w:rsid w:val="003A039B"/>
    <w:rsid w:val="003A2526"/>
    <w:rsid w:val="003A55B1"/>
    <w:rsid w:val="003B0FCE"/>
    <w:rsid w:val="003B156E"/>
    <w:rsid w:val="003B2669"/>
    <w:rsid w:val="003B393B"/>
    <w:rsid w:val="003B4D67"/>
    <w:rsid w:val="003B5866"/>
    <w:rsid w:val="003B63DC"/>
    <w:rsid w:val="003C2AAC"/>
    <w:rsid w:val="003C48CC"/>
    <w:rsid w:val="003C7672"/>
    <w:rsid w:val="003D3546"/>
    <w:rsid w:val="003D4B48"/>
    <w:rsid w:val="003D57E5"/>
    <w:rsid w:val="003D6A3E"/>
    <w:rsid w:val="003D70A4"/>
    <w:rsid w:val="003D7E77"/>
    <w:rsid w:val="003E20CA"/>
    <w:rsid w:val="003E2E58"/>
    <w:rsid w:val="003E3373"/>
    <w:rsid w:val="003E45EC"/>
    <w:rsid w:val="003E5D4A"/>
    <w:rsid w:val="003E653C"/>
    <w:rsid w:val="003E78AF"/>
    <w:rsid w:val="003F03DE"/>
    <w:rsid w:val="003F0E3F"/>
    <w:rsid w:val="003F1C6B"/>
    <w:rsid w:val="003F3A98"/>
    <w:rsid w:val="003F3CF8"/>
    <w:rsid w:val="003F3DA7"/>
    <w:rsid w:val="003F4EA8"/>
    <w:rsid w:val="003F640F"/>
    <w:rsid w:val="003F7D37"/>
    <w:rsid w:val="004008B9"/>
    <w:rsid w:val="004013C6"/>
    <w:rsid w:val="004057F8"/>
    <w:rsid w:val="00406C2B"/>
    <w:rsid w:val="0041146E"/>
    <w:rsid w:val="0041714F"/>
    <w:rsid w:val="00423496"/>
    <w:rsid w:val="004277F8"/>
    <w:rsid w:val="004278A0"/>
    <w:rsid w:val="00431077"/>
    <w:rsid w:val="00431DD5"/>
    <w:rsid w:val="00432028"/>
    <w:rsid w:val="00434CB4"/>
    <w:rsid w:val="00436D08"/>
    <w:rsid w:val="00436ECE"/>
    <w:rsid w:val="00441A51"/>
    <w:rsid w:val="004434B3"/>
    <w:rsid w:val="0044425A"/>
    <w:rsid w:val="004469DE"/>
    <w:rsid w:val="00447253"/>
    <w:rsid w:val="0045002D"/>
    <w:rsid w:val="00450055"/>
    <w:rsid w:val="00450480"/>
    <w:rsid w:val="0045224A"/>
    <w:rsid w:val="004524B1"/>
    <w:rsid w:val="00453574"/>
    <w:rsid w:val="0045430B"/>
    <w:rsid w:val="00454E10"/>
    <w:rsid w:val="00456439"/>
    <w:rsid w:val="0046175E"/>
    <w:rsid w:val="00463ACA"/>
    <w:rsid w:val="004650C6"/>
    <w:rsid w:val="004661E2"/>
    <w:rsid w:val="00466E5A"/>
    <w:rsid w:val="00467383"/>
    <w:rsid w:val="0047204A"/>
    <w:rsid w:val="00475EF5"/>
    <w:rsid w:val="0047689F"/>
    <w:rsid w:val="00477993"/>
    <w:rsid w:val="00480041"/>
    <w:rsid w:val="00480639"/>
    <w:rsid w:val="004812F2"/>
    <w:rsid w:val="004822AB"/>
    <w:rsid w:val="004824B3"/>
    <w:rsid w:val="00485091"/>
    <w:rsid w:val="004854DE"/>
    <w:rsid w:val="004919DA"/>
    <w:rsid w:val="004928F5"/>
    <w:rsid w:val="00493C01"/>
    <w:rsid w:val="004945CD"/>
    <w:rsid w:val="00494660"/>
    <w:rsid w:val="00495E8E"/>
    <w:rsid w:val="004970B2"/>
    <w:rsid w:val="004A13AA"/>
    <w:rsid w:val="004A1ACE"/>
    <w:rsid w:val="004A2436"/>
    <w:rsid w:val="004A480B"/>
    <w:rsid w:val="004A49AD"/>
    <w:rsid w:val="004A78D0"/>
    <w:rsid w:val="004B0314"/>
    <w:rsid w:val="004B5E0B"/>
    <w:rsid w:val="004C03A2"/>
    <w:rsid w:val="004C0469"/>
    <w:rsid w:val="004C1CD7"/>
    <w:rsid w:val="004C3E66"/>
    <w:rsid w:val="004C4B56"/>
    <w:rsid w:val="004C57D1"/>
    <w:rsid w:val="004C7FD2"/>
    <w:rsid w:val="004D06C2"/>
    <w:rsid w:val="004D19AC"/>
    <w:rsid w:val="004D2E74"/>
    <w:rsid w:val="004D3B1D"/>
    <w:rsid w:val="004D4753"/>
    <w:rsid w:val="004D6E8C"/>
    <w:rsid w:val="004E19C5"/>
    <w:rsid w:val="004E3920"/>
    <w:rsid w:val="004E41A2"/>
    <w:rsid w:val="004E661E"/>
    <w:rsid w:val="004E66B8"/>
    <w:rsid w:val="004E7B79"/>
    <w:rsid w:val="004F050B"/>
    <w:rsid w:val="004F105B"/>
    <w:rsid w:val="004F1DAA"/>
    <w:rsid w:val="004F4E49"/>
    <w:rsid w:val="00500DA7"/>
    <w:rsid w:val="00501C11"/>
    <w:rsid w:val="00504AD3"/>
    <w:rsid w:val="00510407"/>
    <w:rsid w:val="005126C2"/>
    <w:rsid w:val="00514B29"/>
    <w:rsid w:val="00515F94"/>
    <w:rsid w:val="00517302"/>
    <w:rsid w:val="00517E46"/>
    <w:rsid w:val="00521D25"/>
    <w:rsid w:val="00522373"/>
    <w:rsid w:val="00522AA6"/>
    <w:rsid w:val="00524FC7"/>
    <w:rsid w:val="00526852"/>
    <w:rsid w:val="00526928"/>
    <w:rsid w:val="005269CC"/>
    <w:rsid w:val="00527C6D"/>
    <w:rsid w:val="00532CD1"/>
    <w:rsid w:val="00533089"/>
    <w:rsid w:val="0053498B"/>
    <w:rsid w:val="00534A82"/>
    <w:rsid w:val="005358E9"/>
    <w:rsid w:val="00540A5D"/>
    <w:rsid w:val="005412ED"/>
    <w:rsid w:val="00542251"/>
    <w:rsid w:val="005446C0"/>
    <w:rsid w:val="00545613"/>
    <w:rsid w:val="00545E38"/>
    <w:rsid w:val="00547E44"/>
    <w:rsid w:val="005505DB"/>
    <w:rsid w:val="0055182C"/>
    <w:rsid w:val="00551BF4"/>
    <w:rsid w:val="00553469"/>
    <w:rsid w:val="00555983"/>
    <w:rsid w:val="00557AB6"/>
    <w:rsid w:val="00560D57"/>
    <w:rsid w:val="00561F4B"/>
    <w:rsid w:val="005629D7"/>
    <w:rsid w:val="00562A6D"/>
    <w:rsid w:val="00564B65"/>
    <w:rsid w:val="005669CE"/>
    <w:rsid w:val="00572B13"/>
    <w:rsid w:val="00572DB9"/>
    <w:rsid w:val="005737A1"/>
    <w:rsid w:val="0057467E"/>
    <w:rsid w:val="00575FEE"/>
    <w:rsid w:val="0057714F"/>
    <w:rsid w:val="005825C8"/>
    <w:rsid w:val="0058288C"/>
    <w:rsid w:val="00582DCC"/>
    <w:rsid w:val="00582F11"/>
    <w:rsid w:val="005840E5"/>
    <w:rsid w:val="00586713"/>
    <w:rsid w:val="005878CA"/>
    <w:rsid w:val="00587C08"/>
    <w:rsid w:val="005908E2"/>
    <w:rsid w:val="00590E37"/>
    <w:rsid w:val="00591764"/>
    <w:rsid w:val="005921BC"/>
    <w:rsid w:val="005929FB"/>
    <w:rsid w:val="00593294"/>
    <w:rsid w:val="005934F9"/>
    <w:rsid w:val="005A6047"/>
    <w:rsid w:val="005A6C07"/>
    <w:rsid w:val="005B6C28"/>
    <w:rsid w:val="005B7043"/>
    <w:rsid w:val="005B757A"/>
    <w:rsid w:val="005C21CD"/>
    <w:rsid w:val="005C5F10"/>
    <w:rsid w:val="005C6178"/>
    <w:rsid w:val="005C6C22"/>
    <w:rsid w:val="005C6E2C"/>
    <w:rsid w:val="005C71F0"/>
    <w:rsid w:val="005D04D0"/>
    <w:rsid w:val="005D08A5"/>
    <w:rsid w:val="005D1F78"/>
    <w:rsid w:val="005D23AA"/>
    <w:rsid w:val="005D5236"/>
    <w:rsid w:val="005E02F5"/>
    <w:rsid w:val="005E0530"/>
    <w:rsid w:val="005E3D9B"/>
    <w:rsid w:val="005E5BFA"/>
    <w:rsid w:val="005E5CDA"/>
    <w:rsid w:val="005E6569"/>
    <w:rsid w:val="005F079C"/>
    <w:rsid w:val="005F2507"/>
    <w:rsid w:val="005F33B3"/>
    <w:rsid w:val="005F5AAB"/>
    <w:rsid w:val="005F72AC"/>
    <w:rsid w:val="00600785"/>
    <w:rsid w:val="00603202"/>
    <w:rsid w:val="006143EF"/>
    <w:rsid w:val="006150F4"/>
    <w:rsid w:val="006151EE"/>
    <w:rsid w:val="00615AD1"/>
    <w:rsid w:val="006164D6"/>
    <w:rsid w:val="00620D06"/>
    <w:rsid w:val="006210A8"/>
    <w:rsid w:val="006215CB"/>
    <w:rsid w:val="0062228B"/>
    <w:rsid w:val="006259F3"/>
    <w:rsid w:val="00626686"/>
    <w:rsid w:val="00626C11"/>
    <w:rsid w:val="006300EC"/>
    <w:rsid w:val="00631525"/>
    <w:rsid w:val="006334E8"/>
    <w:rsid w:val="0063465B"/>
    <w:rsid w:val="00634810"/>
    <w:rsid w:val="00634B29"/>
    <w:rsid w:val="00634DF9"/>
    <w:rsid w:val="006361C3"/>
    <w:rsid w:val="006361C4"/>
    <w:rsid w:val="0063756D"/>
    <w:rsid w:val="006404CA"/>
    <w:rsid w:val="00640A91"/>
    <w:rsid w:val="00641D51"/>
    <w:rsid w:val="006423FF"/>
    <w:rsid w:val="006502FE"/>
    <w:rsid w:val="00652644"/>
    <w:rsid w:val="00652F15"/>
    <w:rsid w:val="00653EB7"/>
    <w:rsid w:val="006550EC"/>
    <w:rsid w:val="00655167"/>
    <w:rsid w:val="006577DE"/>
    <w:rsid w:val="00657CE7"/>
    <w:rsid w:val="00661526"/>
    <w:rsid w:val="0066173D"/>
    <w:rsid w:val="00661BE9"/>
    <w:rsid w:val="006622D0"/>
    <w:rsid w:val="006627F1"/>
    <w:rsid w:val="0066344B"/>
    <w:rsid w:val="00667492"/>
    <w:rsid w:val="006750D5"/>
    <w:rsid w:val="00675338"/>
    <w:rsid w:val="00676277"/>
    <w:rsid w:val="00677389"/>
    <w:rsid w:val="00680B3B"/>
    <w:rsid w:val="00682847"/>
    <w:rsid w:val="00685300"/>
    <w:rsid w:val="006855B0"/>
    <w:rsid w:val="0069130C"/>
    <w:rsid w:val="00691E58"/>
    <w:rsid w:val="00694D09"/>
    <w:rsid w:val="00695D27"/>
    <w:rsid w:val="00696707"/>
    <w:rsid w:val="0069775E"/>
    <w:rsid w:val="006A1E37"/>
    <w:rsid w:val="006A2322"/>
    <w:rsid w:val="006A25FF"/>
    <w:rsid w:val="006A29D9"/>
    <w:rsid w:val="006A29E5"/>
    <w:rsid w:val="006A3826"/>
    <w:rsid w:val="006A5278"/>
    <w:rsid w:val="006A6EC0"/>
    <w:rsid w:val="006A73EC"/>
    <w:rsid w:val="006A7458"/>
    <w:rsid w:val="006B1C02"/>
    <w:rsid w:val="006B53E9"/>
    <w:rsid w:val="006C0188"/>
    <w:rsid w:val="006C23FE"/>
    <w:rsid w:val="006C6F23"/>
    <w:rsid w:val="006C76AC"/>
    <w:rsid w:val="006D3822"/>
    <w:rsid w:val="006D4E64"/>
    <w:rsid w:val="006D658E"/>
    <w:rsid w:val="006D6982"/>
    <w:rsid w:val="006E00FE"/>
    <w:rsid w:val="006E0EE4"/>
    <w:rsid w:val="006E5C46"/>
    <w:rsid w:val="006E6B41"/>
    <w:rsid w:val="006F01FA"/>
    <w:rsid w:val="006F0730"/>
    <w:rsid w:val="006F2170"/>
    <w:rsid w:val="006F6B47"/>
    <w:rsid w:val="007017B0"/>
    <w:rsid w:val="00705C99"/>
    <w:rsid w:val="0071036B"/>
    <w:rsid w:val="007114D4"/>
    <w:rsid w:val="00715535"/>
    <w:rsid w:val="007169C3"/>
    <w:rsid w:val="00717F74"/>
    <w:rsid w:val="00721366"/>
    <w:rsid w:val="00721650"/>
    <w:rsid w:val="00722F0F"/>
    <w:rsid w:val="00725B7C"/>
    <w:rsid w:val="00726640"/>
    <w:rsid w:val="00733ED7"/>
    <w:rsid w:val="00734C13"/>
    <w:rsid w:val="0074470F"/>
    <w:rsid w:val="00744E9A"/>
    <w:rsid w:val="00746CC5"/>
    <w:rsid w:val="00752FE9"/>
    <w:rsid w:val="007541AB"/>
    <w:rsid w:val="00756A27"/>
    <w:rsid w:val="00774528"/>
    <w:rsid w:val="00777F15"/>
    <w:rsid w:val="00777F4A"/>
    <w:rsid w:val="00781576"/>
    <w:rsid w:val="00786A25"/>
    <w:rsid w:val="00790168"/>
    <w:rsid w:val="0079212F"/>
    <w:rsid w:val="00794192"/>
    <w:rsid w:val="00794EBC"/>
    <w:rsid w:val="00795201"/>
    <w:rsid w:val="007A01A5"/>
    <w:rsid w:val="007A1A78"/>
    <w:rsid w:val="007A2B0E"/>
    <w:rsid w:val="007A51A8"/>
    <w:rsid w:val="007A5B2E"/>
    <w:rsid w:val="007A792E"/>
    <w:rsid w:val="007B0553"/>
    <w:rsid w:val="007B0640"/>
    <w:rsid w:val="007B1AF0"/>
    <w:rsid w:val="007B1B60"/>
    <w:rsid w:val="007B43C7"/>
    <w:rsid w:val="007B46CB"/>
    <w:rsid w:val="007B4A38"/>
    <w:rsid w:val="007B4D95"/>
    <w:rsid w:val="007B4EF9"/>
    <w:rsid w:val="007B6465"/>
    <w:rsid w:val="007C1827"/>
    <w:rsid w:val="007C38BE"/>
    <w:rsid w:val="007C39D8"/>
    <w:rsid w:val="007C53FF"/>
    <w:rsid w:val="007C543B"/>
    <w:rsid w:val="007C7904"/>
    <w:rsid w:val="007D04BC"/>
    <w:rsid w:val="007D3521"/>
    <w:rsid w:val="007D35BD"/>
    <w:rsid w:val="007D3ABB"/>
    <w:rsid w:val="007D4541"/>
    <w:rsid w:val="007D559A"/>
    <w:rsid w:val="007D5D81"/>
    <w:rsid w:val="007D67F8"/>
    <w:rsid w:val="007E331F"/>
    <w:rsid w:val="007E3704"/>
    <w:rsid w:val="007E4782"/>
    <w:rsid w:val="007E50CF"/>
    <w:rsid w:val="007E614A"/>
    <w:rsid w:val="007E66F1"/>
    <w:rsid w:val="007E712B"/>
    <w:rsid w:val="007E7B67"/>
    <w:rsid w:val="007F1716"/>
    <w:rsid w:val="007F23D2"/>
    <w:rsid w:val="007F363D"/>
    <w:rsid w:val="007F4279"/>
    <w:rsid w:val="007F45E0"/>
    <w:rsid w:val="007F49FC"/>
    <w:rsid w:val="007F5D2D"/>
    <w:rsid w:val="00800976"/>
    <w:rsid w:val="00800D69"/>
    <w:rsid w:val="00800D88"/>
    <w:rsid w:val="00802A30"/>
    <w:rsid w:val="00802C65"/>
    <w:rsid w:val="00803457"/>
    <w:rsid w:val="0080531A"/>
    <w:rsid w:val="008056DE"/>
    <w:rsid w:val="00807106"/>
    <w:rsid w:val="00807BC3"/>
    <w:rsid w:val="008140A4"/>
    <w:rsid w:val="00821B4B"/>
    <w:rsid w:val="00821CA6"/>
    <w:rsid w:val="00822C17"/>
    <w:rsid w:val="008270B5"/>
    <w:rsid w:val="00827789"/>
    <w:rsid w:val="0083185D"/>
    <w:rsid w:val="00831A5A"/>
    <w:rsid w:val="00831AB8"/>
    <w:rsid w:val="00831F1A"/>
    <w:rsid w:val="00831F31"/>
    <w:rsid w:val="0083284D"/>
    <w:rsid w:val="008367AA"/>
    <w:rsid w:val="00836E89"/>
    <w:rsid w:val="00837248"/>
    <w:rsid w:val="00837E11"/>
    <w:rsid w:val="00840B73"/>
    <w:rsid w:val="008458FD"/>
    <w:rsid w:val="00846ED9"/>
    <w:rsid w:val="00850851"/>
    <w:rsid w:val="0085191C"/>
    <w:rsid w:val="00852B06"/>
    <w:rsid w:val="00854149"/>
    <w:rsid w:val="008562BC"/>
    <w:rsid w:val="00862B66"/>
    <w:rsid w:val="008652BD"/>
    <w:rsid w:val="00865446"/>
    <w:rsid w:val="008676A2"/>
    <w:rsid w:val="008677AB"/>
    <w:rsid w:val="00870F2B"/>
    <w:rsid w:val="00872802"/>
    <w:rsid w:val="00872E5B"/>
    <w:rsid w:val="00872EAC"/>
    <w:rsid w:val="0087565C"/>
    <w:rsid w:val="0087589A"/>
    <w:rsid w:val="008759E9"/>
    <w:rsid w:val="008770D1"/>
    <w:rsid w:val="008815BC"/>
    <w:rsid w:val="008834FB"/>
    <w:rsid w:val="008855C7"/>
    <w:rsid w:val="00886ABA"/>
    <w:rsid w:val="00887C66"/>
    <w:rsid w:val="00892E59"/>
    <w:rsid w:val="0089383C"/>
    <w:rsid w:val="00897069"/>
    <w:rsid w:val="008A3455"/>
    <w:rsid w:val="008A66B0"/>
    <w:rsid w:val="008B5D38"/>
    <w:rsid w:val="008B6578"/>
    <w:rsid w:val="008C030A"/>
    <w:rsid w:val="008C07D4"/>
    <w:rsid w:val="008C0BF5"/>
    <w:rsid w:val="008D2981"/>
    <w:rsid w:val="008D2F21"/>
    <w:rsid w:val="008D5D01"/>
    <w:rsid w:val="008D62BD"/>
    <w:rsid w:val="008D7AFE"/>
    <w:rsid w:val="008E0316"/>
    <w:rsid w:val="008E04C7"/>
    <w:rsid w:val="008E0681"/>
    <w:rsid w:val="008E16B4"/>
    <w:rsid w:val="008E3549"/>
    <w:rsid w:val="008E422B"/>
    <w:rsid w:val="008E6CF9"/>
    <w:rsid w:val="008E7931"/>
    <w:rsid w:val="008E7F67"/>
    <w:rsid w:val="008F0EFE"/>
    <w:rsid w:val="008F10D0"/>
    <w:rsid w:val="008F1B5A"/>
    <w:rsid w:val="008F319E"/>
    <w:rsid w:val="008F3850"/>
    <w:rsid w:val="008F3FF0"/>
    <w:rsid w:val="008F52E1"/>
    <w:rsid w:val="008F5E82"/>
    <w:rsid w:val="008F774C"/>
    <w:rsid w:val="00901081"/>
    <w:rsid w:val="00904448"/>
    <w:rsid w:val="00905037"/>
    <w:rsid w:val="009054F6"/>
    <w:rsid w:val="0090584A"/>
    <w:rsid w:val="009059F4"/>
    <w:rsid w:val="00910AC8"/>
    <w:rsid w:val="00910D69"/>
    <w:rsid w:val="00911E62"/>
    <w:rsid w:val="00912138"/>
    <w:rsid w:val="00912C08"/>
    <w:rsid w:val="00912C52"/>
    <w:rsid w:val="0091344B"/>
    <w:rsid w:val="00915B71"/>
    <w:rsid w:val="00915E46"/>
    <w:rsid w:val="00917B3C"/>
    <w:rsid w:val="00920912"/>
    <w:rsid w:val="00920AC1"/>
    <w:rsid w:val="00920DF6"/>
    <w:rsid w:val="0092169E"/>
    <w:rsid w:val="009228F8"/>
    <w:rsid w:val="009237F0"/>
    <w:rsid w:val="009239F9"/>
    <w:rsid w:val="00923B04"/>
    <w:rsid w:val="00925654"/>
    <w:rsid w:val="00927B68"/>
    <w:rsid w:val="009307FA"/>
    <w:rsid w:val="00930869"/>
    <w:rsid w:val="00930CB1"/>
    <w:rsid w:val="00931071"/>
    <w:rsid w:val="00935951"/>
    <w:rsid w:val="0093782E"/>
    <w:rsid w:val="009379FB"/>
    <w:rsid w:val="0094097E"/>
    <w:rsid w:val="00940CCF"/>
    <w:rsid w:val="0094181E"/>
    <w:rsid w:val="009426E6"/>
    <w:rsid w:val="009431D5"/>
    <w:rsid w:val="00943FDF"/>
    <w:rsid w:val="009523DF"/>
    <w:rsid w:val="009528F8"/>
    <w:rsid w:val="0095663C"/>
    <w:rsid w:val="009571C8"/>
    <w:rsid w:val="00963394"/>
    <w:rsid w:val="0096400C"/>
    <w:rsid w:val="0096478F"/>
    <w:rsid w:val="0096482D"/>
    <w:rsid w:val="00965A4F"/>
    <w:rsid w:val="00970B89"/>
    <w:rsid w:val="00971E41"/>
    <w:rsid w:val="0097502D"/>
    <w:rsid w:val="009751E0"/>
    <w:rsid w:val="00977E72"/>
    <w:rsid w:val="0098039A"/>
    <w:rsid w:val="00980AB6"/>
    <w:rsid w:val="00981EC0"/>
    <w:rsid w:val="00983A37"/>
    <w:rsid w:val="00985436"/>
    <w:rsid w:val="0098731A"/>
    <w:rsid w:val="009873DF"/>
    <w:rsid w:val="00990925"/>
    <w:rsid w:val="00992289"/>
    <w:rsid w:val="00994A8B"/>
    <w:rsid w:val="0099721C"/>
    <w:rsid w:val="00997467"/>
    <w:rsid w:val="009A2416"/>
    <w:rsid w:val="009A36B7"/>
    <w:rsid w:val="009A5AC2"/>
    <w:rsid w:val="009A7BC4"/>
    <w:rsid w:val="009B06F3"/>
    <w:rsid w:val="009B0C93"/>
    <w:rsid w:val="009B1080"/>
    <w:rsid w:val="009B2056"/>
    <w:rsid w:val="009B504A"/>
    <w:rsid w:val="009B71DF"/>
    <w:rsid w:val="009C566D"/>
    <w:rsid w:val="009C7398"/>
    <w:rsid w:val="009D03AD"/>
    <w:rsid w:val="009D2082"/>
    <w:rsid w:val="009D2FF5"/>
    <w:rsid w:val="009D43A0"/>
    <w:rsid w:val="009D43A8"/>
    <w:rsid w:val="009D612F"/>
    <w:rsid w:val="009D6EA7"/>
    <w:rsid w:val="009F5704"/>
    <w:rsid w:val="009F5B54"/>
    <w:rsid w:val="009F6C49"/>
    <w:rsid w:val="009F73AD"/>
    <w:rsid w:val="009F7B5E"/>
    <w:rsid w:val="00A0143B"/>
    <w:rsid w:val="00A01FEC"/>
    <w:rsid w:val="00A0372F"/>
    <w:rsid w:val="00A03769"/>
    <w:rsid w:val="00A059D3"/>
    <w:rsid w:val="00A05ECD"/>
    <w:rsid w:val="00A0635D"/>
    <w:rsid w:val="00A06F71"/>
    <w:rsid w:val="00A12D83"/>
    <w:rsid w:val="00A20C31"/>
    <w:rsid w:val="00A21AF5"/>
    <w:rsid w:val="00A21BDE"/>
    <w:rsid w:val="00A24895"/>
    <w:rsid w:val="00A2665B"/>
    <w:rsid w:val="00A32AAE"/>
    <w:rsid w:val="00A35995"/>
    <w:rsid w:val="00A36785"/>
    <w:rsid w:val="00A36839"/>
    <w:rsid w:val="00A37E65"/>
    <w:rsid w:val="00A409BB"/>
    <w:rsid w:val="00A424AF"/>
    <w:rsid w:val="00A431EA"/>
    <w:rsid w:val="00A43262"/>
    <w:rsid w:val="00A44675"/>
    <w:rsid w:val="00A4500A"/>
    <w:rsid w:val="00A45F32"/>
    <w:rsid w:val="00A51F3E"/>
    <w:rsid w:val="00A52B04"/>
    <w:rsid w:val="00A54173"/>
    <w:rsid w:val="00A5467F"/>
    <w:rsid w:val="00A55E72"/>
    <w:rsid w:val="00A60987"/>
    <w:rsid w:val="00A615F1"/>
    <w:rsid w:val="00A62A29"/>
    <w:rsid w:val="00A6560C"/>
    <w:rsid w:val="00A658ED"/>
    <w:rsid w:val="00A66FC8"/>
    <w:rsid w:val="00A67679"/>
    <w:rsid w:val="00A67DA0"/>
    <w:rsid w:val="00A7032D"/>
    <w:rsid w:val="00A70B80"/>
    <w:rsid w:val="00A70BF5"/>
    <w:rsid w:val="00A74753"/>
    <w:rsid w:val="00A75B34"/>
    <w:rsid w:val="00A76673"/>
    <w:rsid w:val="00A80072"/>
    <w:rsid w:val="00A800AA"/>
    <w:rsid w:val="00A83F5F"/>
    <w:rsid w:val="00A854C0"/>
    <w:rsid w:val="00A9023A"/>
    <w:rsid w:val="00A9138A"/>
    <w:rsid w:val="00A91B1D"/>
    <w:rsid w:val="00A91BFC"/>
    <w:rsid w:val="00A923AA"/>
    <w:rsid w:val="00A94670"/>
    <w:rsid w:val="00A948EF"/>
    <w:rsid w:val="00A96AF4"/>
    <w:rsid w:val="00AA0073"/>
    <w:rsid w:val="00AA15D8"/>
    <w:rsid w:val="00AA1760"/>
    <w:rsid w:val="00AA1F9B"/>
    <w:rsid w:val="00AA2703"/>
    <w:rsid w:val="00AA2721"/>
    <w:rsid w:val="00AA4E1F"/>
    <w:rsid w:val="00AA5AD0"/>
    <w:rsid w:val="00AB1432"/>
    <w:rsid w:val="00AB1505"/>
    <w:rsid w:val="00AB1EA2"/>
    <w:rsid w:val="00AB25D5"/>
    <w:rsid w:val="00AB2631"/>
    <w:rsid w:val="00AB7EEE"/>
    <w:rsid w:val="00AC12F2"/>
    <w:rsid w:val="00AC3258"/>
    <w:rsid w:val="00AC3EA3"/>
    <w:rsid w:val="00AC5E0B"/>
    <w:rsid w:val="00AD1075"/>
    <w:rsid w:val="00AD12E9"/>
    <w:rsid w:val="00AD19E7"/>
    <w:rsid w:val="00AD1DEA"/>
    <w:rsid w:val="00AD441F"/>
    <w:rsid w:val="00AD46CC"/>
    <w:rsid w:val="00AD77C7"/>
    <w:rsid w:val="00AE0104"/>
    <w:rsid w:val="00AE09A3"/>
    <w:rsid w:val="00AE1391"/>
    <w:rsid w:val="00AE2541"/>
    <w:rsid w:val="00AE48AF"/>
    <w:rsid w:val="00AE5A73"/>
    <w:rsid w:val="00AF074B"/>
    <w:rsid w:val="00AF233F"/>
    <w:rsid w:val="00AF2D24"/>
    <w:rsid w:val="00AF37CD"/>
    <w:rsid w:val="00AF43BA"/>
    <w:rsid w:val="00AF46EE"/>
    <w:rsid w:val="00AF4840"/>
    <w:rsid w:val="00AF514A"/>
    <w:rsid w:val="00AF5C65"/>
    <w:rsid w:val="00AF5DB7"/>
    <w:rsid w:val="00AF6FBA"/>
    <w:rsid w:val="00B0669C"/>
    <w:rsid w:val="00B103E8"/>
    <w:rsid w:val="00B10A50"/>
    <w:rsid w:val="00B12831"/>
    <w:rsid w:val="00B12D11"/>
    <w:rsid w:val="00B14AEE"/>
    <w:rsid w:val="00B14B0D"/>
    <w:rsid w:val="00B160F1"/>
    <w:rsid w:val="00B25664"/>
    <w:rsid w:val="00B266B0"/>
    <w:rsid w:val="00B26EA5"/>
    <w:rsid w:val="00B27121"/>
    <w:rsid w:val="00B34BE7"/>
    <w:rsid w:val="00B35522"/>
    <w:rsid w:val="00B35AF1"/>
    <w:rsid w:val="00B3734B"/>
    <w:rsid w:val="00B4077E"/>
    <w:rsid w:val="00B4099C"/>
    <w:rsid w:val="00B414BA"/>
    <w:rsid w:val="00B45BDC"/>
    <w:rsid w:val="00B472CA"/>
    <w:rsid w:val="00B5393B"/>
    <w:rsid w:val="00B54AB4"/>
    <w:rsid w:val="00B55615"/>
    <w:rsid w:val="00B564F2"/>
    <w:rsid w:val="00B604DD"/>
    <w:rsid w:val="00B65702"/>
    <w:rsid w:val="00B65A91"/>
    <w:rsid w:val="00B65AB8"/>
    <w:rsid w:val="00B70A58"/>
    <w:rsid w:val="00B711F0"/>
    <w:rsid w:val="00B73D09"/>
    <w:rsid w:val="00B74B7B"/>
    <w:rsid w:val="00B7612D"/>
    <w:rsid w:val="00B77A2A"/>
    <w:rsid w:val="00B827D2"/>
    <w:rsid w:val="00B83262"/>
    <w:rsid w:val="00B845B2"/>
    <w:rsid w:val="00B86412"/>
    <w:rsid w:val="00B8661B"/>
    <w:rsid w:val="00B8689F"/>
    <w:rsid w:val="00B8744D"/>
    <w:rsid w:val="00B87DB8"/>
    <w:rsid w:val="00B94506"/>
    <w:rsid w:val="00B956FC"/>
    <w:rsid w:val="00BA0C5E"/>
    <w:rsid w:val="00BA0CA8"/>
    <w:rsid w:val="00BA1F51"/>
    <w:rsid w:val="00BA35CE"/>
    <w:rsid w:val="00BA4294"/>
    <w:rsid w:val="00BB0206"/>
    <w:rsid w:val="00BB121F"/>
    <w:rsid w:val="00BB26ED"/>
    <w:rsid w:val="00BB3A42"/>
    <w:rsid w:val="00BB5540"/>
    <w:rsid w:val="00BB600F"/>
    <w:rsid w:val="00BB6195"/>
    <w:rsid w:val="00BC3019"/>
    <w:rsid w:val="00BC463D"/>
    <w:rsid w:val="00BC492D"/>
    <w:rsid w:val="00BD1C70"/>
    <w:rsid w:val="00BD47F9"/>
    <w:rsid w:val="00BD5405"/>
    <w:rsid w:val="00BD6391"/>
    <w:rsid w:val="00BE0BD3"/>
    <w:rsid w:val="00BE0EDD"/>
    <w:rsid w:val="00BE1107"/>
    <w:rsid w:val="00BE114D"/>
    <w:rsid w:val="00BE1800"/>
    <w:rsid w:val="00BE3638"/>
    <w:rsid w:val="00BE49B1"/>
    <w:rsid w:val="00BE6DF5"/>
    <w:rsid w:val="00BF12CB"/>
    <w:rsid w:val="00BF316C"/>
    <w:rsid w:val="00BF31CB"/>
    <w:rsid w:val="00BF6682"/>
    <w:rsid w:val="00C00B1E"/>
    <w:rsid w:val="00C00FA5"/>
    <w:rsid w:val="00C016F9"/>
    <w:rsid w:val="00C0343E"/>
    <w:rsid w:val="00C04B69"/>
    <w:rsid w:val="00C06706"/>
    <w:rsid w:val="00C1349B"/>
    <w:rsid w:val="00C13AA5"/>
    <w:rsid w:val="00C14C64"/>
    <w:rsid w:val="00C15743"/>
    <w:rsid w:val="00C1738D"/>
    <w:rsid w:val="00C20B81"/>
    <w:rsid w:val="00C240A4"/>
    <w:rsid w:val="00C245C4"/>
    <w:rsid w:val="00C260EA"/>
    <w:rsid w:val="00C33AFD"/>
    <w:rsid w:val="00C34112"/>
    <w:rsid w:val="00C40627"/>
    <w:rsid w:val="00C40C57"/>
    <w:rsid w:val="00C40ED8"/>
    <w:rsid w:val="00C43E53"/>
    <w:rsid w:val="00C43F61"/>
    <w:rsid w:val="00C44271"/>
    <w:rsid w:val="00C46E88"/>
    <w:rsid w:val="00C51A10"/>
    <w:rsid w:val="00C54C3E"/>
    <w:rsid w:val="00C57463"/>
    <w:rsid w:val="00C57BB4"/>
    <w:rsid w:val="00C62C09"/>
    <w:rsid w:val="00C63CE9"/>
    <w:rsid w:val="00C6402D"/>
    <w:rsid w:val="00C702E8"/>
    <w:rsid w:val="00C704B2"/>
    <w:rsid w:val="00C710C7"/>
    <w:rsid w:val="00C71C5C"/>
    <w:rsid w:val="00C73400"/>
    <w:rsid w:val="00C758BB"/>
    <w:rsid w:val="00C75C47"/>
    <w:rsid w:val="00C7660C"/>
    <w:rsid w:val="00C820BA"/>
    <w:rsid w:val="00C82A4F"/>
    <w:rsid w:val="00C82D96"/>
    <w:rsid w:val="00C835C2"/>
    <w:rsid w:val="00C844C1"/>
    <w:rsid w:val="00C87428"/>
    <w:rsid w:val="00C91452"/>
    <w:rsid w:val="00C91688"/>
    <w:rsid w:val="00C91C4A"/>
    <w:rsid w:val="00C91E05"/>
    <w:rsid w:val="00C938F3"/>
    <w:rsid w:val="00C958CB"/>
    <w:rsid w:val="00CA183B"/>
    <w:rsid w:val="00CA25B7"/>
    <w:rsid w:val="00CA6290"/>
    <w:rsid w:val="00CB100C"/>
    <w:rsid w:val="00CB1CF9"/>
    <w:rsid w:val="00CB2005"/>
    <w:rsid w:val="00CB3081"/>
    <w:rsid w:val="00CB4257"/>
    <w:rsid w:val="00CB451E"/>
    <w:rsid w:val="00CB6D69"/>
    <w:rsid w:val="00CC055E"/>
    <w:rsid w:val="00CC4699"/>
    <w:rsid w:val="00CC54D3"/>
    <w:rsid w:val="00CC6682"/>
    <w:rsid w:val="00CC6D81"/>
    <w:rsid w:val="00CD0056"/>
    <w:rsid w:val="00CD1072"/>
    <w:rsid w:val="00CD3A76"/>
    <w:rsid w:val="00CD4216"/>
    <w:rsid w:val="00CD424F"/>
    <w:rsid w:val="00CD7DA4"/>
    <w:rsid w:val="00CE0FC6"/>
    <w:rsid w:val="00CE1983"/>
    <w:rsid w:val="00CE1D91"/>
    <w:rsid w:val="00CE30BB"/>
    <w:rsid w:val="00CE336C"/>
    <w:rsid w:val="00CE4F27"/>
    <w:rsid w:val="00CE7185"/>
    <w:rsid w:val="00CF0E2C"/>
    <w:rsid w:val="00CF2BCF"/>
    <w:rsid w:val="00CF3357"/>
    <w:rsid w:val="00CF3A35"/>
    <w:rsid w:val="00D01720"/>
    <w:rsid w:val="00D01EBD"/>
    <w:rsid w:val="00D025DF"/>
    <w:rsid w:val="00D111CF"/>
    <w:rsid w:val="00D12581"/>
    <w:rsid w:val="00D172D9"/>
    <w:rsid w:val="00D17E26"/>
    <w:rsid w:val="00D21687"/>
    <w:rsid w:val="00D21ED6"/>
    <w:rsid w:val="00D22185"/>
    <w:rsid w:val="00D24014"/>
    <w:rsid w:val="00D24094"/>
    <w:rsid w:val="00D2440B"/>
    <w:rsid w:val="00D24594"/>
    <w:rsid w:val="00D27065"/>
    <w:rsid w:val="00D302C4"/>
    <w:rsid w:val="00D304E1"/>
    <w:rsid w:val="00D31607"/>
    <w:rsid w:val="00D3192C"/>
    <w:rsid w:val="00D31F52"/>
    <w:rsid w:val="00D322C2"/>
    <w:rsid w:val="00D33052"/>
    <w:rsid w:val="00D34674"/>
    <w:rsid w:val="00D378A7"/>
    <w:rsid w:val="00D37C2D"/>
    <w:rsid w:val="00D40433"/>
    <w:rsid w:val="00D406DC"/>
    <w:rsid w:val="00D425B0"/>
    <w:rsid w:val="00D452FC"/>
    <w:rsid w:val="00D45A85"/>
    <w:rsid w:val="00D466F2"/>
    <w:rsid w:val="00D473B8"/>
    <w:rsid w:val="00D47CD8"/>
    <w:rsid w:val="00D513FC"/>
    <w:rsid w:val="00D5200B"/>
    <w:rsid w:val="00D5256B"/>
    <w:rsid w:val="00D54CB1"/>
    <w:rsid w:val="00D54FCD"/>
    <w:rsid w:val="00D552A6"/>
    <w:rsid w:val="00D62FBC"/>
    <w:rsid w:val="00D64602"/>
    <w:rsid w:val="00D74262"/>
    <w:rsid w:val="00D74EA3"/>
    <w:rsid w:val="00D75964"/>
    <w:rsid w:val="00D75B87"/>
    <w:rsid w:val="00D77368"/>
    <w:rsid w:val="00D8174F"/>
    <w:rsid w:val="00D87373"/>
    <w:rsid w:val="00D9415E"/>
    <w:rsid w:val="00D95497"/>
    <w:rsid w:val="00D960E6"/>
    <w:rsid w:val="00D969F5"/>
    <w:rsid w:val="00D9799F"/>
    <w:rsid w:val="00DA37F7"/>
    <w:rsid w:val="00DA4D81"/>
    <w:rsid w:val="00DA6BC0"/>
    <w:rsid w:val="00DA738B"/>
    <w:rsid w:val="00DB34A5"/>
    <w:rsid w:val="00DB4610"/>
    <w:rsid w:val="00DB5196"/>
    <w:rsid w:val="00DC0083"/>
    <w:rsid w:val="00DC0449"/>
    <w:rsid w:val="00DC1C68"/>
    <w:rsid w:val="00DC35D5"/>
    <w:rsid w:val="00DC452F"/>
    <w:rsid w:val="00DC4807"/>
    <w:rsid w:val="00DC587E"/>
    <w:rsid w:val="00DC6BE9"/>
    <w:rsid w:val="00DD1A86"/>
    <w:rsid w:val="00DD3806"/>
    <w:rsid w:val="00DD4F17"/>
    <w:rsid w:val="00DD701D"/>
    <w:rsid w:val="00DD783D"/>
    <w:rsid w:val="00DD7C39"/>
    <w:rsid w:val="00DE326E"/>
    <w:rsid w:val="00DE3B0B"/>
    <w:rsid w:val="00DE70D5"/>
    <w:rsid w:val="00DF292D"/>
    <w:rsid w:val="00DF4C06"/>
    <w:rsid w:val="00DF7AA4"/>
    <w:rsid w:val="00E02171"/>
    <w:rsid w:val="00E04964"/>
    <w:rsid w:val="00E10F7B"/>
    <w:rsid w:val="00E13FA5"/>
    <w:rsid w:val="00E14057"/>
    <w:rsid w:val="00E14360"/>
    <w:rsid w:val="00E14620"/>
    <w:rsid w:val="00E17FBC"/>
    <w:rsid w:val="00E21BBC"/>
    <w:rsid w:val="00E254DB"/>
    <w:rsid w:val="00E25ADE"/>
    <w:rsid w:val="00E2730C"/>
    <w:rsid w:val="00E32010"/>
    <w:rsid w:val="00E34A7B"/>
    <w:rsid w:val="00E418F1"/>
    <w:rsid w:val="00E43040"/>
    <w:rsid w:val="00E43FAC"/>
    <w:rsid w:val="00E45DFB"/>
    <w:rsid w:val="00E46387"/>
    <w:rsid w:val="00E46C1F"/>
    <w:rsid w:val="00E544D3"/>
    <w:rsid w:val="00E57D2E"/>
    <w:rsid w:val="00E61AAB"/>
    <w:rsid w:val="00E65E29"/>
    <w:rsid w:val="00E66CC6"/>
    <w:rsid w:val="00E67134"/>
    <w:rsid w:val="00E67EE0"/>
    <w:rsid w:val="00E70572"/>
    <w:rsid w:val="00E72364"/>
    <w:rsid w:val="00E72ABD"/>
    <w:rsid w:val="00E75E71"/>
    <w:rsid w:val="00E80ABB"/>
    <w:rsid w:val="00E82535"/>
    <w:rsid w:val="00E839D9"/>
    <w:rsid w:val="00E843C1"/>
    <w:rsid w:val="00E857F7"/>
    <w:rsid w:val="00E8582F"/>
    <w:rsid w:val="00E86CA2"/>
    <w:rsid w:val="00E90107"/>
    <w:rsid w:val="00E937E0"/>
    <w:rsid w:val="00E93810"/>
    <w:rsid w:val="00E96B98"/>
    <w:rsid w:val="00E96E1B"/>
    <w:rsid w:val="00EA0BCF"/>
    <w:rsid w:val="00EA24A9"/>
    <w:rsid w:val="00EA4049"/>
    <w:rsid w:val="00EA729D"/>
    <w:rsid w:val="00EB0720"/>
    <w:rsid w:val="00EB2182"/>
    <w:rsid w:val="00EB4BFA"/>
    <w:rsid w:val="00EB4FB0"/>
    <w:rsid w:val="00EB7FC7"/>
    <w:rsid w:val="00EC3241"/>
    <w:rsid w:val="00EC69B0"/>
    <w:rsid w:val="00ED0274"/>
    <w:rsid w:val="00ED048E"/>
    <w:rsid w:val="00ED13B1"/>
    <w:rsid w:val="00ED2AE1"/>
    <w:rsid w:val="00ED56FB"/>
    <w:rsid w:val="00ED5BDC"/>
    <w:rsid w:val="00ED6236"/>
    <w:rsid w:val="00EE22E6"/>
    <w:rsid w:val="00EE2935"/>
    <w:rsid w:val="00EE3C9E"/>
    <w:rsid w:val="00EE4D7D"/>
    <w:rsid w:val="00EE51FF"/>
    <w:rsid w:val="00EE5E43"/>
    <w:rsid w:val="00EE65B6"/>
    <w:rsid w:val="00EF0D11"/>
    <w:rsid w:val="00EF3319"/>
    <w:rsid w:val="00EF3F53"/>
    <w:rsid w:val="00EF4085"/>
    <w:rsid w:val="00EF5798"/>
    <w:rsid w:val="00EF6FD1"/>
    <w:rsid w:val="00EF7572"/>
    <w:rsid w:val="00F01C72"/>
    <w:rsid w:val="00F01E7E"/>
    <w:rsid w:val="00F0285F"/>
    <w:rsid w:val="00F02BB0"/>
    <w:rsid w:val="00F056E7"/>
    <w:rsid w:val="00F05ADC"/>
    <w:rsid w:val="00F06478"/>
    <w:rsid w:val="00F10C34"/>
    <w:rsid w:val="00F137CD"/>
    <w:rsid w:val="00F13FB0"/>
    <w:rsid w:val="00F152BA"/>
    <w:rsid w:val="00F17850"/>
    <w:rsid w:val="00F17B77"/>
    <w:rsid w:val="00F20FC1"/>
    <w:rsid w:val="00F21125"/>
    <w:rsid w:val="00F2234A"/>
    <w:rsid w:val="00F2235C"/>
    <w:rsid w:val="00F2393E"/>
    <w:rsid w:val="00F263E6"/>
    <w:rsid w:val="00F267FA"/>
    <w:rsid w:val="00F268AB"/>
    <w:rsid w:val="00F3154B"/>
    <w:rsid w:val="00F36304"/>
    <w:rsid w:val="00F376DD"/>
    <w:rsid w:val="00F40391"/>
    <w:rsid w:val="00F46608"/>
    <w:rsid w:val="00F47E93"/>
    <w:rsid w:val="00F502C8"/>
    <w:rsid w:val="00F51AF7"/>
    <w:rsid w:val="00F531D3"/>
    <w:rsid w:val="00F536E5"/>
    <w:rsid w:val="00F5388F"/>
    <w:rsid w:val="00F57B77"/>
    <w:rsid w:val="00F614B7"/>
    <w:rsid w:val="00F636D7"/>
    <w:rsid w:val="00F639D9"/>
    <w:rsid w:val="00F65467"/>
    <w:rsid w:val="00F720E1"/>
    <w:rsid w:val="00F72D0C"/>
    <w:rsid w:val="00F72FD5"/>
    <w:rsid w:val="00F73355"/>
    <w:rsid w:val="00F76AB3"/>
    <w:rsid w:val="00F773A3"/>
    <w:rsid w:val="00F77407"/>
    <w:rsid w:val="00F77835"/>
    <w:rsid w:val="00F80CA4"/>
    <w:rsid w:val="00F81C5D"/>
    <w:rsid w:val="00F8232E"/>
    <w:rsid w:val="00F85C4B"/>
    <w:rsid w:val="00F85ECD"/>
    <w:rsid w:val="00F860EA"/>
    <w:rsid w:val="00F91EF6"/>
    <w:rsid w:val="00F93FF3"/>
    <w:rsid w:val="00F94BEC"/>
    <w:rsid w:val="00F97CB9"/>
    <w:rsid w:val="00FA1B63"/>
    <w:rsid w:val="00FA4095"/>
    <w:rsid w:val="00FB0BAF"/>
    <w:rsid w:val="00FB1E67"/>
    <w:rsid w:val="00FB34CD"/>
    <w:rsid w:val="00FB4285"/>
    <w:rsid w:val="00FB4B64"/>
    <w:rsid w:val="00FB4E59"/>
    <w:rsid w:val="00FB65A7"/>
    <w:rsid w:val="00FB6F05"/>
    <w:rsid w:val="00FC5059"/>
    <w:rsid w:val="00FD1580"/>
    <w:rsid w:val="00FD3E0E"/>
    <w:rsid w:val="00FD702A"/>
    <w:rsid w:val="00FE337D"/>
    <w:rsid w:val="00FE3AEF"/>
    <w:rsid w:val="00FE748B"/>
    <w:rsid w:val="00FE7B82"/>
    <w:rsid w:val="00FF01EB"/>
    <w:rsid w:val="00FF0EE8"/>
    <w:rsid w:val="00FF11C9"/>
    <w:rsid w:val="00FF1280"/>
    <w:rsid w:val="00FF19B7"/>
    <w:rsid w:val="00FF39C1"/>
    <w:rsid w:val="00FF5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4F5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37248"/>
    <w:pPr>
      <w:widowControl w:val="0"/>
      <w:autoSpaceDE w:val="0"/>
      <w:autoSpaceDN w:val="0"/>
      <w:spacing w:after="0" w:line="240" w:lineRule="auto"/>
    </w:pPr>
    <w:rPr>
      <w:rFonts w:ascii="Tinos" w:eastAsia="Tinos" w:hAnsi="Tinos" w:cs="Tinos"/>
    </w:rPr>
  </w:style>
  <w:style w:type="paragraph" w:styleId="Heading1">
    <w:name w:val="heading 1"/>
    <w:basedOn w:val="Normal"/>
    <w:link w:val="Heading1Char"/>
    <w:uiPriority w:val="1"/>
    <w:qFormat/>
    <w:rsid w:val="00837248"/>
    <w:pPr>
      <w:ind w:left="996" w:hanging="453"/>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8372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375A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2234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234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37248"/>
  </w:style>
  <w:style w:type="character" w:customStyle="1" w:styleId="BodyTextChar">
    <w:name w:val="Body Text Char"/>
    <w:basedOn w:val="DefaultParagraphFont"/>
    <w:link w:val="BodyText"/>
    <w:uiPriority w:val="1"/>
    <w:rsid w:val="00837248"/>
    <w:rPr>
      <w:rFonts w:ascii="Tinos" w:eastAsia="Tinos" w:hAnsi="Tinos" w:cs="Tinos"/>
    </w:rPr>
  </w:style>
  <w:style w:type="character" w:customStyle="1" w:styleId="Heading1Char">
    <w:name w:val="Heading 1 Char"/>
    <w:basedOn w:val="DefaultParagraphFont"/>
    <w:link w:val="Heading1"/>
    <w:uiPriority w:val="1"/>
    <w:rsid w:val="00837248"/>
    <w:rPr>
      <w:rFonts w:ascii="Times New Roman" w:eastAsia="Times New Roman" w:hAnsi="Times New Roman" w:cs="Times New Roman"/>
      <w:b/>
      <w:bCs/>
      <w:sz w:val="24"/>
      <w:szCs w:val="24"/>
    </w:rPr>
  </w:style>
  <w:style w:type="paragraph" w:styleId="ListParagraph">
    <w:name w:val="List Paragraph"/>
    <w:basedOn w:val="Normal"/>
    <w:uiPriority w:val="1"/>
    <w:qFormat/>
    <w:rsid w:val="00837248"/>
    <w:pPr>
      <w:ind w:left="1147" w:hanging="331"/>
    </w:pPr>
  </w:style>
  <w:style w:type="paragraph" w:styleId="BalloonText">
    <w:name w:val="Balloon Text"/>
    <w:basedOn w:val="Normal"/>
    <w:link w:val="BalloonTextChar"/>
    <w:uiPriority w:val="99"/>
    <w:semiHidden/>
    <w:unhideWhenUsed/>
    <w:rsid w:val="00837248"/>
    <w:rPr>
      <w:rFonts w:ascii="Tahoma" w:hAnsi="Tahoma" w:cs="Tahoma"/>
      <w:sz w:val="16"/>
      <w:szCs w:val="16"/>
    </w:rPr>
  </w:style>
  <w:style w:type="character" w:customStyle="1" w:styleId="BalloonTextChar">
    <w:name w:val="Balloon Text Char"/>
    <w:basedOn w:val="DefaultParagraphFont"/>
    <w:link w:val="BalloonText"/>
    <w:uiPriority w:val="99"/>
    <w:semiHidden/>
    <w:rsid w:val="00837248"/>
    <w:rPr>
      <w:rFonts w:ascii="Tahoma" w:eastAsia="Tinos" w:hAnsi="Tahoma" w:cs="Tahoma"/>
      <w:sz w:val="16"/>
      <w:szCs w:val="16"/>
    </w:rPr>
  </w:style>
  <w:style w:type="character" w:customStyle="1" w:styleId="Heading2Char">
    <w:name w:val="Heading 2 Char"/>
    <w:basedOn w:val="DefaultParagraphFont"/>
    <w:link w:val="Heading2"/>
    <w:uiPriority w:val="9"/>
    <w:rsid w:val="00837248"/>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FB0BAF"/>
  </w:style>
  <w:style w:type="paragraph" w:styleId="Header">
    <w:name w:val="header"/>
    <w:basedOn w:val="Normal"/>
    <w:link w:val="HeaderChar"/>
    <w:uiPriority w:val="99"/>
    <w:unhideWhenUsed/>
    <w:rsid w:val="00FD1580"/>
    <w:pPr>
      <w:tabs>
        <w:tab w:val="center" w:pos="4680"/>
        <w:tab w:val="right" w:pos="9360"/>
      </w:tabs>
    </w:pPr>
  </w:style>
  <w:style w:type="character" w:customStyle="1" w:styleId="HeaderChar">
    <w:name w:val="Header Char"/>
    <w:basedOn w:val="DefaultParagraphFont"/>
    <w:link w:val="Header"/>
    <w:uiPriority w:val="99"/>
    <w:rsid w:val="00FD1580"/>
    <w:rPr>
      <w:rFonts w:ascii="Tinos" w:eastAsia="Tinos" w:hAnsi="Tinos" w:cs="Tinos"/>
    </w:rPr>
  </w:style>
  <w:style w:type="paragraph" w:styleId="Footer">
    <w:name w:val="footer"/>
    <w:basedOn w:val="Normal"/>
    <w:link w:val="FooterChar"/>
    <w:uiPriority w:val="99"/>
    <w:unhideWhenUsed/>
    <w:rsid w:val="00FD1580"/>
    <w:pPr>
      <w:tabs>
        <w:tab w:val="center" w:pos="4680"/>
        <w:tab w:val="right" w:pos="9360"/>
      </w:tabs>
    </w:pPr>
  </w:style>
  <w:style w:type="character" w:customStyle="1" w:styleId="FooterChar">
    <w:name w:val="Footer Char"/>
    <w:basedOn w:val="DefaultParagraphFont"/>
    <w:link w:val="Footer"/>
    <w:uiPriority w:val="99"/>
    <w:rsid w:val="00FD1580"/>
    <w:rPr>
      <w:rFonts w:ascii="Tinos" w:eastAsia="Tinos" w:hAnsi="Tinos" w:cs="Tinos"/>
    </w:rPr>
  </w:style>
  <w:style w:type="table" w:styleId="TableGrid">
    <w:name w:val="Table Grid"/>
    <w:basedOn w:val="TableNormal"/>
    <w:uiPriority w:val="59"/>
    <w:rsid w:val="00EE5E43"/>
    <w:pPr>
      <w:spacing w:after="0" w:line="240" w:lineRule="auto"/>
    </w:pPr>
    <w:rPr>
      <w:rFonts w:eastAsiaTheme="minorEastAsia"/>
      <w:kern w:val="2"/>
      <w:sz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10D51"/>
    <w:rPr>
      <w:color w:val="808080"/>
    </w:rPr>
  </w:style>
  <w:style w:type="paragraph" w:styleId="NormalWeb">
    <w:name w:val="Normal (Web)"/>
    <w:basedOn w:val="Normal"/>
    <w:uiPriority w:val="99"/>
    <w:unhideWhenUsed/>
    <w:rsid w:val="0008255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300EC"/>
    <w:rPr>
      <w:color w:val="0000FF" w:themeColor="hyperlink"/>
      <w:u w:val="single"/>
    </w:rPr>
  </w:style>
  <w:style w:type="character" w:customStyle="1" w:styleId="UnresolvedMention1">
    <w:name w:val="Unresolved Mention1"/>
    <w:basedOn w:val="DefaultParagraphFont"/>
    <w:uiPriority w:val="99"/>
    <w:semiHidden/>
    <w:unhideWhenUsed/>
    <w:rsid w:val="00963394"/>
    <w:rPr>
      <w:color w:val="605E5C"/>
      <w:shd w:val="clear" w:color="auto" w:fill="E1DFDD"/>
    </w:rPr>
  </w:style>
  <w:style w:type="character" w:customStyle="1" w:styleId="Heading3Char">
    <w:name w:val="Heading 3 Char"/>
    <w:basedOn w:val="DefaultParagraphFont"/>
    <w:link w:val="Heading3"/>
    <w:uiPriority w:val="9"/>
    <w:rsid w:val="002375AB"/>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DD701D"/>
    <w:rPr>
      <w:sz w:val="16"/>
      <w:szCs w:val="16"/>
    </w:rPr>
  </w:style>
  <w:style w:type="paragraph" w:styleId="CommentText">
    <w:name w:val="annotation text"/>
    <w:basedOn w:val="Normal"/>
    <w:link w:val="CommentTextChar"/>
    <w:uiPriority w:val="99"/>
    <w:semiHidden/>
    <w:unhideWhenUsed/>
    <w:rsid w:val="00DD701D"/>
    <w:rPr>
      <w:sz w:val="20"/>
      <w:szCs w:val="20"/>
    </w:rPr>
  </w:style>
  <w:style w:type="character" w:customStyle="1" w:styleId="CommentTextChar">
    <w:name w:val="Comment Text Char"/>
    <w:basedOn w:val="DefaultParagraphFont"/>
    <w:link w:val="CommentText"/>
    <w:uiPriority w:val="99"/>
    <w:semiHidden/>
    <w:rsid w:val="00DD701D"/>
    <w:rPr>
      <w:rFonts w:ascii="Tinos" w:eastAsia="Tinos" w:hAnsi="Tinos" w:cs="Tinos"/>
      <w:sz w:val="20"/>
      <w:szCs w:val="20"/>
    </w:rPr>
  </w:style>
  <w:style w:type="paragraph" w:styleId="CommentSubject">
    <w:name w:val="annotation subject"/>
    <w:basedOn w:val="CommentText"/>
    <w:next w:val="CommentText"/>
    <w:link w:val="CommentSubjectChar"/>
    <w:uiPriority w:val="99"/>
    <w:semiHidden/>
    <w:unhideWhenUsed/>
    <w:rsid w:val="00DD701D"/>
    <w:rPr>
      <w:b/>
      <w:bCs/>
    </w:rPr>
  </w:style>
  <w:style w:type="character" w:customStyle="1" w:styleId="CommentSubjectChar">
    <w:name w:val="Comment Subject Char"/>
    <w:basedOn w:val="CommentTextChar"/>
    <w:link w:val="CommentSubject"/>
    <w:uiPriority w:val="99"/>
    <w:semiHidden/>
    <w:rsid w:val="00DD701D"/>
    <w:rPr>
      <w:rFonts w:ascii="Tinos" w:eastAsia="Tinos" w:hAnsi="Tinos" w:cs="Tinos"/>
      <w:b/>
      <w:bCs/>
      <w:sz w:val="20"/>
      <w:szCs w:val="20"/>
    </w:rPr>
  </w:style>
  <w:style w:type="character" w:customStyle="1" w:styleId="uv3um">
    <w:name w:val="uv3um"/>
    <w:basedOn w:val="DefaultParagraphFont"/>
    <w:rsid w:val="002B7C28"/>
  </w:style>
  <w:style w:type="paragraph" w:customStyle="1" w:styleId="k3ksmc">
    <w:name w:val="k3ksmc"/>
    <w:basedOn w:val="Normal"/>
    <w:rsid w:val="002B7C2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B7C28"/>
    <w:rPr>
      <w:b/>
      <w:bCs/>
    </w:rPr>
  </w:style>
  <w:style w:type="character" w:styleId="LineNumber">
    <w:name w:val="line number"/>
    <w:basedOn w:val="DefaultParagraphFont"/>
    <w:uiPriority w:val="99"/>
    <w:semiHidden/>
    <w:unhideWhenUsed/>
    <w:rsid w:val="00CF3A35"/>
  </w:style>
  <w:style w:type="character" w:customStyle="1" w:styleId="fs9">
    <w:name w:val="fs9"/>
    <w:basedOn w:val="DefaultParagraphFont"/>
    <w:rsid w:val="0057714F"/>
  </w:style>
  <w:style w:type="character" w:customStyle="1" w:styleId="ff7">
    <w:name w:val="ff7"/>
    <w:basedOn w:val="DefaultParagraphFont"/>
    <w:rsid w:val="00F72D0C"/>
  </w:style>
  <w:style w:type="character" w:customStyle="1" w:styleId="ls26">
    <w:name w:val="ls26"/>
    <w:basedOn w:val="DefaultParagraphFont"/>
    <w:rsid w:val="00F72D0C"/>
  </w:style>
  <w:style w:type="paragraph" w:styleId="Revision">
    <w:name w:val="Revision"/>
    <w:hidden/>
    <w:uiPriority w:val="99"/>
    <w:semiHidden/>
    <w:rsid w:val="00C958CB"/>
    <w:pPr>
      <w:spacing w:after="0" w:line="240" w:lineRule="auto"/>
    </w:pPr>
    <w:rPr>
      <w:rFonts w:ascii="Tinos" w:eastAsia="Tinos" w:hAnsi="Tinos" w:cs="Tinos"/>
    </w:rPr>
  </w:style>
  <w:style w:type="character" w:customStyle="1" w:styleId="UnresolvedMention">
    <w:name w:val="Unresolved Mention"/>
    <w:basedOn w:val="DefaultParagraphFont"/>
    <w:uiPriority w:val="99"/>
    <w:semiHidden/>
    <w:unhideWhenUsed/>
    <w:rsid w:val="00685300"/>
    <w:rPr>
      <w:color w:val="605E5C"/>
      <w:shd w:val="clear" w:color="auto" w:fill="E1DFDD"/>
    </w:rPr>
  </w:style>
  <w:style w:type="character" w:styleId="Emphasis">
    <w:name w:val="Emphasis"/>
    <w:basedOn w:val="DefaultParagraphFont"/>
    <w:uiPriority w:val="20"/>
    <w:qFormat/>
    <w:rsid w:val="00734C13"/>
    <w:rPr>
      <w:i/>
      <w:iCs/>
    </w:rPr>
  </w:style>
  <w:style w:type="character" w:customStyle="1" w:styleId="citation-0">
    <w:name w:val="citation-0"/>
    <w:basedOn w:val="DefaultParagraphFont"/>
    <w:rsid w:val="00734C13"/>
  </w:style>
  <w:style w:type="character" w:customStyle="1" w:styleId="button-container">
    <w:name w:val="button-container"/>
    <w:basedOn w:val="DefaultParagraphFont"/>
    <w:rsid w:val="00734C13"/>
  </w:style>
  <w:style w:type="character" w:customStyle="1" w:styleId="citation-1">
    <w:name w:val="citation-1"/>
    <w:basedOn w:val="DefaultParagraphFont"/>
    <w:rsid w:val="00734C13"/>
  </w:style>
  <w:style w:type="character" w:customStyle="1" w:styleId="Heading4Char">
    <w:name w:val="Heading 4 Char"/>
    <w:basedOn w:val="DefaultParagraphFont"/>
    <w:link w:val="Heading4"/>
    <w:uiPriority w:val="9"/>
    <w:rsid w:val="00F223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234A"/>
    <w:rPr>
      <w:rFonts w:asciiTheme="majorHAnsi" w:eastAsiaTheme="majorEastAsia" w:hAnsiTheme="majorHAnsi" w:cstheme="majorBidi"/>
      <w:color w:val="243F60" w:themeColor="accent1" w:themeShade="7F"/>
    </w:rPr>
  </w:style>
  <w:style w:type="character" w:customStyle="1" w:styleId="citation-2">
    <w:name w:val="citation-2"/>
    <w:basedOn w:val="DefaultParagraphFont"/>
    <w:rsid w:val="004854DE"/>
  </w:style>
  <w:style w:type="character" w:customStyle="1" w:styleId="citation-3">
    <w:name w:val="citation-3"/>
    <w:basedOn w:val="DefaultParagraphFont"/>
    <w:rsid w:val="00C1738D"/>
  </w:style>
  <w:style w:type="character" w:customStyle="1" w:styleId="citation-4">
    <w:name w:val="citation-4"/>
    <w:basedOn w:val="DefaultParagraphFont"/>
    <w:rsid w:val="00C1738D"/>
  </w:style>
  <w:style w:type="character" w:customStyle="1" w:styleId="source-card-title-index">
    <w:name w:val="source-card-title-index"/>
    <w:basedOn w:val="DefaultParagraphFont"/>
    <w:rsid w:val="00D473B8"/>
  </w:style>
  <w:style w:type="character" w:customStyle="1" w:styleId="ellipsis">
    <w:name w:val="ellipsis"/>
    <w:basedOn w:val="DefaultParagraphFont"/>
    <w:rsid w:val="00D473B8"/>
  </w:style>
  <w:style w:type="character" w:customStyle="1" w:styleId="source-card-attribution-text">
    <w:name w:val="source-card-attribution-text"/>
    <w:basedOn w:val="DefaultParagraphFont"/>
    <w:rsid w:val="00D473B8"/>
  </w:style>
  <w:style w:type="character" w:customStyle="1" w:styleId="ds42pd">
    <w:name w:val="ds42pd"/>
    <w:basedOn w:val="DefaultParagraphFont"/>
    <w:rsid w:val="008367AA"/>
  </w:style>
  <w:style w:type="character" w:customStyle="1" w:styleId="citation-5">
    <w:name w:val="citation-5"/>
    <w:basedOn w:val="DefaultParagraphFont"/>
    <w:rsid w:val="0034171B"/>
  </w:style>
  <w:style w:type="character" w:customStyle="1" w:styleId="mord">
    <w:name w:val="mord"/>
    <w:basedOn w:val="DefaultParagraphFont"/>
    <w:rsid w:val="00FF39C1"/>
  </w:style>
  <w:style w:type="character" w:customStyle="1" w:styleId="mrel">
    <w:name w:val="mrel"/>
    <w:basedOn w:val="DefaultParagraphFont"/>
    <w:rsid w:val="00FF39C1"/>
  </w:style>
  <w:style w:type="character" w:customStyle="1" w:styleId="mbin">
    <w:name w:val="mbin"/>
    <w:basedOn w:val="DefaultParagraphFont"/>
    <w:rsid w:val="00FF39C1"/>
  </w:style>
  <w:style w:type="character" w:customStyle="1" w:styleId="katex-mathml">
    <w:name w:val="katex-mathml"/>
    <w:basedOn w:val="DefaultParagraphFont"/>
    <w:rsid w:val="00FF39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37248"/>
    <w:pPr>
      <w:widowControl w:val="0"/>
      <w:autoSpaceDE w:val="0"/>
      <w:autoSpaceDN w:val="0"/>
      <w:spacing w:after="0" w:line="240" w:lineRule="auto"/>
    </w:pPr>
    <w:rPr>
      <w:rFonts w:ascii="Tinos" w:eastAsia="Tinos" w:hAnsi="Tinos" w:cs="Tinos"/>
    </w:rPr>
  </w:style>
  <w:style w:type="paragraph" w:styleId="Heading1">
    <w:name w:val="heading 1"/>
    <w:basedOn w:val="Normal"/>
    <w:link w:val="Heading1Char"/>
    <w:uiPriority w:val="1"/>
    <w:qFormat/>
    <w:rsid w:val="00837248"/>
    <w:pPr>
      <w:ind w:left="996" w:hanging="453"/>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8372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375A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2234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234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37248"/>
  </w:style>
  <w:style w:type="character" w:customStyle="1" w:styleId="BodyTextChar">
    <w:name w:val="Body Text Char"/>
    <w:basedOn w:val="DefaultParagraphFont"/>
    <w:link w:val="BodyText"/>
    <w:uiPriority w:val="1"/>
    <w:rsid w:val="00837248"/>
    <w:rPr>
      <w:rFonts w:ascii="Tinos" w:eastAsia="Tinos" w:hAnsi="Tinos" w:cs="Tinos"/>
    </w:rPr>
  </w:style>
  <w:style w:type="character" w:customStyle="1" w:styleId="Heading1Char">
    <w:name w:val="Heading 1 Char"/>
    <w:basedOn w:val="DefaultParagraphFont"/>
    <w:link w:val="Heading1"/>
    <w:uiPriority w:val="1"/>
    <w:rsid w:val="00837248"/>
    <w:rPr>
      <w:rFonts w:ascii="Times New Roman" w:eastAsia="Times New Roman" w:hAnsi="Times New Roman" w:cs="Times New Roman"/>
      <w:b/>
      <w:bCs/>
      <w:sz w:val="24"/>
      <w:szCs w:val="24"/>
    </w:rPr>
  </w:style>
  <w:style w:type="paragraph" w:styleId="ListParagraph">
    <w:name w:val="List Paragraph"/>
    <w:basedOn w:val="Normal"/>
    <w:uiPriority w:val="1"/>
    <w:qFormat/>
    <w:rsid w:val="00837248"/>
    <w:pPr>
      <w:ind w:left="1147" w:hanging="331"/>
    </w:pPr>
  </w:style>
  <w:style w:type="paragraph" w:styleId="BalloonText">
    <w:name w:val="Balloon Text"/>
    <w:basedOn w:val="Normal"/>
    <w:link w:val="BalloonTextChar"/>
    <w:uiPriority w:val="99"/>
    <w:semiHidden/>
    <w:unhideWhenUsed/>
    <w:rsid w:val="00837248"/>
    <w:rPr>
      <w:rFonts w:ascii="Tahoma" w:hAnsi="Tahoma" w:cs="Tahoma"/>
      <w:sz w:val="16"/>
      <w:szCs w:val="16"/>
    </w:rPr>
  </w:style>
  <w:style w:type="character" w:customStyle="1" w:styleId="BalloonTextChar">
    <w:name w:val="Balloon Text Char"/>
    <w:basedOn w:val="DefaultParagraphFont"/>
    <w:link w:val="BalloonText"/>
    <w:uiPriority w:val="99"/>
    <w:semiHidden/>
    <w:rsid w:val="00837248"/>
    <w:rPr>
      <w:rFonts w:ascii="Tahoma" w:eastAsia="Tinos" w:hAnsi="Tahoma" w:cs="Tahoma"/>
      <w:sz w:val="16"/>
      <w:szCs w:val="16"/>
    </w:rPr>
  </w:style>
  <w:style w:type="character" w:customStyle="1" w:styleId="Heading2Char">
    <w:name w:val="Heading 2 Char"/>
    <w:basedOn w:val="DefaultParagraphFont"/>
    <w:link w:val="Heading2"/>
    <w:uiPriority w:val="9"/>
    <w:rsid w:val="00837248"/>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FB0BAF"/>
  </w:style>
  <w:style w:type="paragraph" w:styleId="Header">
    <w:name w:val="header"/>
    <w:basedOn w:val="Normal"/>
    <w:link w:val="HeaderChar"/>
    <w:uiPriority w:val="99"/>
    <w:unhideWhenUsed/>
    <w:rsid w:val="00FD1580"/>
    <w:pPr>
      <w:tabs>
        <w:tab w:val="center" w:pos="4680"/>
        <w:tab w:val="right" w:pos="9360"/>
      </w:tabs>
    </w:pPr>
  </w:style>
  <w:style w:type="character" w:customStyle="1" w:styleId="HeaderChar">
    <w:name w:val="Header Char"/>
    <w:basedOn w:val="DefaultParagraphFont"/>
    <w:link w:val="Header"/>
    <w:uiPriority w:val="99"/>
    <w:rsid w:val="00FD1580"/>
    <w:rPr>
      <w:rFonts w:ascii="Tinos" w:eastAsia="Tinos" w:hAnsi="Tinos" w:cs="Tinos"/>
    </w:rPr>
  </w:style>
  <w:style w:type="paragraph" w:styleId="Footer">
    <w:name w:val="footer"/>
    <w:basedOn w:val="Normal"/>
    <w:link w:val="FooterChar"/>
    <w:uiPriority w:val="99"/>
    <w:unhideWhenUsed/>
    <w:rsid w:val="00FD1580"/>
    <w:pPr>
      <w:tabs>
        <w:tab w:val="center" w:pos="4680"/>
        <w:tab w:val="right" w:pos="9360"/>
      </w:tabs>
    </w:pPr>
  </w:style>
  <w:style w:type="character" w:customStyle="1" w:styleId="FooterChar">
    <w:name w:val="Footer Char"/>
    <w:basedOn w:val="DefaultParagraphFont"/>
    <w:link w:val="Footer"/>
    <w:uiPriority w:val="99"/>
    <w:rsid w:val="00FD1580"/>
    <w:rPr>
      <w:rFonts w:ascii="Tinos" w:eastAsia="Tinos" w:hAnsi="Tinos" w:cs="Tinos"/>
    </w:rPr>
  </w:style>
  <w:style w:type="table" w:styleId="TableGrid">
    <w:name w:val="Table Grid"/>
    <w:basedOn w:val="TableNormal"/>
    <w:uiPriority w:val="59"/>
    <w:rsid w:val="00EE5E43"/>
    <w:pPr>
      <w:spacing w:after="0" w:line="240" w:lineRule="auto"/>
    </w:pPr>
    <w:rPr>
      <w:rFonts w:eastAsiaTheme="minorEastAsia"/>
      <w:kern w:val="2"/>
      <w:sz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10D51"/>
    <w:rPr>
      <w:color w:val="808080"/>
    </w:rPr>
  </w:style>
  <w:style w:type="paragraph" w:styleId="NormalWeb">
    <w:name w:val="Normal (Web)"/>
    <w:basedOn w:val="Normal"/>
    <w:uiPriority w:val="99"/>
    <w:unhideWhenUsed/>
    <w:rsid w:val="0008255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300EC"/>
    <w:rPr>
      <w:color w:val="0000FF" w:themeColor="hyperlink"/>
      <w:u w:val="single"/>
    </w:rPr>
  </w:style>
  <w:style w:type="character" w:customStyle="1" w:styleId="UnresolvedMention1">
    <w:name w:val="Unresolved Mention1"/>
    <w:basedOn w:val="DefaultParagraphFont"/>
    <w:uiPriority w:val="99"/>
    <w:semiHidden/>
    <w:unhideWhenUsed/>
    <w:rsid w:val="00963394"/>
    <w:rPr>
      <w:color w:val="605E5C"/>
      <w:shd w:val="clear" w:color="auto" w:fill="E1DFDD"/>
    </w:rPr>
  </w:style>
  <w:style w:type="character" w:customStyle="1" w:styleId="Heading3Char">
    <w:name w:val="Heading 3 Char"/>
    <w:basedOn w:val="DefaultParagraphFont"/>
    <w:link w:val="Heading3"/>
    <w:uiPriority w:val="9"/>
    <w:rsid w:val="002375AB"/>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DD701D"/>
    <w:rPr>
      <w:sz w:val="16"/>
      <w:szCs w:val="16"/>
    </w:rPr>
  </w:style>
  <w:style w:type="paragraph" w:styleId="CommentText">
    <w:name w:val="annotation text"/>
    <w:basedOn w:val="Normal"/>
    <w:link w:val="CommentTextChar"/>
    <w:uiPriority w:val="99"/>
    <w:semiHidden/>
    <w:unhideWhenUsed/>
    <w:rsid w:val="00DD701D"/>
    <w:rPr>
      <w:sz w:val="20"/>
      <w:szCs w:val="20"/>
    </w:rPr>
  </w:style>
  <w:style w:type="character" w:customStyle="1" w:styleId="CommentTextChar">
    <w:name w:val="Comment Text Char"/>
    <w:basedOn w:val="DefaultParagraphFont"/>
    <w:link w:val="CommentText"/>
    <w:uiPriority w:val="99"/>
    <w:semiHidden/>
    <w:rsid w:val="00DD701D"/>
    <w:rPr>
      <w:rFonts w:ascii="Tinos" w:eastAsia="Tinos" w:hAnsi="Tinos" w:cs="Tinos"/>
      <w:sz w:val="20"/>
      <w:szCs w:val="20"/>
    </w:rPr>
  </w:style>
  <w:style w:type="paragraph" w:styleId="CommentSubject">
    <w:name w:val="annotation subject"/>
    <w:basedOn w:val="CommentText"/>
    <w:next w:val="CommentText"/>
    <w:link w:val="CommentSubjectChar"/>
    <w:uiPriority w:val="99"/>
    <w:semiHidden/>
    <w:unhideWhenUsed/>
    <w:rsid w:val="00DD701D"/>
    <w:rPr>
      <w:b/>
      <w:bCs/>
    </w:rPr>
  </w:style>
  <w:style w:type="character" w:customStyle="1" w:styleId="CommentSubjectChar">
    <w:name w:val="Comment Subject Char"/>
    <w:basedOn w:val="CommentTextChar"/>
    <w:link w:val="CommentSubject"/>
    <w:uiPriority w:val="99"/>
    <w:semiHidden/>
    <w:rsid w:val="00DD701D"/>
    <w:rPr>
      <w:rFonts w:ascii="Tinos" w:eastAsia="Tinos" w:hAnsi="Tinos" w:cs="Tinos"/>
      <w:b/>
      <w:bCs/>
      <w:sz w:val="20"/>
      <w:szCs w:val="20"/>
    </w:rPr>
  </w:style>
  <w:style w:type="character" w:customStyle="1" w:styleId="uv3um">
    <w:name w:val="uv3um"/>
    <w:basedOn w:val="DefaultParagraphFont"/>
    <w:rsid w:val="002B7C28"/>
  </w:style>
  <w:style w:type="paragraph" w:customStyle="1" w:styleId="k3ksmc">
    <w:name w:val="k3ksmc"/>
    <w:basedOn w:val="Normal"/>
    <w:rsid w:val="002B7C2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B7C28"/>
    <w:rPr>
      <w:b/>
      <w:bCs/>
    </w:rPr>
  </w:style>
  <w:style w:type="character" w:styleId="LineNumber">
    <w:name w:val="line number"/>
    <w:basedOn w:val="DefaultParagraphFont"/>
    <w:uiPriority w:val="99"/>
    <w:semiHidden/>
    <w:unhideWhenUsed/>
    <w:rsid w:val="00CF3A35"/>
  </w:style>
  <w:style w:type="character" w:customStyle="1" w:styleId="fs9">
    <w:name w:val="fs9"/>
    <w:basedOn w:val="DefaultParagraphFont"/>
    <w:rsid w:val="0057714F"/>
  </w:style>
  <w:style w:type="character" w:customStyle="1" w:styleId="ff7">
    <w:name w:val="ff7"/>
    <w:basedOn w:val="DefaultParagraphFont"/>
    <w:rsid w:val="00F72D0C"/>
  </w:style>
  <w:style w:type="character" w:customStyle="1" w:styleId="ls26">
    <w:name w:val="ls26"/>
    <w:basedOn w:val="DefaultParagraphFont"/>
    <w:rsid w:val="00F72D0C"/>
  </w:style>
  <w:style w:type="paragraph" w:styleId="Revision">
    <w:name w:val="Revision"/>
    <w:hidden/>
    <w:uiPriority w:val="99"/>
    <w:semiHidden/>
    <w:rsid w:val="00C958CB"/>
    <w:pPr>
      <w:spacing w:after="0" w:line="240" w:lineRule="auto"/>
    </w:pPr>
    <w:rPr>
      <w:rFonts w:ascii="Tinos" w:eastAsia="Tinos" w:hAnsi="Tinos" w:cs="Tinos"/>
    </w:rPr>
  </w:style>
  <w:style w:type="character" w:customStyle="1" w:styleId="UnresolvedMention">
    <w:name w:val="Unresolved Mention"/>
    <w:basedOn w:val="DefaultParagraphFont"/>
    <w:uiPriority w:val="99"/>
    <w:semiHidden/>
    <w:unhideWhenUsed/>
    <w:rsid w:val="00685300"/>
    <w:rPr>
      <w:color w:val="605E5C"/>
      <w:shd w:val="clear" w:color="auto" w:fill="E1DFDD"/>
    </w:rPr>
  </w:style>
  <w:style w:type="character" w:styleId="Emphasis">
    <w:name w:val="Emphasis"/>
    <w:basedOn w:val="DefaultParagraphFont"/>
    <w:uiPriority w:val="20"/>
    <w:qFormat/>
    <w:rsid w:val="00734C13"/>
    <w:rPr>
      <w:i/>
      <w:iCs/>
    </w:rPr>
  </w:style>
  <w:style w:type="character" w:customStyle="1" w:styleId="citation-0">
    <w:name w:val="citation-0"/>
    <w:basedOn w:val="DefaultParagraphFont"/>
    <w:rsid w:val="00734C13"/>
  </w:style>
  <w:style w:type="character" w:customStyle="1" w:styleId="button-container">
    <w:name w:val="button-container"/>
    <w:basedOn w:val="DefaultParagraphFont"/>
    <w:rsid w:val="00734C13"/>
  </w:style>
  <w:style w:type="character" w:customStyle="1" w:styleId="citation-1">
    <w:name w:val="citation-1"/>
    <w:basedOn w:val="DefaultParagraphFont"/>
    <w:rsid w:val="00734C13"/>
  </w:style>
  <w:style w:type="character" w:customStyle="1" w:styleId="Heading4Char">
    <w:name w:val="Heading 4 Char"/>
    <w:basedOn w:val="DefaultParagraphFont"/>
    <w:link w:val="Heading4"/>
    <w:uiPriority w:val="9"/>
    <w:rsid w:val="00F223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234A"/>
    <w:rPr>
      <w:rFonts w:asciiTheme="majorHAnsi" w:eastAsiaTheme="majorEastAsia" w:hAnsiTheme="majorHAnsi" w:cstheme="majorBidi"/>
      <w:color w:val="243F60" w:themeColor="accent1" w:themeShade="7F"/>
    </w:rPr>
  </w:style>
  <w:style w:type="character" w:customStyle="1" w:styleId="citation-2">
    <w:name w:val="citation-2"/>
    <w:basedOn w:val="DefaultParagraphFont"/>
    <w:rsid w:val="004854DE"/>
  </w:style>
  <w:style w:type="character" w:customStyle="1" w:styleId="citation-3">
    <w:name w:val="citation-3"/>
    <w:basedOn w:val="DefaultParagraphFont"/>
    <w:rsid w:val="00C1738D"/>
  </w:style>
  <w:style w:type="character" w:customStyle="1" w:styleId="citation-4">
    <w:name w:val="citation-4"/>
    <w:basedOn w:val="DefaultParagraphFont"/>
    <w:rsid w:val="00C1738D"/>
  </w:style>
  <w:style w:type="character" w:customStyle="1" w:styleId="source-card-title-index">
    <w:name w:val="source-card-title-index"/>
    <w:basedOn w:val="DefaultParagraphFont"/>
    <w:rsid w:val="00D473B8"/>
  </w:style>
  <w:style w:type="character" w:customStyle="1" w:styleId="ellipsis">
    <w:name w:val="ellipsis"/>
    <w:basedOn w:val="DefaultParagraphFont"/>
    <w:rsid w:val="00D473B8"/>
  </w:style>
  <w:style w:type="character" w:customStyle="1" w:styleId="source-card-attribution-text">
    <w:name w:val="source-card-attribution-text"/>
    <w:basedOn w:val="DefaultParagraphFont"/>
    <w:rsid w:val="00D473B8"/>
  </w:style>
  <w:style w:type="character" w:customStyle="1" w:styleId="ds42pd">
    <w:name w:val="ds42pd"/>
    <w:basedOn w:val="DefaultParagraphFont"/>
    <w:rsid w:val="008367AA"/>
  </w:style>
  <w:style w:type="character" w:customStyle="1" w:styleId="citation-5">
    <w:name w:val="citation-5"/>
    <w:basedOn w:val="DefaultParagraphFont"/>
    <w:rsid w:val="0034171B"/>
  </w:style>
  <w:style w:type="character" w:customStyle="1" w:styleId="mord">
    <w:name w:val="mord"/>
    <w:basedOn w:val="DefaultParagraphFont"/>
    <w:rsid w:val="00FF39C1"/>
  </w:style>
  <w:style w:type="character" w:customStyle="1" w:styleId="mrel">
    <w:name w:val="mrel"/>
    <w:basedOn w:val="DefaultParagraphFont"/>
    <w:rsid w:val="00FF39C1"/>
  </w:style>
  <w:style w:type="character" w:customStyle="1" w:styleId="mbin">
    <w:name w:val="mbin"/>
    <w:basedOn w:val="DefaultParagraphFont"/>
    <w:rsid w:val="00FF39C1"/>
  </w:style>
  <w:style w:type="character" w:customStyle="1" w:styleId="katex-mathml">
    <w:name w:val="katex-mathml"/>
    <w:basedOn w:val="DefaultParagraphFont"/>
    <w:rsid w:val="00FF3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39">
      <w:bodyDiv w:val="1"/>
      <w:marLeft w:val="0"/>
      <w:marRight w:val="0"/>
      <w:marTop w:val="0"/>
      <w:marBottom w:val="0"/>
      <w:divBdr>
        <w:top w:val="none" w:sz="0" w:space="0" w:color="auto"/>
        <w:left w:val="none" w:sz="0" w:space="0" w:color="auto"/>
        <w:bottom w:val="none" w:sz="0" w:space="0" w:color="auto"/>
        <w:right w:val="none" w:sz="0" w:space="0" w:color="auto"/>
      </w:divBdr>
    </w:div>
    <w:div w:id="8725325">
      <w:bodyDiv w:val="1"/>
      <w:marLeft w:val="0"/>
      <w:marRight w:val="0"/>
      <w:marTop w:val="0"/>
      <w:marBottom w:val="0"/>
      <w:divBdr>
        <w:top w:val="none" w:sz="0" w:space="0" w:color="auto"/>
        <w:left w:val="none" w:sz="0" w:space="0" w:color="auto"/>
        <w:bottom w:val="none" w:sz="0" w:space="0" w:color="auto"/>
        <w:right w:val="none" w:sz="0" w:space="0" w:color="auto"/>
      </w:divBdr>
    </w:div>
    <w:div w:id="70588772">
      <w:bodyDiv w:val="1"/>
      <w:marLeft w:val="0"/>
      <w:marRight w:val="0"/>
      <w:marTop w:val="0"/>
      <w:marBottom w:val="0"/>
      <w:divBdr>
        <w:top w:val="none" w:sz="0" w:space="0" w:color="auto"/>
        <w:left w:val="none" w:sz="0" w:space="0" w:color="auto"/>
        <w:bottom w:val="none" w:sz="0" w:space="0" w:color="auto"/>
        <w:right w:val="none" w:sz="0" w:space="0" w:color="auto"/>
      </w:divBdr>
    </w:div>
    <w:div w:id="90708408">
      <w:bodyDiv w:val="1"/>
      <w:marLeft w:val="0"/>
      <w:marRight w:val="0"/>
      <w:marTop w:val="0"/>
      <w:marBottom w:val="0"/>
      <w:divBdr>
        <w:top w:val="none" w:sz="0" w:space="0" w:color="auto"/>
        <w:left w:val="none" w:sz="0" w:space="0" w:color="auto"/>
        <w:bottom w:val="none" w:sz="0" w:space="0" w:color="auto"/>
        <w:right w:val="none" w:sz="0" w:space="0" w:color="auto"/>
      </w:divBdr>
    </w:div>
    <w:div w:id="166755142">
      <w:bodyDiv w:val="1"/>
      <w:marLeft w:val="0"/>
      <w:marRight w:val="0"/>
      <w:marTop w:val="0"/>
      <w:marBottom w:val="0"/>
      <w:divBdr>
        <w:top w:val="none" w:sz="0" w:space="0" w:color="auto"/>
        <w:left w:val="none" w:sz="0" w:space="0" w:color="auto"/>
        <w:bottom w:val="none" w:sz="0" w:space="0" w:color="auto"/>
        <w:right w:val="none" w:sz="0" w:space="0" w:color="auto"/>
      </w:divBdr>
    </w:div>
    <w:div w:id="198472314">
      <w:bodyDiv w:val="1"/>
      <w:marLeft w:val="0"/>
      <w:marRight w:val="0"/>
      <w:marTop w:val="0"/>
      <w:marBottom w:val="0"/>
      <w:divBdr>
        <w:top w:val="none" w:sz="0" w:space="0" w:color="auto"/>
        <w:left w:val="none" w:sz="0" w:space="0" w:color="auto"/>
        <w:bottom w:val="none" w:sz="0" w:space="0" w:color="auto"/>
        <w:right w:val="none" w:sz="0" w:space="0" w:color="auto"/>
      </w:divBdr>
    </w:div>
    <w:div w:id="242417684">
      <w:bodyDiv w:val="1"/>
      <w:marLeft w:val="0"/>
      <w:marRight w:val="0"/>
      <w:marTop w:val="0"/>
      <w:marBottom w:val="0"/>
      <w:divBdr>
        <w:top w:val="none" w:sz="0" w:space="0" w:color="auto"/>
        <w:left w:val="none" w:sz="0" w:space="0" w:color="auto"/>
        <w:bottom w:val="none" w:sz="0" w:space="0" w:color="auto"/>
        <w:right w:val="none" w:sz="0" w:space="0" w:color="auto"/>
      </w:divBdr>
    </w:div>
    <w:div w:id="303244988">
      <w:bodyDiv w:val="1"/>
      <w:marLeft w:val="0"/>
      <w:marRight w:val="0"/>
      <w:marTop w:val="0"/>
      <w:marBottom w:val="0"/>
      <w:divBdr>
        <w:top w:val="none" w:sz="0" w:space="0" w:color="auto"/>
        <w:left w:val="none" w:sz="0" w:space="0" w:color="auto"/>
        <w:bottom w:val="none" w:sz="0" w:space="0" w:color="auto"/>
        <w:right w:val="none" w:sz="0" w:space="0" w:color="auto"/>
      </w:divBdr>
    </w:div>
    <w:div w:id="320887920">
      <w:bodyDiv w:val="1"/>
      <w:marLeft w:val="0"/>
      <w:marRight w:val="0"/>
      <w:marTop w:val="0"/>
      <w:marBottom w:val="0"/>
      <w:divBdr>
        <w:top w:val="none" w:sz="0" w:space="0" w:color="auto"/>
        <w:left w:val="none" w:sz="0" w:space="0" w:color="auto"/>
        <w:bottom w:val="none" w:sz="0" w:space="0" w:color="auto"/>
        <w:right w:val="none" w:sz="0" w:space="0" w:color="auto"/>
      </w:divBdr>
    </w:div>
    <w:div w:id="327947018">
      <w:bodyDiv w:val="1"/>
      <w:marLeft w:val="0"/>
      <w:marRight w:val="0"/>
      <w:marTop w:val="0"/>
      <w:marBottom w:val="0"/>
      <w:divBdr>
        <w:top w:val="none" w:sz="0" w:space="0" w:color="auto"/>
        <w:left w:val="none" w:sz="0" w:space="0" w:color="auto"/>
        <w:bottom w:val="none" w:sz="0" w:space="0" w:color="auto"/>
        <w:right w:val="none" w:sz="0" w:space="0" w:color="auto"/>
      </w:divBdr>
    </w:div>
    <w:div w:id="357319127">
      <w:bodyDiv w:val="1"/>
      <w:marLeft w:val="0"/>
      <w:marRight w:val="0"/>
      <w:marTop w:val="0"/>
      <w:marBottom w:val="0"/>
      <w:divBdr>
        <w:top w:val="none" w:sz="0" w:space="0" w:color="auto"/>
        <w:left w:val="none" w:sz="0" w:space="0" w:color="auto"/>
        <w:bottom w:val="none" w:sz="0" w:space="0" w:color="auto"/>
        <w:right w:val="none" w:sz="0" w:space="0" w:color="auto"/>
      </w:divBdr>
    </w:div>
    <w:div w:id="513303718">
      <w:bodyDiv w:val="1"/>
      <w:marLeft w:val="0"/>
      <w:marRight w:val="0"/>
      <w:marTop w:val="0"/>
      <w:marBottom w:val="0"/>
      <w:divBdr>
        <w:top w:val="none" w:sz="0" w:space="0" w:color="auto"/>
        <w:left w:val="none" w:sz="0" w:space="0" w:color="auto"/>
        <w:bottom w:val="none" w:sz="0" w:space="0" w:color="auto"/>
        <w:right w:val="none" w:sz="0" w:space="0" w:color="auto"/>
      </w:divBdr>
      <w:divsChild>
        <w:div w:id="345786630">
          <w:marLeft w:val="0"/>
          <w:marRight w:val="0"/>
          <w:marTop w:val="0"/>
          <w:marBottom w:val="0"/>
          <w:divBdr>
            <w:top w:val="none" w:sz="0" w:space="0" w:color="auto"/>
            <w:left w:val="none" w:sz="0" w:space="0" w:color="auto"/>
            <w:bottom w:val="none" w:sz="0" w:space="0" w:color="auto"/>
            <w:right w:val="none" w:sz="0" w:space="0" w:color="auto"/>
          </w:divBdr>
          <w:divsChild>
            <w:div w:id="1140537108">
              <w:marLeft w:val="0"/>
              <w:marRight w:val="0"/>
              <w:marTop w:val="0"/>
              <w:marBottom w:val="0"/>
              <w:divBdr>
                <w:top w:val="none" w:sz="0" w:space="0" w:color="auto"/>
                <w:left w:val="none" w:sz="0" w:space="0" w:color="auto"/>
                <w:bottom w:val="none" w:sz="0" w:space="0" w:color="auto"/>
                <w:right w:val="none" w:sz="0" w:space="0" w:color="auto"/>
              </w:divBdr>
              <w:divsChild>
                <w:div w:id="16747989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5839314">
          <w:marLeft w:val="0"/>
          <w:marRight w:val="0"/>
          <w:marTop w:val="0"/>
          <w:marBottom w:val="0"/>
          <w:divBdr>
            <w:top w:val="none" w:sz="0" w:space="0" w:color="auto"/>
            <w:left w:val="none" w:sz="0" w:space="0" w:color="auto"/>
            <w:bottom w:val="none" w:sz="0" w:space="0" w:color="auto"/>
            <w:right w:val="none" w:sz="0" w:space="0" w:color="auto"/>
          </w:divBdr>
          <w:divsChild>
            <w:div w:id="57293111">
              <w:marLeft w:val="0"/>
              <w:marRight w:val="0"/>
              <w:marTop w:val="0"/>
              <w:marBottom w:val="0"/>
              <w:divBdr>
                <w:top w:val="none" w:sz="0" w:space="0" w:color="auto"/>
                <w:left w:val="none" w:sz="0" w:space="0" w:color="auto"/>
                <w:bottom w:val="none" w:sz="0" w:space="0" w:color="auto"/>
                <w:right w:val="none" w:sz="0" w:space="0" w:color="auto"/>
              </w:divBdr>
              <w:divsChild>
                <w:div w:id="1809711706">
                  <w:marLeft w:val="-420"/>
                  <w:marRight w:val="0"/>
                  <w:marTop w:val="0"/>
                  <w:marBottom w:val="0"/>
                  <w:divBdr>
                    <w:top w:val="none" w:sz="0" w:space="0" w:color="auto"/>
                    <w:left w:val="none" w:sz="0" w:space="0" w:color="auto"/>
                    <w:bottom w:val="none" w:sz="0" w:space="0" w:color="auto"/>
                    <w:right w:val="none" w:sz="0" w:space="0" w:color="auto"/>
                  </w:divBdr>
                  <w:divsChild>
                    <w:div w:id="470631008">
                      <w:marLeft w:val="0"/>
                      <w:marRight w:val="0"/>
                      <w:marTop w:val="0"/>
                      <w:marBottom w:val="0"/>
                      <w:divBdr>
                        <w:top w:val="none" w:sz="0" w:space="0" w:color="auto"/>
                        <w:left w:val="none" w:sz="0" w:space="0" w:color="auto"/>
                        <w:bottom w:val="none" w:sz="0" w:space="0" w:color="auto"/>
                        <w:right w:val="none" w:sz="0" w:space="0" w:color="auto"/>
                      </w:divBdr>
                      <w:divsChild>
                        <w:div w:id="578827328">
                          <w:marLeft w:val="0"/>
                          <w:marRight w:val="0"/>
                          <w:marTop w:val="0"/>
                          <w:marBottom w:val="0"/>
                          <w:divBdr>
                            <w:top w:val="none" w:sz="0" w:space="0" w:color="auto"/>
                            <w:left w:val="none" w:sz="0" w:space="0" w:color="auto"/>
                            <w:bottom w:val="none" w:sz="0" w:space="0" w:color="auto"/>
                            <w:right w:val="none" w:sz="0" w:space="0" w:color="auto"/>
                          </w:divBdr>
                          <w:divsChild>
                            <w:div w:id="667514328">
                              <w:marLeft w:val="0"/>
                              <w:marRight w:val="0"/>
                              <w:marTop w:val="0"/>
                              <w:marBottom w:val="0"/>
                              <w:divBdr>
                                <w:top w:val="none" w:sz="0" w:space="0" w:color="auto"/>
                                <w:left w:val="none" w:sz="0" w:space="0" w:color="auto"/>
                                <w:bottom w:val="none" w:sz="0" w:space="0" w:color="auto"/>
                                <w:right w:val="none" w:sz="0" w:space="0" w:color="auto"/>
                              </w:divBdr>
                            </w:div>
                            <w:div w:id="1099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4204">
                  <w:marLeft w:val="-420"/>
                  <w:marRight w:val="0"/>
                  <w:marTop w:val="0"/>
                  <w:marBottom w:val="0"/>
                  <w:divBdr>
                    <w:top w:val="none" w:sz="0" w:space="0" w:color="auto"/>
                    <w:left w:val="none" w:sz="0" w:space="0" w:color="auto"/>
                    <w:bottom w:val="none" w:sz="0" w:space="0" w:color="auto"/>
                    <w:right w:val="none" w:sz="0" w:space="0" w:color="auto"/>
                  </w:divBdr>
                  <w:divsChild>
                    <w:div w:id="1086074530">
                      <w:marLeft w:val="0"/>
                      <w:marRight w:val="0"/>
                      <w:marTop w:val="0"/>
                      <w:marBottom w:val="0"/>
                      <w:divBdr>
                        <w:top w:val="none" w:sz="0" w:space="0" w:color="auto"/>
                        <w:left w:val="none" w:sz="0" w:space="0" w:color="auto"/>
                        <w:bottom w:val="none" w:sz="0" w:space="0" w:color="auto"/>
                        <w:right w:val="none" w:sz="0" w:space="0" w:color="auto"/>
                      </w:divBdr>
                      <w:divsChild>
                        <w:div w:id="84696519">
                          <w:marLeft w:val="0"/>
                          <w:marRight w:val="0"/>
                          <w:marTop w:val="0"/>
                          <w:marBottom w:val="0"/>
                          <w:divBdr>
                            <w:top w:val="none" w:sz="0" w:space="0" w:color="auto"/>
                            <w:left w:val="none" w:sz="0" w:space="0" w:color="auto"/>
                            <w:bottom w:val="none" w:sz="0" w:space="0" w:color="auto"/>
                            <w:right w:val="none" w:sz="0" w:space="0" w:color="auto"/>
                          </w:divBdr>
                          <w:divsChild>
                            <w:div w:id="1108695439">
                              <w:marLeft w:val="0"/>
                              <w:marRight w:val="0"/>
                              <w:marTop w:val="0"/>
                              <w:marBottom w:val="0"/>
                              <w:divBdr>
                                <w:top w:val="none" w:sz="0" w:space="0" w:color="auto"/>
                                <w:left w:val="none" w:sz="0" w:space="0" w:color="auto"/>
                                <w:bottom w:val="none" w:sz="0" w:space="0" w:color="auto"/>
                                <w:right w:val="none" w:sz="0" w:space="0" w:color="auto"/>
                              </w:divBdr>
                            </w:div>
                            <w:div w:id="15543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20765">
                  <w:marLeft w:val="-420"/>
                  <w:marRight w:val="0"/>
                  <w:marTop w:val="0"/>
                  <w:marBottom w:val="0"/>
                  <w:divBdr>
                    <w:top w:val="none" w:sz="0" w:space="0" w:color="auto"/>
                    <w:left w:val="none" w:sz="0" w:space="0" w:color="auto"/>
                    <w:bottom w:val="none" w:sz="0" w:space="0" w:color="auto"/>
                    <w:right w:val="none" w:sz="0" w:space="0" w:color="auto"/>
                  </w:divBdr>
                  <w:divsChild>
                    <w:div w:id="1411848049">
                      <w:marLeft w:val="0"/>
                      <w:marRight w:val="0"/>
                      <w:marTop w:val="0"/>
                      <w:marBottom w:val="0"/>
                      <w:divBdr>
                        <w:top w:val="none" w:sz="0" w:space="0" w:color="auto"/>
                        <w:left w:val="none" w:sz="0" w:space="0" w:color="auto"/>
                        <w:bottom w:val="none" w:sz="0" w:space="0" w:color="auto"/>
                        <w:right w:val="none" w:sz="0" w:space="0" w:color="auto"/>
                      </w:divBdr>
                      <w:divsChild>
                        <w:div w:id="700205787">
                          <w:marLeft w:val="0"/>
                          <w:marRight w:val="0"/>
                          <w:marTop w:val="0"/>
                          <w:marBottom w:val="0"/>
                          <w:divBdr>
                            <w:top w:val="none" w:sz="0" w:space="0" w:color="auto"/>
                            <w:left w:val="none" w:sz="0" w:space="0" w:color="auto"/>
                            <w:bottom w:val="none" w:sz="0" w:space="0" w:color="auto"/>
                            <w:right w:val="none" w:sz="0" w:space="0" w:color="auto"/>
                          </w:divBdr>
                          <w:divsChild>
                            <w:div w:id="629212566">
                              <w:marLeft w:val="0"/>
                              <w:marRight w:val="0"/>
                              <w:marTop w:val="0"/>
                              <w:marBottom w:val="0"/>
                              <w:divBdr>
                                <w:top w:val="none" w:sz="0" w:space="0" w:color="auto"/>
                                <w:left w:val="none" w:sz="0" w:space="0" w:color="auto"/>
                                <w:bottom w:val="none" w:sz="0" w:space="0" w:color="auto"/>
                                <w:right w:val="none" w:sz="0" w:space="0" w:color="auto"/>
                              </w:divBdr>
                            </w:div>
                            <w:div w:id="15286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331035">
      <w:bodyDiv w:val="1"/>
      <w:marLeft w:val="0"/>
      <w:marRight w:val="0"/>
      <w:marTop w:val="0"/>
      <w:marBottom w:val="0"/>
      <w:divBdr>
        <w:top w:val="none" w:sz="0" w:space="0" w:color="auto"/>
        <w:left w:val="none" w:sz="0" w:space="0" w:color="auto"/>
        <w:bottom w:val="none" w:sz="0" w:space="0" w:color="auto"/>
        <w:right w:val="none" w:sz="0" w:space="0" w:color="auto"/>
      </w:divBdr>
    </w:div>
    <w:div w:id="534540195">
      <w:bodyDiv w:val="1"/>
      <w:marLeft w:val="0"/>
      <w:marRight w:val="0"/>
      <w:marTop w:val="0"/>
      <w:marBottom w:val="0"/>
      <w:divBdr>
        <w:top w:val="none" w:sz="0" w:space="0" w:color="auto"/>
        <w:left w:val="none" w:sz="0" w:space="0" w:color="auto"/>
        <w:bottom w:val="none" w:sz="0" w:space="0" w:color="auto"/>
        <w:right w:val="none" w:sz="0" w:space="0" w:color="auto"/>
      </w:divBdr>
    </w:div>
    <w:div w:id="544103584">
      <w:bodyDiv w:val="1"/>
      <w:marLeft w:val="0"/>
      <w:marRight w:val="0"/>
      <w:marTop w:val="0"/>
      <w:marBottom w:val="0"/>
      <w:divBdr>
        <w:top w:val="none" w:sz="0" w:space="0" w:color="auto"/>
        <w:left w:val="none" w:sz="0" w:space="0" w:color="auto"/>
        <w:bottom w:val="none" w:sz="0" w:space="0" w:color="auto"/>
        <w:right w:val="none" w:sz="0" w:space="0" w:color="auto"/>
      </w:divBdr>
    </w:div>
    <w:div w:id="573008792">
      <w:bodyDiv w:val="1"/>
      <w:marLeft w:val="0"/>
      <w:marRight w:val="0"/>
      <w:marTop w:val="0"/>
      <w:marBottom w:val="0"/>
      <w:divBdr>
        <w:top w:val="none" w:sz="0" w:space="0" w:color="auto"/>
        <w:left w:val="none" w:sz="0" w:space="0" w:color="auto"/>
        <w:bottom w:val="none" w:sz="0" w:space="0" w:color="auto"/>
        <w:right w:val="none" w:sz="0" w:space="0" w:color="auto"/>
      </w:divBdr>
      <w:divsChild>
        <w:div w:id="1874270778">
          <w:marLeft w:val="0"/>
          <w:marRight w:val="0"/>
          <w:marTop w:val="0"/>
          <w:marBottom w:val="0"/>
          <w:divBdr>
            <w:top w:val="none" w:sz="0" w:space="0" w:color="auto"/>
            <w:left w:val="none" w:sz="0" w:space="0" w:color="auto"/>
            <w:bottom w:val="none" w:sz="0" w:space="0" w:color="auto"/>
            <w:right w:val="none" w:sz="0" w:space="0" w:color="auto"/>
          </w:divBdr>
          <w:divsChild>
            <w:div w:id="213085605">
              <w:marLeft w:val="0"/>
              <w:marRight w:val="0"/>
              <w:marTop w:val="0"/>
              <w:marBottom w:val="0"/>
              <w:divBdr>
                <w:top w:val="none" w:sz="0" w:space="0" w:color="auto"/>
                <w:left w:val="none" w:sz="0" w:space="0" w:color="auto"/>
                <w:bottom w:val="none" w:sz="0" w:space="0" w:color="auto"/>
                <w:right w:val="none" w:sz="0" w:space="0" w:color="auto"/>
              </w:divBdr>
              <w:divsChild>
                <w:div w:id="8991988">
                  <w:marLeft w:val="0"/>
                  <w:marRight w:val="0"/>
                  <w:marTop w:val="0"/>
                  <w:marBottom w:val="0"/>
                  <w:divBdr>
                    <w:top w:val="none" w:sz="0" w:space="0" w:color="auto"/>
                    <w:left w:val="none" w:sz="0" w:space="0" w:color="auto"/>
                    <w:bottom w:val="none" w:sz="0" w:space="0" w:color="auto"/>
                    <w:right w:val="none" w:sz="0" w:space="0" w:color="auto"/>
                  </w:divBdr>
                  <w:divsChild>
                    <w:div w:id="1080061556">
                      <w:marLeft w:val="0"/>
                      <w:marRight w:val="0"/>
                      <w:marTop w:val="0"/>
                      <w:marBottom w:val="0"/>
                      <w:divBdr>
                        <w:top w:val="none" w:sz="0" w:space="0" w:color="auto"/>
                        <w:left w:val="none" w:sz="0" w:space="0" w:color="auto"/>
                        <w:bottom w:val="none" w:sz="0" w:space="0" w:color="auto"/>
                        <w:right w:val="none" w:sz="0" w:space="0" w:color="auto"/>
                      </w:divBdr>
                      <w:divsChild>
                        <w:div w:id="615873089">
                          <w:marLeft w:val="0"/>
                          <w:marRight w:val="0"/>
                          <w:marTop w:val="0"/>
                          <w:marBottom w:val="0"/>
                          <w:divBdr>
                            <w:top w:val="none" w:sz="0" w:space="0" w:color="auto"/>
                            <w:left w:val="none" w:sz="0" w:space="0" w:color="auto"/>
                            <w:bottom w:val="none" w:sz="0" w:space="0" w:color="auto"/>
                            <w:right w:val="none" w:sz="0" w:space="0" w:color="auto"/>
                          </w:divBdr>
                          <w:divsChild>
                            <w:div w:id="16342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07089">
      <w:bodyDiv w:val="1"/>
      <w:marLeft w:val="0"/>
      <w:marRight w:val="0"/>
      <w:marTop w:val="0"/>
      <w:marBottom w:val="0"/>
      <w:divBdr>
        <w:top w:val="none" w:sz="0" w:space="0" w:color="auto"/>
        <w:left w:val="none" w:sz="0" w:space="0" w:color="auto"/>
        <w:bottom w:val="none" w:sz="0" w:space="0" w:color="auto"/>
        <w:right w:val="none" w:sz="0" w:space="0" w:color="auto"/>
      </w:divBdr>
    </w:div>
    <w:div w:id="582841337">
      <w:bodyDiv w:val="1"/>
      <w:marLeft w:val="0"/>
      <w:marRight w:val="0"/>
      <w:marTop w:val="0"/>
      <w:marBottom w:val="0"/>
      <w:divBdr>
        <w:top w:val="none" w:sz="0" w:space="0" w:color="auto"/>
        <w:left w:val="none" w:sz="0" w:space="0" w:color="auto"/>
        <w:bottom w:val="none" w:sz="0" w:space="0" w:color="auto"/>
        <w:right w:val="none" w:sz="0" w:space="0" w:color="auto"/>
      </w:divBdr>
    </w:div>
    <w:div w:id="627274310">
      <w:bodyDiv w:val="1"/>
      <w:marLeft w:val="0"/>
      <w:marRight w:val="0"/>
      <w:marTop w:val="0"/>
      <w:marBottom w:val="0"/>
      <w:divBdr>
        <w:top w:val="none" w:sz="0" w:space="0" w:color="auto"/>
        <w:left w:val="none" w:sz="0" w:space="0" w:color="auto"/>
        <w:bottom w:val="none" w:sz="0" w:space="0" w:color="auto"/>
        <w:right w:val="none" w:sz="0" w:space="0" w:color="auto"/>
      </w:divBdr>
    </w:div>
    <w:div w:id="647056623">
      <w:bodyDiv w:val="1"/>
      <w:marLeft w:val="0"/>
      <w:marRight w:val="0"/>
      <w:marTop w:val="0"/>
      <w:marBottom w:val="0"/>
      <w:divBdr>
        <w:top w:val="none" w:sz="0" w:space="0" w:color="auto"/>
        <w:left w:val="none" w:sz="0" w:space="0" w:color="auto"/>
        <w:bottom w:val="none" w:sz="0" w:space="0" w:color="auto"/>
        <w:right w:val="none" w:sz="0" w:space="0" w:color="auto"/>
      </w:divBdr>
    </w:div>
    <w:div w:id="649093436">
      <w:bodyDiv w:val="1"/>
      <w:marLeft w:val="0"/>
      <w:marRight w:val="0"/>
      <w:marTop w:val="0"/>
      <w:marBottom w:val="0"/>
      <w:divBdr>
        <w:top w:val="none" w:sz="0" w:space="0" w:color="auto"/>
        <w:left w:val="none" w:sz="0" w:space="0" w:color="auto"/>
        <w:bottom w:val="none" w:sz="0" w:space="0" w:color="auto"/>
        <w:right w:val="none" w:sz="0" w:space="0" w:color="auto"/>
      </w:divBdr>
    </w:div>
    <w:div w:id="684479592">
      <w:bodyDiv w:val="1"/>
      <w:marLeft w:val="0"/>
      <w:marRight w:val="0"/>
      <w:marTop w:val="0"/>
      <w:marBottom w:val="0"/>
      <w:divBdr>
        <w:top w:val="none" w:sz="0" w:space="0" w:color="auto"/>
        <w:left w:val="none" w:sz="0" w:space="0" w:color="auto"/>
        <w:bottom w:val="none" w:sz="0" w:space="0" w:color="auto"/>
        <w:right w:val="none" w:sz="0" w:space="0" w:color="auto"/>
      </w:divBdr>
      <w:divsChild>
        <w:div w:id="51084323">
          <w:marLeft w:val="0"/>
          <w:marRight w:val="0"/>
          <w:marTop w:val="0"/>
          <w:marBottom w:val="0"/>
          <w:divBdr>
            <w:top w:val="none" w:sz="0" w:space="0" w:color="auto"/>
            <w:left w:val="none" w:sz="0" w:space="0" w:color="auto"/>
            <w:bottom w:val="none" w:sz="0" w:space="0" w:color="auto"/>
            <w:right w:val="none" w:sz="0" w:space="0" w:color="auto"/>
          </w:divBdr>
          <w:divsChild>
            <w:div w:id="8877631">
              <w:marLeft w:val="0"/>
              <w:marRight w:val="0"/>
              <w:marTop w:val="0"/>
              <w:marBottom w:val="0"/>
              <w:divBdr>
                <w:top w:val="none" w:sz="0" w:space="0" w:color="auto"/>
                <w:left w:val="none" w:sz="0" w:space="0" w:color="auto"/>
                <w:bottom w:val="none" w:sz="0" w:space="0" w:color="auto"/>
                <w:right w:val="none" w:sz="0" w:space="0" w:color="auto"/>
              </w:divBdr>
              <w:divsChild>
                <w:div w:id="605041550">
                  <w:marLeft w:val="0"/>
                  <w:marRight w:val="0"/>
                  <w:marTop w:val="0"/>
                  <w:marBottom w:val="0"/>
                  <w:divBdr>
                    <w:top w:val="none" w:sz="0" w:space="0" w:color="auto"/>
                    <w:left w:val="none" w:sz="0" w:space="0" w:color="auto"/>
                    <w:bottom w:val="none" w:sz="0" w:space="0" w:color="auto"/>
                    <w:right w:val="none" w:sz="0" w:space="0" w:color="auto"/>
                  </w:divBdr>
                </w:div>
                <w:div w:id="186725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60485">
          <w:marLeft w:val="0"/>
          <w:marRight w:val="0"/>
          <w:marTop w:val="0"/>
          <w:marBottom w:val="0"/>
          <w:divBdr>
            <w:top w:val="none" w:sz="0" w:space="0" w:color="auto"/>
            <w:left w:val="none" w:sz="0" w:space="0" w:color="auto"/>
            <w:bottom w:val="none" w:sz="0" w:space="0" w:color="auto"/>
            <w:right w:val="none" w:sz="0" w:space="0" w:color="auto"/>
          </w:divBdr>
          <w:divsChild>
            <w:div w:id="744957460">
              <w:marLeft w:val="0"/>
              <w:marRight w:val="0"/>
              <w:marTop w:val="0"/>
              <w:marBottom w:val="0"/>
              <w:divBdr>
                <w:top w:val="none" w:sz="0" w:space="0" w:color="auto"/>
                <w:left w:val="none" w:sz="0" w:space="0" w:color="auto"/>
                <w:bottom w:val="none" w:sz="0" w:space="0" w:color="auto"/>
                <w:right w:val="none" w:sz="0" w:space="0" w:color="auto"/>
              </w:divBdr>
              <w:divsChild>
                <w:div w:id="487327752">
                  <w:marLeft w:val="0"/>
                  <w:marRight w:val="0"/>
                  <w:marTop w:val="0"/>
                  <w:marBottom w:val="0"/>
                  <w:divBdr>
                    <w:top w:val="none" w:sz="0" w:space="0" w:color="auto"/>
                    <w:left w:val="none" w:sz="0" w:space="0" w:color="auto"/>
                    <w:bottom w:val="none" w:sz="0" w:space="0" w:color="auto"/>
                    <w:right w:val="none" w:sz="0" w:space="0" w:color="auto"/>
                  </w:divBdr>
                  <w:divsChild>
                    <w:div w:id="179516917">
                      <w:marLeft w:val="0"/>
                      <w:marRight w:val="0"/>
                      <w:marTop w:val="0"/>
                      <w:marBottom w:val="0"/>
                      <w:divBdr>
                        <w:top w:val="none" w:sz="0" w:space="0" w:color="auto"/>
                        <w:left w:val="none" w:sz="0" w:space="0" w:color="auto"/>
                        <w:bottom w:val="none" w:sz="0" w:space="0" w:color="auto"/>
                        <w:right w:val="none" w:sz="0" w:space="0" w:color="auto"/>
                      </w:divBdr>
                      <w:divsChild>
                        <w:div w:id="441843715">
                          <w:marLeft w:val="0"/>
                          <w:marRight w:val="0"/>
                          <w:marTop w:val="0"/>
                          <w:marBottom w:val="0"/>
                          <w:divBdr>
                            <w:top w:val="none" w:sz="0" w:space="0" w:color="auto"/>
                            <w:left w:val="none" w:sz="0" w:space="0" w:color="auto"/>
                            <w:bottom w:val="none" w:sz="0" w:space="0" w:color="auto"/>
                            <w:right w:val="none" w:sz="0" w:space="0" w:color="auto"/>
                          </w:divBdr>
                          <w:divsChild>
                            <w:div w:id="1816415044">
                              <w:marLeft w:val="0"/>
                              <w:marRight w:val="0"/>
                              <w:marTop w:val="0"/>
                              <w:marBottom w:val="0"/>
                              <w:divBdr>
                                <w:top w:val="none" w:sz="0" w:space="0" w:color="auto"/>
                                <w:left w:val="none" w:sz="0" w:space="0" w:color="auto"/>
                                <w:bottom w:val="none" w:sz="0" w:space="0" w:color="auto"/>
                                <w:right w:val="none" w:sz="0" w:space="0" w:color="auto"/>
                              </w:divBdr>
                              <w:divsChild>
                                <w:div w:id="258022875">
                                  <w:marLeft w:val="0"/>
                                  <w:marRight w:val="0"/>
                                  <w:marTop w:val="0"/>
                                  <w:marBottom w:val="0"/>
                                  <w:divBdr>
                                    <w:top w:val="none" w:sz="0" w:space="0" w:color="auto"/>
                                    <w:left w:val="none" w:sz="0" w:space="0" w:color="auto"/>
                                    <w:bottom w:val="none" w:sz="0" w:space="0" w:color="auto"/>
                                    <w:right w:val="none" w:sz="0" w:space="0" w:color="auto"/>
                                  </w:divBdr>
                                  <w:divsChild>
                                    <w:div w:id="246355002">
                                      <w:marLeft w:val="0"/>
                                      <w:marRight w:val="0"/>
                                      <w:marTop w:val="0"/>
                                      <w:marBottom w:val="0"/>
                                      <w:divBdr>
                                        <w:top w:val="none" w:sz="0" w:space="0" w:color="auto"/>
                                        <w:left w:val="none" w:sz="0" w:space="0" w:color="auto"/>
                                        <w:bottom w:val="none" w:sz="0" w:space="0" w:color="auto"/>
                                        <w:right w:val="none" w:sz="0" w:space="0" w:color="auto"/>
                                      </w:divBdr>
                                      <w:divsChild>
                                        <w:div w:id="686180811">
                                          <w:marLeft w:val="0"/>
                                          <w:marRight w:val="0"/>
                                          <w:marTop w:val="0"/>
                                          <w:marBottom w:val="0"/>
                                          <w:divBdr>
                                            <w:top w:val="none" w:sz="0" w:space="0" w:color="auto"/>
                                            <w:left w:val="none" w:sz="0" w:space="0" w:color="auto"/>
                                            <w:bottom w:val="none" w:sz="0" w:space="0" w:color="auto"/>
                                            <w:right w:val="none" w:sz="0" w:space="0" w:color="auto"/>
                                          </w:divBdr>
                                          <w:divsChild>
                                            <w:div w:id="1064179121">
                                              <w:marLeft w:val="0"/>
                                              <w:marRight w:val="0"/>
                                              <w:marTop w:val="0"/>
                                              <w:marBottom w:val="0"/>
                                              <w:divBdr>
                                                <w:top w:val="none" w:sz="0" w:space="0" w:color="auto"/>
                                                <w:left w:val="none" w:sz="0" w:space="0" w:color="auto"/>
                                                <w:bottom w:val="none" w:sz="0" w:space="0" w:color="auto"/>
                                                <w:right w:val="none" w:sz="0" w:space="0" w:color="auto"/>
                                              </w:divBdr>
                                              <w:divsChild>
                                                <w:div w:id="1823696948">
                                                  <w:marLeft w:val="0"/>
                                                  <w:marRight w:val="0"/>
                                                  <w:marTop w:val="0"/>
                                                  <w:marBottom w:val="0"/>
                                                  <w:divBdr>
                                                    <w:top w:val="none" w:sz="0" w:space="0" w:color="auto"/>
                                                    <w:left w:val="none" w:sz="0" w:space="0" w:color="auto"/>
                                                    <w:bottom w:val="none" w:sz="0" w:space="0" w:color="auto"/>
                                                    <w:right w:val="none" w:sz="0" w:space="0" w:color="auto"/>
                                                  </w:divBdr>
                                                  <w:divsChild>
                                                    <w:div w:id="1773744368">
                                                      <w:marLeft w:val="0"/>
                                                      <w:marRight w:val="0"/>
                                                      <w:marTop w:val="0"/>
                                                      <w:marBottom w:val="0"/>
                                                      <w:divBdr>
                                                        <w:top w:val="none" w:sz="0" w:space="0" w:color="auto"/>
                                                        <w:left w:val="none" w:sz="0" w:space="0" w:color="auto"/>
                                                        <w:bottom w:val="none" w:sz="0" w:space="0" w:color="auto"/>
                                                        <w:right w:val="none" w:sz="0" w:space="0" w:color="auto"/>
                                                      </w:divBdr>
                                                      <w:divsChild>
                                                        <w:div w:id="19081057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8404931">
      <w:bodyDiv w:val="1"/>
      <w:marLeft w:val="0"/>
      <w:marRight w:val="0"/>
      <w:marTop w:val="0"/>
      <w:marBottom w:val="0"/>
      <w:divBdr>
        <w:top w:val="none" w:sz="0" w:space="0" w:color="auto"/>
        <w:left w:val="none" w:sz="0" w:space="0" w:color="auto"/>
        <w:bottom w:val="none" w:sz="0" w:space="0" w:color="auto"/>
        <w:right w:val="none" w:sz="0" w:space="0" w:color="auto"/>
      </w:divBdr>
      <w:divsChild>
        <w:div w:id="1409496009">
          <w:marLeft w:val="0"/>
          <w:marRight w:val="0"/>
          <w:marTop w:val="0"/>
          <w:marBottom w:val="0"/>
          <w:divBdr>
            <w:top w:val="none" w:sz="0" w:space="0" w:color="auto"/>
            <w:left w:val="none" w:sz="0" w:space="0" w:color="auto"/>
            <w:bottom w:val="none" w:sz="0" w:space="0" w:color="auto"/>
            <w:right w:val="none" w:sz="0" w:space="0" w:color="auto"/>
          </w:divBdr>
          <w:divsChild>
            <w:div w:id="858155605">
              <w:marLeft w:val="0"/>
              <w:marRight w:val="0"/>
              <w:marTop w:val="0"/>
              <w:marBottom w:val="0"/>
              <w:divBdr>
                <w:top w:val="none" w:sz="0" w:space="0" w:color="auto"/>
                <w:left w:val="none" w:sz="0" w:space="0" w:color="auto"/>
                <w:bottom w:val="none" w:sz="0" w:space="0" w:color="auto"/>
                <w:right w:val="none" w:sz="0" w:space="0" w:color="auto"/>
              </w:divBdr>
              <w:divsChild>
                <w:div w:id="1895894171">
                  <w:marLeft w:val="0"/>
                  <w:marRight w:val="0"/>
                  <w:marTop w:val="0"/>
                  <w:marBottom w:val="0"/>
                  <w:divBdr>
                    <w:top w:val="none" w:sz="0" w:space="0" w:color="auto"/>
                    <w:left w:val="none" w:sz="0" w:space="0" w:color="auto"/>
                    <w:bottom w:val="none" w:sz="0" w:space="0" w:color="auto"/>
                    <w:right w:val="none" w:sz="0" w:space="0" w:color="auto"/>
                  </w:divBdr>
                  <w:divsChild>
                    <w:div w:id="2135756404">
                      <w:marLeft w:val="0"/>
                      <w:marRight w:val="0"/>
                      <w:marTop w:val="0"/>
                      <w:marBottom w:val="0"/>
                      <w:divBdr>
                        <w:top w:val="none" w:sz="0" w:space="0" w:color="auto"/>
                        <w:left w:val="none" w:sz="0" w:space="0" w:color="auto"/>
                        <w:bottom w:val="none" w:sz="0" w:space="0" w:color="auto"/>
                        <w:right w:val="none" w:sz="0" w:space="0" w:color="auto"/>
                      </w:divBdr>
                      <w:divsChild>
                        <w:div w:id="1927304698">
                          <w:marLeft w:val="0"/>
                          <w:marRight w:val="0"/>
                          <w:marTop w:val="0"/>
                          <w:marBottom w:val="0"/>
                          <w:divBdr>
                            <w:top w:val="none" w:sz="0" w:space="0" w:color="auto"/>
                            <w:left w:val="none" w:sz="0" w:space="0" w:color="auto"/>
                            <w:bottom w:val="none" w:sz="0" w:space="0" w:color="auto"/>
                            <w:right w:val="none" w:sz="0" w:space="0" w:color="auto"/>
                          </w:divBdr>
                          <w:divsChild>
                            <w:div w:id="2055695881">
                              <w:marLeft w:val="0"/>
                              <w:marRight w:val="0"/>
                              <w:marTop w:val="0"/>
                              <w:marBottom w:val="0"/>
                              <w:divBdr>
                                <w:top w:val="none" w:sz="0" w:space="0" w:color="auto"/>
                                <w:left w:val="none" w:sz="0" w:space="0" w:color="auto"/>
                                <w:bottom w:val="none" w:sz="0" w:space="0" w:color="auto"/>
                                <w:right w:val="none" w:sz="0" w:space="0" w:color="auto"/>
                              </w:divBdr>
                              <w:divsChild>
                                <w:div w:id="1101411051">
                                  <w:marLeft w:val="0"/>
                                  <w:marRight w:val="0"/>
                                  <w:marTop w:val="0"/>
                                  <w:marBottom w:val="0"/>
                                  <w:divBdr>
                                    <w:top w:val="none" w:sz="0" w:space="0" w:color="auto"/>
                                    <w:left w:val="none" w:sz="0" w:space="0" w:color="auto"/>
                                    <w:bottom w:val="none" w:sz="0" w:space="0" w:color="auto"/>
                                    <w:right w:val="none" w:sz="0" w:space="0" w:color="auto"/>
                                  </w:divBdr>
                                  <w:divsChild>
                                    <w:div w:id="1882521672">
                                      <w:marLeft w:val="0"/>
                                      <w:marRight w:val="0"/>
                                      <w:marTop w:val="0"/>
                                      <w:marBottom w:val="0"/>
                                      <w:divBdr>
                                        <w:top w:val="none" w:sz="0" w:space="0" w:color="auto"/>
                                        <w:left w:val="none" w:sz="0" w:space="0" w:color="auto"/>
                                        <w:bottom w:val="none" w:sz="0" w:space="0" w:color="auto"/>
                                        <w:right w:val="none" w:sz="0" w:space="0" w:color="auto"/>
                                      </w:divBdr>
                                      <w:divsChild>
                                        <w:div w:id="291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6968">
                                  <w:marLeft w:val="0"/>
                                  <w:marRight w:val="0"/>
                                  <w:marTop w:val="0"/>
                                  <w:marBottom w:val="0"/>
                                  <w:divBdr>
                                    <w:top w:val="none" w:sz="0" w:space="0" w:color="auto"/>
                                    <w:left w:val="none" w:sz="0" w:space="0" w:color="auto"/>
                                    <w:bottom w:val="none" w:sz="0" w:space="0" w:color="auto"/>
                                    <w:right w:val="none" w:sz="0" w:space="0" w:color="auto"/>
                                  </w:divBdr>
                                  <w:divsChild>
                                    <w:div w:id="11020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326982">
                      <w:marLeft w:val="0"/>
                      <w:marRight w:val="0"/>
                      <w:marTop w:val="0"/>
                      <w:marBottom w:val="0"/>
                      <w:divBdr>
                        <w:top w:val="none" w:sz="0" w:space="0" w:color="auto"/>
                        <w:left w:val="none" w:sz="0" w:space="0" w:color="auto"/>
                        <w:bottom w:val="none" w:sz="0" w:space="0" w:color="auto"/>
                        <w:right w:val="none" w:sz="0" w:space="0" w:color="auto"/>
                      </w:divBdr>
                      <w:divsChild>
                        <w:div w:id="1274560313">
                          <w:marLeft w:val="0"/>
                          <w:marRight w:val="0"/>
                          <w:marTop w:val="0"/>
                          <w:marBottom w:val="0"/>
                          <w:divBdr>
                            <w:top w:val="none" w:sz="0" w:space="0" w:color="auto"/>
                            <w:left w:val="none" w:sz="0" w:space="0" w:color="auto"/>
                            <w:bottom w:val="none" w:sz="0" w:space="0" w:color="auto"/>
                            <w:right w:val="none" w:sz="0" w:space="0" w:color="auto"/>
                          </w:divBdr>
                          <w:divsChild>
                            <w:div w:id="2121996138">
                              <w:marLeft w:val="0"/>
                              <w:marRight w:val="0"/>
                              <w:marTop w:val="0"/>
                              <w:marBottom w:val="0"/>
                              <w:divBdr>
                                <w:top w:val="none" w:sz="0" w:space="0" w:color="auto"/>
                                <w:left w:val="none" w:sz="0" w:space="0" w:color="auto"/>
                                <w:bottom w:val="none" w:sz="0" w:space="0" w:color="auto"/>
                                <w:right w:val="none" w:sz="0" w:space="0" w:color="auto"/>
                              </w:divBdr>
                              <w:divsChild>
                                <w:div w:id="250163506">
                                  <w:marLeft w:val="0"/>
                                  <w:marRight w:val="0"/>
                                  <w:marTop w:val="0"/>
                                  <w:marBottom w:val="0"/>
                                  <w:divBdr>
                                    <w:top w:val="none" w:sz="0" w:space="0" w:color="auto"/>
                                    <w:left w:val="none" w:sz="0" w:space="0" w:color="auto"/>
                                    <w:bottom w:val="none" w:sz="0" w:space="0" w:color="auto"/>
                                    <w:right w:val="none" w:sz="0" w:space="0" w:color="auto"/>
                                  </w:divBdr>
                                  <w:divsChild>
                                    <w:div w:id="210845294">
                                      <w:marLeft w:val="0"/>
                                      <w:marRight w:val="0"/>
                                      <w:marTop w:val="0"/>
                                      <w:marBottom w:val="0"/>
                                      <w:divBdr>
                                        <w:top w:val="none" w:sz="0" w:space="0" w:color="auto"/>
                                        <w:left w:val="none" w:sz="0" w:space="0" w:color="auto"/>
                                        <w:bottom w:val="none" w:sz="0" w:space="0" w:color="auto"/>
                                        <w:right w:val="none" w:sz="0" w:space="0" w:color="auto"/>
                                      </w:divBdr>
                                      <w:divsChild>
                                        <w:div w:id="9421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7794">
                                  <w:marLeft w:val="0"/>
                                  <w:marRight w:val="0"/>
                                  <w:marTop w:val="0"/>
                                  <w:marBottom w:val="0"/>
                                  <w:divBdr>
                                    <w:top w:val="none" w:sz="0" w:space="0" w:color="auto"/>
                                    <w:left w:val="none" w:sz="0" w:space="0" w:color="auto"/>
                                    <w:bottom w:val="none" w:sz="0" w:space="0" w:color="auto"/>
                                    <w:right w:val="none" w:sz="0" w:space="0" w:color="auto"/>
                                  </w:divBdr>
                                  <w:divsChild>
                                    <w:div w:id="6652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688059">
      <w:bodyDiv w:val="1"/>
      <w:marLeft w:val="0"/>
      <w:marRight w:val="0"/>
      <w:marTop w:val="0"/>
      <w:marBottom w:val="0"/>
      <w:divBdr>
        <w:top w:val="none" w:sz="0" w:space="0" w:color="auto"/>
        <w:left w:val="none" w:sz="0" w:space="0" w:color="auto"/>
        <w:bottom w:val="none" w:sz="0" w:space="0" w:color="auto"/>
        <w:right w:val="none" w:sz="0" w:space="0" w:color="auto"/>
      </w:divBdr>
    </w:div>
    <w:div w:id="932322637">
      <w:bodyDiv w:val="1"/>
      <w:marLeft w:val="0"/>
      <w:marRight w:val="0"/>
      <w:marTop w:val="0"/>
      <w:marBottom w:val="0"/>
      <w:divBdr>
        <w:top w:val="none" w:sz="0" w:space="0" w:color="auto"/>
        <w:left w:val="none" w:sz="0" w:space="0" w:color="auto"/>
        <w:bottom w:val="none" w:sz="0" w:space="0" w:color="auto"/>
        <w:right w:val="none" w:sz="0" w:space="0" w:color="auto"/>
      </w:divBdr>
    </w:div>
    <w:div w:id="955717057">
      <w:bodyDiv w:val="1"/>
      <w:marLeft w:val="0"/>
      <w:marRight w:val="0"/>
      <w:marTop w:val="0"/>
      <w:marBottom w:val="0"/>
      <w:divBdr>
        <w:top w:val="none" w:sz="0" w:space="0" w:color="auto"/>
        <w:left w:val="none" w:sz="0" w:space="0" w:color="auto"/>
        <w:bottom w:val="none" w:sz="0" w:space="0" w:color="auto"/>
        <w:right w:val="none" w:sz="0" w:space="0" w:color="auto"/>
      </w:divBdr>
      <w:divsChild>
        <w:div w:id="232669694">
          <w:marLeft w:val="0"/>
          <w:marRight w:val="0"/>
          <w:marTop w:val="0"/>
          <w:marBottom w:val="0"/>
          <w:divBdr>
            <w:top w:val="none" w:sz="0" w:space="0" w:color="auto"/>
            <w:left w:val="none" w:sz="0" w:space="0" w:color="auto"/>
            <w:bottom w:val="none" w:sz="0" w:space="0" w:color="auto"/>
            <w:right w:val="none" w:sz="0" w:space="0" w:color="auto"/>
          </w:divBdr>
          <w:divsChild>
            <w:div w:id="1294366996">
              <w:marLeft w:val="0"/>
              <w:marRight w:val="0"/>
              <w:marTop w:val="0"/>
              <w:marBottom w:val="0"/>
              <w:divBdr>
                <w:top w:val="none" w:sz="0" w:space="0" w:color="auto"/>
                <w:left w:val="none" w:sz="0" w:space="0" w:color="auto"/>
                <w:bottom w:val="none" w:sz="0" w:space="0" w:color="auto"/>
                <w:right w:val="none" w:sz="0" w:space="0" w:color="auto"/>
              </w:divBdr>
              <w:divsChild>
                <w:div w:id="1054424057">
                  <w:marLeft w:val="0"/>
                  <w:marRight w:val="0"/>
                  <w:marTop w:val="0"/>
                  <w:marBottom w:val="0"/>
                  <w:divBdr>
                    <w:top w:val="none" w:sz="0" w:space="0" w:color="auto"/>
                    <w:left w:val="none" w:sz="0" w:space="0" w:color="auto"/>
                    <w:bottom w:val="none" w:sz="0" w:space="0" w:color="auto"/>
                    <w:right w:val="none" w:sz="0" w:space="0" w:color="auto"/>
                  </w:divBdr>
                  <w:divsChild>
                    <w:div w:id="10027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84799">
      <w:bodyDiv w:val="1"/>
      <w:marLeft w:val="0"/>
      <w:marRight w:val="0"/>
      <w:marTop w:val="0"/>
      <w:marBottom w:val="0"/>
      <w:divBdr>
        <w:top w:val="none" w:sz="0" w:space="0" w:color="auto"/>
        <w:left w:val="none" w:sz="0" w:space="0" w:color="auto"/>
        <w:bottom w:val="none" w:sz="0" w:space="0" w:color="auto"/>
        <w:right w:val="none" w:sz="0" w:space="0" w:color="auto"/>
      </w:divBdr>
    </w:div>
    <w:div w:id="1084229547">
      <w:bodyDiv w:val="1"/>
      <w:marLeft w:val="0"/>
      <w:marRight w:val="0"/>
      <w:marTop w:val="0"/>
      <w:marBottom w:val="0"/>
      <w:divBdr>
        <w:top w:val="none" w:sz="0" w:space="0" w:color="auto"/>
        <w:left w:val="none" w:sz="0" w:space="0" w:color="auto"/>
        <w:bottom w:val="none" w:sz="0" w:space="0" w:color="auto"/>
        <w:right w:val="none" w:sz="0" w:space="0" w:color="auto"/>
      </w:divBdr>
    </w:div>
    <w:div w:id="1185247811">
      <w:bodyDiv w:val="1"/>
      <w:marLeft w:val="0"/>
      <w:marRight w:val="0"/>
      <w:marTop w:val="0"/>
      <w:marBottom w:val="0"/>
      <w:divBdr>
        <w:top w:val="none" w:sz="0" w:space="0" w:color="auto"/>
        <w:left w:val="none" w:sz="0" w:space="0" w:color="auto"/>
        <w:bottom w:val="none" w:sz="0" w:space="0" w:color="auto"/>
        <w:right w:val="none" w:sz="0" w:space="0" w:color="auto"/>
      </w:divBdr>
    </w:div>
    <w:div w:id="1229077689">
      <w:bodyDiv w:val="1"/>
      <w:marLeft w:val="0"/>
      <w:marRight w:val="0"/>
      <w:marTop w:val="0"/>
      <w:marBottom w:val="0"/>
      <w:divBdr>
        <w:top w:val="none" w:sz="0" w:space="0" w:color="auto"/>
        <w:left w:val="none" w:sz="0" w:space="0" w:color="auto"/>
        <w:bottom w:val="none" w:sz="0" w:space="0" w:color="auto"/>
        <w:right w:val="none" w:sz="0" w:space="0" w:color="auto"/>
      </w:divBdr>
    </w:div>
    <w:div w:id="1249845526">
      <w:bodyDiv w:val="1"/>
      <w:marLeft w:val="0"/>
      <w:marRight w:val="0"/>
      <w:marTop w:val="0"/>
      <w:marBottom w:val="0"/>
      <w:divBdr>
        <w:top w:val="none" w:sz="0" w:space="0" w:color="auto"/>
        <w:left w:val="none" w:sz="0" w:space="0" w:color="auto"/>
        <w:bottom w:val="none" w:sz="0" w:space="0" w:color="auto"/>
        <w:right w:val="none" w:sz="0" w:space="0" w:color="auto"/>
      </w:divBdr>
    </w:div>
    <w:div w:id="1260796454">
      <w:bodyDiv w:val="1"/>
      <w:marLeft w:val="0"/>
      <w:marRight w:val="0"/>
      <w:marTop w:val="0"/>
      <w:marBottom w:val="0"/>
      <w:divBdr>
        <w:top w:val="none" w:sz="0" w:space="0" w:color="auto"/>
        <w:left w:val="none" w:sz="0" w:space="0" w:color="auto"/>
        <w:bottom w:val="none" w:sz="0" w:space="0" w:color="auto"/>
        <w:right w:val="none" w:sz="0" w:space="0" w:color="auto"/>
      </w:divBdr>
    </w:div>
    <w:div w:id="1267497549">
      <w:bodyDiv w:val="1"/>
      <w:marLeft w:val="0"/>
      <w:marRight w:val="0"/>
      <w:marTop w:val="0"/>
      <w:marBottom w:val="0"/>
      <w:divBdr>
        <w:top w:val="none" w:sz="0" w:space="0" w:color="auto"/>
        <w:left w:val="none" w:sz="0" w:space="0" w:color="auto"/>
        <w:bottom w:val="none" w:sz="0" w:space="0" w:color="auto"/>
        <w:right w:val="none" w:sz="0" w:space="0" w:color="auto"/>
      </w:divBdr>
    </w:div>
    <w:div w:id="1278878169">
      <w:bodyDiv w:val="1"/>
      <w:marLeft w:val="0"/>
      <w:marRight w:val="0"/>
      <w:marTop w:val="0"/>
      <w:marBottom w:val="0"/>
      <w:divBdr>
        <w:top w:val="none" w:sz="0" w:space="0" w:color="auto"/>
        <w:left w:val="none" w:sz="0" w:space="0" w:color="auto"/>
        <w:bottom w:val="none" w:sz="0" w:space="0" w:color="auto"/>
        <w:right w:val="none" w:sz="0" w:space="0" w:color="auto"/>
      </w:divBdr>
    </w:div>
    <w:div w:id="1351637535">
      <w:bodyDiv w:val="1"/>
      <w:marLeft w:val="0"/>
      <w:marRight w:val="0"/>
      <w:marTop w:val="0"/>
      <w:marBottom w:val="0"/>
      <w:divBdr>
        <w:top w:val="none" w:sz="0" w:space="0" w:color="auto"/>
        <w:left w:val="none" w:sz="0" w:space="0" w:color="auto"/>
        <w:bottom w:val="none" w:sz="0" w:space="0" w:color="auto"/>
        <w:right w:val="none" w:sz="0" w:space="0" w:color="auto"/>
      </w:divBdr>
    </w:div>
    <w:div w:id="1374767914">
      <w:bodyDiv w:val="1"/>
      <w:marLeft w:val="0"/>
      <w:marRight w:val="0"/>
      <w:marTop w:val="0"/>
      <w:marBottom w:val="0"/>
      <w:divBdr>
        <w:top w:val="none" w:sz="0" w:space="0" w:color="auto"/>
        <w:left w:val="none" w:sz="0" w:space="0" w:color="auto"/>
        <w:bottom w:val="none" w:sz="0" w:space="0" w:color="auto"/>
        <w:right w:val="none" w:sz="0" w:space="0" w:color="auto"/>
      </w:divBdr>
      <w:divsChild>
        <w:div w:id="1089348012">
          <w:marLeft w:val="0"/>
          <w:marRight w:val="0"/>
          <w:marTop w:val="0"/>
          <w:marBottom w:val="0"/>
          <w:divBdr>
            <w:top w:val="none" w:sz="0" w:space="0" w:color="auto"/>
            <w:left w:val="none" w:sz="0" w:space="0" w:color="auto"/>
            <w:bottom w:val="none" w:sz="0" w:space="0" w:color="auto"/>
            <w:right w:val="none" w:sz="0" w:space="0" w:color="auto"/>
          </w:divBdr>
          <w:divsChild>
            <w:div w:id="1174996387">
              <w:marLeft w:val="0"/>
              <w:marRight w:val="0"/>
              <w:marTop w:val="0"/>
              <w:marBottom w:val="0"/>
              <w:divBdr>
                <w:top w:val="none" w:sz="0" w:space="0" w:color="auto"/>
                <w:left w:val="none" w:sz="0" w:space="0" w:color="auto"/>
                <w:bottom w:val="none" w:sz="0" w:space="0" w:color="auto"/>
                <w:right w:val="none" w:sz="0" w:space="0" w:color="auto"/>
              </w:divBdr>
              <w:divsChild>
                <w:div w:id="510223642">
                  <w:marLeft w:val="0"/>
                  <w:marRight w:val="0"/>
                  <w:marTop w:val="0"/>
                  <w:marBottom w:val="0"/>
                  <w:divBdr>
                    <w:top w:val="none" w:sz="0" w:space="0" w:color="auto"/>
                    <w:left w:val="none" w:sz="0" w:space="0" w:color="auto"/>
                    <w:bottom w:val="none" w:sz="0" w:space="0" w:color="auto"/>
                    <w:right w:val="none" w:sz="0" w:space="0" w:color="auto"/>
                  </w:divBdr>
                  <w:divsChild>
                    <w:div w:id="1139877024">
                      <w:marLeft w:val="0"/>
                      <w:marRight w:val="0"/>
                      <w:marTop w:val="0"/>
                      <w:marBottom w:val="0"/>
                      <w:divBdr>
                        <w:top w:val="none" w:sz="0" w:space="0" w:color="auto"/>
                        <w:left w:val="none" w:sz="0" w:space="0" w:color="auto"/>
                        <w:bottom w:val="none" w:sz="0" w:space="0" w:color="auto"/>
                        <w:right w:val="none" w:sz="0" w:space="0" w:color="auto"/>
                      </w:divBdr>
                      <w:divsChild>
                        <w:div w:id="1202128631">
                          <w:marLeft w:val="0"/>
                          <w:marRight w:val="0"/>
                          <w:marTop w:val="0"/>
                          <w:marBottom w:val="0"/>
                          <w:divBdr>
                            <w:top w:val="none" w:sz="0" w:space="0" w:color="auto"/>
                            <w:left w:val="none" w:sz="0" w:space="0" w:color="auto"/>
                            <w:bottom w:val="none" w:sz="0" w:space="0" w:color="auto"/>
                            <w:right w:val="none" w:sz="0" w:space="0" w:color="auto"/>
                          </w:divBdr>
                          <w:divsChild>
                            <w:div w:id="1830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95704">
      <w:bodyDiv w:val="1"/>
      <w:marLeft w:val="0"/>
      <w:marRight w:val="0"/>
      <w:marTop w:val="0"/>
      <w:marBottom w:val="0"/>
      <w:divBdr>
        <w:top w:val="none" w:sz="0" w:space="0" w:color="auto"/>
        <w:left w:val="none" w:sz="0" w:space="0" w:color="auto"/>
        <w:bottom w:val="none" w:sz="0" w:space="0" w:color="auto"/>
        <w:right w:val="none" w:sz="0" w:space="0" w:color="auto"/>
      </w:divBdr>
    </w:div>
    <w:div w:id="1498031582">
      <w:bodyDiv w:val="1"/>
      <w:marLeft w:val="0"/>
      <w:marRight w:val="0"/>
      <w:marTop w:val="0"/>
      <w:marBottom w:val="0"/>
      <w:divBdr>
        <w:top w:val="none" w:sz="0" w:space="0" w:color="auto"/>
        <w:left w:val="none" w:sz="0" w:space="0" w:color="auto"/>
        <w:bottom w:val="none" w:sz="0" w:space="0" w:color="auto"/>
        <w:right w:val="none" w:sz="0" w:space="0" w:color="auto"/>
      </w:divBdr>
      <w:divsChild>
        <w:div w:id="1003698919">
          <w:marLeft w:val="0"/>
          <w:marRight w:val="0"/>
          <w:marTop w:val="0"/>
          <w:marBottom w:val="0"/>
          <w:divBdr>
            <w:top w:val="none" w:sz="0" w:space="0" w:color="auto"/>
            <w:left w:val="none" w:sz="0" w:space="0" w:color="auto"/>
            <w:bottom w:val="none" w:sz="0" w:space="0" w:color="auto"/>
            <w:right w:val="none" w:sz="0" w:space="0" w:color="auto"/>
          </w:divBdr>
          <w:divsChild>
            <w:div w:id="1355116193">
              <w:marLeft w:val="0"/>
              <w:marRight w:val="0"/>
              <w:marTop w:val="0"/>
              <w:marBottom w:val="0"/>
              <w:divBdr>
                <w:top w:val="none" w:sz="0" w:space="0" w:color="auto"/>
                <w:left w:val="none" w:sz="0" w:space="0" w:color="auto"/>
                <w:bottom w:val="none" w:sz="0" w:space="0" w:color="auto"/>
                <w:right w:val="none" w:sz="0" w:space="0" w:color="auto"/>
              </w:divBdr>
              <w:divsChild>
                <w:div w:id="1245261129">
                  <w:marLeft w:val="0"/>
                  <w:marRight w:val="0"/>
                  <w:marTop w:val="0"/>
                  <w:marBottom w:val="0"/>
                  <w:divBdr>
                    <w:top w:val="none" w:sz="0" w:space="0" w:color="auto"/>
                    <w:left w:val="none" w:sz="0" w:space="0" w:color="auto"/>
                    <w:bottom w:val="none" w:sz="0" w:space="0" w:color="auto"/>
                    <w:right w:val="none" w:sz="0" w:space="0" w:color="auto"/>
                  </w:divBdr>
                  <w:divsChild>
                    <w:div w:id="6569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437910">
      <w:bodyDiv w:val="1"/>
      <w:marLeft w:val="0"/>
      <w:marRight w:val="0"/>
      <w:marTop w:val="0"/>
      <w:marBottom w:val="0"/>
      <w:divBdr>
        <w:top w:val="none" w:sz="0" w:space="0" w:color="auto"/>
        <w:left w:val="none" w:sz="0" w:space="0" w:color="auto"/>
        <w:bottom w:val="none" w:sz="0" w:space="0" w:color="auto"/>
        <w:right w:val="none" w:sz="0" w:space="0" w:color="auto"/>
      </w:divBdr>
    </w:div>
    <w:div w:id="1525946471">
      <w:bodyDiv w:val="1"/>
      <w:marLeft w:val="0"/>
      <w:marRight w:val="0"/>
      <w:marTop w:val="0"/>
      <w:marBottom w:val="0"/>
      <w:divBdr>
        <w:top w:val="none" w:sz="0" w:space="0" w:color="auto"/>
        <w:left w:val="none" w:sz="0" w:space="0" w:color="auto"/>
        <w:bottom w:val="none" w:sz="0" w:space="0" w:color="auto"/>
        <w:right w:val="none" w:sz="0" w:space="0" w:color="auto"/>
      </w:divBdr>
    </w:div>
    <w:div w:id="1529221590">
      <w:bodyDiv w:val="1"/>
      <w:marLeft w:val="0"/>
      <w:marRight w:val="0"/>
      <w:marTop w:val="0"/>
      <w:marBottom w:val="0"/>
      <w:divBdr>
        <w:top w:val="none" w:sz="0" w:space="0" w:color="auto"/>
        <w:left w:val="none" w:sz="0" w:space="0" w:color="auto"/>
        <w:bottom w:val="none" w:sz="0" w:space="0" w:color="auto"/>
        <w:right w:val="none" w:sz="0" w:space="0" w:color="auto"/>
      </w:divBdr>
    </w:div>
    <w:div w:id="1542282825">
      <w:bodyDiv w:val="1"/>
      <w:marLeft w:val="0"/>
      <w:marRight w:val="0"/>
      <w:marTop w:val="0"/>
      <w:marBottom w:val="0"/>
      <w:divBdr>
        <w:top w:val="none" w:sz="0" w:space="0" w:color="auto"/>
        <w:left w:val="none" w:sz="0" w:space="0" w:color="auto"/>
        <w:bottom w:val="none" w:sz="0" w:space="0" w:color="auto"/>
        <w:right w:val="none" w:sz="0" w:space="0" w:color="auto"/>
      </w:divBdr>
    </w:div>
    <w:div w:id="1571846222">
      <w:bodyDiv w:val="1"/>
      <w:marLeft w:val="0"/>
      <w:marRight w:val="0"/>
      <w:marTop w:val="0"/>
      <w:marBottom w:val="0"/>
      <w:divBdr>
        <w:top w:val="none" w:sz="0" w:space="0" w:color="auto"/>
        <w:left w:val="none" w:sz="0" w:space="0" w:color="auto"/>
        <w:bottom w:val="none" w:sz="0" w:space="0" w:color="auto"/>
        <w:right w:val="none" w:sz="0" w:space="0" w:color="auto"/>
      </w:divBdr>
    </w:div>
    <w:div w:id="1642034182">
      <w:bodyDiv w:val="1"/>
      <w:marLeft w:val="0"/>
      <w:marRight w:val="0"/>
      <w:marTop w:val="0"/>
      <w:marBottom w:val="0"/>
      <w:divBdr>
        <w:top w:val="none" w:sz="0" w:space="0" w:color="auto"/>
        <w:left w:val="none" w:sz="0" w:space="0" w:color="auto"/>
        <w:bottom w:val="none" w:sz="0" w:space="0" w:color="auto"/>
        <w:right w:val="none" w:sz="0" w:space="0" w:color="auto"/>
      </w:divBdr>
    </w:div>
    <w:div w:id="1785809824">
      <w:bodyDiv w:val="1"/>
      <w:marLeft w:val="0"/>
      <w:marRight w:val="0"/>
      <w:marTop w:val="0"/>
      <w:marBottom w:val="0"/>
      <w:divBdr>
        <w:top w:val="none" w:sz="0" w:space="0" w:color="auto"/>
        <w:left w:val="none" w:sz="0" w:space="0" w:color="auto"/>
        <w:bottom w:val="none" w:sz="0" w:space="0" w:color="auto"/>
        <w:right w:val="none" w:sz="0" w:space="0" w:color="auto"/>
      </w:divBdr>
    </w:div>
    <w:div w:id="1883904733">
      <w:bodyDiv w:val="1"/>
      <w:marLeft w:val="0"/>
      <w:marRight w:val="0"/>
      <w:marTop w:val="0"/>
      <w:marBottom w:val="0"/>
      <w:divBdr>
        <w:top w:val="none" w:sz="0" w:space="0" w:color="auto"/>
        <w:left w:val="none" w:sz="0" w:space="0" w:color="auto"/>
        <w:bottom w:val="none" w:sz="0" w:space="0" w:color="auto"/>
        <w:right w:val="none" w:sz="0" w:space="0" w:color="auto"/>
      </w:divBdr>
      <w:divsChild>
        <w:div w:id="372312281">
          <w:marLeft w:val="0"/>
          <w:marRight w:val="0"/>
          <w:marTop w:val="0"/>
          <w:marBottom w:val="0"/>
          <w:divBdr>
            <w:top w:val="none" w:sz="0" w:space="0" w:color="auto"/>
            <w:left w:val="none" w:sz="0" w:space="0" w:color="auto"/>
            <w:bottom w:val="none" w:sz="0" w:space="0" w:color="auto"/>
            <w:right w:val="none" w:sz="0" w:space="0" w:color="auto"/>
          </w:divBdr>
          <w:divsChild>
            <w:div w:id="516162110">
              <w:marLeft w:val="0"/>
              <w:marRight w:val="0"/>
              <w:marTop w:val="0"/>
              <w:marBottom w:val="0"/>
              <w:divBdr>
                <w:top w:val="none" w:sz="0" w:space="0" w:color="auto"/>
                <w:left w:val="none" w:sz="0" w:space="0" w:color="auto"/>
                <w:bottom w:val="none" w:sz="0" w:space="0" w:color="auto"/>
                <w:right w:val="none" w:sz="0" w:space="0" w:color="auto"/>
              </w:divBdr>
            </w:div>
            <w:div w:id="1286236435">
              <w:marLeft w:val="0"/>
              <w:marRight w:val="0"/>
              <w:marTop w:val="90"/>
              <w:marBottom w:val="0"/>
              <w:divBdr>
                <w:top w:val="none" w:sz="0" w:space="0" w:color="auto"/>
                <w:left w:val="none" w:sz="0" w:space="0" w:color="auto"/>
                <w:bottom w:val="none" w:sz="0" w:space="0" w:color="auto"/>
                <w:right w:val="none" w:sz="0" w:space="0" w:color="auto"/>
              </w:divBdr>
              <w:divsChild>
                <w:div w:id="326058511">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528637185">
          <w:marLeft w:val="0"/>
          <w:marRight w:val="0"/>
          <w:marTop w:val="0"/>
          <w:marBottom w:val="0"/>
          <w:divBdr>
            <w:top w:val="none" w:sz="0" w:space="0" w:color="auto"/>
            <w:left w:val="none" w:sz="0" w:space="0" w:color="auto"/>
            <w:bottom w:val="none" w:sz="0" w:space="0" w:color="auto"/>
            <w:right w:val="none" w:sz="0" w:space="0" w:color="auto"/>
          </w:divBdr>
          <w:divsChild>
            <w:div w:id="1441532047">
              <w:marLeft w:val="0"/>
              <w:marRight w:val="0"/>
              <w:marTop w:val="0"/>
              <w:marBottom w:val="0"/>
              <w:divBdr>
                <w:top w:val="single" w:sz="6" w:space="0" w:color="979EA8"/>
                <w:left w:val="single" w:sz="6" w:space="6" w:color="979EA8"/>
                <w:bottom w:val="single" w:sz="6" w:space="0" w:color="979EA8"/>
                <w:right w:val="single" w:sz="6" w:space="15" w:color="979EA8"/>
              </w:divBdr>
              <w:divsChild>
                <w:div w:id="199518520">
                  <w:marLeft w:val="0"/>
                  <w:marRight w:val="0"/>
                  <w:marTop w:val="0"/>
                  <w:marBottom w:val="0"/>
                  <w:divBdr>
                    <w:top w:val="none" w:sz="0" w:space="0" w:color="auto"/>
                    <w:left w:val="none" w:sz="0" w:space="0" w:color="auto"/>
                    <w:bottom w:val="none" w:sz="0" w:space="0" w:color="auto"/>
                    <w:right w:val="none" w:sz="0" w:space="0" w:color="auto"/>
                  </w:divBdr>
                  <w:divsChild>
                    <w:div w:id="2139293713">
                      <w:marLeft w:val="0"/>
                      <w:marRight w:val="120"/>
                      <w:marTop w:val="0"/>
                      <w:marBottom w:val="0"/>
                      <w:divBdr>
                        <w:top w:val="none" w:sz="0" w:space="0" w:color="auto"/>
                        <w:left w:val="none" w:sz="0" w:space="0" w:color="auto"/>
                        <w:bottom w:val="none" w:sz="0" w:space="0" w:color="auto"/>
                        <w:right w:val="none" w:sz="0" w:space="0" w:color="auto"/>
                      </w:divBdr>
                      <w:divsChild>
                        <w:div w:id="1794471089">
                          <w:marLeft w:val="0"/>
                          <w:marRight w:val="0"/>
                          <w:marTop w:val="0"/>
                          <w:marBottom w:val="0"/>
                          <w:divBdr>
                            <w:top w:val="none" w:sz="0" w:space="0" w:color="auto"/>
                            <w:left w:val="none" w:sz="0" w:space="0" w:color="auto"/>
                            <w:bottom w:val="none" w:sz="0" w:space="0" w:color="auto"/>
                            <w:right w:val="none" w:sz="0" w:space="0" w:color="auto"/>
                          </w:divBdr>
                        </w:div>
                        <w:div w:id="751514603">
                          <w:marLeft w:val="0"/>
                          <w:marRight w:val="0"/>
                          <w:marTop w:val="0"/>
                          <w:marBottom w:val="0"/>
                          <w:divBdr>
                            <w:top w:val="none" w:sz="0" w:space="0" w:color="auto"/>
                            <w:left w:val="none" w:sz="0" w:space="0" w:color="auto"/>
                            <w:bottom w:val="none" w:sz="0" w:space="0" w:color="auto"/>
                            <w:right w:val="none" w:sz="0" w:space="0" w:color="auto"/>
                          </w:divBdr>
                          <w:divsChild>
                            <w:div w:id="1659069301">
                              <w:marLeft w:val="0"/>
                              <w:marRight w:val="0"/>
                              <w:marTop w:val="0"/>
                              <w:marBottom w:val="0"/>
                              <w:divBdr>
                                <w:top w:val="none" w:sz="0" w:space="0" w:color="auto"/>
                                <w:left w:val="none" w:sz="0" w:space="0" w:color="auto"/>
                                <w:bottom w:val="none" w:sz="0" w:space="0" w:color="auto"/>
                                <w:right w:val="none" w:sz="0" w:space="0" w:color="auto"/>
                              </w:divBdr>
                            </w:div>
                          </w:divsChild>
                        </w:div>
                        <w:div w:id="1407410730">
                          <w:marLeft w:val="0"/>
                          <w:marRight w:val="0"/>
                          <w:marTop w:val="0"/>
                          <w:marBottom w:val="0"/>
                          <w:divBdr>
                            <w:top w:val="none" w:sz="0" w:space="0" w:color="auto"/>
                            <w:left w:val="none" w:sz="0" w:space="0" w:color="auto"/>
                            <w:bottom w:val="none" w:sz="0" w:space="0" w:color="auto"/>
                            <w:right w:val="none" w:sz="0" w:space="0" w:color="auto"/>
                          </w:divBdr>
                        </w:div>
                      </w:divsChild>
                    </w:div>
                    <w:div w:id="2095323475">
                      <w:marLeft w:val="120"/>
                      <w:marRight w:val="120"/>
                      <w:marTop w:val="0"/>
                      <w:marBottom w:val="0"/>
                      <w:divBdr>
                        <w:top w:val="none" w:sz="0" w:space="0" w:color="auto"/>
                        <w:left w:val="none" w:sz="0" w:space="0" w:color="auto"/>
                        <w:bottom w:val="none" w:sz="0" w:space="0" w:color="auto"/>
                        <w:right w:val="none" w:sz="0" w:space="0" w:color="auto"/>
                      </w:divBdr>
                    </w:div>
                  </w:divsChild>
                </w:div>
                <w:div w:id="1100611943">
                  <w:marLeft w:val="0"/>
                  <w:marRight w:val="0"/>
                  <w:marTop w:val="0"/>
                  <w:marBottom w:val="0"/>
                  <w:divBdr>
                    <w:top w:val="none" w:sz="0" w:space="0" w:color="auto"/>
                    <w:left w:val="none" w:sz="0" w:space="0" w:color="auto"/>
                    <w:bottom w:val="none" w:sz="0" w:space="0" w:color="auto"/>
                    <w:right w:val="none" w:sz="0" w:space="0" w:color="auto"/>
                  </w:divBdr>
                  <w:divsChild>
                    <w:div w:id="1842349738">
                      <w:marLeft w:val="0"/>
                      <w:marRight w:val="0"/>
                      <w:marTop w:val="0"/>
                      <w:marBottom w:val="0"/>
                      <w:divBdr>
                        <w:top w:val="none" w:sz="0" w:space="0" w:color="auto"/>
                        <w:left w:val="none" w:sz="0" w:space="0" w:color="auto"/>
                        <w:bottom w:val="none" w:sz="0" w:space="0" w:color="auto"/>
                        <w:right w:val="none" w:sz="0" w:space="0" w:color="auto"/>
                      </w:divBdr>
                      <w:divsChild>
                        <w:div w:id="314991249">
                          <w:marLeft w:val="0"/>
                          <w:marRight w:val="0"/>
                          <w:marTop w:val="0"/>
                          <w:marBottom w:val="0"/>
                          <w:divBdr>
                            <w:top w:val="none" w:sz="0" w:space="0" w:color="auto"/>
                            <w:left w:val="none" w:sz="0" w:space="0" w:color="auto"/>
                            <w:bottom w:val="none" w:sz="0" w:space="0" w:color="auto"/>
                            <w:right w:val="none" w:sz="0" w:space="0" w:color="auto"/>
                          </w:divBdr>
                          <w:divsChild>
                            <w:div w:id="1194541695">
                              <w:marLeft w:val="0"/>
                              <w:marRight w:val="0"/>
                              <w:marTop w:val="0"/>
                              <w:marBottom w:val="0"/>
                              <w:divBdr>
                                <w:top w:val="none" w:sz="0" w:space="0" w:color="auto"/>
                                <w:left w:val="none" w:sz="0" w:space="0" w:color="auto"/>
                                <w:bottom w:val="none" w:sz="0" w:space="0" w:color="auto"/>
                                <w:right w:val="none" w:sz="0" w:space="0" w:color="auto"/>
                              </w:divBdr>
                              <w:divsChild>
                                <w:div w:id="1537310133">
                                  <w:marLeft w:val="0"/>
                                  <w:marRight w:val="0"/>
                                  <w:marTop w:val="0"/>
                                  <w:marBottom w:val="0"/>
                                  <w:divBdr>
                                    <w:top w:val="none" w:sz="0" w:space="0" w:color="auto"/>
                                    <w:left w:val="none" w:sz="0" w:space="0" w:color="auto"/>
                                    <w:bottom w:val="none" w:sz="0" w:space="0" w:color="auto"/>
                                    <w:right w:val="none" w:sz="0" w:space="0" w:color="auto"/>
                                  </w:divBdr>
                                  <w:divsChild>
                                    <w:div w:id="639454920">
                                      <w:marLeft w:val="0"/>
                                      <w:marRight w:val="0"/>
                                      <w:marTop w:val="0"/>
                                      <w:marBottom w:val="0"/>
                                      <w:divBdr>
                                        <w:top w:val="none" w:sz="0" w:space="0" w:color="auto"/>
                                        <w:left w:val="none" w:sz="0" w:space="0" w:color="auto"/>
                                        <w:bottom w:val="none" w:sz="0" w:space="0" w:color="auto"/>
                                        <w:right w:val="none" w:sz="0" w:space="0" w:color="auto"/>
                                      </w:divBdr>
                                      <w:divsChild>
                                        <w:div w:id="480971954">
                                          <w:marLeft w:val="0"/>
                                          <w:marRight w:val="0"/>
                                          <w:marTop w:val="0"/>
                                          <w:marBottom w:val="0"/>
                                          <w:divBdr>
                                            <w:top w:val="none" w:sz="0" w:space="0" w:color="auto"/>
                                            <w:left w:val="none" w:sz="0" w:space="0" w:color="auto"/>
                                            <w:bottom w:val="none" w:sz="0" w:space="0" w:color="auto"/>
                                            <w:right w:val="none" w:sz="0" w:space="0" w:color="auto"/>
                                          </w:divBdr>
                                          <w:divsChild>
                                            <w:div w:id="709381899">
                                              <w:marLeft w:val="0"/>
                                              <w:marRight w:val="0"/>
                                              <w:marTop w:val="0"/>
                                              <w:marBottom w:val="0"/>
                                              <w:divBdr>
                                                <w:top w:val="none" w:sz="0" w:space="0" w:color="auto"/>
                                                <w:left w:val="none" w:sz="0" w:space="0" w:color="auto"/>
                                                <w:bottom w:val="none" w:sz="0" w:space="0" w:color="auto"/>
                                                <w:right w:val="none" w:sz="0" w:space="0" w:color="auto"/>
                                              </w:divBdr>
                                            </w:div>
                                            <w:div w:id="1184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766814">
      <w:bodyDiv w:val="1"/>
      <w:marLeft w:val="0"/>
      <w:marRight w:val="0"/>
      <w:marTop w:val="0"/>
      <w:marBottom w:val="0"/>
      <w:divBdr>
        <w:top w:val="none" w:sz="0" w:space="0" w:color="auto"/>
        <w:left w:val="none" w:sz="0" w:space="0" w:color="auto"/>
        <w:bottom w:val="none" w:sz="0" w:space="0" w:color="auto"/>
        <w:right w:val="none" w:sz="0" w:space="0" w:color="auto"/>
      </w:divBdr>
      <w:divsChild>
        <w:div w:id="22244189">
          <w:marLeft w:val="0"/>
          <w:marRight w:val="0"/>
          <w:marTop w:val="0"/>
          <w:marBottom w:val="0"/>
          <w:divBdr>
            <w:top w:val="none" w:sz="0" w:space="0" w:color="auto"/>
            <w:left w:val="none" w:sz="0" w:space="0" w:color="auto"/>
            <w:bottom w:val="none" w:sz="0" w:space="0" w:color="auto"/>
            <w:right w:val="none" w:sz="0" w:space="0" w:color="auto"/>
          </w:divBdr>
        </w:div>
      </w:divsChild>
    </w:div>
    <w:div w:id="1925141465">
      <w:bodyDiv w:val="1"/>
      <w:marLeft w:val="0"/>
      <w:marRight w:val="0"/>
      <w:marTop w:val="0"/>
      <w:marBottom w:val="0"/>
      <w:divBdr>
        <w:top w:val="none" w:sz="0" w:space="0" w:color="auto"/>
        <w:left w:val="none" w:sz="0" w:space="0" w:color="auto"/>
        <w:bottom w:val="none" w:sz="0" w:space="0" w:color="auto"/>
        <w:right w:val="none" w:sz="0" w:space="0" w:color="auto"/>
      </w:divBdr>
    </w:div>
    <w:div w:id="1942445317">
      <w:bodyDiv w:val="1"/>
      <w:marLeft w:val="0"/>
      <w:marRight w:val="0"/>
      <w:marTop w:val="0"/>
      <w:marBottom w:val="0"/>
      <w:divBdr>
        <w:top w:val="none" w:sz="0" w:space="0" w:color="auto"/>
        <w:left w:val="none" w:sz="0" w:space="0" w:color="auto"/>
        <w:bottom w:val="none" w:sz="0" w:space="0" w:color="auto"/>
        <w:right w:val="none" w:sz="0" w:space="0" w:color="auto"/>
      </w:divBdr>
    </w:div>
    <w:div w:id="1997293920">
      <w:bodyDiv w:val="1"/>
      <w:marLeft w:val="0"/>
      <w:marRight w:val="0"/>
      <w:marTop w:val="0"/>
      <w:marBottom w:val="0"/>
      <w:divBdr>
        <w:top w:val="none" w:sz="0" w:space="0" w:color="auto"/>
        <w:left w:val="none" w:sz="0" w:space="0" w:color="auto"/>
        <w:bottom w:val="none" w:sz="0" w:space="0" w:color="auto"/>
        <w:right w:val="none" w:sz="0" w:space="0" w:color="auto"/>
      </w:divBdr>
    </w:div>
    <w:div w:id="1998457866">
      <w:bodyDiv w:val="1"/>
      <w:marLeft w:val="0"/>
      <w:marRight w:val="0"/>
      <w:marTop w:val="0"/>
      <w:marBottom w:val="0"/>
      <w:divBdr>
        <w:top w:val="none" w:sz="0" w:space="0" w:color="auto"/>
        <w:left w:val="none" w:sz="0" w:space="0" w:color="auto"/>
        <w:bottom w:val="none" w:sz="0" w:space="0" w:color="auto"/>
        <w:right w:val="none" w:sz="0" w:space="0" w:color="auto"/>
      </w:divBdr>
    </w:div>
    <w:div w:id="2010675571">
      <w:bodyDiv w:val="1"/>
      <w:marLeft w:val="0"/>
      <w:marRight w:val="0"/>
      <w:marTop w:val="0"/>
      <w:marBottom w:val="0"/>
      <w:divBdr>
        <w:top w:val="none" w:sz="0" w:space="0" w:color="auto"/>
        <w:left w:val="none" w:sz="0" w:space="0" w:color="auto"/>
        <w:bottom w:val="none" w:sz="0" w:space="0" w:color="auto"/>
        <w:right w:val="none" w:sz="0" w:space="0" w:color="auto"/>
      </w:divBdr>
      <w:divsChild>
        <w:div w:id="143861439">
          <w:marLeft w:val="0"/>
          <w:marRight w:val="0"/>
          <w:marTop w:val="0"/>
          <w:marBottom w:val="0"/>
          <w:divBdr>
            <w:top w:val="none" w:sz="0" w:space="0" w:color="auto"/>
            <w:left w:val="none" w:sz="0" w:space="0" w:color="auto"/>
            <w:bottom w:val="none" w:sz="0" w:space="0" w:color="auto"/>
            <w:right w:val="none" w:sz="0" w:space="0" w:color="auto"/>
          </w:divBdr>
          <w:divsChild>
            <w:div w:id="1218053265">
              <w:marLeft w:val="0"/>
              <w:marRight w:val="0"/>
              <w:marTop w:val="0"/>
              <w:marBottom w:val="0"/>
              <w:divBdr>
                <w:top w:val="none" w:sz="0" w:space="0" w:color="auto"/>
                <w:left w:val="none" w:sz="0" w:space="0" w:color="auto"/>
                <w:bottom w:val="none" w:sz="0" w:space="0" w:color="auto"/>
                <w:right w:val="none" w:sz="0" w:space="0" w:color="auto"/>
              </w:divBdr>
            </w:div>
            <w:div w:id="1630089066">
              <w:marLeft w:val="0"/>
              <w:marRight w:val="0"/>
              <w:marTop w:val="90"/>
              <w:marBottom w:val="0"/>
              <w:divBdr>
                <w:top w:val="none" w:sz="0" w:space="0" w:color="auto"/>
                <w:left w:val="none" w:sz="0" w:space="0" w:color="auto"/>
                <w:bottom w:val="none" w:sz="0" w:space="0" w:color="auto"/>
                <w:right w:val="none" w:sz="0" w:space="0" w:color="auto"/>
              </w:divBdr>
              <w:divsChild>
                <w:div w:id="984818846">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490095468">
          <w:marLeft w:val="0"/>
          <w:marRight w:val="0"/>
          <w:marTop w:val="0"/>
          <w:marBottom w:val="0"/>
          <w:divBdr>
            <w:top w:val="none" w:sz="0" w:space="0" w:color="auto"/>
            <w:left w:val="none" w:sz="0" w:space="0" w:color="auto"/>
            <w:bottom w:val="none" w:sz="0" w:space="0" w:color="auto"/>
            <w:right w:val="none" w:sz="0" w:space="0" w:color="auto"/>
          </w:divBdr>
          <w:divsChild>
            <w:div w:id="1807091241">
              <w:marLeft w:val="0"/>
              <w:marRight w:val="0"/>
              <w:marTop w:val="0"/>
              <w:marBottom w:val="0"/>
              <w:divBdr>
                <w:top w:val="single" w:sz="6" w:space="0" w:color="979EA8"/>
                <w:left w:val="single" w:sz="6" w:space="6" w:color="979EA8"/>
                <w:bottom w:val="single" w:sz="6" w:space="0" w:color="979EA8"/>
                <w:right w:val="single" w:sz="6" w:space="15" w:color="979EA8"/>
              </w:divBdr>
              <w:divsChild>
                <w:div w:id="335692418">
                  <w:marLeft w:val="0"/>
                  <w:marRight w:val="0"/>
                  <w:marTop w:val="0"/>
                  <w:marBottom w:val="0"/>
                  <w:divBdr>
                    <w:top w:val="none" w:sz="0" w:space="0" w:color="auto"/>
                    <w:left w:val="none" w:sz="0" w:space="0" w:color="auto"/>
                    <w:bottom w:val="none" w:sz="0" w:space="0" w:color="auto"/>
                    <w:right w:val="none" w:sz="0" w:space="0" w:color="auto"/>
                  </w:divBdr>
                  <w:divsChild>
                    <w:div w:id="1204714559">
                      <w:marLeft w:val="0"/>
                      <w:marRight w:val="120"/>
                      <w:marTop w:val="0"/>
                      <w:marBottom w:val="0"/>
                      <w:divBdr>
                        <w:top w:val="none" w:sz="0" w:space="0" w:color="auto"/>
                        <w:left w:val="none" w:sz="0" w:space="0" w:color="auto"/>
                        <w:bottom w:val="none" w:sz="0" w:space="0" w:color="auto"/>
                        <w:right w:val="none" w:sz="0" w:space="0" w:color="auto"/>
                      </w:divBdr>
                      <w:divsChild>
                        <w:div w:id="768936675">
                          <w:marLeft w:val="0"/>
                          <w:marRight w:val="0"/>
                          <w:marTop w:val="0"/>
                          <w:marBottom w:val="0"/>
                          <w:divBdr>
                            <w:top w:val="none" w:sz="0" w:space="0" w:color="auto"/>
                            <w:left w:val="none" w:sz="0" w:space="0" w:color="auto"/>
                            <w:bottom w:val="none" w:sz="0" w:space="0" w:color="auto"/>
                            <w:right w:val="none" w:sz="0" w:space="0" w:color="auto"/>
                          </w:divBdr>
                        </w:div>
                        <w:div w:id="580599960">
                          <w:marLeft w:val="0"/>
                          <w:marRight w:val="0"/>
                          <w:marTop w:val="0"/>
                          <w:marBottom w:val="0"/>
                          <w:divBdr>
                            <w:top w:val="none" w:sz="0" w:space="0" w:color="auto"/>
                            <w:left w:val="none" w:sz="0" w:space="0" w:color="auto"/>
                            <w:bottom w:val="none" w:sz="0" w:space="0" w:color="auto"/>
                            <w:right w:val="none" w:sz="0" w:space="0" w:color="auto"/>
                          </w:divBdr>
                          <w:divsChild>
                            <w:div w:id="794835803">
                              <w:marLeft w:val="0"/>
                              <w:marRight w:val="0"/>
                              <w:marTop w:val="0"/>
                              <w:marBottom w:val="0"/>
                              <w:divBdr>
                                <w:top w:val="none" w:sz="0" w:space="0" w:color="auto"/>
                                <w:left w:val="none" w:sz="0" w:space="0" w:color="auto"/>
                                <w:bottom w:val="none" w:sz="0" w:space="0" w:color="auto"/>
                                <w:right w:val="none" w:sz="0" w:space="0" w:color="auto"/>
                              </w:divBdr>
                            </w:div>
                          </w:divsChild>
                        </w:div>
                        <w:div w:id="760835285">
                          <w:marLeft w:val="0"/>
                          <w:marRight w:val="0"/>
                          <w:marTop w:val="0"/>
                          <w:marBottom w:val="0"/>
                          <w:divBdr>
                            <w:top w:val="none" w:sz="0" w:space="0" w:color="auto"/>
                            <w:left w:val="none" w:sz="0" w:space="0" w:color="auto"/>
                            <w:bottom w:val="none" w:sz="0" w:space="0" w:color="auto"/>
                            <w:right w:val="none" w:sz="0" w:space="0" w:color="auto"/>
                          </w:divBdr>
                        </w:div>
                      </w:divsChild>
                    </w:div>
                    <w:div w:id="982655292">
                      <w:marLeft w:val="120"/>
                      <w:marRight w:val="120"/>
                      <w:marTop w:val="0"/>
                      <w:marBottom w:val="0"/>
                      <w:divBdr>
                        <w:top w:val="none" w:sz="0" w:space="0" w:color="auto"/>
                        <w:left w:val="none" w:sz="0" w:space="0" w:color="auto"/>
                        <w:bottom w:val="none" w:sz="0" w:space="0" w:color="auto"/>
                        <w:right w:val="none" w:sz="0" w:space="0" w:color="auto"/>
                      </w:divBdr>
                    </w:div>
                  </w:divsChild>
                </w:div>
                <w:div w:id="1863473648">
                  <w:marLeft w:val="0"/>
                  <w:marRight w:val="0"/>
                  <w:marTop w:val="0"/>
                  <w:marBottom w:val="0"/>
                  <w:divBdr>
                    <w:top w:val="none" w:sz="0" w:space="0" w:color="auto"/>
                    <w:left w:val="none" w:sz="0" w:space="0" w:color="auto"/>
                    <w:bottom w:val="none" w:sz="0" w:space="0" w:color="auto"/>
                    <w:right w:val="none" w:sz="0" w:space="0" w:color="auto"/>
                  </w:divBdr>
                  <w:divsChild>
                    <w:div w:id="1164317980">
                      <w:marLeft w:val="0"/>
                      <w:marRight w:val="0"/>
                      <w:marTop w:val="0"/>
                      <w:marBottom w:val="0"/>
                      <w:divBdr>
                        <w:top w:val="none" w:sz="0" w:space="0" w:color="auto"/>
                        <w:left w:val="none" w:sz="0" w:space="0" w:color="auto"/>
                        <w:bottom w:val="none" w:sz="0" w:space="0" w:color="auto"/>
                        <w:right w:val="none" w:sz="0" w:space="0" w:color="auto"/>
                      </w:divBdr>
                      <w:divsChild>
                        <w:div w:id="1751541542">
                          <w:marLeft w:val="0"/>
                          <w:marRight w:val="0"/>
                          <w:marTop w:val="0"/>
                          <w:marBottom w:val="0"/>
                          <w:divBdr>
                            <w:top w:val="none" w:sz="0" w:space="0" w:color="auto"/>
                            <w:left w:val="none" w:sz="0" w:space="0" w:color="auto"/>
                            <w:bottom w:val="none" w:sz="0" w:space="0" w:color="auto"/>
                            <w:right w:val="none" w:sz="0" w:space="0" w:color="auto"/>
                          </w:divBdr>
                          <w:divsChild>
                            <w:div w:id="1562133124">
                              <w:marLeft w:val="0"/>
                              <w:marRight w:val="0"/>
                              <w:marTop w:val="0"/>
                              <w:marBottom w:val="0"/>
                              <w:divBdr>
                                <w:top w:val="none" w:sz="0" w:space="0" w:color="auto"/>
                                <w:left w:val="none" w:sz="0" w:space="0" w:color="auto"/>
                                <w:bottom w:val="none" w:sz="0" w:space="0" w:color="auto"/>
                                <w:right w:val="none" w:sz="0" w:space="0" w:color="auto"/>
                              </w:divBdr>
                              <w:divsChild>
                                <w:div w:id="1864855609">
                                  <w:marLeft w:val="0"/>
                                  <w:marRight w:val="0"/>
                                  <w:marTop w:val="0"/>
                                  <w:marBottom w:val="0"/>
                                  <w:divBdr>
                                    <w:top w:val="none" w:sz="0" w:space="0" w:color="auto"/>
                                    <w:left w:val="none" w:sz="0" w:space="0" w:color="auto"/>
                                    <w:bottom w:val="none" w:sz="0" w:space="0" w:color="auto"/>
                                    <w:right w:val="none" w:sz="0" w:space="0" w:color="auto"/>
                                  </w:divBdr>
                                  <w:divsChild>
                                    <w:div w:id="869148184">
                                      <w:marLeft w:val="0"/>
                                      <w:marRight w:val="0"/>
                                      <w:marTop w:val="0"/>
                                      <w:marBottom w:val="0"/>
                                      <w:divBdr>
                                        <w:top w:val="none" w:sz="0" w:space="0" w:color="auto"/>
                                        <w:left w:val="none" w:sz="0" w:space="0" w:color="auto"/>
                                        <w:bottom w:val="none" w:sz="0" w:space="0" w:color="auto"/>
                                        <w:right w:val="none" w:sz="0" w:space="0" w:color="auto"/>
                                      </w:divBdr>
                                      <w:divsChild>
                                        <w:div w:id="1468931676">
                                          <w:marLeft w:val="0"/>
                                          <w:marRight w:val="0"/>
                                          <w:marTop w:val="0"/>
                                          <w:marBottom w:val="0"/>
                                          <w:divBdr>
                                            <w:top w:val="none" w:sz="0" w:space="0" w:color="auto"/>
                                            <w:left w:val="none" w:sz="0" w:space="0" w:color="auto"/>
                                            <w:bottom w:val="none" w:sz="0" w:space="0" w:color="auto"/>
                                            <w:right w:val="none" w:sz="0" w:space="0" w:color="auto"/>
                                          </w:divBdr>
                                          <w:divsChild>
                                            <w:div w:id="375394289">
                                              <w:marLeft w:val="0"/>
                                              <w:marRight w:val="0"/>
                                              <w:marTop w:val="0"/>
                                              <w:marBottom w:val="0"/>
                                              <w:divBdr>
                                                <w:top w:val="none" w:sz="0" w:space="0" w:color="auto"/>
                                                <w:left w:val="none" w:sz="0" w:space="0" w:color="auto"/>
                                                <w:bottom w:val="none" w:sz="0" w:space="0" w:color="auto"/>
                                                <w:right w:val="none" w:sz="0" w:space="0" w:color="auto"/>
                                              </w:divBdr>
                                            </w:div>
                                            <w:div w:id="6083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climatologylab.org/terraclimate.html" TargetMode="Externa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doi.org/10.1186/s40249-021-00864-x" TargetMode="External"/><Relationship Id="rId7" Type="http://schemas.openxmlformats.org/officeDocument/2006/relationships/footnotes" Target="footnotes.xml"/><Relationship Id="rId12" Type="http://schemas.openxmlformats.org/officeDocument/2006/relationships/hyperlink" Target="mailto:worknehmt@gmail.com" TargetMode="External"/><Relationship Id="rId17" Type="http://schemas.openxmlformats.org/officeDocument/2006/relationships/hyperlink" Target="https://crudata.uea.ac.uk/cru/data/hrg/cru_ts_4.06/" TargetMode="External"/><Relationship Id="rId25" Type="http://schemas.openxmlformats.org/officeDocument/2006/relationships/image" Target="media/image8.png"/><Relationship Id="rId33" Type="http://schemas.openxmlformats.org/officeDocument/2006/relationships/hyperlink" Target="https://doi.org/10.3390/insects13111066" TargetMode="External"/><Relationship Id="rId38" Type="http://schemas.openxmlformats.org/officeDocument/2006/relationships/fontTable" Target="fontTable.xm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cds.climate.copernicus.eu/cdsapp"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orknehmt@gmail.com/" TargetMode="External"/><Relationship Id="rId24" Type="http://schemas.openxmlformats.org/officeDocument/2006/relationships/image" Target="media/image7.png"/><Relationship Id="rId32" Type="http://schemas.openxmlformats.org/officeDocument/2006/relationships/hyperlink" Target="https://doi.org/10.3390/cli13050104" TargetMode="External"/><Relationship Id="rId37" Type="http://schemas.openxmlformats.org/officeDocument/2006/relationships/footer" Target="footer1.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esgf-node.llnl.gov/search/esgf-lln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hyperlink" Target="mailto:antensaymekoya@yahoo.com" TargetMode="External"/><Relationship Id="rId19" Type="http://schemas.openxmlformats.org/officeDocument/2006/relationships/image" Target="media/image2.png"/><Relationship Id="rId31" Type="http://schemas.openxmlformats.org/officeDocument/2006/relationships/image" Target="media/image14.png"/><Relationship Id="rId44"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yperlink" Target="mailto:worknehmt@gmail.com" TargetMode="External"/><Relationship Id="rId14" Type="http://schemas.openxmlformats.org/officeDocument/2006/relationships/hyperlink" Target="http://www.gloh2o.org/msw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doi.org/10.1016/j.scitotenv.2022.159614"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E6318-4E7B-49BE-9D4F-ED89858E8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41</Pages>
  <Words>36336</Words>
  <Characters>207121</Characters>
  <Application>Microsoft Office Word</Application>
  <DocSecurity>0</DocSecurity>
  <Lines>1726</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3090</dc:creator>
  <cp:lastModifiedBy>DELL 3090</cp:lastModifiedBy>
  <cp:revision>21</cp:revision>
  <cp:lastPrinted>2025-11-22T17:57:00Z</cp:lastPrinted>
  <dcterms:created xsi:type="dcterms:W3CDTF">2025-11-21T12:55:00Z</dcterms:created>
  <dcterms:modified xsi:type="dcterms:W3CDTF">2025-11-22T18:12:00Z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9aec72a5e95aa6841b2b75c3e277c3aad55210b93a2ed27a8db7b877a6c259a2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3ab56cde-7d03-3392-b869-fac29b293430</vt:lpwstr>
  </property>
  <property fmtid="{D5CDD505-2E9C-101B-9397-08002B2CF9AE}" pid="25" name="Mendeley Citation Style_1">
    <vt:lpwstr>http://www.zotero.org/styles/apa</vt:lpwstr>
  </property>
</Properties>
</file>