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BE16" w14:textId="7A9BCADF" w:rsidR="00686473" w:rsidRPr="00153C3B" w:rsidRDefault="00686473" w:rsidP="00A52AB1">
      <w:pPr>
        <w:spacing w:line="240" w:lineRule="auto"/>
        <w:rPr>
          <w:rFonts w:ascii="Times New Roman" w:hAnsi="Times New Roman" w:cs="Times New Roman"/>
          <w:sz w:val="48"/>
          <w:szCs w:val="48"/>
        </w:rPr>
        <w:sectPr w:rsidR="00686473" w:rsidRPr="00153C3B" w:rsidSect="00FD73AB">
          <w:footerReference w:type="even" r:id="rId8"/>
          <w:footerReference w:type="default" r:id="rId9"/>
          <w:pgSz w:w="12240" w:h="15840"/>
          <w:pgMar w:top="1077" w:right="845" w:bottom="1440" w:left="902" w:header="720" w:footer="720" w:gutter="0"/>
          <w:cols w:space="720"/>
          <w:docGrid w:linePitch="360"/>
        </w:sectPr>
      </w:pPr>
    </w:p>
    <w:p w14:paraId="6F6342D3" w14:textId="247E8ACB" w:rsidR="00A72F3C" w:rsidRPr="00153C3B" w:rsidRDefault="005E604D" w:rsidP="005E604D">
      <w:pPr>
        <w:spacing w:after="120"/>
        <w:jc w:val="center"/>
        <w:rPr>
          <w:rFonts w:ascii="Times New Roman" w:hAnsi="Times New Roman" w:cs="Times New Roman"/>
          <w:sz w:val="48"/>
          <w:szCs w:val="48"/>
        </w:rPr>
      </w:pPr>
      <w:r w:rsidRPr="00153C3B">
        <w:rPr>
          <w:rFonts w:ascii="Times New Roman" w:hAnsi="Times New Roman" w:cs="Times New Roman"/>
          <w:b/>
          <w:bCs/>
          <w:sz w:val="48"/>
          <w:szCs w:val="48"/>
        </w:rPr>
        <w:t>Patterns, Challenges, and Enablers in ESD Competency Assessment:</w:t>
      </w:r>
      <w:r w:rsidRPr="00153C3B">
        <w:rPr>
          <w:rFonts w:ascii="Times New Roman" w:hAnsi="Times New Roman" w:cs="Times New Roman"/>
          <w:sz w:val="48"/>
          <w:szCs w:val="48"/>
        </w:rPr>
        <w:t xml:space="preserve"> </w:t>
      </w:r>
      <w:r w:rsidRPr="00153C3B">
        <w:rPr>
          <w:rFonts w:ascii="Times New Roman" w:hAnsi="Times New Roman" w:cs="Times New Roman"/>
          <w:b/>
          <w:bCs/>
          <w:sz w:val="48"/>
          <w:szCs w:val="48"/>
        </w:rPr>
        <w:t>A Thematic Analysis of Subject Matter Experts' Perspectives</w:t>
      </w:r>
    </w:p>
    <w:p w14:paraId="6F8CFE62" w14:textId="6AFFF55B" w:rsidR="00341AED" w:rsidRPr="00153C3B" w:rsidRDefault="00686473" w:rsidP="00341AED">
      <w:pPr>
        <w:pStyle w:val="p1"/>
        <w:jc w:val="center"/>
        <w:rPr>
          <w:color w:val="auto"/>
          <w:sz w:val="22"/>
          <w:szCs w:val="22"/>
        </w:rPr>
      </w:pPr>
      <w:r w:rsidRPr="00153C3B">
        <w:rPr>
          <w:color w:val="auto"/>
          <w:sz w:val="22"/>
          <w:szCs w:val="22"/>
        </w:rPr>
        <w:t/>
      </w:r>
      <w:r w:rsidR="00A72787" w:rsidRPr="00153C3B">
        <w:rPr>
          <w:color w:val="auto"/>
          <w:sz w:val="22"/>
          <w:szCs w:val="22"/>
          <w:vertAlign w:val="superscript"/>
        </w:rPr>
        <w:t/>
      </w:r>
      <w:r w:rsidR="00A72787" w:rsidRPr="00153C3B">
        <w:rPr>
          <w:color w:val="auto"/>
          <w:sz w:val="22"/>
          <w:szCs w:val="22"/>
        </w:rPr>
        <w:t/>
      </w:r>
      <w:r w:rsidR="00341AED">
        <w:rPr>
          <w:color w:val="auto"/>
          <w:sz w:val="22"/>
          <w:szCs w:val="22"/>
        </w:rPr>
        <w:t xml:space="preserve"/>
      </w:r>
      <w:proofErr w:type="spellStart"/>
      <w:r w:rsidR="00341AED">
        <w:rPr>
          <w:color w:val="auto"/>
          <w:sz w:val="22"/>
          <w:szCs w:val="22"/>
        </w:rPr>
        <w:t/>
      </w:r>
      <w:proofErr w:type="spellEnd"/>
      <w:r w:rsidR="00341AED">
        <w:rPr>
          <w:color w:val="auto"/>
          <w:sz w:val="22"/>
          <w:szCs w:val="22"/>
        </w:rPr>
        <w:t xml:space="preserve"/>
      </w:r>
      <w:r w:rsidR="00341AED">
        <w:rPr>
          <w:color w:val="auto"/>
          <w:sz w:val="22"/>
          <w:szCs w:val="22"/>
          <w:vertAlign w:val="superscript"/>
        </w:rPr>
        <w:t xml:space="preserve"/>
      </w:r>
      <w:r w:rsidR="00341AED">
        <w:rPr>
          <w:color w:val="auto"/>
          <w:sz w:val="22"/>
          <w:szCs w:val="22"/>
        </w:rPr>
        <w:t/>
      </w:r>
      <w:r w:rsidR="00341AED">
        <w:rPr>
          <w:color w:val="auto"/>
          <w:sz w:val="22"/>
          <w:szCs w:val="22"/>
          <w:vertAlign w:val="superscript"/>
        </w:rPr>
        <w:t/>
      </w:r>
    </w:p>
    <w:p w14:paraId="7A257CF2" w14:textId="0F07EC4B" w:rsidR="00686473" w:rsidRPr="00153C3B" w:rsidRDefault="00686473" w:rsidP="00A52AB1">
      <w:pPr>
        <w:pStyle w:val="p1"/>
        <w:jc w:val="center"/>
        <w:rPr>
          <w:color w:val="auto"/>
          <w:sz w:val="22"/>
          <w:szCs w:val="22"/>
        </w:rPr>
      </w:pPr>
    </w:p>
    <w:p w14:paraId="0B3749FA" w14:textId="6509E030" w:rsidR="00686473" w:rsidRDefault="00A72787" w:rsidP="00A52AB1">
      <w:pPr>
        <w:pStyle w:val="p2"/>
        <w:jc w:val="center"/>
        <w:rPr>
          <w:rStyle w:val="s2"/>
          <w:rFonts w:eastAsiaTheme="majorEastAsia"/>
          <w:i/>
          <w:iCs/>
          <w:color w:val="auto"/>
          <w:sz w:val="20"/>
          <w:szCs w:val="20"/>
        </w:rPr>
      </w:pPr>
      <w:r w:rsidRPr="00153C3B">
        <w:rPr>
          <w:rStyle w:val="s2"/>
          <w:rFonts w:eastAsiaTheme="majorEastAsia"/>
          <w:i/>
          <w:iCs/>
          <w:color w:val="auto"/>
          <w:sz w:val="20"/>
          <w:szCs w:val="20"/>
          <w:vertAlign w:val="superscript"/>
        </w:rPr>
        <w:t/>
      </w:r>
      <w:r w:rsidR="00686473" w:rsidRPr="00153C3B">
        <w:rPr>
          <w:rStyle w:val="s2"/>
          <w:rFonts w:eastAsiaTheme="majorEastAsia"/>
          <w:i/>
          <w:iCs/>
          <w:color w:val="auto"/>
          <w:sz w:val="20"/>
          <w:szCs w:val="20"/>
        </w:rPr>
        <w:t/>
      </w:r>
      <w:r w:rsidRPr="00153C3B">
        <w:rPr>
          <w:rStyle w:val="s2"/>
          <w:rFonts w:eastAsiaTheme="majorEastAsia"/>
          <w:i/>
          <w:iCs/>
          <w:color w:val="auto"/>
          <w:sz w:val="20"/>
          <w:szCs w:val="20"/>
        </w:rPr>
        <w:t/>
      </w:r>
      <w:r w:rsidR="00686473" w:rsidRPr="00153C3B">
        <w:rPr>
          <w:rStyle w:val="s2"/>
          <w:rFonts w:eastAsiaTheme="majorEastAsia"/>
          <w:i/>
          <w:iCs/>
          <w:color w:val="auto"/>
          <w:sz w:val="20"/>
          <w:szCs w:val="20"/>
        </w:rPr>
        <w:t xml:space="preserve"/>
      </w:r>
      <w:proofErr w:type="spellStart"/>
      <w:r w:rsidR="00686473" w:rsidRPr="00153C3B">
        <w:rPr>
          <w:rStyle w:val="s2"/>
          <w:rFonts w:eastAsiaTheme="majorEastAsia"/>
          <w:i/>
          <w:iCs/>
          <w:color w:val="auto"/>
          <w:sz w:val="20"/>
          <w:szCs w:val="20"/>
        </w:rPr>
        <w:t/>
      </w:r>
      <w:proofErr w:type="spellEnd"/>
      <w:r w:rsidR="00686473" w:rsidRPr="00153C3B">
        <w:rPr>
          <w:rStyle w:val="s2"/>
          <w:rFonts w:eastAsiaTheme="majorEastAsia"/>
          <w:i/>
          <w:iCs/>
          <w:color w:val="auto"/>
          <w:sz w:val="20"/>
          <w:szCs w:val="20"/>
        </w:rPr>
        <w:t xml:space="preserve"/>
      </w:r>
    </w:p>
    <w:p w14:paraId="2684F6CD" w14:textId="62CDBFEF" w:rsidR="00341AED" w:rsidRDefault="00341AED" w:rsidP="00341AED">
      <w:pPr>
        <w:pStyle w:val="p2"/>
        <w:jc w:val="center"/>
        <w:rPr>
          <w:rStyle w:val="s2"/>
          <w:rFonts w:eastAsiaTheme="majorEastAsia"/>
          <w:i/>
          <w:iCs/>
          <w:color w:val="auto"/>
          <w:sz w:val="20"/>
          <w:szCs w:val="20"/>
        </w:rPr>
      </w:pPr>
      <w:r>
        <w:rPr>
          <w:rStyle w:val="s2"/>
          <w:rFonts w:eastAsiaTheme="majorEastAsia"/>
          <w:i/>
          <w:iCs/>
          <w:color w:val="auto"/>
          <w:sz w:val="20"/>
          <w:szCs w:val="20"/>
          <w:vertAlign w:val="superscript"/>
        </w:rPr>
        <w:t/>
      </w:r>
      <w:r w:rsidRPr="00153C3B">
        <w:rPr>
          <w:rStyle w:val="s2"/>
          <w:rFonts w:eastAsiaTheme="majorEastAsia"/>
          <w:i/>
          <w:iCs/>
          <w:color w:val="auto"/>
          <w:sz w:val="20"/>
          <w:szCs w:val="20"/>
        </w:rPr>
        <w:t xml:space="preserve"/>
      </w:r>
      <w:r>
        <w:rPr>
          <w:rStyle w:val="s2"/>
          <w:rFonts w:eastAsiaTheme="majorEastAsia"/>
          <w:i/>
          <w:iCs/>
          <w:color w:val="auto"/>
          <w:sz w:val="20"/>
          <w:szCs w:val="20"/>
        </w:rPr>
        <w:t xml:space="preserve"/>
      </w:r>
      <w:proofErr w:type="spellStart"/>
      <w:r>
        <w:rPr>
          <w:rStyle w:val="s2"/>
          <w:rFonts w:eastAsiaTheme="majorEastAsia"/>
          <w:i/>
          <w:iCs/>
          <w:color w:val="auto"/>
          <w:sz w:val="20"/>
          <w:szCs w:val="20"/>
        </w:rPr>
        <w:t/>
      </w:r>
      <w:proofErr w:type="spellEnd"/>
      <w:r w:rsidRPr="00153C3B">
        <w:rPr>
          <w:rStyle w:val="s2"/>
          <w:rFonts w:eastAsiaTheme="majorEastAsia"/>
          <w:i/>
          <w:iCs/>
          <w:color w:val="auto"/>
          <w:sz w:val="20"/>
          <w:szCs w:val="20"/>
        </w:rPr>
        <w:t xml:space="preserve"/>
      </w:r>
      <w:proofErr w:type="spellStart"/>
      <w:r w:rsidRPr="00153C3B">
        <w:rPr>
          <w:rStyle w:val="s2"/>
          <w:rFonts w:eastAsiaTheme="majorEastAsia"/>
          <w:i/>
          <w:iCs/>
          <w:color w:val="auto"/>
          <w:sz w:val="20"/>
          <w:szCs w:val="20"/>
        </w:rPr>
        <w:t/>
      </w:r>
      <w:proofErr w:type="spellEnd"/>
      <w:r w:rsidRPr="00153C3B">
        <w:rPr>
          <w:rStyle w:val="s2"/>
          <w:rFonts w:eastAsiaTheme="majorEastAsia"/>
          <w:i/>
          <w:iCs/>
          <w:color w:val="auto"/>
          <w:sz w:val="20"/>
          <w:szCs w:val="20"/>
        </w:rPr>
        <w:t xml:space="preserve"/>
      </w:r>
    </w:p>
    <w:p w14:paraId="1275C11B" w14:textId="65C057EA" w:rsidR="00341AED" w:rsidRDefault="00341AED" w:rsidP="00341AED">
      <w:pPr>
        <w:pStyle w:val="p2"/>
        <w:jc w:val="center"/>
        <w:rPr>
          <w:rStyle w:val="s2"/>
          <w:rFonts w:eastAsiaTheme="majorEastAsia"/>
          <w:i/>
          <w:iCs/>
          <w:color w:val="auto"/>
          <w:sz w:val="20"/>
          <w:szCs w:val="20"/>
        </w:rPr>
      </w:pPr>
      <w:r>
        <w:rPr>
          <w:rStyle w:val="s2"/>
          <w:rFonts w:eastAsiaTheme="majorEastAsia"/>
          <w:i/>
          <w:iCs/>
          <w:color w:val="auto"/>
          <w:sz w:val="20"/>
          <w:szCs w:val="20"/>
          <w:vertAlign w:val="superscript"/>
        </w:rPr>
        <w:t/>
      </w:r>
      <w:r w:rsidRPr="00153C3B">
        <w:rPr>
          <w:rStyle w:val="s2"/>
          <w:rFonts w:eastAsiaTheme="majorEastAsia"/>
          <w:i/>
          <w:iCs/>
          <w:color w:val="auto"/>
          <w:sz w:val="20"/>
          <w:szCs w:val="20"/>
        </w:rPr>
        <w:t xml:space="preserve"/>
      </w:r>
      <w:r>
        <w:rPr>
          <w:rStyle w:val="s2"/>
          <w:rFonts w:eastAsiaTheme="majorEastAsia"/>
          <w:i/>
          <w:iCs/>
          <w:color w:val="auto"/>
          <w:sz w:val="20"/>
          <w:szCs w:val="20"/>
        </w:rPr>
        <w:t/>
      </w:r>
      <w:r w:rsidRPr="00153C3B">
        <w:rPr>
          <w:rStyle w:val="s2"/>
          <w:rFonts w:eastAsiaTheme="majorEastAsia"/>
          <w:i/>
          <w:iCs/>
          <w:color w:val="auto"/>
          <w:sz w:val="20"/>
          <w:szCs w:val="20"/>
        </w:rPr>
        <w:t xml:space="preserve"/>
      </w:r>
      <w:proofErr w:type="spellStart"/>
      <w:r w:rsidRPr="00153C3B">
        <w:rPr>
          <w:rStyle w:val="s2"/>
          <w:rFonts w:eastAsiaTheme="majorEastAsia"/>
          <w:i/>
          <w:iCs/>
          <w:color w:val="auto"/>
          <w:sz w:val="20"/>
          <w:szCs w:val="20"/>
        </w:rPr>
        <w:t/>
      </w:r>
      <w:proofErr w:type="spellEnd"/>
      <w:r w:rsidRPr="00153C3B">
        <w:rPr>
          <w:rStyle w:val="s2"/>
          <w:rFonts w:eastAsiaTheme="majorEastAsia"/>
          <w:i/>
          <w:iCs/>
          <w:color w:val="auto"/>
          <w:sz w:val="20"/>
          <w:szCs w:val="20"/>
        </w:rPr>
        <w:t xml:space="preserve"/>
      </w:r>
    </w:p>
    <w:p w14:paraId="5864DC15" w14:textId="77777777" w:rsidR="00341AED" w:rsidRPr="00153C3B" w:rsidRDefault="00341AED" w:rsidP="00341AED">
      <w:pPr>
        <w:pStyle w:val="p2"/>
        <w:rPr>
          <w:rStyle w:val="s2"/>
          <w:rFonts w:eastAsiaTheme="majorEastAsia"/>
          <w:i/>
          <w:iCs/>
          <w:color w:val="auto"/>
          <w:sz w:val="20"/>
          <w:szCs w:val="20"/>
        </w:rPr>
      </w:pPr>
    </w:p>
    <w:p w14:paraId="7851070A" w14:textId="76BA3B2D" w:rsidR="00686473" w:rsidRPr="00153C3B" w:rsidRDefault="00686473" w:rsidP="00172A69">
      <w:pPr>
        <w:pStyle w:val="p2"/>
        <w:jc w:val="center"/>
        <w:rPr>
          <w:color w:val="auto"/>
          <w:sz w:val="18"/>
          <w:szCs w:val="18"/>
        </w:rPr>
        <w:sectPr w:rsidR="00686473" w:rsidRPr="00153C3B" w:rsidSect="00FD73AB">
          <w:type w:val="continuous"/>
          <w:pgSz w:w="12240" w:h="15840"/>
          <w:pgMar w:top="1077" w:right="845" w:bottom="1440" w:left="902" w:header="720" w:footer="720" w:gutter="0"/>
          <w:cols w:space="720"/>
          <w:docGrid w:linePitch="360"/>
        </w:sectPr>
      </w:pPr>
      <w:r w:rsidRPr="00153C3B">
        <w:rPr>
          <w:i/>
          <w:iCs/>
          <w:color w:val="auto"/>
          <w:sz w:val="18"/>
          <w:szCs w:val="18"/>
        </w:rPr>
        <w:t/>
      </w:r>
    </w:p>
    <w:p w14:paraId="06D97F40" w14:textId="77777777" w:rsidR="00172A69" w:rsidRPr="00153C3B" w:rsidRDefault="00172A69" w:rsidP="00A52AB1">
      <w:pPr>
        <w:pStyle w:val="p1"/>
        <w:jc w:val="both"/>
        <w:rPr>
          <w:i/>
          <w:iCs/>
          <w:color w:val="auto"/>
          <w:sz w:val="20"/>
          <w:szCs w:val="20"/>
        </w:rPr>
        <w:sectPr w:rsidR="00172A69" w:rsidRPr="00153C3B" w:rsidSect="00FD73AB">
          <w:type w:val="continuous"/>
          <w:pgSz w:w="12240" w:h="15840"/>
          <w:pgMar w:top="1077" w:right="845" w:bottom="1440" w:left="902" w:header="720" w:footer="720" w:gutter="0"/>
          <w:cols w:space="720"/>
          <w:docGrid w:linePitch="360"/>
        </w:sectPr>
      </w:pPr>
    </w:p>
    <w:p w14:paraId="05422B44" w14:textId="0484A603" w:rsidR="00172A69" w:rsidRPr="00153C3B" w:rsidRDefault="00686473"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i/>
          <w:iCs/>
          <w:sz w:val="20"/>
          <w:szCs w:val="20"/>
        </w:rPr>
        <w:t xml:space="preserve"/>
      </w:r>
      <w:r w:rsidRPr="00153C3B">
        <w:rPr>
          <w:rFonts w:ascii="Times New Roman" w:hAnsi="Times New Roman" w:cs="Times New Roman"/>
          <w:b/>
          <w:bCs/>
          <w:sz w:val="20"/>
          <w:szCs w:val="20"/>
        </w:rPr>
        <w:t/>
      </w:r>
      <w:r w:rsidR="00172A69" w:rsidRPr="00153C3B">
        <w:rPr>
          <w:rFonts w:ascii="Times New Roman" w:hAnsi="Times New Roman" w:cs="Times New Roman"/>
          <w:b/>
          <w:bCs/>
          <w:sz w:val="20"/>
          <w:szCs w:val="20"/>
        </w:rPr>
        <w:t xml:space="preserve"/>
      </w:r>
      <w:r w:rsidR="005E604D" w:rsidRPr="00153C3B">
        <w:rPr>
          <w:rFonts w:ascii="Times New Roman" w:hAnsi="Times New Roman" w:cs="Times New Roman"/>
          <w:sz w:val="20"/>
          <w:szCs w:val="20"/>
        </w:rPr>
        <w:t xml:space="preserve"/>
      </w:r>
      <w:proofErr w:type="spellStart"/>
      <w:r w:rsidR="005E604D" w:rsidRPr="00153C3B">
        <w:rPr>
          <w:rFonts w:ascii="Times New Roman" w:hAnsi="Times New Roman" w:cs="Times New Roman"/>
          <w:sz w:val="20"/>
          <w:szCs w:val="20"/>
        </w:rPr>
        <w:t/>
      </w:r>
      <w:proofErr w:type="spellEnd"/>
      <w:r w:rsidR="005E604D" w:rsidRPr="00153C3B">
        <w:rPr>
          <w:rFonts w:ascii="Times New Roman" w:hAnsi="Times New Roman" w:cs="Times New Roman"/>
          <w:sz w:val="20"/>
          <w:szCs w:val="20"/>
        </w:rPr>
        <w:t xml:space="preserve"/>
      </w:r>
      <w:proofErr w:type="spellStart"/>
      <w:r w:rsidR="005E604D" w:rsidRPr="00153C3B">
        <w:rPr>
          <w:rFonts w:ascii="Times New Roman" w:hAnsi="Times New Roman" w:cs="Times New Roman"/>
          <w:sz w:val="20"/>
          <w:szCs w:val="20"/>
        </w:rPr>
        <w:t/>
      </w:r>
      <w:proofErr w:type="spellEnd"/>
      <w:r w:rsidR="005E604D" w:rsidRPr="00153C3B">
        <w:rPr>
          <w:rFonts w:ascii="Times New Roman" w:hAnsi="Times New Roman" w:cs="Times New Roman"/>
          <w:sz w:val="20"/>
          <w:szCs w:val="20"/>
        </w:rPr>
        <w:t xml:space="preserve"/>
      </w:r>
    </w:p>
    <w:p w14:paraId="37A36BF4" w14:textId="77777777" w:rsidR="005E604D" w:rsidRPr="00153C3B" w:rsidRDefault="005E604D" w:rsidP="00153C3B">
      <w:pPr>
        <w:spacing w:after="0" w:line="240" w:lineRule="auto"/>
        <w:jc w:val="both"/>
        <w:rPr>
          <w:rFonts w:ascii="Times New Roman" w:hAnsi="Times New Roman" w:cs="Times New Roman"/>
          <w:sz w:val="20"/>
          <w:szCs w:val="20"/>
        </w:rPr>
      </w:pPr>
    </w:p>
    <w:p w14:paraId="736BED12" w14:textId="29D163BA" w:rsidR="005E604D" w:rsidRPr="00153C3B" w:rsidRDefault="00172A69" w:rsidP="00153C3B">
      <w:pPr>
        <w:spacing w:after="0" w:line="240" w:lineRule="auto"/>
        <w:jc w:val="both"/>
        <w:rPr>
          <w:rFonts w:ascii="Times New Roman" w:hAnsi="Times New Roman" w:cs="Times New Roman"/>
          <w:sz w:val="20"/>
          <w:szCs w:val="20"/>
        </w:rPr>
      </w:pPr>
      <w:r w:rsidRPr="00153C3B">
        <w:rPr>
          <w:rFonts w:ascii="Times New Roman" w:eastAsia="Times New Roman" w:hAnsi="Times New Roman" w:cs="Times New Roman"/>
          <w:i/>
          <w:iCs/>
          <w:kern w:val="0"/>
          <w:sz w:val="20"/>
          <w:szCs w:val="20"/>
          <w14:ligatures w14:val="none"/>
        </w:rPr>
        <w:t/>
      </w:r>
      <w:r w:rsidRPr="00153C3B">
        <w:rPr>
          <w:rFonts w:ascii="Times New Roman" w:eastAsia="Times New Roman" w:hAnsi="Times New Roman" w:cs="Times New Roman"/>
          <w:kern w:val="0"/>
          <w:sz w:val="20"/>
          <w:szCs w:val="20"/>
          <w14:ligatures w14:val="none"/>
        </w:rPr>
        <w:t/>
      </w:r>
      <w:r w:rsidR="005E604D" w:rsidRPr="00153C3B">
        <w:rPr>
          <w:rFonts w:ascii="Times New Roman" w:hAnsi="Times New Roman" w:cs="Times New Roman"/>
          <w:i/>
          <w:iCs/>
          <w:sz w:val="20"/>
          <w:szCs w:val="20"/>
        </w:rPr>
        <w:t xml:space="preserve"/>
      </w:r>
      <w:r w:rsidR="005E604D" w:rsidRPr="00153C3B">
        <w:rPr>
          <w:rFonts w:ascii="Times New Roman" w:hAnsi="Times New Roman" w:cs="Times New Roman"/>
          <w:sz w:val="20"/>
          <w:szCs w:val="20"/>
        </w:rPr>
        <w:t/>
      </w:r>
    </w:p>
    <w:p w14:paraId="7DAC0BA7" w14:textId="673475C9" w:rsidR="00DC3B7F" w:rsidRPr="00153C3B" w:rsidRDefault="00DC3B7F" w:rsidP="00153C3B">
      <w:pPr>
        <w:pStyle w:val="p1"/>
        <w:jc w:val="both"/>
        <w:rPr>
          <w:color w:val="auto"/>
          <w:spacing w:val="1"/>
          <w:sz w:val="20"/>
          <w:szCs w:val="20"/>
          <w:shd w:val="clear" w:color="auto" w:fill="FFFFFF"/>
        </w:rPr>
      </w:pPr>
    </w:p>
    <w:p w14:paraId="102DD3AD" w14:textId="50E2C0EF" w:rsidR="00DC3B7F" w:rsidRPr="00153C3B" w:rsidRDefault="00DC3B7F"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INTRODUCTION</w:t>
      </w:r>
    </w:p>
    <w:p w14:paraId="3D07D206" w14:textId="77777777" w:rsidR="00DC3B7F" w:rsidRPr="00153C3B" w:rsidRDefault="00DC3B7F" w:rsidP="00153C3B">
      <w:pPr>
        <w:pStyle w:val="p1"/>
        <w:ind w:left="360"/>
        <w:jc w:val="both"/>
        <w:rPr>
          <w:color w:val="auto"/>
          <w:spacing w:val="1"/>
          <w:sz w:val="20"/>
          <w:szCs w:val="20"/>
          <w:shd w:val="clear" w:color="auto" w:fill="FFFFFF"/>
        </w:rPr>
      </w:pPr>
    </w:p>
    <w:p w14:paraId="6F053A92" w14:textId="77777777"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 global imperative for Education for Sustainable Development (ESD) has increasingly been translated into institutional mandates for higher education institutions to embed sustainability competencies within program learning outcomes and assessment frameworks (UNESCO, 2017; Wiek et al., 2011). In Malaysia, the Malaysian Qualifications Framework (MQF 2024) and the Values-Based Education (VBE) agenda have </w:t>
      </w:r>
      <w:proofErr w:type="spellStart"/>
      <w:r w:rsidRPr="00153C3B">
        <w:rPr>
          <w:rFonts w:ascii="Times New Roman" w:hAnsi="Times New Roman" w:cs="Times New Roman"/>
          <w:sz w:val="20"/>
          <w:szCs w:val="20"/>
        </w:rPr>
        <w:t>formalised</w:t>
      </w:r>
      <w:proofErr w:type="spellEnd"/>
      <w:r w:rsidRPr="00153C3B">
        <w:rPr>
          <w:rFonts w:ascii="Times New Roman" w:hAnsi="Times New Roman" w:cs="Times New Roman"/>
          <w:sz w:val="20"/>
          <w:szCs w:val="20"/>
        </w:rPr>
        <w:t xml:space="preserve"> this expectation, requiring that ESD competencies—spanning system thinking (SC1), anticipatory thinking (SC2), strategic thinking (SC3), critical thinking (SC4), integrated problem solving (SC5), collaborative competency (SC6), normative competency (SC7), and self-awareness (SC8)—be demonstrably embedded in course learning outcomes and assessment designs.</w:t>
      </w:r>
    </w:p>
    <w:p w14:paraId="2E283C53"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36A4EF59" w14:textId="6E8B808B"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Despite policy directives, empirical evidence of how faculty conceptualize, implement, and evaluate these competencies in assessment practice remains limited. Most existing research focuses on the theoretical or policy dimensions of ESD (Barth et al., 2007; Lozano et al., 2017; Rieckmann, 2012), with relatively few studies examining the on-the-ground perspectives of frontline academics responsible for translating ESD frameworks into assessment rubrics, course assignments, and pedagogical practices. This gap is especially pronounced in </w:t>
      </w:r>
      <w:r w:rsidR="00153C3B" w:rsidRPr="00153C3B">
        <w:rPr>
          <w:rFonts w:ascii="Times New Roman" w:hAnsi="Times New Roman" w:cs="Times New Roman"/>
          <w:sz w:val="20"/>
          <w:szCs w:val="20"/>
        </w:rPr>
        <w:t>Malaysia Higher Education</w:t>
      </w:r>
      <w:r w:rsidRPr="00153C3B">
        <w:rPr>
          <w:rFonts w:ascii="Times New Roman" w:hAnsi="Times New Roman" w:cs="Times New Roman"/>
          <w:sz w:val="20"/>
          <w:szCs w:val="20"/>
        </w:rPr>
        <w:t xml:space="preserve"> contexts, where ESD mandates are recent and faculty development infrastructure is still maturing.</w:t>
      </w:r>
    </w:p>
    <w:p w14:paraId="53A01104" w14:textId="77777777" w:rsidR="00491EFB" w:rsidRPr="00153C3B" w:rsidRDefault="00491EFB" w:rsidP="00153C3B">
      <w:pPr>
        <w:pStyle w:val="p1"/>
        <w:jc w:val="both"/>
        <w:rPr>
          <w:color w:val="auto"/>
          <w:spacing w:val="1"/>
          <w:sz w:val="20"/>
          <w:szCs w:val="20"/>
        </w:rPr>
      </w:pPr>
    </w:p>
    <w:p w14:paraId="536049CB" w14:textId="15251D10" w:rsidR="005E604D" w:rsidRPr="00153C3B" w:rsidRDefault="005E604D"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ESD COMPTENCIES FRAMEWORKS AND ASSESSMENT DESIGN</w:t>
      </w:r>
    </w:p>
    <w:p w14:paraId="53B96BAC" w14:textId="77777777" w:rsidR="005E604D" w:rsidRPr="00153C3B" w:rsidRDefault="005E604D" w:rsidP="00153C3B">
      <w:pPr>
        <w:pStyle w:val="p1"/>
        <w:rPr>
          <w:color w:val="auto"/>
          <w:spacing w:val="1"/>
          <w:sz w:val="20"/>
          <w:szCs w:val="20"/>
          <w:shd w:val="clear" w:color="auto" w:fill="FFFFFF"/>
        </w:rPr>
      </w:pPr>
    </w:p>
    <w:p w14:paraId="3E65A12D" w14:textId="4817C7FE"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Wiek et al. (2011) established one of the most influential ESD competency frameworks, later expanded by UNESCO (2017) and Rieckmann (2012) to include eight discrete competencies </w:t>
      </w:r>
      <w:r w:rsidRPr="00153C3B">
        <w:rPr>
          <w:rFonts w:ascii="Times New Roman" w:hAnsi="Times New Roman" w:cs="Times New Roman"/>
          <w:sz w:val="20"/>
          <w:szCs w:val="20"/>
        </w:rPr>
        <w:lastRenderedPageBreak/>
        <w:t>– from systems thinking and anticipatory thinking through to normative competency and self-awareness. These competencies are conceptualized as discipline-transcendent, applicable across technical and humanistic disciplines, and developmental rather than binary— students acquire them through sustained, scaffolded engagement over time (</w:t>
      </w:r>
      <w:proofErr w:type="spellStart"/>
      <w:r w:rsidRPr="00153C3B">
        <w:rPr>
          <w:rFonts w:ascii="Times New Roman" w:hAnsi="Times New Roman" w:cs="Times New Roman"/>
          <w:sz w:val="20"/>
          <w:szCs w:val="20"/>
        </w:rPr>
        <w:t>Brundiers</w:t>
      </w:r>
      <w:proofErr w:type="spellEnd"/>
      <w:r w:rsidRPr="00153C3B">
        <w:rPr>
          <w:rFonts w:ascii="Times New Roman" w:hAnsi="Times New Roman" w:cs="Times New Roman"/>
          <w:sz w:val="20"/>
          <w:szCs w:val="20"/>
        </w:rPr>
        <w:t xml:space="preserve"> &amp; Wiek, 2013).</w:t>
      </w:r>
    </w:p>
    <w:p w14:paraId="32271487" w14:textId="58C2C98D"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The assessment of ESD competencies presents </w:t>
      </w:r>
      <w:proofErr w:type="gramStart"/>
      <w:r w:rsidRPr="00153C3B">
        <w:rPr>
          <w:rFonts w:ascii="Times New Roman" w:hAnsi="Times New Roman" w:cs="Times New Roman"/>
          <w:sz w:val="20"/>
          <w:szCs w:val="20"/>
        </w:rPr>
        <w:t>particular challenges</w:t>
      </w:r>
      <w:proofErr w:type="gramEnd"/>
      <w:r w:rsidRPr="00153C3B">
        <w:rPr>
          <w:rFonts w:ascii="Times New Roman" w:hAnsi="Times New Roman" w:cs="Times New Roman"/>
          <w:sz w:val="20"/>
          <w:szCs w:val="20"/>
        </w:rPr>
        <w:t xml:space="preserve">. Unlike disciplinary knowledge assessed through recall and comprehension, ESD competencies require observable </w:t>
      </w:r>
      <w:proofErr w:type="spellStart"/>
      <w:r w:rsidRPr="00153C3B">
        <w:rPr>
          <w:rFonts w:ascii="Times New Roman" w:hAnsi="Times New Roman" w:cs="Times New Roman"/>
          <w:sz w:val="20"/>
          <w:szCs w:val="20"/>
        </w:rPr>
        <w:t>behavioural</w:t>
      </w:r>
      <w:proofErr w:type="spellEnd"/>
      <w:r w:rsidRPr="00153C3B">
        <w:rPr>
          <w:rFonts w:ascii="Times New Roman" w:hAnsi="Times New Roman" w:cs="Times New Roman"/>
          <w:sz w:val="20"/>
          <w:szCs w:val="20"/>
        </w:rPr>
        <w:t xml:space="preserve"> indicators, higher-order cognitive engagement, and context-sensitive performance descriptors (Barth et al., 2007). Biggs and Tang (2011) argue that constructive alignment between learning outcomes, teaching activities, and assessment tasks is the foundational requirement for competency-based assessment, yet studies consistently demonstrate that rubric design often </w:t>
      </w:r>
      <w:proofErr w:type="gramStart"/>
      <w:r w:rsidRPr="00153C3B">
        <w:rPr>
          <w:rFonts w:ascii="Times New Roman" w:hAnsi="Times New Roman" w:cs="Times New Roman"/>
          <w:sz w:val="20"/>
          <w:szCs w:val="20"/>
        </w:rPr>
        <w:t>lags behind</w:t>
      </w:r>
      <w:proofErr w:type="gramEnd"/>
      <w:r w:rsidRPr="00153C3B">
        <w:rPr>
          <w:rFonts w:ascii="Times New Roman" w:hAnsi="Times New Roman" w:cs="Times New Roman"/>
          <w:sz w:val="20"/>
          <w:szCs w:val="20"/>
        </w:rPr>
        <w:t xml:space="preserve"> curriculum ambition. Stokes (2009) identified vague performance descriptors, inconsistent assessor calibration, and misalignment between course learning outcomes and assessment criteria as pervasive barriers to valid competency measurement — barriers that are directly reflected in the present study.</w:t>
      </w:r>
    </w:p>
    <w:p w14:paraId="2E78E7ED" w14:textId="77777777" w:rsidR="00153C3B" w:rsidRPr="00153C3B" w:rsidRDefault="00153C3B" w:rsidP="00153C3B">
      <w:pPr>
        <w:spacing w:after="0" w:line="240" w:lineRule="auto"/>
        <w:jc w:val="both"/>
        <w:rPr>
          <w:rFonts w:ascii="Times New Roman" w:hAnsi="Times New Roman" w:cs="Times New Roman"/>
          <w:sz w:val="20"/>
          <w:szCs w:val="20"/>
        </w:rPr>
      </w:pPr>
    </w:p>
    <w:p w14:paraId="10CCDEE0" w14:textId="26A9E1BF" w:rsidR="005E604D" w:rsidRPr="00153C3B" w:rsidRDefault="005E604D"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AUTHENTIC ASSESSMENT AND TRANSFORMATIVE PEDAGOGY IN ESD</w:t>
      </w:r>
    </w:p>
    <w:p w14:paraId="484DCA40" w14:textId="77777777" w:rsidR="005E604D" w:rsidRPr="00153C3B" w:rsidRDefault="005E604D" w:rsidP="00153C3B">
      <w:pPr>
        <w:pStyle w:val="p1"/>
        <w:ind w:left="720"/>
        <w:rPr>
          <w:color w:val="auto"/>
          <w:spacing w:val="1"/>
          <w:sz w:val="20"/>
          <w:szCs w:val="20"/>
          <w:shd w:val="clear" w:color="auto" w:fill="FFFFFF"/>
        </w:rPr>
      </w:pPr>
    </w:p>
    <w:p w14:paraId="5265F107" w14:textId="17F7999D"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Authentic assessment—an assessment that requires students to apply knowledge and skills to real-world problems rather than decontextualized exercises— is widely regarded as particularly suited to ESD competency development (Kolb, 1984; </w:t>
      </w:r>
      <w:proofErr w:type="spellStart"/>
      <w:r w:rsidRPr="00153C3B">
        <w:rPr>
          <w:rFonts w:ascii="Times New Roman" w:hAnsi="Times New Roman" w:cs="Times New Roman"/>
          <w:sz w:val="20"/>
          <w:szCs w:val="20"/>
        </w:rPr>
        <w:t>Brundiers</w:t>
      </w:r>
      <w:proofErr w:type="spellEnd"/>
      <w:r w:rsidRPr="00153C3B">
        <w:rPr>
          <w:rFonts w:ascii="Times New Roman" w:hAnsi="Times New Roman" w:cs="Times New Roman"/>
          <w:sz w:val="20"/>
          <w:szCs w:val="20"/>
        </w:rPr>
        <w:t xml:space="preserve"> &amp; Wiek, 2013). Community-based learning, work-integrated assessments, reflective portfolios, and project-based assignments have each been identified as effective vehicles for </w:t>
      </w:r>
      <w:proofErr w:type="spellStart"/>
      <w:r w:rsidRPr="00153C3B">
        <w:rPr>
          <w:rFonts w:ascii="Times New Roman" w:hAnsi="Times New Roman" w:cs="Times New Roman"/>
          <w:sz w:val="20"/>
          <w:szCs w:val="20"/>
        </w:rPr>
        <w:t>operationalising</w:t>
      </w:r>
      <w:proofErr w:type="spellEnd"/>
      <w:r w:rsidRPr="00153C3B">
        <w:rPr>
          <w:rFonts w:ascii="Times New Roman" w:hAnsi="Times New Roman" w:cs="Times New Roman"/>
          <w:sz w:val="20"/>
          <w:szCs w:val="20"/>
        </w:rPr>
        <w:t xml:space="preserve"> ESD competencies in ways that conventional examinations cannot (Lozano et al., 2017). Kolb's (1984) experiential learning framework provides the theoretical underpinning: authentic assessment closes the loop between concrete experience and abstract </w:t>
      </w:r>
      <w:proofErr w:type="spellStart"/>
      <w:r w:rsidRPr="00153C3B">
        <w:rPr>
          <w:rFonts w:ascii="Times New Roman" w:hAnsi="Times New Roman" w:cs="Times New Roman"/>
          <w:sz w:val="20"/>
          <w:szCs w:val="20"/>
        </w:rPr>
        <w:t>conceptualisation</w:t>
      </w:r>
      <w:proofErr w:type="spellEnd"/>
      <w:r w:rsidRPr="00153C3B">
        <w:rPr>
          <w:rFonts w:ascii="Times New Roman" w:hAnsi="Times New Roman" w:cs="Times New Roman"/>
          <w:sz w:val="20"/>
          <w:szCs w:val="20"/>
        </w:rPr>
        <w:t>, enabling the reflective observation and active experimentation that competency development requires.</w:t>
      </w:r>
    </w:p>
    <w:p w14:paraId="41793753" w14:textId="77777777" w:rsidR="00153C3B" w:rsidRPr="00153C3B" w:rsidRDefault="00153C3B" w:rsidP="00153C3B">
      <w:pPr>
        <w:spacing w:after="0" w:line="240" w:lineRule="auto"/>
        <w:jc w:val="both"/>
        <w:rPr>
          <w:rFonts w:ascii="Times New Roman" w:hAnsi="Times New Roman" w:cs="Times New Roman"/>
          <w:sz w:val="20"/>
          <w:szCs w:val="20"/>
        </w:rPr>
      </w:pPr>
    </w:p>
    <w:p w14:paraId="0FEBCD6C" w14:textId="6CC46C88" w:rsidR="005E604D" w:rsidRDefault="005E604D" w:rsidP="00153C3B">
      <w:pPr>
        <w:pStyle w:val="ListParagraph"/>
        <w:numPr>
          <w:ilvl w:val="0"/>
          <w:numId w:val="1"/>
        </w:numPr>
        <w:spacing w:after="0" w:line="240" w:lineRule="auto"/>
        <w:jc w:val="center"/>
        <w:rPr>
          <w:rFonts w:ascii="Times New Roman" w:hAnsi="Times New Roman" w:cs="Times New Roman"/>
          <w:sz w:val="20"/>
          <w:szCs w:val="20"/>
        </w:rPr>
      </w:pPr>
      <w:r w:rsidRPr="00153C3B">
        <w:rPr>
          <w:rFonts w:ascii="Times New Roman" w:hAnsi="Times New Roman" w:cs="Times New Roman"/>
          <w:sz w:val="20"/>
          <w:szCs w:val="20"/>
        </w:rPr>
        <w:t>THEMATIC ANALYSIS AS A METHOD OF FACULTY PERSPECTIVES STUDY</w:t>
      </w:r>
    </w:p>
    <w:p w14:paraId="1F744A22" w14:textId="77777777" w:rsidR="00DE6A51" w:rsidRPr="00153C3B" w:rsidRDefault="00DE6A51" w:rsidP="00DE6A51">
      <w:pPr>
        <w:pStyle w:val="ListParagraph"/>
        <w:spacing w:after="0" w:line="240" w:lineRule="auto"/>
        <w:rPr>
          <w:rFonts w:ascii="Times New Roman" w:hAnsi="Times New Roman" w:cs="Times New Roman"/>
          <w:sz w:val="20"/>
          <w:szCs w:val="20"/>
        </w:rPr>
      </w:pPr>
    </w:p>
    <w:p w14:paraId="069EA9C6" w14:textId="4479BA4E" w:rsidR="00491EFB" w:rsidRPr="00153C3B" w:rsidRDefault="005E604D" w:rsidP="00153C3B">
      <w:pPr>
        <w:pStyle w:val="p1"/>
        <w:jc w:val="both"/>
        <w:rPr>
          <w:color w:val="auto"/>
          <w:spacing w:val="1"/>
          <w:sz w:val="20"/>
          <w:szCs w:val="20"/>
        </w:rPr>
      </w:pPr>
      <w:r w:rsidRPr="00153C3B">
        <w:rPr>
          <w:color w:val="auto"/>
          <w:sz w:val="20"/>
          <w:szCs w:val="20"/>
        </w:rPr>
        <w:t xml:space="preserve">Thematic analysis, as articulated by Braun and Clarke (2006), is a flexible qualitative method suited to identifying, </w:t>
      </w:r>
      <w:proofErr w:type="spellStart"/>
      <w:r w:rsidRPr="00153C3B">
        <w:rPr>
          <w:color w:val="auto"/>
          <w:sz w:val="20"/>
          <w:szCs w:val="20"/>
        </w:rPr>
        <w:t>analysing</w:t>
      </w:r>
      <w:proofErr w:type="spellEnd"/>
      <w:r w:rsidRPr="00153C3B">
        <w:rPr>
          <w:color w:val="auto"/>
          <w:sz w:val="20"/>
          <w:szCs w:val="20"/>
        </w:rPr>
        <w:t xml:space="preserve">, and reporting patterns of meaning in textual data. Unlike grounded theory or interpretative phenomenological analysis, TA does not prescribe an epistemological position, making it well-suited to institutional document analysis where the data represent collective – rather than individual – meaning-making (Braun &amp; Clarke, 2006). The method has been used productively in higher education research to </w:t>
      </w:r>
      <w:proofErr w:type="spellStart"/>
      <w:r w:rsidRPr="00153C3B">
        <w:rPr>
          <w:color w:val="auto"/>
          <w:sz w:val="20"/>
          <w:szCs w:val="20"/>
        </w:rPr>
        <w:t>analyse</w:t>
      </w:r>
      <w:proofErr w:type="spellEnd"/>
      <w:r w:rsidRPr="00153C3B">
        <w:rPr>
          <w:color w:val="auto"/>
          <w:sz w:val="20"/>
          <w:szCs w:val="20"/>
        </w:rPr>
        <w:t xml:space="preserve"> faculty perceptions of curriculum reform (Binkley et al., 2012), student feedback on teaching quality (Biggs &amp; </w:t>
      </w:r>
      <w:r w:rsidRPr="00153C3B">
        <w:rPr>
          <w:color w:val="auto"/>
          <w:sz w:val="20"/>
          <w:szCs w:val="20"/>
        </w:rPr>
        <w:t>Tang, 2011), and institutional policy documents (Wasserman &amp; Faust, 1994). Its application to ESD competency mapping documents is novel and constitutes a methodological contribution of the present study.</w:t>
      </w:r>
    </w:p>
    <w:p w14:paraId="391516D4" w14:textId="77777777" w:rsidR="005E604D" w:rsidRPr="00153C3B" w:rsidRDefault="005E604D" w:rsidP="00153C3B">
      <w:pPr>
        <w:pStyle w:val="p1"/>
        <w:ind w:left="720"/>
        <w:jc w:val="both"/>
        <w:rPr>
          <w:color w:val="auto"/>
          <w:spacing w:val="1"/>
          <w:sz w:val="20"/>
          <w:szCs w:val="20"/>
        </w:rPr>
      </w:pPr>
    </w:p>
    <w:p w14:paraId="209C6ACE" w14:textId="30E393F5" w:rsidR="005E604D" w:rsidRDefault="005E604D"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METHODOLOGY</w:t>
      </w:r>
    </w:p>
    <w:p w14:paraId="2E7754E0" w14:textId="77777777" w:rsidR="00DE6A51" w:rsidRPr="00153C3B" w:rsidRDefault="00DE6A51" w:rsidP="00DE6A51">
      <w:pPr>
        <w:pStyle w:val="p1"/>
        <w:ind w:left="720"/>
        <w:rPr>
          <w:color w:val="auto"/>
          <w:spacing w:val="1"/>
          <w:sz w:val="20"/>
          <w:szCs w:val="20"/>
          <w:shd w:val="clear" w:color="auto" w:fill="FFFFFF"/>
        </w:rPr>
      </w:pPr>
    </w:p>
    <w:p w14:paraId="698E1756"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i/>
          <w:iCs/>
          <w:sz w:val="20"/>
          <w:szCs w:val="20"/>
        </w:rPr>
        <w:t>A. Data Corpus and Participants</w:t>
      </w:r>
    </w:p>
    <w:p w14:paraId="0B221C95" w14:textId="77777777"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 data corpus comprised six group synthesis documents produced during an ESD competency mapping workshop at UiTM (Sessions 1B and 1C). Forty academic staff participated, </w:t>
      </w:r>
      <w:proofErr w:type="spellStart"/>
      <w:r w:rsidRPr="00153C3B">
        <w:rPr>
          <w:rFonts w:ascii="Times New Roman" w:hAnsi="Times New Roman" w:cs="Times New Roman"/>
          <w:sz w:val="20"/>
          <w:szCs w:val="20"/>
        </w:rPr>
        <w:t>organised</w:t>
      </w:r>
      <w:proofErr w:type="spellEnd"/>
      <w:r w:rsidRPr="00153C3B">
        <w:rPr>
          <w:rFonts w:ascii="Times New Roman" w:hAnsi="Times New Roman" w:cs="Times New Roman"/>
          <w:sz w:val="20"/>
          <w:szCs w:val="20"/>
        </w:rPr>
        <w:t xml:space="preserve"> into six groups across three field clusters: Management and Business (Group 1, n=6), Social Sciences (Groups 2 and 3, n=6 each), and Science and Technology (Groups 4, 5, and 6, n=8, 7, and 7, respectively). Each synthesis document captured group-level reflections on ESD competency selection and frequency, assessment methods and evidence, identified gaps and risks, and highlighted beneficial practices. Documents ranged from approximately 600 to 900 words each.</w:t>
      </w:r>
    </w:p>
    <w:p w14:paraId="44C60AA4"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36AF278B"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i/>
          <w:iCs/>
          <w:sz w:val="20"/>
          <w:szCs w:val="20"/>
        </w:rPr>
        <w:t>B. Analytic Approach</w:t>
      </w:r>
    </w:p>
    <w:p w14:paraId="788CC7CC" w14:textId="77777777"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The analysis followed Braun and Clarke's (2006) six-phase thematic analysis framework. Four upfront analytic decisions were made prior to coding: (1) the analysis aimed for a rich description of the whole data set rather than a focused account of one aspect; (2) the coding was inductive (bottom-up), allowing patterns to surface from the data rather than imposing a predetermined framework; (3) the analysis operated at the semantic level, capturing surface meanings as expressed by faculty rather than latent ideological assumptions; and (4) the epistemological position was essentialist-realist, treating the documents as reflective of faculty members' actual experiences and perceptions of ESD assessment practice.</w:t>
      </w:r>
    </w:p>
    <w:p w14:paraId="25107E27"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4BD9E82D" w14:textId="04C45A31"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Phase 1 (</w:t>
      </w:r>
      <w:proofErr w:type="spellStart"/>
      <w:r w:rsidRPr="00153C3B">
        <w:rPr>
          <w:rFonts w:ascii="Times New Roman" w:hAnsi="Times New Roman" w:cs="Times New Roman"/>
          <w:sz w:val="20"/>
          <w:szCs w:val="20"/>
        </w:rPr>
        <w:t>familiarisation</w:t>
      </w:r>
      <w:proofErr w:type="spellEnd"/>
      <w:r w:rsidRPr="00153C3B">
        <w:rPr>
          <w:rFonts w:ascii="Times New Roman" w:hAnsi="Times New Roman" w:cs="Times New Roman"/>
          <w:sz w:val="20"/>
          <w:szCs w:val="20"/>
        </w:rPr>
        <w:t>) involved a repeated close reading of all six documents, generating initial analytic notes and provisional ideas. Phase 2 (generating initial codes) produced 14 codes applied systematically across all data items. Phase 3 (searching for themes) sorted codes into candidate themes, while Phase 4 (reviewing themes) applied Patton's dual criterion of internal homogeneity and external heterogeneity to refine the candidate set. Phase 5 (defining and naming themes) produced final theme definitions and sub-theme structures. Phase 6 (producing the report) resulted in the present manuscript. All analytic decisions were recorded in phased documentation files to support auditability.</w:t>
      </w:r>
      <w:r w:rsidR="00153C3B" w:rsidRPr="00153C3B">
        <w:rPr>
          <w:rFonts w:ascii="Times New Roman" w:hAnsi="Times New Roman" w:cs="Times New Roman"/>
          <w:sz w:val="20"/>
          <w:szCs w:val="20"/>
        </w:rPr>
        <w:br/>
      </w:r>
    </w:p>
    <w:p w14:paraId="01ACE4FC" w14:textId="77777777"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To maintain </w:t>
      </w:r>
      <w:proofErr w:type="spellStart"/>
      <w:r w:rsidRPr="00153C3B">
        <w:rPr>
          <w:rFonts w:ascii="Times New Roman" w:hAnsi="Times New Roman" w:cs="Times New Roman"/>
          <w:sz w:val="20"/>
          <w:szCs w:val="20"/>
        </w:rPr>
        <w:t>rigour</w:t>
      </w:r>
      <w:proofErr w:type="spellEnd"/>
      <w:r w:rsidRPr="00153C3B">
        <w:rPr>
          <w:rFonts w:ascii="Times New Roman" w:hAnsi="Times New Roman" w:cs="Times New Roman"/>
          <w:sz w:val="20"/>
          <w:szCs w:val="20"/>
        </w:rPr>
        <w:t>, the research questions were consulted at each coding phase to guide inclusion decisions. Data extracts included in this report were selected to be vivid and illustrative rather than merely representative, following Braun and Clarke's (2006, p. 24) guidance that extracts should capture the essence of the theme rather than simply occurring most frequently.</w:t>
      </w:r>
    </w:p>
    <w:tbl>
      <w:tblPr>
        <w:tblW w:w="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1787"/>
        <w:gridCol w:w="837"/>
        <w:gridCol w:w="1374"/>
      </w:tblGrid>
      <w:tr w:rsidR="005E604D" w:rsidRPr="00153C3B" w14:paraId="47AC77E3" w14:textId="77777777" w:rsidTr="005E604D">
        <w:trPr>
          <w:trHeight w:val="377"/>
          <w:tblHeader/>
        </w:trPr>
        <w:tc>
          <w:tcPr>
            <w:tcW w:w="1228"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cPr>
          <w:p w14:paraId="60D95AD5" w14:textId="77777777" w:rsidR="005E604D" w:rsidRPr="00153C3B" w:rsidRDefault="005E604D" w:rsidP="00153C3B">
            <w:pPr>
              <w:spacing w:after="0" w:line="240" w:lineRule="auto"/>
              <w:jc w:val="center"/>
              <w:rPr>
                <w:rFonts w:ascii="Times New Roman" w:hAnsi="Times New Roman" w:cs="Times New Roman"/>
                <w:sz w:val="20"/>
                <w:szCs w:val="20"/>
              </w:rPr>
            </w:pPr>
            <w:r w:rsidRPr="00153C3B">
              <w:rPr>
                <w:rFonts w:ascii="Times New Roman" w:hAnsi="Times New Roman" w:cs="Times New Roman"/>
                <w:b/>
                <w:bCs/>
                <w:sz w:val="20"/>
                <w:szCs w:val="20"/>
              </w:rPr>
              <w:lastRenderedPageBreak/>
              <w:t>Theme</w:t>
            </w:r>
          </w:p>
        </w:tc>
        <w:tc>
          <w:tcPr>
            <w:tcW w:w="1787"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cPr>
          <w:p w14:paraId="0D7E7B92" w14:textId="77777777" w:rsidR="005E604D" w:rsidRPr="00153C3B" w:rsidRDefault="005E604D" w:rsidP="00153C3B">
            <w:pPr>
              <w:spacing w:after="0" w:line="240" w:lineRule="auto"/>
              <w:jc w:val="center"/>
              <w:rPr>
                <w:rFonts w:ascii="Times New Roman" w:hAnsi="Times New Roman" w:cs="Times New Roman"/>
                <w:sz w:val="20"/>
                <w:szCs w:val="20"/>
              </w:rPr>
            </w:pPr>
            <w:r w:rsidRPr="00153C3B">
              <w:rPr>
                <w:rFonts w:ascii="Times New Roman" w:hAnsi="Times New Roman" w:cs="Times New Roman"/>
                <w:b/>
                <w:bCs/>
                <w:sz w:val="20"/>
                <w:szCs w:val="20"/>
              </w:rPr>
              <w:t>Sub-themes</w:t>
            </w:r>
          </w:p>
        </w:tc>
        <w:tc>
          <w:tcPr>
            <w:tcW w:w="837"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cPr>
          <w:p w14:paraId="48574084" w14:textId="77777777" w:rsidR="005E604D" w:rsidRPr="00153C3B" w:rsidRDefault="005E604D" w:rsidP="00153C3B">
            <w:pPr>
              <w:spacing w:after="0" w:line="240" w:lineRule="auto"/>
              <w:jc w:val="center"/>
              <w:rPr>
                <w:rFonts w:ascii="Times New Roman" w:hAnsi="Times New Roman" w:cs="Times New Roman"/>
                <w:sz w:val="20"/>
                <w:szCs w:val="20"/>
              </w:rPr>
            </w:pPr>
            <w:r w:rsidRPr="00153C3B">
              <w:rPr>
                <w:rFonts w:ascii="Times New Roman" w:hAnsi="Times New Roman" w:cs="Times New Roman"/>
                <w:b/>
                <w:bCs/>
                <w:sz w:val="20"/>
                <w:szCs w:val="20"/>
              </w:rPr>
              <w:t>Key Codes</w:t>
            </w:r>
          </w:p>
        </w:tc>
        <w:tc>
          <w:tcPr>
            <w:tcW w:w="1374"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cPr>
          <w:p w14:paraId="5652F5CC" w14:textId="77777777" w:rsidR="005E604D" w:rsidRPr="00153C3B" w:rsidRDefault="005E604D" w:rsidP="00153C3B">
            <w:pPr>
              <w:spacing w:after="0" w:line="240" w:lineRule="auto"/>
              <w:jc w:val="center"/>
              <w:rPr>
                <w:rFonts w:ascii="Times New Roman" w:hAnsi="Times New Roman" w:cs="Times New Roman"/>
                <w:sz w:val="20"/>
                <w:szCs w:val="20"/>
              </w:rPr>
            </w:pPr>
            <w:r w:rsidRPr="00153C3B">
              <w:rPr>
                <w:rFonts w:ascii="Times New Roman" w:hAnsi="Times New Roman" w:cs="Times New Roman"/>
                <w:b/>
                <w:bCs/>
                <w:sz w:val="20"/>
                <w:szCs w:val="20"/>
              </w:rPr>
              <w:t>Groups</w:t>
            </w:r>
          </w:p>
        </w:tc>
      </w:tr>
      <w:tr w:rsidR="005E604D" w:rsidRPr="00153C3B" w14:paraId="627B6E4F" w14:textId="77777777" w:rsidTr="005E604D">
        <w:trPr>
          <w:trHeight w:val="838"/>
        </w:trPr>
        <w:tc>
          <w:tcPr>
            <w:tcW w:w="1228" w:type="dxa"/>
            <w:tcBorders>
              <w:top w:val="single" w:sz="4" w:space="0" w:color="CCCCCC"/>
              <w:left w:val="single" w:sz="4" w:space="0" w:color="CCCCCC"/>
              <w:bottom w:val="single" w:sz="4" w:space="0" w:color="CCCCCC"/>
              <w:right w:val="single" w:sz="4" w:space="0" w:color="CCCCCC"/>
            </w:tcBorders>
            <w:shd w:val="clear" w:color="auto" w:fill="FFF0F0"/>
            <w:tcMar>
              <w:top w:w="60" w:type="dxa"/>
              <w:left w:w="100" w:type="dxa"/>
              <w:bottom w:w="60" w:type="dxa"/>
              <w:right w:w="100" w:type="dxa"/>
            </w:tcMar>
          </w:tcPr>
          <w:p w14:paraId="3E802511"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sz w:val="20"/>
                <w:szCs w:val="20"/>
              </w:rPr>
              <w:t>T1: The Rubric Gap</w:t>
            </w:r>
          </w:p>
        </w:tc>
        <w:tc>
          <w:tcPr>
            <w:tcW w:w="1787" w:type="dxa"/>
            <w:tcBorders>
              <w:top w:val="single" w:sz="4" w:space="0" w:color="CCCCCC"/>
              <w:left w:val="single" w:sz="4" w:space="0" w:color="CCCCCC"/>
              <w:bottom w:val="single" w:sz="4" w:space="0" w:color="CCCCCC"/>
              <w:right w:val="single" w:sz="4" w:space="0" w:color="CCCCCC"/>
            </w:tcBorders>
            <w:shd w:val="clear" w:color="auto" w:fill="FFF0F0"/>
            <w:tcMar>
              <w:top w:w="60" w:type="dxa"/>
              <w:left w:w="100" w:type="dxa"/>
              <w:bottom w:w="60" w:type="dxa"/>
              <w:right w:w="100" w:type="dxa"/>
            </w:tcMar>
          </w:tcPr>
          <w:p w14:paraId="551AE2B4"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1a: Vague descriptors; 1b: Inter-assessor inconsistency; 1c: CLO–ESD misalignment</w:t>
            </w:r>
          </w:p>
        </w:tc>
        <w:tc>
          <w:tcPr>
            <w:tcW w:w="837" w:type="dxa"/>
            <w:tcBorders>
              <w:top w:val="single" w:sz="4" w:space="0" w:color="CCCCCC"/>
              <w:left w:val="single" w:sz="4" w:space="0" w:color="CCCCCC"/>
              <w:bottom w:val="single" w:sz="4" w:space="0" w:color="CCCCCC"/>
              <w:right w:val="single" w:sz="4" w:space="0" w:color="CCCCCC"/>
            </w:tcBorders>
            <w:shd w:val="clear" w:color="auto" w:fill="FFF0F0"/>
            <w:tcMar>
              <w:top w:w="60" w:type="dxa"/>
              <w:left w:w="100" w:type="dxa"/>
              <w:bottom w:w="60" w:type="dxa"/>
              <w:right w:w="100" w:type="dxa"/>
            </w:tcMar>
          </w:tcPr>
          <w:p w14:paraId="0377F1F4"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A, B, D</w:t>
            </w:r>
          </w:p>
        </w:tc>
        <w:tc>
          <w:tcPr>
            <w:tcW w:w="1374" w:type="dxa"/>
            <w:tcBorders>
              <w:top w:val="single" w:sz="4" w:space="0" w:color="CCCCCC"/>
              <w:left w:val="single" w:sz="4" w:space="0" w:color="CCCCCC"/>
              <w:bottom w:val="single" w:sz="4" w:space="0" w:color="CCCCCC"/>
              <w:right w:val="single" w:sz="4" w:space="0" w:color="CCCCCC"/>
            </w:tcBorders>
            <w:shd w:val="clear" w:color="auto" w:fill="FFF0F0"/>
            <w:tcMar>
              <w:top w:w="60" w:type="dxa"/>
              <w:left w:w="100" w:type="dxa"/>
              <w:bottom w:w="60" w:type="dxa"/>
              <w:right w:w="100" w:type="dxa"/>
            </w:tcMar>
          </w:tcPr>
          <w:p w14:paraId="2B89D9F6"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All 6 groups</w:t>
            </w:r>
          </w:p>
        </w:tc>
      </w:tr>
      <w:tr w:rsidR="005E604D" w:rsidRPr="00153C3B" w14:paraId="2E576667" w14:textId="77777777" w:rsidTr="005E604D">
        <w:trPr>
          <w:trHeight w:val="838"/>
        </w:trPr>
        <w:tc>
          <w:tcPr>
            <w:tcW w:w="1228" w:type="dxa"/>
            <w:tcBorders>
              <w:top w:val="single" w:sz="4" w:space="0" w:color="CCCCCC"/>
              <w:left w:val="single" w:sz="4" w:space="0" w:color="CCCCCC"/>
              <w:bottom w:val="single" w:sz="4" w:space="0" w:color="CCCCCC"/>
              <w:right w:val="single" w:sz="4" w:space="0" w:color="CCCCCC"/>
            </w:tcBorders>
            <w:shd w:val="clear" w:color="auto" w:fill="F0FFF0"/>
            <w:tcMar>
              <w:top w:w="60" w:type="dxa"/>
              <w:left w:w="100" w:type="dxa"/>
              <w:bottom w:w="60" w:type="dxa"/>
              <w:right w:w="100" w:type="dxa"/>
            </w:tcMar>
          </w:tcPr>
          <w:p w14:paraId="3443B287"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sz w:val="20"/>
                <w:szCs w:val="20"/>
              </w:rPr>
              <w:t>T2: Assessment Beyond the Classroom</w:t>
            </w:r>
          </w:p>
        </w:tc>
        <w:tc>
          <w:tcPr>
            <w:tcW w:w="1787" w:type="dxa"/>
            <w:tcBorders>
              <w:top w:val="single" w:sz="4" w:space="0" w:color="CCCCCC"/>
              <w:left w:val="single" w:sz="4" w:space="0" w:color="CCCCCC"/>
              <w:bottom w:val="single" w:sz="4" w:space="0" w:color="CCCCCC"/>
              <w:right w:val="single" w:sz="4" w:space="0" w:color="CCCCCC"/>
            </w:tcBorders>
            <w:shd w:val="clear" w:color="auto" w:fill="F0FFF0"/>
            <w:tcMar>
              <w:top w:w="60" w:type="dxa"/>
              <w:left w:w="100" w:type="dxa"/>
              <w:bottom w:w="60" w:type="dxa"/>
              <w:right w:w="100" w:type="dxa"/>
            </w:tcMar>
          </w:tcPr>
          <w:p w14:paraId="2424B91D"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2a: Community-engaged/SULAM; 2b: Work-based/clinical; 2c: Reflective/identity-forming</w:t>
            </w:r>
          </w:p>
        </w:tc>
        <w:tc>
          <w:tcPr>
            <w:tcW w:w="837" w:type="dxa"/>
            <w:tcBorders>
              <w:top w:val="single" w:sz="4" w:space="0" w:color="CCCCCC"/>
              <w:left w:val="single" w:sz="4" w:space="0" w:color="CCCCCC"/>
              <w:bottom w:val="single" w:sz="4" w:space="0" w:color="CCCCCC"/>
              <w:right w:val="single" w:sz="4" w:space="0" w:color="CCCCCC"/>
            </w:tcBorders>
            <w:shd w:val="clear" w:color="auto" w:fill="F0FFF0"/>
            <w:tcMar>
              <w:top w:w="60" w:type="dxa"/>
              <w:left w:w="100" w:type="dxa"/>
              <w:bottom w:w="60" w:type="dxa"/>
              <w:right w:w="100" w:type="dxa"/>
            </w:tcMar>
          </w:tcPr>
          <w:p w14:paraId="2FDE5FBC"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E, F, G, K, M</w:t>
            </w:r>
          </w:p>
        </w:tc>
        <w:tc>
          <w:tcPr>
            <w:tcW w:w="1374" w:type="dxa"/>
            <w:tcBorders>
              <w:top w:val="single" w:sz="4" w:space="0" w:color="CCCCCC"/>
              <w:left w:val="single" w:sz="4" w:space="0" w:color="CCCCCC"/>
              <w:bottom w:val="single" w:sz="4" w:space="0" w:color="CCCCCC"/>
              <w:right w:val="single" w:sz="4" w:space="0" w:color="CCCCCC"/>
            </w:tcBorders>
            <w:shd w:val="clear" w:color="auto" w:fill="F0FFF0"/>
            <w:tcMar>
              <w:top w:w="60" w:type="dxa"/>
              <w:left w:w="100" w:type="dxa"/>
              <w:bottom w:w="60" w:type="dxa"/>
              <w:right w:w="100" w:type="dxa"/>
            </w:tcMar>
          </w:tcPr>
          <w:p w14:paraId="010B6CBE"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G1, G4, G5, G6</w:t>
            </w:r>
          </w:p>
        </w:tc>
      </w:tr>
      <w:tr w:rsidR="005E604D" w:rsidRPr="00153C3B" w14:paraId="023BAE33" w14:textId="77777777" w:rsidTr="005E604D">
        <w:trPr>
          <w:trHeight w:val="825"/>
        </w:trPr>
        <w:tc>
          <w:tcPr>
            <w:tcW w:w="1228" w:type="dxa"/>
            <w:tcBorders>
              <w:top w:val="single" w:sz="4" w:space="0" w:color="CCCCCC"/>
              <w:left w:val="single" w:sz="4" w:space="0" w:color="CCCCCC"/>
              <w:bottom w:val="single" w:sz="4" w:space="0" w:color="CCCCCC"/>
              <w:right w:val="single" w:sz="4" w:space="0" w:color="CCCCCC"/>
            </w:tcBorders>
            <w:shd w:val="clear" w:color="auto" w:fill="F0F0FF"/>
            <w:tcMar>
              <w:top w:w="60" w:type="dxa"/>
              <w:left w:w="100" w:type="dxa"/>
              <w:bottom w:w="60" w:type="dxa"/>
              <w:right w:w="100" w:type="dxa"/>
            </w:tcMar>
          </w:tcPr>
          <w:p w14:paraId="6A004BCB"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sz w:val="20"/>
                <w:szCs w:val="20"/>
              </w:rPr>
              <w:t>T3: The Student Readiness Deficit</w:t>
            </w:r>
          </w:p>
        </w:tc>
        <w:tc>
          <w:tcPr>
            <w:tcW w:w="1787" w:type="dxa"/>
            <w:tcBorders>
              <w:top w:val="single" w:sz="4" w:space="0" w:color="CCCCCC"/>
              <w:left w:val="single" w:sz="4" w:space="0" w:color="CCCCCC"/>
              <w:bottom w:val="single" w:sz="4" w:space="0" w:color="CCCCCC"/>
              <w:right w:val="single" w:sz="4" w:space="0" w:color="CCCCCC"/>
            </w:tcBorders>
            <w:shd w:val="clear" w:color="auto" w:fill="F0F0FF"/>
            <w:tcMar>
              <w:top w:w="60" w:type="dxa"/>
              <w:left w:w="100" w:type="dxa"/>
              <w:bottom w:w="60" w:type="dxa"/>
              <w:right w:w="100" w:type="dxa"/>
            </w:tcMar>
          </w:tcPr>
          <w:p w14:paraId="28688FF0"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3a: Higher-order thinking limitations; 3b: Integrative learning deficits</w:t>
            </w:r>
          </w:p>
        </w:tc>
        <w:tc>
          <w:tcPr>
            <w:tcW w:w="837" w:type="dxa"/>
            <w:tcBorders>
              <w:top w:val="single" w:sz="4" w:space="0" w:color="CCCCCC"/>
              <w:left w:val="single" w:sz="4" w:space="0" w:color="CCCCCC"/>
              <w:bottom w:val="single" w:sz="4" w:space="0" w:color="CCCCCC"/>
              <w:right w:val="single" w:sz="4" w:space="0" w:color="CCCCCC"/>
            </w:tcBorders>
            <w:shd w:val="clear" w:color="auto" w:fill="F0F0FF"/>
            <w:tcMar>
              <w:top w:w="60" w:type="dxa"/>
              <w:left w:w="100" w:type="dxa"/>
              <w:bottom w:w="60" w:type="dxa"/>
              <w:right w:w="100" w:type="dxa"/>
            </w:tcMar>
          </w:tcPr>
          <w:p w14:paraId="4E66BC9C"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H, I</w:t>
            </w:r>
          </w:p>
        </w:tc>
        <w:tc>
          <w:tcPr>
            <w:tcW w:w="1374" w:type="dxa"/>
            <w:tcBorders>
              <w:top w:val="single" w:sz="4" w:space="0" w:color="CCCCCC"/>
              <w:left w:val="single" w:sz="4" w:space="0" w:color="CCCCCC"/>
              <w:bottom w:val="single" w:sz="4" w:space="0" w:color="CCCCCC"/>
              <w:right w:val="single" w:sz="4" w:space="0" w:color="CCCCCC"/>
            </w:tcBorders>
            <w:shd w:val="clear" w:color="auto" w:fill="F0F0FF"/>
            <w:tcMar>
              <w:top w:w="60" w:type="dxa"/>
              <w:left w:w="100" w:type="dxa"/>
              <w:bottom w:w="60" w:type="dxa"/>
              <w:right w:w="100" w:type="dxa"/>
            </w:tcMar>
          </w:tcPr>
          <w:p w14:paraId="565E7F04"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G2, G5, G6</w:t>
            </w:r>
          </w:p>
        </w:tc>
      </w:tr>
      <w:tr w:rsidR="005E604D" w:rsidRPr="00153C3B" w14:paraId="58BD881A" w14:textId="77777777" w:rsidTr="005E604D">
        <w:trPr>
          <w:trHeight w:val="838"/>
        </w:trPr>
        <w:tc>
          <w:tcPr>
            <w:tcW w:w="1228" w:type="dxa"/>
            <w:tcBorders>
              <w:top w:val="single" w:sz="4" w:space="0" w:color="CCCCCC"/>
              <w:left w:val="single" w:sz="4" w:space="0" w:color="CCCCCC"/>
              <w:bottom w:val="single" w:sz="4" w:space="0" w:color="CCCCCC"/>
              <w:right w:val="single" w:sz="4" w:space="0" w:color="CCCCCC"/>
            </w:tcBorders>
            <w:shd w:val="clear" w:color="auto" w:fill="FFF8F0"/>
            <w:tcMar>
              <w:top w:w="60" w:type="dxa"/>
              <w:left w:w="100" w:type="dxa"/>
              <w:bottom w:w="60" w:type="dxa"/>
              <w:right w:w="100" w:type="dxa"/>
            </w:tcMar>
          </w:tcPr>
          <w:p w14:paraId="469683AA"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sz w:val="20"/>
                <w:szCs w:val="20"/>
              </w:rPr>
              <w:t>T4: Navigating the Ecosystem</w:t>
            </w:r>
          </w:p>
        </w:tc>
        <w:tc>
          <w:tcPr>
            <w:tcW w:w="1787" w:type="dxa"/>
            <w:tcBorders>
              <w:top w:val="single" w:sz="4" w:space="0" w:color="CCCCCC"/>
              <w:left w:val="single" w:sz="4" w:space="0" w:color="CCCCCC"/>
              <w:bottom w:val="single" w:sz="4" w:space="0" w:color="CCCCCC"/>
              <w:right w:val="single" w:sz="4" w:space="0" w:color="CCCCCC"/>
            </w:tcBorders>
            <w:shd w:val="clear" w:color="auto" w:fill="FFF8F0"/>
            <w:tcMar>
              <w:top w:w="60" w:type="dxa"/>
              <w:left w:w="100" w:type="dxa"/>
              <w:bottom w:w="60" w:type="dxa"/>
              <w:right w:w="100" w:type="dxa"/>
            </w:tcMar>
          </w:tcPr>
          <w:p w14:paraId="1745DFE3"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 xml:space="preserve">4a: External partner management; 4b: Institutional </w:t>
            </w:r>
            <w:proofErr w:type="spellStart"/>
            <w:r w:rsidRPr="00153C3B">
              <w:rPr>
                <w:rFonts w:ascii="Times New Roman" w:hAnsi="Times New Roman" w:cs="Times New Roman"/>
                <w:sz w:val="20"/>
                <w:szCs w:val="20"/>
              </w:rPr>
              <w:t>standardisation</w:t>
            </w:r>
            <w:proofErr w:type="spellEnd"/>
            <w:r w:rsidRPr="00153C3B">
              <w:rPr>
                <w:rFonts w:ascii="Times New Roman" w:hAnsi="Times New Roman" w:cs="Times New Roman"/>
                <w:sz w:val="20"/>
                <w:szCs w:val="20"/>
              </w:rPr>
              <w:t>; 4c: Good practice ID</w:t>
            </w:r>
          </w:p>
        </w:tc>
        <w:tc>
          <w:tcPr>
            <w:tcW w:w="837" w:type="dxa"/>
            <w:tcBorders>
              <w:top w:val="single" w:sz="4" w:space="0" w:color="CCCCCC"/>
              <w:left w:val="single" w:sz="4" w:space="0" w:color="CCCCCC"/>
              <w:bottom w:val="single" w:sz="4" w:space="0" w:color="CCCCCC"/>
              <w:right w:val="single" w:sz="4" w:space="0" w:color="CCCCCC"/>
            </w:tcBorders>
            <w:shd w:val="clear" w:color="auto" w:fill="FFF8F0"/>
            <w:tcMar>
              <w:top w:w="60" w:type="dxa"/>
              <w:left w:w="100" w:type="dxa"/>
              <w:bottom w:w="60" w:type="dxa"/>
              <w:right w:w="100" w:type="dxa"/>
            </w:tcMar>
          </w:tcPr>
          <w:p w14:paraId="6EAACABF"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C, J, L, N</w:t>
            </w:r>
          </w:p>
        </w:tc>
        <w:tc>
          <w:tcPr>
            <w:tcW w:w="1374" w:type="dxa"/>
            <w:tcBorders>
              <w:top w:val="single" w:sz="4" w:space="0" w:color="CCCCCC"/>
              <w:left w:val="single" w:sz="4" w:space="0" w:color="CCCCCC"/>
              <w:bottom w:val="single" w:sz="4" w:space="0" w:color="CCCCCC"/>
              <w:right w:val="single" w:sz="4" w:space="0" w:color="CCCCCC"/>
            </w:tcBorders>
            <w:shd w:val="clear" w:color="auto" w:fill="FFF8F0"/>
            <w:tcMar>
              <w:top w:w="60" w:type="dxa"/>
              <w:left w:w="100" w:type="dxa"/>
              <w:bottom w:w="60" w:type="dxa"/>
              <w:right w:w="100" w:type="dxa"/>
            </w:tcMar>
          </w:tcPr>
          <w:p w14:paraId="293105F0"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sz w:val="20"/>
                <w:szCs w:val="20"/>
              </w:rPr>
              <w:t>All 6 groups</w:t>
            </w:r>
          </w:p>
        </w:tc>
      </w:tr>
    </w:tbl>
    <w:p w14:paraId="7A1B24F5" w14:textId="77777777" w:rsidR="005E604D" w:rsidRPr="00153C3B" w:rsidRDefault="005E604D" w:rsidP="00153C3B">
      <w:pPr>
        <w:spacing w:after="0" w:line="240" w:lineRule="auto"/>
        <w:jc w:val="center"/>
        <w:rPr>
          <w:rFonts w:ascii="Times New Roman" w:hAnsi="Times New Roman" w:cs="Times New Roman"/>
          <w:sz w:val="20"/>
          <w:szCs w:val="20"/>
        </w:rPr>
      </w:pPr>
      <w:r w:rsidRPr="00153C3B">
        <w:rPr>
          <w:rFonts w:ascii="Times New Roman" w:hAnsi="Times New Roman" w:cs="Times New Roman"/>
          <w:i/>
          <w:iCs/>
          <w:sz w:val="20"/>
          <w:szCs w:val="20"/>
        </w:rPr>
        <w:t>Table 1. Summary of Themes, Sub-themes, Codes, and Group Representation</w:t>
      </w:r>
    </w:p>
    <w:p w14:paraId="1CF1EF81" w14:textId="77777777" w:rsidR="005E604D" w:rsidRPr="00153C3B" w:rsidRDefault="005E604D" w:rsidP="00153C3B">
      <w:pPr>
        <w:pStyle w:val="p1"/>
        <w:jc w:val="center"/>
        <w:rPr>
          <w:color w:val="auto"/>
          <w:spacing w:val="1"/>
          <w:sz w:val="20"/>
          <w:szCs w:val="20"/>
          <w:shd w:val="clear" w:color="auto" w:fill="FFFFFF"/>
        </w:rPr>
      </w:pPr>
    </w:p>
    <w:p w14:paraId="243C6DBE" w14:textId="09973E49" w:rsidR="00FD73AB" w:rsidRPr="00153C3B" w:rsidRDefault="005E604D"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FINDINGS</w:t>
      </w:r>
    </w:p>
    <w:p w14:paraId="05882F54" w14:textId="77777777" w:rsidR="005E604D" w:rsidRPr="00153C3B" w:rsidRDefault="005E604D" w:rsidP="00153C3B">
      <w:pPr>
        <w:pStyle w:val="p1"/>
        <w:jc w:val="center"/>
        <w:rPr>
          <w:color w:val="auto"/>
          <w:spacing w:val="1"/>
          <w:sz w:val="20"/>
          <w:szCs w:val="20"/>
          <w:shd w:val="clear" w:color="auto" w:fill="FFFFFF"/>
        </w:rPr>
      </w:pPr>
    </w:p>
    <w:p w14:paraId="5DD030D9" w14:textId="1ACA422C" w:rsidR="005E604D" w:rsidRPr="00153C3B" w:rsidRDefault="005E604D"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 thematic analysis of the six group synthesis documents generated four themes, encompassing 11 subthemes derived from 14 initial codes. Table 1 presents an overview of the theme structure. </w:t>
      </w:r>
      <w:r w:rsidR="00DE6A51">
        <w:rPr>
          <w:rFonts w:ascii="Times New Roman" w:hAnsi="Times New Roman" w:cs="Times New Roman"/>
          <w:sz w:val="20"/>
          <w:szCs w:val="20"/>
        </w:rPr>
        <w:t>Table 2</w:t>
      </w:r>
      <w:r w:rsidRPr="00153C3B">
        <w:rPr>
          <w:rFonts w:ascii="Times New Roman" w:hAnsi="Times New Roman" w:cs="Times New Roman"/>
          <w:sz w:val="20"/>
          <w:szCs w:val="20"/>
        </w:rPr>
        <w:t xml:space="preserve"> presents the final thematic map, which depicts the overarching finding that faculty innovation and agency operate in productive tension with systemic rubric inadequacy and structural constraints. Themes 1 and 3 represent barrier dimensions; Themes 2 and 4 represent enabler dimensions. Together, they provide a coherent account of the conditions under which UiTM practices, stalls, and advances ESD competency assessment.</w:t>
      </w:r>
    </w:p>
    <w:p w14:paraId="5CE402C2" w14:textId="77777777" w:rsidR="00153C3B" w:rsidRPr="00153C3B" w:rsidRDefault="00153C3B" w:rsidP="00153C3B">
      <w:pPr>
        <w:spacing w:after="0" w:line="240" w:lineRule="auto"/>
        <w:ind w:firstLine="720"/>
        <w:jc w:val="both"/>
        <w:rPr>
          <w:rFonts w:ascii="Times New Roman" w:hAnsi="Times New Roman" w:cs="Times New Roman"/>
          <w:sz w:val="20"/>
          <w:szCs w:val="20"/>
        </w:rPr>
      </w:pPr>
    </w:p>
    <w:tbl>
      <w:tblPr>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1080"/>
        <w:gridCol w:w="630"/>
        <w:gridCol w:w="1530"/>
        <w:gridCol w:w="540"/>
        <w:gridCol w:w="630"/>
      </w:tblGrid>
      <w:tr w:rsidR="00153C3B" w:rsidRPr="00DE6A51" w14:paraId="1A15F6C2" w14:textId="77777777" w:rsidTr="00DE6A51">
        <w:trPr>
          <w:trHeight w:val="439"/>
          <w:tblHeader/>
        </w:trPr>
        <w:tc>
          <w:tcPr>
            <w:tcW w:w="625"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4AEAC42E"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Theme</w:t>
            </w:r>
          </w:p>
        </w:tc>
        <w:tc>
          <w:tcPr>
            <w:tcW w:w="108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2B74E4C4"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Sub-theme</w:t>
            </w:r>
          </w:p>
        </w:tc>
        <w:tc>
          <w:tcPr>
            <w:tcW w:w="63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3E78F4B1"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Codes</w:t>
            </w:r>
          </w:p>
        </w:tc>
        <w:tc>
          <w:tcPr>
            <w:tcW w:w="153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414FFAB3"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Representative Extract</w:t>
            </w:r>
          </w:p>
        </w:tc>
        <w:tc>
          <w:tcPr>
            <w:tcW w:w="54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34517B0C"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Groups</w:t>
            </w:r>
          </w:p>
        </w:tc>
        <w:tc>
          <w:tcPr>
            <w:tcW w:w="63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vAlign w:val="center"/>
          </w:tcPr>
          <w:p w14:paraId="34EA42EB" w14:textId="77777777" w:rsidR="00153C3B" w:rsidRPr="00DE6A51" w:rsidRDefault="00153C3B" w:rsidP="00DE6A51">
            <w:pPr>
              <w:spacing w:after="0" w:line="240" w:lineRule="auto"/>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Role</w:t>
            </w:r>
          </w:p>
        </w:tc>
      </w:tr>
      <w:tr w:rsidR="00153C3B" w:rsidRPr="00DE6A51" w14:paraId="699D4C1E" w14:textId="77777777" w:rsidTr="00DE6A51">
        <w:trPr>
          <w:trHeight w:val="453"/>
        </w:trPr>
        <w:tc>
          <w:tcPr>
            <w:tcW w:w="5035" w:type="dxa"/>
            <w:gridSpan w:val="6"/>
            <w:tcBorders>
              <w:top w:val="single" w:sz="4" w:space="0" w:color="FFC000"/>
              <w:left w:val="single" w:sz="4" w:space="0" w:color="FFC000"/>
              <w:bottom w:val="single" w:sz="4" w:space="0" w:color="FFC000"/>
              <w:right w:val="single" w:sz="4" w:space="0" w:color="FFC000"/>
            </w:tcBorders>
            <w:shd w:val="clear" w:color="auto" w:fill="FFF2CC"/>
            <w:tcMar>
              <w:top w:w="80" w:type="dxa"/>
              <w:left w:w="120" w:type="dxa"/>
              <w:bottom w:w="80" w:type="dxa"/>
              <w:right w:w="120" w:type="dxa"/>
            </w:tcMar>
          </w:tcPr>
          <w:p w14:paraId="57A82B98"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 xml:space="preserve">OVERARCHING FINDING: </w:t>
            </w:r>
            <w:r w:rsidRPr="00DE6A51">
              <w:rPr>
                <w:rFonts w:ascii="Times New Roman" w:eastAsia="Times New Roman" w:hAnsi="Times New Roman" w:cs="Times New Roman"/>
                <w:i/>
                <w:iCs/>
                <w:sz w:val="15"/>
                <w:szCs w:val="15"/>
              </w:rPr>
              <w:t>Faculty innovate ESD assessment despite systemic rubric and structural barriers; practitioner agency drives emergent good practice</w:t>
            </w:r>
          </w:p>
        </w:tc>
      </w:tr>
      <w:tr w:rsidR="00153C3B" w:rsidRPr="00DE6A51" w14:paraId="2DF6D042" w14:textId="77777777" w:rsidTr="00DE6A51">
        <w:trPr>
          <w:trHeight w:val="1273"/>
        </w:trPr>
        <w:tc>
          <w:tcPr>
            <w:tcW w:w="625" w:type="dxa"/>
            <w:vMerge w:val="restart"/>
            <w:tcBorders>
              <w:top w:val="single" w:sz="4" w:space="0" w:color="C00000"/>
              <w:left w:val="single" w:sz="4" w:space="0" w:color="C00000"/>
              <w:bottom w:val="single" w:sz="4" w:space="0" w:color="C00000"/>
              <w:right w:val="single" w:sz="4" w:space="0" w:color="C00000"/>
            </w:tcBorders>
            <w:shd w:val="clear" w:color="auto" w:fill="C00000"/>
            <w:tcMar>
              <w:top w:w="80" w:type="dxa"/>
              <w:left w:w="100" w:type="dxa"/>
              <w:bottom w:w="80" w:type="dxa"/>
              <w:right w:w="100" w:type="dxa"/>
            </w:tcMar>
            <w:textDirection w:val="btLr"/>
          </w:tcPr>
          <w:p w14:paraId="1EF08982" w14:textId="77777777" w:rsidR="00DE6A51" w:rsidRPr="00DE6A51" w:rsidRDefault="00153C3B" w:rsidP="00DE6A51">
            <w:pPr>
              <w:spacing w:after="0" w:line="240" w:lineRule="auto"/>
              <w:ind w:left="113" w:right="113"/>
              <w:jc w:val="center"/>
              <w:rPr>
                <w:rFonts w:ascii="Times New Roman" w:eastAsia="Times New Roman" w:hAnsi="Times New Roman" w:cs="Times New Roman"/>
                <w:b/>
                <w:bCs/>
                <w:sz w:val="15"/>
                <w:szCs w:val="15"/>
              </w:rPr>
            </w:pPr>
            <w:r w:rsidRPr="00DE6A51">
              <w:rPr>
                <w:rFonts w:ascii="Times New Roman" w:eastAsia="Times New Roman" w:hAnsi="Times New Roman" w:cs="Times New Roman"/>
                <w:b/>
                <w:bCs/>
                <w:sz w:val="15"/>
                <w:szCs w:val="15"/>
              </w:rPr>
              <w:t>T1</w:t>
            </w:r>
          </w:p>
          <w:p w14:paraId="527E1C4C" w14:textId="34DEA923" w:rsidR="00153C3B" w:rsidRPr="00DE6A51" w:rsidRDefault="00153C3B" w:rsidP="00DE6A51">
            <w:pPr>
              <w:spacing w:after="0" w:line="240" w:lineRule="auto"/>
              <w:ind w:left="113" w:right="113"/>
              <w:jc w:val="center"/>
              <w:rPr>
                <w:sz w:val="15"/>
                <w:szCs w:val="15"/>
              </w:rPr>
            </w:pPr>
            <w:r w:rsidRPr="00DE6A51">
              <w:rPr>
                <w:rFonts w:ascii="Times New Roman" w:eastAsia="Times New Roman" w:hAnsi="Times New Roman" w:cs="Times New Roman"/>
                <w:b/>
                <w:bCs/>
                <w:sz w:val="15"/>
                <w:szCs w:val="15"/>
              </w:rPr>
              <w:t>The</w:t>
            </w:r>
            <w:r w:rsidR="00DE6A51" w:rsidRPr="00DE6A51">
              <w:rPr>
                <w:rFonts w:ascii="Times New Roman" w:eastAsia="Times New Roman" w:hAnsi="Times New Roman" w:cs="Times New Roman"/>
                <w:b/>
                <w:bCs/>
                <w:sz w:val="15"/>
                <w:szCs w:val="15"/>
              </w:rPr>
              <w:t xml:space="preserve"> </w:t>
            </w:r>
            <w:r w:rsidRPr="00DE6A51">
              <w:rPr>
                <w:rFonts w:ascii="Times New Roman" w:eastAsia="Times New Roman" w:hAnsi="Times New Roman" w:cs="Times New Roman"/>
                <w:b/>
                <w:bCs/>
                <w:sz w:val="15"/>
                <w:szCs w:val="15"/>
              </w:rPr>
              <w:t>Rubric</w:t>
            </w:r>
            <w:r w:rsidR="00DE6A51" w:rsidRPr="00DE6A51">
              <w:rPr>
                <w:rFonts w:ascii="Times New Roman" w:eastAsia="Times New Roman" w:hAnsi="Times New Roman" w:cs="Times New Roman"/>
                <w:b/>
                <w:bCs/>
                <w:sz w:val="15"/>
                <w:szCs w:val="15"/>
              </w:rPr>
              <w:t xml:space="preserve"> </w:t>
            </w:r>
            <w:r w:rsidRPr="00DE6A51">
              <w:rPr>
                <w:rFonts w:ascii="Times New Roman" w:eastAsia="Times New Roman" w:hAnsi="Times New Roman" w:cs="Times New Roman"/>
                <w:b/>
                <w:bCs/>
                <w:sz w:val="15"/>
                <w:szCs w:val="15"/>
              </w:rPr>
              <w:t>Gap</w:t>
            </w:r>
          </w:p>
        </w:tc>
        <w:tc>
          <w:tcPr>
            <w:tcW w:w="108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4B10840C" w14:textId="5D0B8040"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1a: Vague &amp; generic</w:t>
            </w:r>
            <w:r w:rsidR="00DE6A51">
              <w:rPr>
                <w:rFonts w:ascii="Times New Roman" w:eastAsia="Times New Roman" w:hAnsi="Times New Roman" w:cs="Times New Roman"/>
                <w:sz w:val="15"/>
                <w:szCs w:val="15"/>
              </w:rPr>
              <w:t xml:space="preserve"> </w:t>
            </w:r>
            <w:r w:rsidRPr="00DE6A51">
              <w:rPr>
                <w:rFonts w:ascii="Times New Roman" w:eastAsia="Times New Roman" w:hAnsi="Times New Roman" w:cs="Times New Roman"/>
                <w:sz w:val="15"/>
                <w:szCs w:val="15"/>
              </w:rPr>
              <w:t>rubric descriptors</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53A6A48A"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A, B</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B03165A"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 xml:space="preserve">Rubric too general and unclear. [Develop] detail rubric (rubric criteria) align with the </w:t>
            </w:r>
            <w:proofErr w:type="gramStart"/>
            <w:r w:rsidRPr="00DE6A51">
              <w:rPr>
                <w:rFonts w:ascii="Times New Roman" w:eastAsia="Times New Roman" w:hAnsi="Times New Roman" w:cs="Times New Roman"/>
                <w:i/>
                <w:iCs/>
                <w:sz w:val="15"/>
                <w:szCs w:val="15"/>
              </w:rPr>
              <w:t>attributes</w:t>
            </w:r>
            <w:proofErr w:type="gramEnd"/>
            <w:r w:rsidRPr="00DE6A51">
              <w:rPr>
                <w:rFonts w:ascii="Times New Roman" w:eastAsia="Times New Roman" w:hAnsi="Times New Roman" w:cs="Times New Roman"/>
                <w:i/>
                <w:iCs/>
                <w:sz w:val="15"/>
                <w:szCs w:val="15"/>
              </w:rPr>
              <w:t xml:space="preserve"> measurement. (G4)</w:t>
            </w:r>
          </w:p>
        </w:tc>
        <w:tc>
          <w:tcPr>
            <w:tcW w:w="54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007D5AD5"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All 6</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64125293"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Barrier</w:t>
            </w:r>
          </w:p>
        </w:tc>
      </w:tr>
      <w:tr w:rsidR="00153C3B" w:rsidRPr="00DE6A51" w14:paraId="32ADC302" w14:textId="77777777" w:rsidTr="00DE6A51">
        <w:trPr>
          <w:trHeight w:val="147"/>
        </w:trPr>
        <w:tc>
          <w:tcPr>
            <w:tcW w:w="625" w:type="dxa"/>
            <w:vMerge/>
            <w:tcBorders>
              <w:top w:val="single" w:sz="4" w:space="0" w:color="C00000"/>
              <w:left w:val="single" w:sz="4" w:space="0" w:color="C00000"/>
              <w:bottom w:val="single" w:sz="4" w:space="0" w:color="C00000"/>
              <w:right w:val="single" w:sz="4" w:space="0" w:color="C00000"/>
            </w:tcBorders>
            <w:shd w:val="clear" w:color="auto" w:fill="C00000"/>
            <w:tcMar>
              <w:top w:w="80" w:type="dxa"/>
              <w:left w:w="100" w:type="dxa"/>
              <w:bottom w:w="80" w:type="dxa"/>
              <w:right w:w="100" w:type="dxa"/>
            </w:tcMar>
            <w:vAlign w:val="center"/>
          </w:tcPr>
          <w:p w14:paraId="70A046C5" w14:textId="77777777" w:rsidR="00153C3B" w:rsidRPr="00DE6A51" w:rsidRDefault="00153C3B" w:rsidP="00DE6A51">
            <w:pPr>
              <w:widowControl w:val="0"/>
              <w:pBdr>
                <w:top w:val="nil"/>
                <w:left w:val="nil"/>
                <w:bottom w:val="nil"/>
                <w:right w:val="nil"/>
                <w:between w:val="nil"/>
              </w:pBdr>
              <w:spacing w:after="0" w:line="240" w:lineRule="auto"/>
              <w:rPr>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4FC7E8C1" w14:textId="385FF8B1"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1b: Inter-</w:t>
            </w:r>
            <w:r w:rsidR="00DE6A51" w:rsidRPr="00DE6A51">
              <w:rPr>
                <w:rFonts w:ascii="Times New Roman" w:eastAsia="Times New Roman" w:hAnsi="Times New Roman" w:cs="Times New Roman"/>
                <w:sz w:val="15"/>
                <w:szCs w:val="15"/>
              </w:rPr>
              <w:t>assessor inconsistency</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43391140"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F57959E"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Scoring consistency is impacted by individual lecturer discretion and subjective interpretation of rubric descriptors. (G1)</w:t>
            </w:r>
          </w:p>
        </w:tc>
        <w:tc>
          <w:tcPr>
            <w:tcW w:w="54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5E13D8A4"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G1, G2, G5</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3A6AEA5D"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Barrier</w:t>
            </w:r>
          </w:p>
        </w:tc>
      </w:tr>
      <w:tr w:rsidR="00153C3B" w:rsidRPr="00DE6A51" w14:paraId="4D904D78" w14:textId="77777777" w:rsidTr="00DE6A51">
        <w:trPr>
          <w:trHeight w:val="147"/>
        </w:trPr>
        <w:tc>
          <w:tcPr>
            <w:tcW w:w="625" w:type="dxa"/>
            <w:vMerge/>
            <w:tcBorders>
              <w:top w:val="single" w:sz="4" w:space="0" w:color="C00000"/>
              <w:left w:val="single" w:sz="4" w:space="0" w:color="C00000"/>
              <w:bottom w:val="single" w:sz="4" w:space="0" w:color="C00000"/>
              <w:right w:val="single" w:sz="4" w:space="0" w:color="C00000"/>
            </w:tcBorders>
            <w:shd w:val="clear" w:color="auto" w:fill="C00000"/>
            <w:tcMar>
              <w:top w:w="80" w:type="dxa"/>
              <w:left w:w="100" w:type="dxa"/>
              <w:bottom w:w="80" w:type="dxa"/>
              <w:right w:w="100" w:type="dxa"/>
            </w:tcMar>
            <w:vAlign w:val="center"/>
          </w:tcPr>
          <w:p w14:paraId="4F1EF9AB" w14:textId="77777777" w:rsidR="00153C3B" w:rsidRPr="00DE6A51" w:rsidRDefault="00153C3B" w:rsidP="00DE6A51">
            <w:pPr>
              <w:widowControl w:val="0"/>
              <w:pBdr>
                <w:top w:val="nil"/>
                <w:left w:val="nil"/>
                <w:bottom w:val="nil"/>
                <w:right w:val="nil"/>
                <w:between w:val="nil"/>
              </w:pBdr>
              <w:spacing w:after="0" w:line="240" w:lineRule="auto"/>
              <w:rPr>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725CFC12" w14:textId="5C5946CF"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1c: CLO–ESD</w:t>
            </w:r>
            <w:r w:rsidR="00DE6A51">
              <w:rPr>
                <w:rFonts w:ascii="Times New Roman" w:eastAsia="Times New Roman" w:hAnsi="Times New Roman" w:cs="Times New Roman"/>
                <w:sz w:val="15"/>
                <w:szCs w:val="15"/>
              </w:rPr>
              <w:t xml:space="preserve"> </w:t>
            </w:r>
            <w:r w:rsidRPr="00DE6A51">
              <w:rPr>
                <w:rFonts w:ascii="Times New Roman" w:eastAsia="Times New Roman" w:hAnsi="Times New Roman" w:cs="Times New Roman"/>
                <w:sz w:val="15"/>
                <w:szCs w:val="15"/>
              </w:rPr>
              <w:t>competency misalignment</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743F2E67"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D</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6E42CF7"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CLO may not clearly measure systems-thinking elements. (G3)</w:t>
            </w:r>
          </w:p>
        </w:tc>
        <w:tc>
          <w:tcPr>
            <w:tcW w:w="54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6A9DC9D5"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G2, G3, G5</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4254E2DF"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Barrier</w:t>
            </w:r>
          </w:p>
        </w:tc>
      </w:tr>
      <w:tr w:rsidR="00153C3B" w:rsidRPr="00DE6A51" w14:paraId="14D88522" w14:textId="77777777" w:rsidTr="00DE6A51">
        <w:trPr>
          <w:trHeight w:val="1347"/>
        </w:trPr>
        <w:tc>
          <w:tcPr>
            <w:tcW w:w="625" w:type="dxa"/>
            <w:vMerge w:val="restart"/>
            <w:tcBorders>
              <w:top w:val="single" w:sz="4" w:space="0" w:color="375623"/>
              <w:left w:val="single" w:sz="4" w:space="0" w:color="375623"/>
              <w:bottom w:val="single" w:sz="4" w:space="0" w:color="375623"/>
              <w:right w:val="single" w:sz="4" w:space="0" w:color="375623"/>
            </w:tcBorders>
            <w:shd w:val="clear" w:color="auto" w:fill="375623"/>
            <w:tcMar>
              <w:top w:w="80" w:type="dxa"/>
              <w:left w:w="100" w:type="dxa"/>
              <w:bottom w:w="80" w:type="dxa"/>
              <w:right w:w="100" w:type="dxa"/>
            </w:tcMar>
            <w:textDirection w:val="btLr"/>
          </w:tcPr>
          <w:p w14:paraId="33F8C0DF" w14:textId="3B0E854F" w:rsidR="00153C3B" w:rsidRPr="00DE6A51" w:rsidRDefault="00153C3B" w:rsidP="00DE6A51">
            <w:pPr>
              <w:spacing w:after="0" w:line="240" w:lineRule="auto"/>
              <w:ind w:left="113" w:right="113"/>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T2</w:t>
            </w:r>
            <w:r w:rsidR="00DE6A51" w:rsidRP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Assessment</w:t>
            </w:r>
            <w:r w:rsid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B</w:t>
            </w:r>
            <w:r w:rsidR="00DE6A51">
              <w:rPr>
                <w:rFonts w:ascii="Times New Roman" w:eastAsia="Times New Roman" w:hAnsi="Times New Roman" w:cs="Times New Roman"/>
                <w:b/>
                <w:bCs/>
                <w:color w:val="FFFFFF" w:themeColor="background1"/>
                <w:sz w:val="15"/>
                <w:szCs w:val="15"/>
              </w:rPr>
              <w:t>e</w:t>
            </w:r>
            <w:r w:rsidRPr="00DE6A51">
              <w:rPr>
                <w:rFonts w:ascii="Times New Roman" w:eastAsia="Times New Roman" w:hAnsi="Times New Roman" w:cs="Times New Roman"/>
                <w:b/>
                <w:bCs/>
                <w:color w:val="FFFFFF" w:themeColor="background1"/>
                <w:sz w:val="15"/>
                <w:szCs w:val="15"/>
              </w:rPr>
              <w:t>yond the</w:t>
            </w:r>
            <w:r w:rsidR="00DE6A51" w:rsidRP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Classroom</w:t>
            </w:r>
          </w:p>
        </w:tc>
        <w:tc>
          <w:tcPr>
            <w:tcW w:w="108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690C0167"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2a: Community-engaged&amp; SULAM assessment</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0C9EB6D2"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 K</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3FD84711"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The course serves as a model for SC5 by transitioning students from passive knowledge acquisition to transformative action. (G1)</w:t>
            </w:r>
          </w:p>
        </w:tc>
        <w:tc>
          <w:tcPr>
            <w:tcW w:w="54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672B3A87"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G1, G6</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007147B4"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r w:rsidR="00153C3B" w:rsidRPr="00DE6A51" w14:paraId="2C279DD5" w14:textId="77777777" w:rsidTr="00DE6A51">
        <w:trPr>
          <w:trHeight w:val="147"/>
        </w:trPr>
        <w:tc>
          <w:tcPr>
            <w:tcW w:w="625" w:type="dxa"/>
            <w:vMerge/>
            <w:tcBorders>
              <w:top w:val="single" w:sz="4" w:space="0" w:color="375623"/>
              <w:left w:val="single" w:sz="4" w:space="0" w:color="375623"/>
              <w:bottom w:val="single" w:sz="4" w:space="0" w:color="375623"/>
              <w:right w:val="single" w:sz="4" w:space="0" w:color="375623"/>
            </w:tcBorders>
            <w:shd w:val="clear" w:color="auto" w:fill="375623"/>
            <w:tcMar>
              <w:top w:w="80" w:type="dxa"/>
              <w:left w:w="100" w:type="dxa"/>
              <w:bottom w:w="80" w:type="dxa"/>
              <w:right w:w="100" w:type="dxa"/>
            </w:tcMar>
            <w:textDirection w:val="btLr"/>
          </w:tcPr>
          <w:p w14:paraId="51781A6E" w14:textId="77777777" w:rsidR="00153C3B" w:rsidRPr="00DE6A51" w:rsidRDefault="00153C3B" w:rsidP="00DE6A51">
            <w:pPr>
              <w:widowControl w:val="0"/>
              <w:pBdr>
                <w:top w:val="nil"/>
                <w:left w:val="nil"/>
                <w:bottom w:val="nil"/>
                <w:right w:val="nil"/>
                <w:between w:val="nil"/>
              </w:pBdr>
              <w:spacing w:after="0" w:line="240" w:lineRule="auto"/>
              <w:ind w:left="113" w:right="113"/>
              <w:jc w:val="center"/>
              <w:rPr>
                <w:color w:val="FFFFFF" w:themeColor="background1"/>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079AD255"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2b: Work-based &amp;clinical assessment</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5983B303"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F</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C775368"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The student documents and writes up their daily activity during the internship and obtains feedback from SV Industry. (G6)</w:t>
            </w:r>
          </w:p>
        </w:tc>
        <w:tc>
          <w:tcPr>
            <w:tcW w:w="54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78C78409"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G4, G6</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19214382"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r w:rsidR="00153C3B" w:rsidRPr="00DE6A51" w14:paraId="43283269" w14:textId="77777777" w:rsidTr="00DE6A51">
        <w:trPr>
          <w:trHeight w:val="147"/>
        </w:trPr>
        <w:tc>
          <w:tcPr>
            <w:tcW w:w="625" w:type="dxa"/>
            <w:vMerge/>
            <w:tcBorders>
              <w:top w:val="single" w:sz="4" w:space="0" w:color="375623"/>
              <w:left w:val="single" w:sz="4" w:space="0" w:color="375623"/>
              <w:bottom w:val="single" w:sz="4" w:space="0" w:color="375623"/>
              <w:right w:val="single" w:sz="4" w:space="0" w:color="375623"/>
            </w:tcBorders>
            <w:shd w:val="clear" w:color="auto" w:fill="375623"/>
            <w:tcMar>
              <w:top w:w="80" w:type="dxa"/>
              <w:left w:w="100" w:type="dxa"/>
              <w:bottom w:w="80" w:type="dxa"/>
              <w:right w:w="100" w:type="dxa"/>
            </w:tcMar>
            <w:textDirection w:val="btLr"/>
          </w:tcPr>
          <w:p w14:paraId="06DEB26C" w14:textId="77777777" w:rsidR="00153C3B" w:rsidRPr="00DE6A51" w:rsidRDefault="00153C3B" w:rsidP="00DE6A51">
            <w:pPr>
              <w:widowControl w:val="0"/>
              <w:pBdr>
                <w:top w:val="nil"/>
                <w:left w:val="nil"/>
                <w:bottom w:val="nil"/>
                <w:right w:val="nil"/>
                <w:between w:val="nil"/>
              </w:pBdr>
              <w:spacing w:after="0" w:line="240" w:lineRule="auto"/>
              <w:ind w:left="113" w:right="113"/>
              <w:jc w:val="center"/>
              <w:rPr>
                <w:color w:val="FFFFFF" w:themeColor="background1"/>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286F9BFF"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2c: Reflective &amp;identity-forming assessment</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5CC05968"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G, M</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A32C777"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 xml:space="preserve">Strong integration of ethics, professional </w:t>
            </w:r>
            <w:proofErr w:type="spellStart"/>
            <w:r w:rsidRPr="00DE6A51">
              <w:rPr>
                <w:rFonts w:ascii="Times New Roman" w:eastAsia="Times New Roman" w:hAnsi="Times New Roman" w:cs="Times New Roman"/>
                <w:i/>
                <w:iCs/>
                <w:sz w:val="15"/>
                <w:szCs w:val="15"/>
              </w:rPr>
              <w:t>behaviour</w:t>
            </w:r>
            <w:proofErr w:type="spellEnd"/>
            <w:r w:rsidRPr="00DE6A51">
              <w:rPr>
                <w:rFonts w:ascii="Times New Roman" w:eastAsia="Times New Roman" w:hAnsi="Times New Roman" w:cs="Times New Roman"/>
                <w:i/>
                <w:iCs/>
                <w:sz w:val="15"/>
                <w:szCs w:val="15"/>
              </w:rPr>
              <w:t>, and self-awareness through reflective learning and assessment. (G5)</w:t>
            </w:r>
          </w:p>
        </w:tc>
        <w:tc>
          <w:tcPr>
            <w:tcW w:w="54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691B1484"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G3, G5</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4EEF088F"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r w:rsidR="00153C3B" w:rsidRPr="00DE6A51" w14:paraId="45201349" w14:textId="77777777" w:rsidTr="00DE6A51">
        <w:trPr>
          <w:trHeight w:val="1069"/>
        </w:trPr>
        <w:tc>
          <w:tcPr>
            <w:tcW w:w="625" w:type="dxa"/>
            <w:vMerge w:val="restart"/>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extDirection w:val="btLr"/>
          </w:tcPr>
          <w:p w14:paraId="6EC55D52" w14:textId="77777777" w:rsidR="00DE6A51" w:rsidRDefault="00153C3B" w:rsidP="00DE6A51">
            <w:pPr>
              <w:spacing w:after="0" w:line="240" w:lineRule="auto"/>
              <w:ind w:left="113" w:right="113"/>
              <w:jc w:val="center"/>
              <w:rPr>
                <w:rFonts w:ascii="Times New Roman" w:eastAsia="Times New Roman" w:hAnsi="Times New Roman" w:cs="Times New Roman"/>
                <w:b/>
                <w:bCs/>
                <w:color w:val="FFFFFF" w:themeColor="background1"/>
                <w:sz w:val="15"/>
                <w:szCs w:val="15"/>
              </w:rPr>
            </w:pPr>
            <w:r w:rsidRPr="00DE6A51">
              <w:rPr>
                <w:rFonts w:ascii="Times New Roman" w:eastAsia="Times New Roman" w:hAnsi="Times New Roman" w:cs="Times New Roman"/>
                <w:b/>
                <w:bCs/>
                <w:color w:val="FFFFFF" w:themeColor="background1"/>
                <w:sz w:val="15"/>
                <w:szCs w:val="15"/>
              </w:rPr>
              <w:t>T3</w:t>
            </w:r>
          </w:p>
          <w:p w14:paraId="7822C586" w14:textId="61066035" w:rsidR="00153C3B" w:rsidRPr="00DE6A51" w:rsidRDefault="00153C3B" w:rsidP="00DE6A51">
            <w:pPr>
              <w:spacing w:after="0" w:line="240" w:lineRule="auto"/>
              <w:ind w:left="113" w:right="113"/>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The Student</w:t>
            </w:r>
            <w:r w:rsid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Readiness</w:t>
            </w:r>
            <w:r w:rsid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Deficit</w:t>
            </w:r>
          </w:p>
        </w:tc>
        <w:tc>
          <w:tcPr>
            <w:tcW w:w="108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6900AEA5" w14:textId="4FB707B4"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3a: Higher-</w:t>
            </w:r>
            <w:r w:rsidR="00DE6A51" w:rsidRPr="00DE6A51">
              <w:rPr>
                <w:rFonts w:ascii="Times New Roman" w:eastAsia="Times New Roman" w:hAnsi="Times New Roman" w:cs="Times New Roman"/>
                <w:sz w:val="15"/>
                <w:szCs w:val="15"/>
              </w:rPr>
              <w:t>order thinking</w:t>
            </w:r>
            <w:r w:rsidRPr="00DE6A51">
              <w:rPr>
                <w:rFonts w:ascii="Times New Roman" w:eastAsia="Times New Roman" w:hAnsi="Times New Roman" w:cs="Times New Roman"/>
                <w:sz w:val="15"/>
                <w:szCs w:val="15"/>
              </w:rPr>
              <w:t xml:space="preserve"> limitations</w:t>
            </w:r>
          </w:p>
        </w:tc>
        <w:tc>
          <w:tcPr>
            <w:tcW w:w="63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5A38F1A4"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H</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559B0A87"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Turning a critical thinking question into a simple reading comprehension test. (G2)</w:t>
            </w:r>
          </w:p>
        </w:tc>
        <w:tc>
          <w:tcPr>
            <w:tcW w:w="54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37EFB0BD"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G2, G5, G6</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015C1862"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Barrier</w:t>
            </w:r>
          </w:p>
        </w:tc>
      </w:tr>
      <w:tr w:rsidR="00153C3B" w:rsidRPr="00DE6A51" w14:paraId="72B02EAC" w14:textId="77777777" w:rsidTr="00DE6A51">
        <w:trPr>
          <w:trHeight w:val="147"/>
        </w:trPr>
        <w:tc>
          <w:tcPr>
            <w:tcW w:w="625" w:type="dxa"/>
            <w:vMerge/>
            <w:tcBorders>
              <w:top w:val="single" w:sz="4" w:space="0" w:color="1F4E79"/>
              <w:left w:val="single" w:sz="4" w:space="0" w:color="1F4E79"/>
              <w:bottom w:val="single" w:sz="4" w:space="0" w:color="1F4E79"/>
              <w:right w:val="single" w:sz="4" w:space="0" w:color="1F4E79"/>
            </w:tcBorders>
            <w:shd w:val="clear" w:color="auto" w:fill="1F4E79"/>
            <w:tcMar>
              <w:top w:w="80" w:type="dxa"/>
              <w:left w:w="100" w:type="dxa"/>
              <w:bottom w:w="80" w:type="dxa"/>
              <w:right w:w="100" w:type="dxa"/>
            </w:tcMar>
            <w:textDirection w:val="btLr"/>
          </w:tcPr>
          <w:p w14:paraId="7A90AD63" w14:textId="77777777" w:rsidR="00153C3B" w:rsidRPr="00DE6A51" w:rsidRDefault="00153C3B" w:rsidP="00DE6A51">
            <w:pPr>
              <w:widowControl w:val="0"/>
              <w:pBdr>
                <w:top w:val="nil"/>
                <w:left w:val="nil"/>
                <w:bottom w:val="nil"/>
                <w:right w:val="nil"/>
                <w:between w:val="nil"/>
              </w:pBdr>
              <w:spacing w:after="0" w:line="240" w:lineRule="auto"/>
              <w:ind w:left="113" w:right="113"/>
              <w:jc w:val="center"/>
              <w:rPr>
                <w:color w:val="FFFFFF" w:themeColor="background1"/>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1B589A6A"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3b: Integrative &amp;cross-disciplinary deficits</w:t>
            </w:r>
          </w:p>
        </w:tc>
        <w:tc>
          <w:tcPr>
            <w:tcW w:w="63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31289A1E"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I</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7DAD40EB"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Students failed to relate the practice between one course and other courses. (G2)</w:t>
            </w:r>
          </w:p>
        </w:tc>
        <w:tc>
          <w:tcPr>
            <w:tcW w:w="540" w:type="dxa"/>
            <w:tcBorders>
              <w:top w:val="single" w:sz="4" w:space="0" w:color="CCCCCC"/>
              <w:left w:val="single" w:sz="4" w:space="0" w:color="CCCCCC"/>
              <w:bottom w:val="single" w:sz="4" w:space="0" w:color="CCCCCC"/>
              <w:right w:val="single" w:sz="4" w:space="0" w:color="CCCCCC"/>
            </w:tcBorders>
            <w:shd w:val="clear" w:color="auto" w:fill="BDD7EE"/>
            <w:tcMar>
              <w:top w:w="70" w:type="dxa"/>
              <w:left w:w="100" w:type="dxa"/>
              <w:bottom w:w="70" w:type="dxa"/>
              <w:right w:w="100" w:type="dxa"/>
            </w:tcMar>
            <w:vAlign w:val="center"/>
          </w:tcPr>
          <w:p w14:paraId="7AA07745"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G2, G6</w:t>
            </w:r>
          </w:p>
        </w:tc>
        <w:tc>
          <w:tcPr>
            <w:tcW w:w="630" w:type="dxa"/>
            <w:tcBorders>
              <w:top w:val="single" w:sz="4" w:space="0" w:color="CCCCCC"/>
              <w:left w:val="single" w:sz="4" w:space="0" w:color="CCCCCC"/>
              <w:bottom w:val="single" w:sz="4" w:space="0" w:color="CCCCCC"/>
              <w:right w:val="single" w:sz="4" w:space="0" w:color="CCCCCC"/>
            </w:tcBorders>
            <w:shd w:val="clear" w:color="auto" w:fill="FCE4D6"/>
            <w:tcMar>
              <w:top w:w="70" w:type="dxa"/>
              <w:left w:w="100" w:type="dxa"/>
              <w:bottom w:w="70" w:type="dxa"/>
              <w:right w:w="100" w:type="dxa"/>
            </w:tcMar>
            <w:vAlign w:val="center"/>
          </w:tcPr>
          <w:p w14:paraId="790C94AA"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Barrier</w:t>
            </w:r>
          </w:p>
        </w:tc>
      </w:tr>
      <w:tr w:rsidR="00153C3B" w:rsidRPr="00DE6A51" w14:paraId="00223AB5" w14:textId="77777777" w:rsidTr="00DE6A51">
        <w:trPr>
          <w:trHeight w:val="1069"/>
        </w:trPr>
        <w:tc>
          <w:tcPr>
            <w:tcW w:w="625" w:type="dxa"/>
            <w:vMerge w:val="restart"/>
            <w:tcBorders>
              <w:top w:val="single" w:sz="4" w:space="0" w:color="7030A0"/>
              <w:left w:val="single" w:sz="4" w:space="0" w:color="7030A0"/>
              <w:bottom w:val="single" w:sz="4" w:space="0" w:color="7030A0"/>
              <w:right w:val="single" w:sz="4" w:space="0" w:color="7030A0"/>
            </w:tcBorders>
            <w:shd w:val="clear" w:color="auto" w:fill="7030A0"/>
            <w:tcMar>
              <w:top w:w="80" w:type="dxa"/>
              <w:left w:w="100" w:type="dxa"/>
              <w:bottom w:w="80" w:type="dxa"/>
              <w:right w:w="100" w:type="dxa"/>
            </w:tcMar>
            <w:textDirection w:val="btLr"/>
          </w:tcPr>
          <w:p w14:paraId="0E41FF9F" w14:textId="77777777" w:rsidR="00DE6A51" w:rsidRDefault="00153C3B" w:rsidP="00DE6A51">
            <w:pPr>
              <w:spacing w:after="0" w:line="240" w:lineRule="auto"/>
              <w:ind w:left="113" w:right="113"/>
              <w:jc w:val="center"/>
              <w:rPr>
                <w:rFonts w:ascii="Times New Roman" w:eastAsia="Times New Roman" w:hAnsi="Times New Roman" w:cs="Times New Roman"/>
                <w:b/>
                <w:bCs/>
                <w:color w:val="FFFFFF" w:themeColor="background1"/>
                <w:sz w:val="15"/>
                <w:szCs w:val="15"/>
              </w:rPr>
            </w:pPr>
            <w:r w:rsidRPr="00DE6A51">
              <w:rPr>
                <w:rFonts w:ascii="Times New Roman" w:eastAsia="Times New Roman" w:hAnsi="Times New Roman" w:cs="Times New Roman"/>
                <w:b/>
                <w:bCs/>
                <w:color w:val="FFFFFF" w:themeColor="background1"/>
                <w:sz w:val="15"/>
                <w:szCs w:val="15"/>
              </w:rPr>
              <w:t>T4</w:t>
            </w:r>
          </w:p>
          <w:p w14:paraId="6BFB727E" w14:textId="11258491" w:rsidR="00153C3B" w:rsidRPr="00DE6A51" w:rsidRDefault="00153C3B" w:rsidP="00DE6A51">
            <w:pPr>
              <w:spacing w:after="0" w:line="240" w:lineRule="auto"/>
              <w:ind w:left="113" w:right="113"/>
              <w:jc w:val="center"/>
              <w:rPr>
                <w:color w:val="FFFFFF" w:themeColor="background1"/>
                <w:sz w:val="15"/>
                <w:szCs w:val="15"/>
              </w:rPr>
            </w:pPr>
            <w:r w:rsidRPr="00DE6A51">
              <w:rPr>
                <w:rFonts w:ascii="Times New Roman" w:eastAsia="Times New Roman" w:hAnsi="Times New Roman" w:cs="Times New Roman"/>
                <w:b/>
                <w:bCs/>
                <w:color w:val="FFFFFF" w:themeColor="background1"/>
                <w:sz w:val="15"/>
                <w:szCs w:val="15"/>
              </w:rPr>
              <w:t>Navigating</w:t>
            </w:r>
            <w:r w:rsid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the</w:t>
            </w:r>
            <w:r w:rsidR="00DE6A51">
              <w:rPr>
                <w:rFonts w:ascii="Times New Roman" w:eastAsia="Times New Roman" w:hAnsi="Times New Roman" w:cs="Times New Roman"/>
                <w:b/>
                <w:bCs/>
                <w:color w:val="FFFFFF" w:themeColor="background1"/>
                <w:sz w:val="15"/>
                <w:szCs w:val="15"/>
              </w:rPr>
              <w:t xml:space="preserve"> </w:t>
            </w:r>
            <w:r w:rsidRPr="00DE6A51">
              <w:rPr>
                <w:rFonts w:ascii="Times New Roman" w:eastAsia="Times New Roman" w:hAnsi="Times New Roman" w:cs="Times New Roman"/>
                <w:b/>
                <w:bCs/>
                <w:color w:val="FFFFFF" w:themeColor="background1"/>
                <w:sz w:val="15"/>
                <w:szCs w:val="15"/>
              </w:rPr>
              <w:t>Ecosystem</w:t>
            </w:r>
          </w:p>
        </w:tc>
        <w:tc>
          <w:tcPr>
            <w:tcW w:w="108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28644F46" w14:textId="0C791191"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 xml:space="preserve">4a: External </w:t>
            </w:r>
            <w:r w:rsidR="00DE6A51" w:rsidRPr="00DE6A51">
              <w:rPr>
                <w:rFonts w:ascii="Times New Roman" w:eastAsia="Times New Roman" w:hAnsi="Times New Roman" w:cs="Times New Roman"/>
                <w:sz w:val="15"/>
                <w:szCs w:val="15"/>
              </w:rPr>
              <w:t>partner management</w:t>
            </w:r>
          </w:p>
        </w:tc>
        <w:tc>
          <w:tcPr>
            <w:tcW w:w="63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2B4201E1"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J</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1E4ED93A"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Vetting panels and industry partners often misunderstand the new rubrics and ESD standards. (G6)</w:t>
            </w:r>
          </w:p>
        </w:tc>
        <w:tc>
          <w:tcPr>
            <w:tcW w:w="54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51F03A4B"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G1, G6</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07F9403E"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r w:rsidR="00153C3B" w:rsidRPr="00DE6A51" w14:paraId="7FD111A2" w14:textId="77777777" w:rsidTr="00DE6A51">
        <w:trPr>
          <w:trHeight w:val="147"/>
        </w:trPr>
        <w:tc>
          <w:tcPr>
            <w:tcW w:w="625" w:type="dxa"/>
            <w:vMerge/>
            <w:tcBorders>
              <w:top w:val="single" w:sz="4" w:space="0" w:color="7030A0"/>
              <w:left w:val="single" w:sz="4" w:space="0" w:color="7030A0"/>
              <w:bottom w:val="single" w:sz="4" w:space="0" w:color="7030A0"/>
              <w:right w:val="single" w:sz="4" w:space="0" w:color="7030A0"/>
            </w:tcBorders>
            <w:shd w:val="clear" w:color="auto" w:fill="7030A0"/>
            <w:tcMar>
              <w:top w:w="80" w:type="dxa"/>
              <w:left w:w="100" w:type="dxa"/>
              <w:bottom w:w="80" w:type="dxa"/>
              <w:right w:w="100" w:type="dxa"/>
            </w:tcMar>
            <w:vAlign w:val="center"/>
          </w:tcPr>
          <w:p w14:paraId="3C32DD5D" w14:textId="77777777" w:rsidR="00153C3B" w:rsidRPr="00DE6A51" w:rsidRDefault="00153C3B" w:rsidP="00DE6A51">
            <w:pPr>
              <w:widowControl w:val="0"/>
              <w:pBdr>
                <w:top w:val="nil"/>
                <w:left w:val="nil"/>
                <w:bottom w:val="nil"/>
                <w:right w:val="nil"/>
                <w:between w:val="nil"/>
              </w:pBdr>
              <w:spacing w:after="0" w:line="240" w:lineRule="auto"/>
              <w:rPr>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066307B1" w14:textId="7F1D5605"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4b: Institutional</w:t>
            </w:r>
            <w:r w:rsidR="00DE6A51">
              <w:rPr>
                <w:rFonts w:ascii="Times New Roman" w:eastAsia="Times New Roman" w:hAnsi="Times New Roman" w:cs="Times New Roman"/>
                <w:sz w:val="15"/>
                <w:szCs w:val="15"/>
              </w:rPr>
              <w:t xml:space="preserve"> </w:t>
            </w:r>
            <w:r w:rsidR="00DE6A51" w:rsidRPr="00DE6A51">
              <w:rPr>
                <w:rFonts w:ascii="Times New Roman" w:eastAsia="Times New Roman" w:hAnsi="Times New Roman" w:cs="Times New Roman"/>
                <w:sz w:val="15"/>
                <w:szCs w:val="15"/>
              </w:rPr>
              <w:t>standardization</w:t>
            </w:r>
          </w:p>
        </w:tc>
        <w:tc>
          <w:tcPr>
            <w:tcW w:w="63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202AB711"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C</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21BDCFA2"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RP conducts standardization briefings for all lecturers across eight campuses at the start of the semester. (G1)</w:t>
            </w:r>
          </w:p>
        </w:tc>
        <w:tc>
          <w:tcPr>
            <w:tcW w:w="54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09D34622"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G1, G5</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09363662"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r w:rsidR="00153C3B" w:rsidRPr="00DE6A51" w14:paraId="2858FAF6" w14:textId="77777777" w:rsidTr="00DE6A51">
        <w:trPr>
          <w:trHeight w:val="147"/>
        </w:trPr>
        <w:tc>
          <w:tcPr>
            <w:tcW w:w="625" w:type="dxa"/>
            <w:vMerge/>
            <w:tcBorders>
              <w:top w:val="single" w:sz="4" w:space="0" w:color="7030A0"/>
              <w:left w:val="single" w:sz="4" w:space="0" w:color="7030A0"/>
              <w:bottom w:val="single" w:sz="4" w:space="0" w:color="7030A0"/>
              <w:right w:val="single" w:sz="4" w:space="0" w:color="7030A0"/>
            </w:tcBorders>
            <w:shd w:val="clear" w:color="auto" w:fill="7030A0"/>
            <w:tcMar>
              <w:top w:w="80" w:type="dxa"/>
              <w:left w:w="100" w:type="dxa"/>
              <w:bottom w:w="80" w:type="dxa"/>
              <w:right w:w="100" w:type="dxa"/>
            </w:tcMar>
            <w:vAlign w:val="center"/>
          </w:tcPr>
          <w:p w14:paraId="129E715C" w14:textId="77777777" w:rsidR="00153C3B" w:rsidRPr="00DE6A51" w:rsidRDefault="00153C3B" w:rsidP="00DE6A51">
            <w:pPr>
              <w:widowControl w:val="0"/>
              <w:pBdr>
                <w:top w:val="nil"/>
                <w:left w:val="nil"/>
                <w:bottom w:val="nil"/>
                <w:right w:val="nil"/>
                <w:between w:val="nil"/>
              </w:pBdr>
              <w:spacing w:after="0" w:line="240" w:lineRule="auto"/>
              <w:rPr>
                <w:sz w:val="15"/>
                <w:szCs w:val="15"/>
              </w:rPr>
            </w:pPr>
          </w:p>
        </w:tc>
        <w:tc>
          <w:tcPr>
            <w:tcW w:w="108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636F937D" w14:textId="4A3E1453" w:rsidR="00153C3B" w:rsidRPr="00DE6A51" w:rsidRDefault="00153C3B" w:rsidP="00DE6A51">
            <w:pPr>
              <w:spacing w:after="0" w:line="240" w:lineRule="auto"/>
              <w:rPr>
                <w:sz w:val="15"/>
                <w:szCs w:val="15"/>
              </w:rPr>
            </w:pPr>
            <w:r w:rsidRPr="00DE6A51">
              <w:rPr>
                <w:rFonts w:ascii="Times New Roman" w:eastAsia="Times New Roman" w:hAnsi="Times New Roman" w:cs="Times New Roman"/>
                <w:sz w:val="15"/>
                <w:szCs w:val="15"/>
              </w:rPr>
              <w:t xml:space="preserve">4c: Good </w:t>
            </w:r>
            <w:r w:rsidR="00DE6A51" w:rsidRPr="00DE6A51">
              <w:rPr>
                <w:rFonts w:ascii="Times New Roman" w:eastAsia="Times New Roman" w:hAnsi="Times New Roman" w:cs="Times New Roman"/>
                <w:sz w:val="15"/>
                <w:szCs w:val="15"/>
              </w:rPr>
              <w:t>practice identification</w:t>
            </w:r>
          </w:p>
        </w:tc>
        <w:tc>
          <w:tcPr>
            <w:tcW w:w="63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4A79FDAC"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L</w:t>
            </w:r>
          </w:p>
        </w:tc>
        <w:tc>
          <w:tcPr>
            <w:tcW w:w="153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vAlign w:val="center"/>
          </w:tcPr>
          <w:p w14:paraId="45059277" w14:textId="77777777" w:rsidR="00153C3B" w:rsidRPr="00DE6A51" w:rsidRDefault="00153C3B" w:rsidP="00DE6A51">
            <w:pPr>
              <w:spacing w:after="0" w:line="240" w:lineRule="auto"/>
              <w:rPr>
                <w:sz w:val="15"/>
                <w:szCs w:val="15"/>
              </w:rPr>
            </w:pPr>
            <w:r w:rsidRPr="00DE6A51">
              <w:rPr>
                <w:rFonts w:ascii="Times New Roman" w:eastAsia="Times New Roman" w:hAnsi="Times New Roman" w:cs="Times New Roman"/>
                <w:i/>
                <w:iCs/>
                <w:sz w:val="15"/>
                <w:szCs w:val="15"/>
              </w:rPr>
              <w:t>The course serves as a model for SC5... [MAF671]. (G1)</w:t>
            </w:r>
          </w:p>
        </w:tc>
        <w:tc>
          <w:tcPr>
            <w:tcW w:w="540" w:type="dxa"/>
            <w:tcBorders>
              <w:top w:val="single" w:sz="4" w:space="0" w:color="CCCCCC"/>
              <w:left w:val="single" w:sz="4" w:space="0" w:color="CCCCCC"/>
              <w:bottom w:val="single" w:sz="4" w:space="0" w:color="CCCCCC"/>
              <w:right w:val="single" w:sz="4" w:space="0" w:color="CCCCCC"/>
            </w:tcBorders>
            <w:shd w:val="clear" w:color="auto" w:fill="E6D8F0"/>
            <w:tcMar>
              <w:top w:w="70" w:type="dxa"/>
              <w:left w:w="100" w:type="dxa"/>
              <w:bottom w:w="70" w:type="dxa"/>
              <w:right w:w="100" w:type="dxa"/>
            </w:tcMar>
            <w:vAlign w:val="center"/>
          </w:tcPr>
          <w:p w14:paraId="01D0B70D"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sz w:val="15"/>
                <w:szCs w:val="15"/>
              </w:rPr>
              <w:t>All 6</w:t>
            </w:r>
          </w:p>
        </w:tc>
        <w:tc>
          <w:tcPr>
            <w:tcW w:w="630" w:type="dxa"/>
            <w:tcBorders>
              <w:top w:val="single" w:sz="4" w:space="0" w:color="CCCCCC"/>
              <w:left w:val="single" w:sz="4" w:space="0" w:color="CCCCCC"/>
              <w:bottom w:val="single" w:sz="4" w:space="0" w:color="CCCCCC"/>
              <w:right w:val="single" w:sz="4" w:space="0" w:color="CCCCCC"/>
            </w:tcBorders>
            <w:shd w:val="clear" w:color="auto" w:fill="E2EFDA"/>
            <w:tcMar>
              <w:top w:w="70" w:type="dxa"/>
              <w:left w:w="100" w:type="dxa"/>
              <w:bottom w:w="70" w:type="dxa"/>
              <w:right w:w="100" w:type="dxa"/>
            </w:tcMar>
            <w:vAlign w:val="center"/>
          </w:tcPr>
          <w:p w14:paraId="3F0B1CB4" w14:textId="77777777" w:rsidR="00153C3B" w:rsidRPr="00DE6A51" w:rsidRDefault="00153C3B" w:rsidP="00DE6A51">
            <w:pPr>
              <w:spacing w:after="0" w:line="240" w:lineRule="auto"/>
              <w:jc w:val="center"/>
              <w:rPr>
                <w:sz w:val="15"/>
                <w:szCs w:val="15"/>
              </w:rPr>
            </w:pPr>
            <w:r w:rsidRPr="00DE6A51">
              <w:rPr>
                <w:rFonts w:ascii="Times New Roman" w:eastAsia="Times New Roman" w:hAnsi="Times New Roman" w:cs="Times New Roman"/>
                <w:b/>
                <w:bCs/>
                <w:sz w:val="15"/>
                <w:szCs w:val="15"/>
              </w:rPr>
              <w:t>Enabler</w:t>
            </w:r>
          </w:p>
        </w:tc>
      </w:tr>
    </w:tbl>
    <w:p w14:paraId="16EEEA9F" w14:textId="40DBCA40" w:rsidR="005E604D" w:rsidRPr="00153C3B" w:rsidRDefault="005E604D" w:rsidP="00153C3B">
      <w:pPr>
        <w:spacing w:after="0" w:line="240" w:lineRule="auto"/>
        <w:jc w:val="center"/>
        <w:rPr>
          <w:rFonts w:ascii="Times New Roman" w:hAnsi="Times New Roman" w:cs="Times New Roman"/>
          <w:sz w:val="20"/>
          <w:szCs w:val="20"/>
        </w:rPr>
      </w:pPr>
    </w:p>
    <w:p w14:paraId="60D61723" w14:textId="3F27ECE5" w:rsidR="005E604D" w:rsidRPr="00153C3B" w:rsidRDefault="00DE6A51" w:rsidP="00E06570">
      <w:pPr>
        <w:spacing w:after="0" w:line="240" w:lineRule="auto"/>
        <w:jc w:val="center"/>
        <w:rPr>
          <w:rFonts w:ascii="Times New Roman" w:hAnsi="Times New Roman" w:cs="Times New Roman"/>
          <w:sz w:val="20"/>
          <w:szCs w:val="20"/>
        </w:rPr>
      </w:pPr>
      <w:r>
        <w:rPr>
          <w:rFonts w:ascii="Times New Roman" w:hAnsi="Times New Roman" w:cs="Times New Roman"/>
          <w:i/>
          <w:iCs/>
          <w:sz w:val="20"/>
          <w:szCs w:val="20"/>
        </w:rPr>
        <w:t>Table 2</w:t>
      </w:r>
      <w:r w:rsidR="005E604D" w:rsidRPr="00153C3B">
        <w:rPr>
          <w:rFonts w:ascii="Times New Roman" w:hAnsi="Times New Roman" w:cs="Times New Roman"/>
          <w:i/>
          <w:iCs/>
          <w:sz w:val="20"/>
          <w:szCs w:val="20"/>
        </w:rPr>
        <w:t>. Final thematic map depicting four themes, 11 sub-themes, and their structural relationships.</w:t>
      </w:r>
    </w:p>
    <w:p w14:paraId="10428098" w14:textId="77777777" w:rsidR="005E604D" w:rsidRPr="00153C3B" w:rsidRDefault="005E604D" w:rsidP="00153C3B">
      <w:pPr>
        <w:spacing w:after="0" w:line="240" w:lineRule="auto"/>
        <w:rPr>
          <w:rFonts w:ascii="Times New Roman" w:hAnsi="Times New Roman" w:cs="Times New Roman"/>
          <w:b/>
          <w:bCs/>
          <w:i/>
          <w:iCs/>
          <w:sz w:val="20"/>
          <w:szCs w:val="20"/>
        </w:rPr>
      </w:pPr>
      <w:r w:rsidRPr="00153C3B">
        <w:rPr>
          <w:rFonts w:ascii="Times New Roman" w:hAnsi="Times New Roman" w:cs="Times New Roman"/>
          <w:b/>
          <w:bCs/>
          <w:i/>
          <w:iCs/>
          <w:sz w:val="20"/>
          <w:szCs w:val="20"/>
        </w:rPr>
        <w:lastRenderedPageBreak/>
        <w:t>Theme 1: The Rubric Gap — Inadequate Assessment Frameworks as a Systemic Barrier</w:t>
      </w:r>
    </w:p>
    <w:p w14:paraId="49185F32" w14:textId="77777777" w:rsidR="005E604D" w:rsidRPr="00153C3B" w:rsidRDefault="005E604D" w:rsidP="00153C3B">
      <w:pPr>
        <w:spacing w:after="0" w:line="240" w:lineRule="auto"/>
        <w:rPr>
          <w:rFonts w:ascii="Times New Roman" w:hAnsi="Times New Roman" w:cs="Times New Roman"/>
          <w:sz w:val="20"/>
          <w:szCs w:val="20"/>
        </w:rPr>
      </w:pPr>
    </w:p>
    <w:p w14:paraId="624C09C1" w14:textId="77777777"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This theme captures the most pervasive finding across the entire data set: faculty from all six groups identified rubric inadequacy as the primary structural barrier to credible ESD competency assessment. The theme encompasses three related sub-themes—vague rubric descriptors, inter-assessor inconsistency, and CLO-to-ESD competency misalignment—which collectively constitute what this study terms "the rubric gap": the structural distance between the conceptual demands of ESD competencies and the operational capacity of existing assessment instruments to measure them.</w:t>
      </w:r>
    </w:p>
    <w:p w14:paraId="3DAB8E5A" w14:textId="77777777" w:rsidR="005E604D" w:rsidRPr="00153C3B" w:rsidRDefault="005E604D" w:rsidP="00153C3B">
      <w:pPr>
        <w:spacing w:after="0" w:line="240" w:lineRule="auto"/>
        <w:ind w:firstLine="720"/>
        <w:jc w:val="both"/>
        <w:rPr>
          <w:rFonts w:ascii="Times New Roman" w:hAnsi="Times New Roman" w:cs="Times New Roman"/>
          <w:sz w:val="20"/>
          <w:szCs w:val="20"/>
        </w:rPr>
      </w:pPr>
    </w:p>
    <w:p w14:paraId="1A1F1658" w14:textId="01318271" w:rsidR="005E604D" w:rsidRDefault="005E604D" w:rsidP="00153C3B">
      <w:pPr>
        <w:spacing w:after="0" w:line="240" w:lineRule="auto"/>
        <w:rPr>
          <w:rFonts w:ascii="Times New Roman" w:hAnsi="Times New Roman" w:cs="Times New Roman"/>
          <w:b/>
          <w:bCs/>
          <w:i/>
          <w:iCs/>
          <w:sz w:val="20"/>
          <w:szCs w:val="20"/>
        </w:rPr>
      </w:pPr>
      <w:r w:rsidRPr="00153C3B">
        <w:rPr>
          <w:rFonts w:ascii="Times New Roman" w:hAnsi="Times New Roman" w:cs="Times New Roman"/>
          <w:b/>
          <w:bCs/>
          <w:i/>
          <w:iCs/>
          <w:sz w:val="20"/>
          <w:szCs w:val="20"/>
        </w:rPr>
        <w:t xml:space="preserve">1a: Vague and </w:t>
      </w:r>
      <w:r w:rsidR="00DE6A51">
        <w:rPr>
          <w:rFonts w:ascii="Times New Roman" w:hAnsi="Times New Roman" w:cs="Times New Roman"/>
          <w:b/>
          <w:bCs/>
          <w:i/>
          <w:iCs/>
          <w:sz w:val="20"/>
          <w:szCs w:val="20"/>
        </w:rPr>
        <w:t>G</w:t>
      </w:r>
      <w:r w:rsidRPr="00153C3B">
        <w:rPr>
          <w:rFonts w:ascii="Times New Roman" w:hAnsi="Times New Roman" w:cs="Times New Roman"/>
          <w:b/>
          <w:bCs/>
          <w:i/>
          <w:iCs/>
          <w:sz w:val="20"/>
          <w:szCs w:val="20"/>
        </w:rPr>
        <w:t xml:space="preserve">eneric </w:t>
      </w:r>
      <w:r w:rsidR="00DE6A51">
        <w:rPr>
          <w:rFonts w:ascii="Times New Roman" w:hAnsi="Times New Roman" w:cs="Times New Roman"/>
          <w:b/>
          <w:bCs/>
          <w:i/>
          <w:iCs/>
          <w:sz w:val="20"/>
          <w:szCs w:val="20"/>
        </w:rPr>
        <w:t>R</w:t>
      </w:r>
      <w:r w:rsidRPr="00153C3B">
        <w:rPr>
          <w:rFonts w:ascii="Times New Roman" w:hAnsi="Times New Roman" w:cs="Times New Roman"/>
          <w:b/>
          <w:bCs/>
          <w:i/>
          <w:iCs/>
          <w:sz w:val="20"/>
          <w:szCs w:val="20"/>
        </w:rPr>
        <w:t xml:space="preserve">ubric </w:t>
      </w:r>
      <w:r w:rsidR="00DE6A51">
        <w:rPr>
          <w:rFonts w:ascii="Times New Roman" w:hAnsi="Times New Roman" w:cs="Times New Roman"/>
          <w:b/>
          <w:bCs/>
          <w:i/>
          <w:iCs/>
          <w:sz w:val="20"/>
          <w:szCs w:val="20"/>
        </w:rPr>
        <w:t>D</w:t>
      </w:r>
      <w:r w:rsidRPr="00153C3B">
        <w:rPr>
          <w:rFonts w:ascii="Times New Roman" w:hAnsi="Times New Roman" w:cs="Times New Roman"/>
          <w:b/>
          <w:bCs/>
          <w:i/>
          <w:iCs/>
          <w:sz w:val="20"/>
          <w:szCs w:val="20"/>
        </w:rPr>
        <w:t>escriptors</w:t>
      </w:r>
    </w:p>
    <w:p w14:paraId="2395938C" w14:textId="77777777" w:rsidR="00153C3B" w:rsidRPr="00153C3B" w:rsidRDefault="00153C3B" w:rsidP="00153C3B">
      <w:pPr>
        <w:spacing w:after="0" w:line="240" w:lineRule="auto"/>
        <w:rPr>
          <w:rFonts w:ascii="Times New Roman" w:hAnsi="Times New Roman" w:cs="Times New Roman"/>
          <w:b/>
          <w:bCs/>
          <w:sz w:val="20"/>
          <w:szCs w:val="20"/>
        </w:rPr>
      </w:pPr>
    </w:p>
    <w:p w14:paraId="35A8F0A8" w14:textId="77777777"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Faculty in all three clusters expressed concern that existing rubrics were not sufficiently specific to </w:t>
      </w:r>
      <w:proofErr w:type="spellStart"/>
      <w:r w:rsidRPr="00153C3B">
        <w:rPr>
          <w:rFonts w:ascii="Times New Roman" w:hAnsi="Times New Roman" w:cs="Times New Roman"/>
          <w:sz w:val="20"/>
          <w:szCs w:val="20"/>
        </w:rPr>
        <w:t>operationalise</w:t>
      </w:r>
      <w:proofErr w:type="spellEnd"/>
      <w:r w:rsidRPr="00153C3B">
        <w:rPr>
          <w:rFonts w:ascii="Times New Roman" w:hAnsi="Times New Roman" w:cs="Times New Roman"/>
          <w:sz w:val="20"/>
          <w:szCs w:val="20"/>
        </w:rPr>
        <w:t xml:space="preserve"> the higher-order attributes inherent in ESD competencies. The concern was expressed most directly in S&amp;T contexts, where Group 4 noted that rubrics were 'too general and unclear', and in Social Sciences, where Group 3 observed that 'ESD competency [is] not explicitly mapped in [the] rubric'. This is not merely a technical complaint about instrument design; it reflects a deeper conceptual gap between the complexity of ESD constructs — such as systems thinking and integrated problem-solving — and the binary or three-point performance scales typically used in course assessments.</w:t>
      </w:r>
    </w:p>
    <w:p w14:paraId="0C1A2B46" w14:textId="77777777" w:rsidR="005E604D" w:rsidRPr="00153C3B" w:rsidRDefault="005E604D" w:rsidP="00153C3B">
      <w:pPr>
        <w:spacing w:after="0" w:line="240" w:lineRule="auto"/>
        <w:ind w:firstLine="720"/>
        <w:jc w:val="both"/>
        <w:rPr>
          <w:rFonts w:ascii="Times New Roman" w:hAnsi="Times New Roman" w:cs="Times New Roman"/>
          <w:sz w:val="20"/>
          <w:szCs w:val="20"/>
        </w:rPr>
      </w:pPr>
    </w:p>
    <w:p w14:paraId="2D2529D6" w14:textId="3FD40321" w:rsidR="005E604D" w:rsidRPr="00153C3B" w:rsidRDefault="005E604D" w:rsidP="00DE6A51">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"The rubric is too general and unclear. The Content level related to strategic thinking. [Develop] a detailed rubric (rubric criteria) that aligns with the</w:t>
      </w:r>
      <w:r w:rsidR="00153C3B">
        <w:rPr>
          <w:rFonts w:ascii="Times New Roman" w:hAnsi="Times New Roman" w:cs="Times New Roman"/>
          <w:i/>
          <w:iCs/>
          <w:sz w:val="20"/>
          <w:szCs w:val="20"/>
        </w:rPr>
        <w:t xml:space="preserve"> </w:t>
      </w:r>
      <w:proofErr w:type="gramStart"/>
      <w:r w:rsidRPr="00153C3B">
        <w:rPr>
          <w:rFonts w:ascii="Times New Roman" w:hAnsi="Times New Roman" w:cs="Times New Roman"/>
          <w:i/>
          <w:iCs/>
          <w:sz w:val="20"/>
          <w:szCs w:val="20"/>
        </w:rPr>
        <w:t>attributes</w:t>
      </w:r>
      <w:proofErr w:type="gramEnd"/>
      <w:r w:rsidRPr="00153C3B">
        <w:rPr>
          <w:rFonts w:ascii="Times New Roman" w:hAnsi="Times New Roman" w:cs="Times New Roman"/>
          <w:i/>
          <w:iCs/>
          <w:sz w:val="20"/>
          <w:szCs w:val="20"/>
        </w:rPr>
        <w:t xml:space="preserve"> measurement. (G4)"</w:t>
      </w:r>
    </w:p>
    <w:p w14:paraId="7C36F4A8" w14:textId="77777777" w:rsidR="005E604D" w:rsidRPr="00153C3B" w:rsidRDefault="005E604D" w:rsidP="00153C3B">
      <w:pPr>
        <w:spacing w:after="0" w:line="240" w:lineRule="auto"/>
        <w:ind w:right="720"/>
        <w:jc w:val="both"/>
        <w:rPr>
          <w:rFonts w:ascii="Times New Roman" w:hAnsi="Times New Roman" w:cs="Times New Roman"/>
          <w:sz w:val="20"/>
          <w:szCs w:val="20"/>
        </w:rPr>
      </w:pPr>
    </w:p>
    <w:p w14:paraId="2BE2C802" w14:textId="7F8A5E5B" w:rsidR="00DE6A51"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The significance of this extract lies in what it implies about the epistemic demands of ESD: 'strategic thinking', as a competency, requires rubric descriptors that distinguish between surface-level task completion and evidence of genuine planning, foresight, and stakeholder analysis. Generic rubrics that award marks for 'completing the assignment' obscure whether the competency has </w:t>
      </w:r>
      <w:proofErr w:type="gramStart"/>
      <w:r w:rsidRPr="00153C3B">
        <w:rPr>
          <w:rFonts w:ascii="Times New Roman" w:hAnsi="Times New Roman" w:cs="Times New Roman"/>
          <w:sz w:val="20"/>
          <w:szCs w:val="20"/>
        </w:rPr>
        <w:t>actually been</w:t>
      </w:r>
      <w:proofErr w:type="gramEnd"/>
      <w:r w:rsidRPr="00153C3B">
        <w:rPr>
          <w:rFonts w:ascii="Times New Roman" w:hAnsi="Times New Roman" w:cs="Times New Roman"/>
          <w:sz w:val="20"/>
          <w:szCs w:val="20"/>
        </w:rPr>
        <w:t xml:space="preserve"> developed. This situation represents a form of construct irrelevance — valid performance is masked by imprecise measurement (Biggs &amp; Tang, 2011).</w:t>
      </w:r>
    </w:p>
    <w:p w14:paraId="150A172E" w14:textId="77777777" w:rsidR="00E06570" w:rsidRPr="00153C3B" w:rsidRDefault="00E06570" w:rsidP="00DE6A51">
      <w:pPr>
        <w:spacing w:after="0" w:line="240" w:lineRule="auto"/>
        <w:jc w:val="both"/>
        <w:rPr>
          <w:rFonts w:ascii="Times New Roman" w:hAnsi="Times New Roman" w:cs="Times New Roman"/>
          <w:sz w:val="20"/>
          <w:szCs w:val="20"/>
        </w:rPr>
      </w:pPr>
    </w:p>
    <w:p w14:paraId="19144BFE" w14:textId="45C9FC52" w:rsidR="005E604D" w:rsidRPr="00153C3B" w:rsidRDefault="005E604D" w:rsidP="00153C3B">
      <w:pPr>
        <w:spacing w:after="0" w:line="240" w:lineRule="auto"/>
        <w:rPr>
          <w:rFonts w:ascii="Times New Roman" w:hAnsi="Times New Roman" w:cs="Times New Roman"/>
          <w:b/>
          <w:bCs/>
          <w:sz w:val="20"/>
          <w:szCs w:val="20"/>
        </w:rPr>
      </w:pPr>
      <w:r w:rsidRPr="00153C3B">
        <w:rPr>
          <w:rFonts w:ascii="Times New Roman" w:hAnsi="Times New Roman" w:cs="Times New Roman"/>
          <w:b/>
          <w:bCs/>
          <w:i/>
          <w:iCs/>
          <w:sz w:val="20"/>
          <w:szCs w:val="20"/>
        </w:rPr>
        <w:t xml:space="preserve">1b: Inter-assessor </w:t>
      </w:r>
      <w:r w:rsidR="00DE6A51">
        <w:rPr>
          <w:rFonts w:ascii="Times New Roman" w:hAnsi="Times New Roman" w:cs="Times New Roman"/>
          <w:b/>
          <w:bCs/>
          <w:i/>
          <w:iCs/>
          <w:sz w:val="20"/>
          <w:szCs w:val="20"/>
        </w:rPr>
        <w:t>I</w:t>
      </w:r>
      <w:r w:rsidRPr="00153C3B">
        <w:rPr>
          <w:rFonts w:ascii="Times New Roman" w:hAnsi="Times New Roman" w:cs="Times New Roman"/>
          <w:b/>
          <w:bCs/>
          <w:i/>
          <w:iCs/>
          <w:sz w:val="20"/>
          <w:szCs w:val="20"/>
        </w:rPr>
        <w:t>nconsistency and</w:t>
      </w:r>
      <w:r w:rsidR="00DE6A51">
        <w:rPr>
          <w:rFonts w:ascii="Times New Roman" w:hAnsi="Times New Roman" w:cs="Times New Roman"/>
          <w:b/>
          <w:bCs/>
          <w:i/>
          <w:iCs/>
          <w:sz w:val="20"/>
          <w:szCs w:val="20"/>
        </w:rPr>
        <w:t xml:space="preserve"> S</w:t>
      </w:r>
      <w:r w:rsidRPr="00153C3B">
        <w:rPr>
          <w:rFonts w:ascii="Times New Roman" w:hAnsi="Times New Roman" w:cs="Times New Roman"/>
          <w:b/>
          <w:bCs/>
          <w:i/>
          <w:iCs/>
          <w:sz w:val="20"/>
          <w:szCs w:val="20"/>
        </w:rPr>
        <w:t xml:space="preserve">corer </w:t>
      </w:r>
      <w:r w:rsidR="00DE6A51">
        <w:rPr>
          <w:rFonts w:ascii="Times New Roman" w:hAnsi="Times New Roman" w:cs="Times New Roman"/>
          <w:b/>
          <w:bCs/>
          <w:i/>
          <w:iCs/>
          <w:sz w:val="20"/>
          <w:szCs w:val="20"/>
        </w:rPr>
        <w:t>S</w:t>
      </w:r>
      <w:r w:rsidRPr="00153C3B">
        <w:rPr>
          <w:rFonts w:ascii="Times New Roman" w:hAnsi="Times New Roman" w:cs="Times New Roman"/>
          <w:b/>
          <w:bCs/>
          <w:i/>
          <w:iCs/>
          <w:sz w:val="20"/>
          <w:szCs w:val="20"/>
        </w:rPr>
        <w:t>ubjectivity</w:t>
      </w:r>
    </w:p>
    <w:p w14:paraId="773BBC1F" w14:textId="77777777" w:rsidR="00153C3B" w:rsidRDefault="00153C3B" w:rsidP="00153C3B">
      <w:pPr>
        <w:spacing w:after="0" w:line="240" w:lineRule="auto"/>
        <w:jc w:val="both"/>
        <w:rPr>
          <w:rFonts w:ascii="Times New Roman" w:hAnsi="Times New Roman" w:cs="Times New Roman"/>
          <w:sz w:val="20"/>
          <w:szCs w:val="20"/>
        </w:rPr>
      </w:pPr>
    </w:p>
    <w:p w14:paraId="3AB402AD" w14:textId="4388EEBE"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Inconsistent interpretation across assessors compounded the problem of rubric vagueness. Operating across eight campuses, Group 1 identified that individual lecturer discretion and subjective interpretation of rubric descriptors impact scoring consistency. Group 2 raised a parallel concern from a different angle — not multi-campus inconsistency but intra-institutional variability: 'marks given vary between one lecturer and another'. Group 5 extended the discussion to the supervision context: 'variations in mentor guidance and </w:t>
      </w:r>
      <w:r w:rsidRPr="00153C3B">
        <w:rPr>
          <w:rFonts w:ascii="Times New Roman" w:hAnsi="Times New Roman" w:cs="Times New Roman"/>
          <w:sz w:val="20"/>
          <w:szCs w:val="20"/>
        </w:rPr>
        <w:t xml:space="preserve">interpretation of reflective video presentations' directly produced 'inconsistent student performance', suggesting that assessor inconsistency compounds rather than merely </w:t>
      </w:r>
      <w:proofErr w:type="gramStart"/>
      <w:r w:rsidRPr="00153C3B">
        <w:rPr>
          <w:rFonts w:ascii="Times New Roman" w:hAnsi="Times New Roman" w:cs="Times New Roman"/>
          <w:sz w:val="20"/>
          <w:szCs w:val="20"/>
        </w:rPr>
        <w:t>reflects</w:t>
      </w:r>
      <w:proofErr w:type="gramEnd"/>
      <w:r w:rsidRPr="00153C3B">
        <w:rPr>
          <w:rFonts w:ascii="Times New Roman" w:hAnsi="Times New Roman" w:cs="Times New Roman"/>
          <w:sz w:val="20"/>
          <w:szCs w:val="20"/>
        </w:rPr>
        <w:t xml:space="preserve"> rubric inadequacy.</w:t>
      </w:r>
    </w:p>
    <w:p w14:paraId="5E4B2BBB" w14:textId="77777777" w:rsidR="005E604D" w:rsidRPr="00153C3B" w:rsidRDefault="005E604D" w:rsidP="00153C3B">
      <w:pPr>
        <w:spacing w:after="0" w:line="240" w:lineRule="auto"/>
        <w:ind w:right="720"/>
        <w:jc w:val="both"/>
        <w:rPr>
          <w:rFonts w:ascii="Times New Roman" w:hAnsi="Times New Roman" w:cs="Times New Roman"/>
          <w:i/>
          <w:iCs/>
          <w:sz w:val="20"/>
          <w:szCs w:val="20"/>
        </w:rPr>
      </w:pPr>
    </w:p>
    <w:p w14:paraId="26D7718E" w14:textId="560A2570" w:rsidR="005E604D" w:rsidRPr="00153C3B" w:rsidRDefault="005E604D" w:rsidP="00DE6A51">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"A clear and consistent understanding of the targeted competency and assessment requirements among all supervisors... all supervisors should operate with a unified understanding and aligned direction in evaluating and nurturing the intended competency outcomes. (G1)"</w:t>
      </w:r>
    </w:p>
    <w:p w14:paraId="71F738DC" w14:textId="77777777" w:rsidR="005E604D" w:rsidRPr="00153C3B" w:rsidRDefault="005E604D" w:rsidP="00153C3B">
      <w:pPr>
        <w:spacing w:after="0" w:line="240" w:lineRule="auto"/>
        <w:jc w:val="both"/>
        <w:rPr>
          <w:rFonts w:ascii="Times New Roman" w:hAnsi="Times New Roman" w:cs="Times New Roman"/>
          <w:sz w:val="20"/>
          <w:szCs w:val="20"/>
        </w:rPr>
      </w:pPr>
    </w:p>
    <w:p w14:paraId="322C0BBC" w14:textId="559FE3E9"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This extract reveals that faculty understood the problem structurally: the issue was not individual incompetence but systemic under-specification. The call for "unified understanding" signals an awareness that ESD competency assessment requires communities of practice—not just revised rubrics— in which shared interpretive norms are collectively maintained.</w:t>
      </w:r>
    </w:p>
    <w:p w14:paraId="3FB0A633" w14:textId="77777777" w:rsidR="005E604D" w:rsidRPr="00153C3B" w:rsidRDefault="005E604D" w:rsidP="00153C3B">
      <w:pPr>
        <w:spacing w:after="0" w:line="240" w:lineRule="auto"/>
        <w:jc w:val="both"/>
        <w:rPr>
          <w:rFonts w:ascii="Times New Roman" w:hAnsi="Times New Roman" w:cs="Times New Roman"/>
          <w:sz w:val="20"/>
          <w:szCs w:val="20"/>
        </w:rPr>
      </w:pPr>
    </w:p>
    <w:p w14:paraId="5ECAF925" w14:textId="6013D734" w:rsidR="005E604D" w:rsidRPr="00153C3B" w:rsidRDefault="005E604D" w:rsidP="00153C3B">
      <w:pPr>
        <w:spacing w:after="0" w:line="240" w:lineRule="auto"/>
        <w:rPr>
          <w:rFonts w:ascii="Times New Roman" w:hAnsi="Times New Roman" w:cs="Times New Roman"/>
          <w:b/>
          <w:bCs/>
          <w:sz w:val="20"/>
          <w:szCs w:val="20"/>
        </w:rPr>
      </w:pPr>
      <w:r w:rsidRPr="00153C3B">
        <w:rPr>
          <w:rFonts w:ascii="Times New Roman" w:hAnsi="Times New Roman" w:cs="Times New Roman"/>
          <w:b/>
          <w:bCs/>
          <w:i/>
          <w:iCs/>
          <w:sz w:val="20"/>
          <w:szCs w:val="20"/>
        </w:rPr>
        <w:t xml:space="preserve">1c: CLO-to-ESD </w:t>
      </w:r>
      <w:r w:rsidR="00DE6A51">
        <w:rPr>
          <w:rFonts w:ascii="Times New Roman" w:hAnsi="Times New Roman" w:cs="Times New Roman"/>
          <w:b/>
          <w:bCs/>
          <w:i/>
          <w:iCs/>
          <w:sz w:val="20"/>
          <w:szCs w:val="20"/>
        </w:rPr>
        <w:t>C</w:t>
      </w:r>
      <w:r w:rsidRPr="00153C3B">
        <w:rPr>
          <w:rFonts w:ascii="Times New Roman" w:hAnsi="Times New Roman" w:cs="Times New Roman"/>
          <w:b/>
          <w:bCs/>
          <w:i/>
          <w:iCs/>
          <w:sz w:val="20"/>
          <w:szCs w:val="20"/>
        </w:rPr>
        <w:t xml:space="preserve">ompetency </w:t>
      </w:r>
      <w:r w:rsidR="00DE6A51">
        <w:rPr>
          <w:rFonts w:ascii="Times New Roman" w:hAnsi="Times New Roman" w:cs="Times New Roman"/>
          <w:b/>
          <w:bCs/>
          <w:i/>
          <w:iCs/>
          <w:sz w:val="20"/>
          <w:szCs w:val="20"/>
        </w:rPr>
        <w:t>M</w:t>
      </w:r>
      <w:r w:rsidRPr="00153C3B">
        <w:rPr>
          <w:rFonts w:ascii="Times New Roman" w:hAnsi="Times New Roman" w:cs="Times New Roman"/>
          <w:b/>
          <w:bCs/>
          <w:i/>
          <w:iCs/>
          <w:sz w:val="20"/>
          <w:szCs w:val="20"/>
        </w:rPr>
        <w:t>isalignment</w:t>
      </w:r>
    </w:p>
    <w:p w14:paraId="19F0668F" w14:textId="77777777" w:rsidR="005E604D" w:rsidRPr="00153C3B" w:rsidRDefault="005E604D" w:rsidP="00153C3B">
      <w:pPr>
        <w:spacing w:after="0" w:line="240" w:lineRule="auto"/>
        <w:jc w:val="both"/>
        <w:rPr>
          <w:rFonts w:ascii="Times New Roman" w:hAnsi="Times New Roman" w:cs="Times New Roman"/>
          <w:sz w:val="20"/>
          <w:szCs w:val="20"/>
        </w:rPr>
      </w:pPr>
    </w:p>
    <w:p w14:paraId="2BC4F615" w14:textId="3BF0A4D5"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A third sub-theme concerns the structural disconnect between Course Learning Outcomes (CLOs) and ESD competency constructs. Group 3 identified that 'CLO may not clearly measure systems-thinking elements'; Group 2 noted that 'assessment criteria may not explicitly capture strategic thinking and sustainability-oriented planning'. These observations highlight that ESD competency integration is not simply a matter of adding assessment tasks — it requires a retroactive audit of CLO language and a redesign of the alignment chain from competency construct to learning outcome to assessment task to rubric descriptor (Biggs &amp; Tang, 2011).</w:t>
      </w:r>
    </w:p>
    <w:p w14:paraId="7B269261" w14:textId="77777777" w:rsidR="005E604D" w:rsidRPr="00153C3B" w:rsidRDefault="005E604D" w:rsidP="00153C3B">
      <w:pPr>
        <w:spacing w:after="0" w:line="240" w:lineRule="auto"/>
        <w:jc w:val="both"/>
        <w:rPr>
          <w:rFonts w:ascii="Times New Roman" w:hAnsi="Times New Roman" w:cs="Times New Roman"/>
          <w:sz w:val="20"/>
          <w:szCs w:val="20"/>
        </w:rPr>
      </w:pPr>
    </w:p>
    <w:p w14:paraId="3E213DD9" w14:textId="77777777" w:rsidR="005E604D" w:rsidRPr="00153C3B" w:rsidRDefault="005E604D" w:rsidP="00153C3B">
      <w:pPr>
        <w:spacing w:after="0" w:line="240" w:lineRule="auto"/>
        <w:rPr>
          <w:rFonts w:ascii="Times New Roman" w:hAnsi="Times New Roman" w:cs="Times New Roman"/>
          <w:b/>
          <w:bCs/>
          <w:i/>
          <w:iCs/>
          <w:sz w:val="20"/>
          <w:szCs w:val="20"/>
        </w:rPr>
      </w:pPr>
      <w:r w:rsidRPr="00153C3B">
        <w:rPr>
          <w:rFonts w:ascii="Times New Roman" w:hAnsi="Times New Roman" w:cs="Times New Roman"/>
          <w:b/>
          <w:bCs/>
          <w:i/>
          <w:iCs/>
          <w:sz w:val="20"/>
          <w:szCs w:val="20"/>
        </w:rPr>
        <w:t>Theme 2: Assessment Beyond the Classroom — Authentic and Transformative Assessment Designs</w:t>
      </w:r>
    </w:p>
    <w:p w14:paraId="6D3CDA73" w14:textId="77777777" w:rsidR="005E604D" w:rsidRPr="00153C3B" w:rsidRDefault="005E604D" w:rsidP="00153C3B">
      <w:pPr>
        <w:spacing w:after="0" w:line="240" w:lineRule="auto"/>
        <w:jc w:val="both"/>
        <w:rPr>
          <w:rFonts w:ascii="Times New Roman" w:hAnsi="Times New Roman" w:cs="Times New Roman"/>
          <w:sz w:val="20"/>
          <w:szCs w:val="20"/>
        </w:rPr>
      </w:pPr>
    </w:p>
    <w:p w14:paraId="1C4E8CD8" w14:textId="1662F425" w:rsidR="005E604D"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Despite the systemic rubric inadequacies identified in Theme 1, the data reveal substantial faculty innovation in assessment design. This theme captures the diversity of authentic assessment formats that faculty have developed or identified as emerging good practice — formats that extend assessment beyond the conventional examination hall into communities, clinical settings, and reflective journals. This innovation is significant precisely because it was identified against—rather than because of </w:t>
      </w:r>
      <w:proofErr w:type="spellStart"/>
      <w:r w:rsidRPr="00153C3B">
        <w:rPr>
          <w:rFonts w:ascii="Times New Roman" w:hAnsi="Times New Roman" w:cs="Times New Roman"/>
          <w:sz w:val="20"/>
          <w:szCs w:val="20"/>
        </w:rPr>
        <w:t>favourable</w:t>
      </w:r>
      <w:proofErr w:type="spellEnd"/>
      <w:r w:rsidRPr="00153C3B">
        <w:rPr>
          <w:rFonts w:ascii="Times New Roman" w:hAnsi="Times New Roman" w:cs="Times New Roman"/>
          <w:sz w:val="20"/>
          <w:szCs w:val="20"/>
        </w:rPr>
        <w:t xml:space="preserve"> institutional conditions.</w:t>
      </w:r>
    </w:p>
    <w:p w14:paraId="0A3119FC"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0C7DFA3C" w14:textId="55E0C48A" w:rsidR="005E604D" w:rsidRPr="00153C3B" w:rsidRDefault="005E604D" w:rsidP="00153C3B">
      <w:pPr>
        <w:spacing w:after="0" w:line="240" w:lineRule="auto"/>
        <w:rPr>
          <w:rFonts w:ascii="Times New Roman" w:hAnsi="Times New Roman" w:cs="Times New Roman"/>
          <w:b/>
          <w:bCs/>
          <w:sz w:val="20"/>
          <w:szCs w:val="20"/>
        </w:rPr>
      </w:pPr>
      <w:r w:rsidRPr="00153C3B">
        <w:rPr>
          <w:rFonts w:ascii="Times New Roman" w:hAnsi="Times New Roman" w:cs="Times New Roman"/>
          <w:b/>
          <w:bCs/>
          <w:i/>
          <w:iCs/>
          <w:sz w:val="20"/>
          <w:szCs w:val="20"/>
        </w:rPr>
        <w:t>2a: Community-</w:t>
      </w:r>
      <w:r w:rsidR="00DE6A51">
        <w:rPr>
          <w:rFonts w:ascii="Times New Roman" w:hAnsi="Times New Roman" w:cs="Times New Roman"/>
          <w:b/>
          <w:bCs/>
          <w:i/>
          <w:iCs/>
          <w:sz w:val="20"/>
          <w:szCs w:val="20"/>
        </w:rPr>
        <w:t>E</w:t>
      </w:r>
      <w:r w:rsidRPr="00153C3B">
        <w:rPr>
          <w:rFonts w:ascii="Times New Roman" w:hAnsi="Times New Roman" w:cs="Times New Roman"/>
          <w:b/>
          <w:bCs/>
          <w:i/>
          <w:iCs/>
          <w:sz w:val="20"/>
          <w:szCs w:val="20"/>
        </w:rPr>
        <w:t xml:space="preserve">ngaged and SULAM-linked </w:t>
      </w:r>
      <w:r w:rsidR="00DE6A51">
        <w:rPr>
          <w:rFonts w:ascii="Times New Roman" w:hAnsi="Times New Roman" w:cs="Times New Roman"/>
          <w:b/>
          <w:bCs/>
          <w:i/>
          <w:iCs/>
          <w:sz w:val="20"/>
          <w:szCs w:val="20"/>
        </w:rPr>
        <w:t>A</w:t>
      </w:r>
      <w:r w:rsidRPr="00153C3B">
        <w:rPr>
          <w:rFonts w:ascii="Times New Roman" w:hAnsi="Times New Roman" w:cs="Times New Roman"/>
          <w:b/>
          <w:bCs/>
          <w:i/>
          <w:iCs/>
          <w:sz w:val="20"/>
          <w:szCs w:val="20"/>
        </w:rPr>
        <w:t>ssessment</w:t>
      </w:r>
    </w:p>
    <w:p w14:paraId="61453165" w14:textId="77777777" w:rsidR="00153C3B" w:rsidRDefault="00153C3B" w:rsidP="00153C3B">
      <w:pPr>
        <w:spacing w:after="0" w:line="240" w:lineRule="auto"/>
        <w:ind w:firstLine="720"/>
        <w:jc w:val="both"/>
        <w:rPr>
          <w:rFonts w:ascii="Times New Roman" w:hAnsi="Times New Roman" w:cs="Times New Roman"/>
          <w:sz w:val="20"/>
          <w:szCs w:val="20"/>
        </w:rPr>
      </w:pPr>
    </w:p>
    <w:p w14:paraId="57F59960" w14:textId="18BE8D73"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The SULAM (Service-learning and community engagement) model, referenced by Groups 1 and 6, emerged as the most ambitious authentic assessment format in the data set. Group 1's description of MAF671 as a model for SC5 (Integrated Problem-Solving) illustrates the transformative potential of community-engaged assessment: students engage with real-world 'wicked problems', </w:t>
      </w:r>
      <w:proofErr w:type="spellStart"/>
      <w:r w:rsidRPr="00153C3B">
        <w:rPr>
          <w:rFonts w:ascii="Times New Roman" w:hAnsi="Times New Roman" w:cs="Times New Roman"/>
          <w:sz w:val="20"/>
          <w:szCs w:val="20"/>
        </w:rPr>
        <w:t>synthesising</w:t>
      </w:r>
      <w:proofErr w:type="spellEnd"/>
      <w:r w:rsidRPr="00153C3B">
        <w:rPr>
          <w:rFonts w:ascii="Times New Roman" w:hAnsi="Times New Roman" w:cs="Times New Roman"/>
          <w:sz w:val="20"/>
          <w:szCs w:val="20"/>
        </w:rPr>
        <w:t xml:space="preserve"> cross-disciplinary </w:t>
      </w:r>
      <w:r w:rsidRPr="00153C3B">
        <w:rPr>
          <w:rFonts w:ascii="Times New Roman" w:hAnsi="Times New Roman" w:cs="Times New Roman"/>
          <w:sz w:val="20"/>
          <w:szCs w:val="20"/>
        </w:rPr>
        <w:lastRenderedPageBreak/>
        <w:t>knowledge to navigate tensions between environmental, social, and economic imperatives.</w:t>
      </w:r>
    </w:p>
    <w:p w14:paraId="25B7DA91" w14:textId="77777777" w:rsidR="005E604D" w:rsidRPr="00153C3B" w:rsidRDefault="005E604D" w:rsidP="00153C3B">
      <w:pPr>
        <w:spacing w:after="0" w:line="240" w:lineRule="auto"/>
        <w:ind w:right="720"/>
        <w:jc w:val="both"/>
        <w:rPr>
          <w:rFonts w:ascii="Times New Roman" w:hAnsi="Times New Roman" w:cs="Times New Roman"/>
          <w:i/>
          <w:iCs/>
          <w:sz w:val="20"/>
          <w:szCs w:val="20"/>
        </w:rPr>
      </w:pPr>
    </w:p>
    <w:p w14:paraId="1B1A9746" w14:textId="77777777" w:rsidR="00341AED" w:rsidRDefault="005E604D" w:rsidP="00153C3B">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 xml:space="preserve">"The course serves as a model for SC5 by transitioning students from passive knowledge acquisition to transformative action. </w:t>
      </w:r>
    </w:p>
    <w:p w14:paraId="78EBF45C" w14:textId="77777777" w:rsidR="00341AED" w:rsidRDefault="00341AED" w:rsidP="00153C3B">
      <w:pPr>
        <w:spacing w:after="0" w:line="240" w:lineRule="auto"/>
        <w:ind w:right="720"/>
        <w:rPr>
          <w:rFonts w:ascii="Times New Roman" w:hAnsi="Times New Roman" w:cs="Times New Roman"/>
          <w:i/>
          <w:iCs/>
          <w:sz w:val="20"/>
          <w:szCs w:val="20"/>
        </w:rPr>
      </w:pPr>
    </w:p>
    <w:p w14:paraId="0409DFF4" w14:textId="662A1EC9" w:rsidR="005E604D" w:rsidRPr="00153C3B" w:rsidRDefault="005E604D" w:rsidP="00153C3B">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By synthesizing cross-disciplinary insights to tackle complex, real-world 'wicked problems', students learn to navigate the tensions between environmental, social, and economic imperatives. (G1)"</w:t>
      </w:r>
    </w:p>
    <w:p w14:paraId="16341BCD" w14:textId="77777777" w:rsidR="005E604D" w:rsidRPr="00153C3B" w:rsidRDefault="005E604D" w:rsidP="00153C3B">
      <w:pPr>
        <w:spacing w:after="0" w:line="240" w:lineRule="auto"/>
        <w:ind w:right="720"/>
        <w:jc w:val="both"/>
        <w:rPr>
          <w:rFonts w:ascii="Times New Roman" w:hAnsi="Times New Roman" w:cs="Times New Roman"/>
          <w:sz w:val="20"/>
          <w:szCs w:val="20"/>
        </w:rPr>
      </w:pPr>
    </w:p>
    <w:p w14:paraId="09E15296" w14:textId="77777777"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The language here—"transformative action," "wicked problems," and "tensions"—reflects a sophisticated understanding of ESD pedagogy that aligns closely with Wiek et al.'s (2011) competency framework. The course does not merely teach problem-solving; it creates the conditions for students to experience the ethical and practical dimensions of sustainability decision-making.</w:t>
      </w:r>
    </w:p>
    <w:p w14:paraId="641C10D5" w14:textId="77777777" w:rsidR="005E604D" w:rsidRPr="00153C3B" w:rsidRDefault="005E604D" w:rsidP="00153C3B">
      <w:pPr>
        <w:spacing w:after="0" w:line="240" w:lineRule="auto"/>
        <w:ind w:firstLine="720"/>
        <w:jc w:val="both"/>
        <w:rPr>
          <w:rFonts w:ascii="Times New Roman" w:hAnsi="Times New Roman" w:cs="Times New Roman"/>
          <w:sz w:val="20"/>
          <w:szCs w:val="20"/>
        </w:rPr>
      </w:pPr>
    </w:p>
    <w:p w14:paraId="2429E7C9" w14:textId="258EDDB9" w:rsidR="005E604D" w:rsidRPr="00DE6A51" w:rsidRDefault="005E604D" w:rsidP="00153C3B">
      <w:pPr>
        <w:spacing w:after="0" w:line="240" w:lineRule="auto"/>
        <w:rPr>
          <w:rFonts w:ascii="Times New Roman" w:hAnsi="Times New Roman" w:cs="Times New Roman"/>
          <w:b/>
          <w:bCs/>
          <w:sz w:val="20"/>
          <w:szCs w:val="20"/>
        </w:rPr>
      </w:pPr>
      <w:r w:rsidRPr="00DE6A51">
        <w:rPr>
          <w:rFonts w:ascii="Times New Roman" w:hAnsi="Times New Roman" w:cs="Times New Roman"/>
          <w:b/>
          <w:bCs/>
          <w:i/>
          <w:iCs/>
          <w:sz w:val="20"/>
          <w:szCs w:val="20"/>
        </w:rPr>
        <w:t xml:space="preserve">2b: Work-based and </w:t>
      </w:r>
      <w:r w:rsidR="00DE6A51">
        <w:rPr>
          <w:rFonts w:ascii="Times New Roman" w:hAnsi="Times New Roman" w:cs="Times New Roman"/>
          <w:b/>
          <w:bCs/>
          <w:i/>
          <w:iCs/>
          <w:sz w:val="20"/>
          <w:szCs w:val="20"/>
        </w:rPr>
        <w:t>C</w:t>
      </w:r>
      <w:r w:rsidRPr="00DE6A51">
        <w:rPr>
          <w:rFonts w:ascii="Times New Roman" w:hAnsi="Times New Roman" w:cs="Times New Roman"/>
          <w:b/>
          <w:bCs/>
          <w:i/>
          <w:iCs/>
          <w:sz w:val="20"/>
          <w:szCs w:val="20"/>
        </w:rPr>
        <w:t>linical</w:t>
      </w:r>
      <w:r w:rsidR="00DE6A51">
        <w:rPr>
          <w:rFonts w:ascii="Times New Roman" w:hAnsi="Times New Roman" w:cs="Times New Roman"/>
          <w:b/>
          <w:bCs/>
          <w:i/>
          <w:iCs/>
          <w:sz w:val="20"/>
          <w:szCs w:val="20"/>
        </w:rPr>
        <w:t xml:space="preserve"> A</w:t>
      </w:r>
      <w:r w:rsidRPr="00DE6A51">
        <w:rPr>
          <w:rFonts w:ascii="Times New Roman" w:hAnsi="Times New Roman" w:cs="Times New Roman"/>
          <w:b/>
          <w:bCs/>
          <w:i/>
          <w:iCs/>
          <w:sz w:val="20"/>
          <w:szCs w:val="20"/>
        </w:rPr>
        <w:t>ssessment</w:t>
      </w:r>
    </w:p>
    <w:p w14:paraId="456A78D1" w14:textId="77777777" w:rsidR="005E604D" w:rsidRPr="00153C3B" w:rsidRDefault="005E604D" w:rsidP="00153C3B">
      <w:pPr>
        <w:spacing w:after="0" w:line="240" w:lineRule="auto"/>
        <w:jc w:val="both"/>
        <w:rPr>
          <w:rFonts w:ascii="Times New Roman" w:hAnsi="Times New Roman" w:cs="Times New Roman"/>
          <w:sz w:val="20"/>
          <w:szCs w:val="20"/>
        </w:rPr>
      </w:pPr>
    </w:p>
    <w:p w14:paraId="76ADD2B2" w14:textId="529551A8"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In S&amp;T clusters, work-based assessment formats — particularly logbooks assessed by industry supervisors — provided authentic measurement contexts for competencies that classroom settings cannot easily replicate. Group 6's AGB300 Agriculture Apprenticeship (SC8) exemplifies this approach: 'the student documents and writes up their daily activity during the internship and obtains feedback from SV Industry'. The logbook here functions simultaneously as a learning tool and an assessment instrument, making the student's professional development legible to both the institution and the industry supervisor.</w:t>
      </w:r>
    </w:p>
    <w:p w14:paraId="2A416457" w14:textId="77777777" w:rsidR="005E604D" w:rsidRPr="00153C3B" w:rsidRDefault="005E604D" w:rsidP="00153C3B">
      <w:pPr>
        <w:spacing w:after="0" w:line="240" w:lineRule="auto"/>
        <w:jc w:val="both"/>
        <w:rPr>
          <w:rFonts w:ascii="Times New Roman" w:hAnsi="Times New Roman" w:cs="Times New Roman"/>
          <w:sz w:val="20"/>
          <w:szCs w:val="20"/>
        </w:rPr>
      </w:pPr>
    </w:p>
    <w:p w14:paraId="7AD70E0A" w14:textId="1B5E6DD8" w:rsidR="00DE6A51" w:rsidRDefault="005E604D" w:rsidP="00DE6A51">
      <w:pPr>
        <w:spacing w:after="0" w:line="240" w:lineRule="auto"/>
        <w:rPr>
          <w:rFonts w:ascii="Times New Roman" w:hAnsi="Times New Roman" w:cs="Times New Roman"/>
          <w:b/>
          <w:bCs/>
          <w:sz w:val="20"/>
          <w:szCs w:val="20"/>
        </w:rPr>
      </w:pPr>
      <w:r w:rsidRPr="00DE6A51">
        <w:rPr>
          <w:rFonts w:ascii="Times New Roman" w:hAnsi="Times New Roman" w:cs="Times New Roman"/>
          <w:b/>
          <w:bCs/>
          <w:i/>
          <w:iCs/>
          <w:sz w:val="20"/>
          <w:szCs w:val="20"/>
        </w:rPr>
        <w:t xml:space="preserve">2c: Reflective and </w:t>
      </w:r>
      <w:r w:rsidR="00DE6A51">
        <w:rPr>
          <w:rFonts w:ascii="Times New Roman" w:hAnsi="Times New Roman" w:cs="Times New Roman"/>
          <w:b/>
          <w:bCs/>
          <w:i/>
          <w:iCs/>
          <w:sz w:val="20"/>
          <w:szCs w:val="20"/>
        </w:rPr>
        <w:t>I</w:t>
      </w:r>
      <w:r w:rsidRPr="00DE6A51">
        <w:rPr>
          <w:rFonts w:ascii="Times New Roman" w:hAnsi="Times New Roman" w:cs="Times New Roman"/>
          <w:b/>
          <w:bCs/>
          <w:i/>
          <w:iCs/>
          <w:sz w:val="20"/>
          <w:szCs w:val="20"/>
        </w:rPr>
        <w:t>dentity-</w:t>
      </w:r>
      <w:r w:rsidR="00DE6A51">
        <w:rPr>
          <w:rFonts w:ascii="Times New Roman" w:hAnsi="Times New Roman" w:cs="Times New Roman"/>
          <w:b/>
          <w:bCs/>
          <w:i/>
          <w:iCs/>
          <w:sz w:val="20"/>
          <w:szCs w:val="20"/>
        </w:rPr>
        <w:t>F</w:t>
      </w:r>
      <w:r w:rsidRPr="00DE6A51">
        <w:rPr>
          <w:rFonts w:ascii="Times New Roman" w:hAnsi="Times New Roman" w:cs="Times New Roman"/>
          <w:b/>
          <w:bCs/>
          <w:i/>
          <w:iCs/>
          <w:sz w:val="20"/>
          <w:szCs w:val="20"/>
        </w:rPr>
        <w:t xml:space="preserve">orming </w:t>
      </w:r>
      <w:r w:rsidR="00DE6A51">
        <w:rPr>
          <w:rFonts w:ascii="Times New Roman" w:hAnsi="Times New Roman" w:cs="Times New Roman"/>
          <w:b/>
          <w:bCs/>
          <w:i/>
          <w:iCs/>
          <w:sz w:val="20"/>
          <w:szCs w:val="20"/>
        </w:rPr>
        <w:t>A</w:t>
      </w:r>
      <w:r w:rsidRPr="00DE6A51">
        <w:rPr>
          <w:rFonts w:ascii="Times New Roman" w:hAnsi="Times New Roman" w:cs="Times New Roman"/>
          <w:b/>
          <w:bCs/>
          <w:i/>
          <w:iCs/>
          <w:sz w:val="20"/>
          <w:szCs w:val="20"/>
        </w:rPr>
        <w:t>ssessment</w:t>
      </w:r>
    </w:p>
    <w:p w14:paraId="40333E93" w14:textId="77777777" w:rsidR="00DE6A51" w:rsidRDefault="00DE6A51" w:rsidP="00DE6A51">
      <w:pPr>
        <w:spacing w:after="0" w:line="240" w:lineRule="auto"/>
        <w:rPr>
          <w:rFonts w:ascii="Times New Roman" w:hAnsi="Times New Roman" w:cs="Times New Roman"/>
          <w:b/>
          <w:bCs/>
          <w:sz w:val="20"/>
          <w:szCs w:val="20"/>
        </w:rPr>
      </w:pPr>
    </w:p>
    <w:p w14:paraId="0DBD27BA" w14:textId="274293F7" w:rsidR="005E604D" w:rsidRPr="00DE6A51" w:rsidRDefault="005E604D" w:rsidP="00DE6A51">
      <w:pPr>
        <w:spacing w:after="0" w:line="240" w:lineRule="auto"/>
        <w:jc w:val="both"/>
        <w:rPr>
          <w:rFonts w:ascii="Times New Roman" w:hAnsi="Times New Roman" w:cs="Times New Roman"/>
          <w:b/>
          <w:bCs/>
          <w:sz w:val="20"/>
          <w:szCs w:val="20"/>
        </w:rPr>
      </w:pPr>
      <w:r w:rsidRPr="00153C3B">
        <w:rPr>
          <w:rFonts w:ascii="Times New Roman" w:hAnsi="Times New Roman" w:cs="Times New Roman"/>
          <w:sz w:val="20"/>
          <w:szCs w:val="20"/>
        </w:rPr>
        <w:t xml:space="preserve">Group 5's MED111 Ethics and Medical Jurisprudence (SC8) was identified as the most fully evidenced good practice in the data set, combining ethics, professional </w:t>
      </w:r>
      <w:proofErr w:type="spellStart"/>
      <w:r w:rsidRPr="00153C3B">
        <w:rPr>
          <w:rFonts w:ascii="Times New Roman" w:hAnsi="Times New Roman" w:cs="Times New Roman"/>
          <w:sz w:val="20"/>
          <w:szCs w:val="20"/>
        </w:rPr>
        <w:t>behaviour</w:t>
      </w:r>
      <w:proofErr w:type="spellEnd"/>
      <w:r w:rsidRPr="00153C3B">
        <w:rPr>
          <w:rFonts w:ascii="Times New Roman" w:hAnsi="Times New Roman" w:cs="Times New Roman"/>
          <w:sz w:val="20"/>
          <w:szCs w:val="20"/>
        </w:rPr>
        <w:t xml:space="preserve">, and self-awareness within a comprehensive assessment portfolio: 'CLO mapping, MQF2024 VBE/ESD worksheet, assignment brief, assessment rubric, and teaching activity records are available'. The inclusion of the MQF2024 VBE/ESD worksheet as assessment evidence is particularly significant—it demonstrates that this course has successfully </w:t>
      </w:r>
      <w:proofErr w:type="spellStart"/>
      <w:r w:rsidRPr="00153C3B">
        <w:rPr>
          <w:rFonts w:ascii="Times New Roman" w:hAnsi="Times New Roman" w:cs="Times New Roman"/>
          <w:sz w:val="20"/>
          <w:szCs w:val="20"/>
        </w:rPr>
        <w:t>operationalised</w:t>
      </w:r>
      <w:proofErr w:type="spellEnd"/>
      <w:r w:rsidRPr="00153C3B">
        <w:rPr>
          <w:rFonts w:ascii="Times New Roman" w:hAnsi="Times New Roman" w:cs="Times New Roman"/>
          <w:sz w:val="20"/>
          <w:szCs w:val="20"/>
        </w:rPr>
        <w:t xml:space="preserve"> the policy mandate at the instrument level, a feat not yet achieved by most participants.</w:t>
      </w:r>
    </w:p>
    <w:p w14:paraId="58F03E47" w14:textId="77777777" w:rsidR="005E604D" w:rsidRPr="00153C3B" w:rsidRDefault="005E604D" w:rsidP="00DE6A51">
      <w:pPr>
        <w:spacing w:after="0" w:line="240" w:lineRule="auto"/>
        <w:jc w:val="both"/>
        <w:rPr>
          <w:rFonts w:ascii="Times New Roman" w:hAnsi="Times New Roman" w:cs="Times New Roman"/>
          <w:sz w:val="20"/>
          <w:szCs w:val="20"/>
        </w:rPr>
      </w:pPr>
    </w:p>
    <w:p w14:paraId="2CA9B056" w14:textId="77777777"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b/>
          <w:bCs/>
          <w:i/>
          <w:iCs/>
          <w:sz w:val="20"/>
          <w:szCs w:val="20"/>
        </w:rPr>
        <w:t>Theme 3: The Student Readiness Deficit — Capability Gaps That Constrain ESD Achievement</w:t>
      </w:r>
    </w:p>
    <w:p w14:paraId="65F8149F" w14:textId="77777777" w:rsidR="005E604D" w:rsidRPr="00153C3B" w:rsidRDefault="005E604D" w:rsidP="00DE6A51">
      <w:pPr>
        <w:spacing w:after="0" w:line="240" w:lineRule="auto"/>
        <w:jc w:val="both"/>
        <w:rPr>
          <w:rFonts w:ascii="Times New Roman" w:hAnsi="Times New Roman" w:cs="Times New Roman"/>
          <w:sz w:val="20"/>
          <w:szCs w:val="20"/>
        </w:rPr>
      </w:pPr>
    </w:p>
    <w:p w14:paraId="04DE9BB4" w14:textId="13921338"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A third theme concerns faculty perceptions of students as insufficiently prepared for the demands of ESD competency development. This theme is analytically important because it complicates a purely structural explanation of ESD implementation barriers: even where rubrics are improved </w:t>
      </w:r>
      <w:r w:rsidRPr="00153C3B">
        <w:rPr>
          <w:rFonts w:ascii="Times New Roman" w:hAnsi="Times New Roman" w:cs="Times New Roman"/>
          <w:sz w:val="20"/>
          <w:szCs w:val="20"/>
        </w:rPr>
        <w:t xml:space="preserve">and authentic assessments are designed, student capability gaps may limit the </w:t>
      </w:r>
      <w:proofErr w:type="spellStart"/>
      <w:r w:rsidRPr="00153C3B">
        <w:rPr>
          <w:rFonts w:ascii="Times New Roman" w:hAnsi="Times New Roman" w:cs="Times New Roman"/>
          <w:sz w:val="20"/>
          <w:szCs w:val="20"/>
        </w:rPr>
        <w:t>realisation</w:t>
      </w:r>
      <w:proofErr w:type="spellEnd"/>
      <w:r w:rsidRPr="00153C3B">
        <w:rPr>
          <w:rFonts w:ascii="Times New Roman" w:hAnsi="Times New Roman" w:cs="Times New Roman"/>
          <w:sz w:val="20"/>
          <w:szCs w:val="20"/>
        </w:rPr>
        <w:t xml:space="preserve"> of competency outcomes.</w:t>
      </w:r>
    </w:p>
    <w:p w14:paraId="0F6507F1" w14:textId="77777777" w:rsidR="005E604D" w:rsidRPr="00153C3B" w:rsidRDefault="005E604D" w:rsidP="00DE6A51">
      <w:pPr>
        <w:spacing w:after="0" w:line="240" w:lineRule="auto"/>
        <w:jc w:val="both"/>
        <w:rPr>
          <w:rFonts w:ascii="Times New Roman" w:hAnsi="Times New Roman" w:cs="Times New Roman"/>
          <w:sz w:val="20"/>
          <w:szCs w:val="20"/>
        </w:rPr>
      </w:pPr>
    </w:p>
    <w:p w14:paraId="6B07EE4D" w14:textId="64F18D11" w:rsidR="005E604D" w:rsidRPr="00DE6A51" w:rsidRDefault="005E604D" w:rsidP="00DE6A51">
      <w:pPr>
        <w:spacing w:after="0" w:line="240" w:lineRule="auto"/>
        <w:jc w:val="both"/>
        <w:rPr>
          <w:rFonts w:ascii="Times New Roman" w:hAnsi="Times New Roman" w:cs="Times New Roman"/>
          <w:b/>
          <w:bCs/>
          <w:sz w:val="20"/>
          <w:szCs w:val="20"/>
        </w:rPr>
      </w:pPr>
      <w:r w:rsidRPr="00DE6A51">
        <w:rPr>
          <w:rFonts w:ascii="Times New Roman" w:hAnsi="Times New Roman" w:cs="Times New Roman"/>
          <w:b/>
          <w:bCs/>
          <w:i/>
          <w:iCs/>
          <w:sz w:val="20"/>
          <w:szCs w:val="20"/>
        </w:rPr>
        <w:t xml:space="preserve">3a: Higher-order </w:t>
      </w:r>
      <w:r w:rsidR="00DE6A51">
        <w:rPr>
          <w:rFonts w:ascii="Times New Roman" w:hAnsi="Times New Roman" w:cs="Times New Roman"/>
          <w:b/>
          <w:bCs/>
          <w:i/>
          <w:iCs/>
          <w:sz w:val="20"/>
          <w:szCs w:val="20"/>
        </w:rPr>
        <w:t>T</w:t>
      </w:r>
      <w:r w:rsidRPr="00DE6A51">
        <w:rPr>
          <w:rFonts w:ascii="Times New Roman" w:hAnsi="Times New Roman" w:cs="Times New Roman"/>
          <w:b/>
          <w:bCs/>
          <w:i/>
          <w:iCs/>
          <w:sz w:val="20"/>
          <w:szCs w:val="20"/>
        </w:rPr>
        <w:t xml:space="preserve">hinking </w:t>
      </w:r>
      <w:r w:rsidR="00DE6A51">
        <w:rPr>
          <w:rFonts w:ascii="Times New Roman" w:hAnsi="Times New Roman" w:cs="Times New Roman"/>
          <w:b/>
          <w:bCs/>
          <w:i/>
          <w:iCs/>
          <w:sz w:val="20"/>
          <w:szCs w:val="20"/>
        </w:rPr>
        <w:t>L</w:t>
      </w:r>
      <w:r w:rsidRPr="00DE6A51">
        <w:rPr>
          <w:rFonts w:ascii="Times New Roman" w:hAnsi="Times New Roman" w:cs="Times New Roman"/>
          <w:b/>
          <w:bCs/>
          <w:i/>
          <w:iCs/>
          <w:sz w:val="20"/>
          <w:szCs w:val="20"/>
        </w:rPr>
        <w:t>imitations</w:t>
      </w:r>
    </w:p>
    <w:p w14:paraId="2366A686" w14:textId="77777777" w:rsidR="005E604D" w:rsidRPr="00153C3B" w:rsidRDefault="005E604D" w:rsidP="00DE6A51">
      <w:pPr>
        <w:spacing w:after="0" w:line="240" w:lineRule="auto"/>
        <w:jc w:val="both"/>
        <w:rPr>
          <w:rFonts w:ascii="Times New Roman" w:hAnsi="Times New Roman" w:cs="Times New Roman"/>
          <w:sz w:val="20"/>
          <w:szCs w:val="20"/>
        </w:rPr>
      </w:pPr>
    </w:p>
    <w:p w14:paraId="2A4DFCBB" w14:textId="31EE70B5" w:rsidR="005E604D" w:rsidRPr="00153C3B" w:rsidRDefault="005E604D" w:rsidP="00DE6A51">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Multiple groups identified that students struggled with the higher-order cognitive demands implied by ESD competencies. Group 6 noted that "students struggle to </w:t>
      </w:r>
      <w:proofErr w:type="spellStart"/>
      <w:r w:rsidRPr="00153C3B">
        <w:rPr>
          <w:rFonts w:ascii="Times New Roman" w:hAnsi="Times New Roman" w:cs="Times New Roman"/>
          <w:sz w:val="20"/>
          <w:szCs w:val="20"/>
        </w:rPr>
        <w:t>analyse</w:t>
      </w:r>
      <w:proofErr w:type="spellEnd"/>
      <w:r w:rsidRPr="00153C3B">
        <w:rPr>
          <w:rFonts w:ascii="Times New Roman" w:hAnsi="Times New Roman" w:cs="Times New Roman"/>
          <w:sz w:val="20"/>
          <w:szCs w:val="20"/>
        </w:rPr>
        <w:t xml:space="preserve"> information and identify reliable sources"—a foundational skill for evidence-based sustainability reasoning. Group 2 observed that students were 'falling short of the high cognitive level' and tended to treat complex knowledge systems in silos: 'students treat phonetics and phonological features in silos', unable to perceive systemic interconnections.</w:t>
      </w:r>
    </w:p>
    <w:p w14:paraId="151E12EC" w14:textId="77777777" w:rsidR="005E604D" w:rsidRPr="00153C3B" w:rsidRDefault="005E604D" w:rsidP="00153C3B">
      <w:pPr>
        <w:spacing w:after="0" w:line="240" w:lineRule="auto"/>
        <w:ind w:right="720"/>
        <w:jc w:val="both"/>
        <w:rPr>
          <w:rFonts w:ascii="Times New Roman" w:hAnsi="Times New Roman" w:cs="Times New Roman"/>
          <w:i/>
          <w:iCs/>
          <w:sz w:val="20"/>
          <w:szCs w:val="20"/>
        </w:rPr>
      </w:pPr>
    </w:p>
    <w:p w14:paraId="0CE5560C" w14:textId="74B66A6F" w:rsidR="005E604D" w:rsidRPr="00153C3B" w:rsidRDefault="005E604D" w:rsidP="00DE6A51">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"Turning a critical thinking question into a simple reading comprehension test. (G2)"</w:t>
      </w:r>
    </w:p>
    <w:p w14:paraId="6A6BE161" w14:textId="77777777" w:rsidR="005E604D" w:rsidRPr="00153C3B" w:rsidRDefault="005E604D" w:rsidP="00153C3B">
      <w:pPr>
        <w:spacing w:after="0" w:line="240" w:lineRule="auto"/>
        <w:jc w:val="both"/>
        <w:rPr>
          <w:rFonts w:ascii="Times New Roman" w:hAnsi="Times New Roman" w:cs="Times New Roman"/>
          <w:sz w:val="20"/>
          <w:szCs w:val="20"/>
        </w:rPr>
      </w:pPr>
    </w:p>
    <w:p w14:paraId="5522C21B" w14:textId="54F8DE10"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This extract is analytically </w:t>
      </w:r>
      <w:proofErr w:type="gramStart"/>
      <w:r w:rsidRPr="00153C3B">
        <w:rPr>
          <w:rFonts w:ascii="Times New Roman" w:hAnsi="Times New Roman" w:cs="Times New Roman"/>
          <w:sz w:val="20"/>
          <w:szCs w:val="20"/>
        </w:rPr>
        <w:t>striking:</w:t>
      </w:r>
      <w:proofErr w:type="gramEnd"/>
      <w:r w:rsidRPr="00153C3B">
        <w:rPr>
          <w:rFonts w:ascii="Times New Roman" w:hAnsi="Times New Roman" w:cs="Times New Roman"/>
          <w:sz w:val="20"/>
          <w:szCs w:val="20"/>
        </w:rPr>
        <w:t xml:space="preserve"> it suggests that the problem is not only that students lack higher-order thinking skills, but that assessment design — under pressure from rubric vagueness and workload constraints — is inadvertently scaffolding students away from the very cognitive demands that ESD competencies require. The risk, in Biggs and Tang's (2011) terms, is a 'backwash effect': surface-level assessment drives surface-level learning.</w:t>
      </w:r>
    </w:p>
    <w:p w14:paraId="5887DA96" w14:textId="77777777" w:rsidR="005E604D" w:rsidRPr="00153C3B" w:rsidRDefault="005E604D" w:rsidP="00153C3B">
      <w:pPr>
        <w:spacing w:after="0" w:line="240" w:lineRule="auto"/>
        <w:jc w:val="both"/>
        <w:rPr>
          <w:rFonts w:ascii="Times New Roman" w:hAnsi="Times New Roman" w:cs="Times New Roman"/>
          <w:sz w:val="20"/>
          <w:szCs w:val="20"/>
        </w:rPr>
      </w:pPr>
    </w:p>
    <w:p w14:paraId="317D650B" w14:textId="3C6B836F" w:rsidR="005E604D" w:rsidRPr="00DE6A51" w:rsidRDefault="005E604D" w:rsidP="00153C3B">
      <w:pPr>
        <w:spacing w:after="0" w:line="240" w:lineRule="auto"/>
        <w:rPr>
          <w:rFonts w:ascii="Times New Roman" w:hAnsi="Times New Roman" w:cs="Times New Roman"/>
          <w:b/>
          <w:bCs/>
          <w:sz w:val="20"/>
          <w:szCs w:val="20"/>
        </w:rPr>
      </w:pPr>
      <w:r w:rsidRPr="00DE6A51">
        <w:rPr>
          <w:rFonts w:ascii="Times New Roman" w:hAnsi="Times New Roman" w:cs="Times New Roman"/>
          <w:b/>
          <w:bCs/>
          <w:i/>
          <w:iCs/>
          <w:sz w:val="20"/>
          <w:szCs w:val="20"/>
        </w:rPr>
        <w:t>3b: Integrative and</w:t>
      </w:r>
      <w:r w:rsidR="00DE6A51">
        <w:rPr>
          <w:rFonts w:ascii="Times New Roman" w:hAnsi="Times New Roman" w:cs="Times New Roman"/>
          <w:b/>
          <w:bCs/>
          <w:i/>
          <w:iCs/>
          <w:sz w:val="20"/>
          <w:szCs w:val="20"/>
        </w:rPr>
        <w:t xml:space="preserve"> C</w:t>
      </w:r>
      <w:r w:rsidRPr="00DE6A51">
        <w:rPr>
          <w:rFonts w:ascii="Times New Roman" w:hAnsi="Times New Roman" w:cs="Times New Roman"/>
          <w:b/>
          <w:bCs/>
          <w:i/>
          <w:iCs/>
          <w:sz w:val="20"/>
          <w:szCs w:val="20"/>
        </w:rPr>
        <w:t>ross-</w:t>
      </w:r>
      <w:r w:rsidR="00DE6A51">
        <w:rPr>
          <w:rFonts w:ascii="Times New Roman" w:hAnsi="Times New Roman" w:cs="Times New Roman"/>
          <w:b/>
          <w:bCs/>
          <w:i/>
          <w:iCs/>
          <w:sz w:val="20"/>
          <w:szCs w:val="20"/>
        </w:rPr>
        <w:t>D</w:t>
      </w:r>
      <w:r w:rsidRPr="00DE6A51">
        <w:rPr>
          <w:rFonts w:ascii="Times New Roman" w:hAnsi="Times New Roman" w:cs="Times New Roman"/>
          <w:b/>
          <w:bCs/>
          <w:i/>
          <w:iCs/>
          <w:sz w:val="20"/>
          <w:szCs w:val="20"/>
        </w:rPr>
        <w:t xml:space="preserve">isciplinary </w:t>
      </w:r>
      <w:r w:rsidR="00DE6A51">
        <w:rPr>
          <w:rFonts w:ascii="Times New Roman" w:hAnsi="Times New Roman" w:cs="Times New Roman"/>
          <w:b/>
          <w:bCs/>
          <w:i/>
          <w:iCs/>
          <w:sz w:val="20"/>
          <w:szCs w:val="20"/>
        </w:rPr>
        <w:t>L</w:t>
      </w:r>
      <w:r w:rsidRPr="00DE6A51">
        <w:rPr>
          <w:rFonts w:ascii="Times New Roman" w:hAnsi="Times New Roman" w:cs="Times New Roman"/>
          <w:b/>
          <w:bCs/>
          <w:i/>
          <w:iCs/>
          <w:sz w:val="20"/>
          <w:szCs w:val="20"/>
        </w:rPr>
        <w:t xml:space="preserve">earning </w:t>
      </w:r>
      <w:r w:rsidR="00DE6A51">
        <w:rPr>
          <w:rFonts w:ascii="Times New Roman" w:hAnsi="Times New Roman" w:cs="Times New Roman"/>
          <w:b/>
          <w:bCs/>
          <w:i/>
          <w:iCs/>
          <w:sz w:val="20"/>
          <w:szCs w:val="20"/>
        </w:rPr>
        <w:t>D</w:t>
      </w:r>
      <w:r w:rsidRPr="00DE6A51">
        <w:rPr>
          <w:rFonts w:ascii="Times New Roman" w:hAnsi="Times New Roman" w:cs="Times New Roman"/>
          <w:b/>
          <w:bCs/>
          <w:i/>
          <w:iCs/>
          <w:sz w:val="20"/>
          <w:szCs w:val="20"/>
        </w:rPr>
        <w:t>eficits</w:t>
      </w:r>
    </w:p>
    <w:p w14:paraId="227497BF" w14:textId="77777777" w:rsidR="005E604D" w:rsidRPr="00153C3B" w:rsidRDefault="005E604D" w:rsidP="00153C3B">
      <w:pPr>
        <w:spacing w:after="0" w:line="240" w:lineRule="auto"/>
        <w:jc w:val="both"/>
        <w:rPr>
          <w:rFonts w:ascii="Times New Roman" w:hAnsi="Times New Roman" w:cs="Times New Roman"/>
          <w:sz w:val="20"/>
          <w:szCs w:val="20"/>
        </w:rPr>
      </w:pPr>
    </w:p>
    <w:p w14:paraId="329A2BAB" w14:textId="245315B5"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Group 2 identified a related structural problem: 'students failed to relate the practice between one course and other courses'. This integrative deficit—the inability to </w:t>
      </w:r>
      <w:proofErr w:type="spellStart"/>
      <w:r w:rsidRPr="00153C3B">
        <w:rPr>
          <w:rFonts w:ascii="Times New Roman" w:hAnsi="Times New Roman" w:cs="Times New Roman"/>
          <w:sz w:val="20"/>
          <w:szCs w:val="20"/>
        </w:rPr>
        <w:t>synthesise</w:t>
      </w:r>
      <w:proofErr w:type="spellEnd"/>
      <w:r w:rsidRPr="00153C3B">
        <w:rPr>
          <w:rFonts w:ascii="Times New Roman" w:hAnsi="Times New Roman" w:cs="Times New Roman"/>
          <w:sz w:val="20"/>
          <w:szCs w:val="20"/>
        </w:rPr>
        <w:t xml:space="preserve"> knowledge across disciplinary boundaries— directly undermines the systemic and anticipatory thinking competencies that are most valued in ESD frameworks. The lack of accessible reference materials further compounds this: 'lack of sources, such as textbooks for students' reference' constrains the depth of engagement possible even for motivated learners.</w:t>
      </w:r>
    </w:p>
    <w:p w14:paraId="3F9656C9" w14:textId="77777777" w:rsidR="005E604D" w:rsidRPr="00153C3B" w:rsidRDefault="005E604D" w:rsidP="00153C3B">
      <w:pPr>
        <w:spacing w:after="0" w:line="240" w:lineRule="auto"/>
        <w:ind w:firstLine="720"/>
        <w:jc w:val="both"/>
        <w:rPr>
          <w:rFonts w:ascii="Times New Roman" w:hAnsi="Times New Roman" w:cs="Times New Roman"/>
          <w:sz w:val="20"/>
          <w:szCs w:val="20"/>
        </w:rPr>
      </w:pPr>
    </w:p>
    <w:p w14:paraId="5F89FC56" w14:textId="77777777" w:rsidR="005E604D" w:rsidRPr="00153C3B" w:rsidRDefault="005E604D" w:rsidP="00153C3B">
      <w:pPr>
        <w:spacing w:after="0" w:line="240" w:lineRule="auto"/>
        <w:rPr>
          <w:rFonts w:ascii="Times New Roman" w:hAnsi="Times New Roman" w:cs="Times New Roman"/>
          <w:sz w:val="20"/>
          <w:szCs w:val="20"/>
        </w:rPr>
      </w:pPr>
      <w:r w:rsidRPr="00153C3B">
        <w:rPr>
          <w:rFonts w:ascii="Times New Roman" w:hAnsi="Times New Roman" w:cs="Times New Roman"/>
          <w:b/>
          <w:bCs/>
          <w:i/>
          <w:iCs/>
          <w:sz w:val="20"/>
          <w:szCs w:val="20"/>
        </w:rPr>
        <w:t>Theme 4: Navigating the Ecosystem — Faculty Agency Against Structural and Relational Constraints</w:t>
      </w:r>
    </w:p>
    <w:p w14:paraId="6DAE9846" w14:textId="77777777" w:rsidR="005E604D" w:rsidRPr="00153C3B" w:rsidRDefault="005E604D" w:rsidP="00153C3B">
      <w:pPr>
        <w:spacing w:after="0" w:line="240" w:lineRule="auto"/>
        <w:jc w:val="both"/>
        <w:rPr>
          <w:rFonts w:ascii="Times New Roman" w:hAnsi="Times New Roman" w:cs="Times New Roman"/>
          <w:sz w:val="20"/>
          <w:szCs w:val="20"/>
        </w:rPr>
      </w:pPr>
    </w:p>
    <w:p w14:paraId="4BA25871" w14:textId="058C2D32"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The fourth theme complicates a purely deficit-oriented reading of the data by foregrounding faculty as active agents who are navigating — rather than merely subject to — the structural constraints of ESD implementation. This theme captures three distinct forms of agency: managing relationships with external partners unfamiliar with ESD standards, driving institutional </w:t>
      </w:r>
      <w:proofErr w:type="spellStart"/>
      <w:r w:rsidRPr="00153C3B">
        <w:rPr>
          <w:rFonts w:ascii="Times New Roman" w:hAnsi="Times New Roman" w:cs="Times New Roman"/>
          <w:sz w:val="20"/>
          <w:szCs w:val="20"/>
        </w:rPr>
        <w:t>standardisation</w:t>
      </w:r>
      <w:proofErr w:type="spellEnd"/>
      <w:r w:rsidRPr="00153C3B">
        <w:rPr>
          <w:rFonts w:ascii="Times New Roman" w:hAnsi="Times New Roman" w:cs="Times New Roman"/>
          <w:sz w:val="20"/>
          <w:szCs w:val="20"/>
        </w:rPr>
        <w:t xml:space="preserve"> mechanisms, and identifying and disseminating best practices.</w:t>
      </w:r>
    </w:p>
    <w:p w14:paraId="53CBD523" w14:textId="77777777" w:rsidR="005E604D" w:rsidRPr="00153C3B" w:rsidRDefault="005E604D" w:rsidP="00153C3B">
      <w:pPr>
        <w:spacing w:after="0" w:line="240" w:lineRule="auto"/>
        <w:rPr>
          <w:rFonts w:ascii="Times New Roman" w:hAnsi="Times New Roman" w:cs="Times New Roman"/>
          <w:i/>
          <w:iCs/>
          <w:sz w:val="20"/>
          <w:szCs w:val="20"/>
        </w:rPr>
      </w:pPr>
    </w:p>
    <w:p w14:paraId="2E27C1CA" w14:textId="0F008DFF" w:rsidR="005E604D" w:rsidRDefault="005E604D" w:rsidP="00153C3B">
      <w:pPr>
        <w:spacing w:after="0" w:line="240" w:lineRule="auto"/>
        <w:rPr>
          <w:rFonts w:ascii="Times New Roman" w:hAnsi="Times New Roman" w:cs="Times New Roman"/>
          <w:b/>
          <w:bCs/>
          <w:i/>
          <w:iCs/>
          <w:sz w:val="20"/>
          <w:szCs w:val="20"/>
        </w:rPr>
      </w:pPr>
      <w:r w:rsidRPr="00DE6A51">
        <w:rPr>
          <w:rFonts w:ascii="Times New Roman" w:hAnsi="Times New Roman" w:cs="Times New Roman"/>
          <w:b/>
          <w:bCs/>
          <w:i/>
          <w:iCs/>
          <w:sz w:val="20"/>
          <w:szCs w:val="20"/>
        </w:rPr>
        <w:t xml:space="preserve">4a: Managing </w:t>
      </w:r>
      <w:r w:rsidR="00DE6A51">
        <w:rPr>
          <w:rFonts w:ascii="Times New Roman" w:hAnsi="Times New Roman" w:cs="Times New Roman"/>
          <w:b/>
          <w:bCs/>
          <w:i/>
          <w:iCs/>
          <w:sz w:val="20"/>
          <w:szCs w:val="20"/>
        </w:rPr>
        <w:t>E</w:t>
      </w:r>
      <w:r w:rsidRPr="00DE6A51">
        <w:rPr>
          <w:rFonts w:ascii="Times New Roman" w:hAnsi="Times New Roman" w:cs="Times New Roman"/>
          <w:b/>
          <w:bCs/>
          <w:i/>
          <w:iCs/>
          <w:sz w:val="20"/>
          <w:szCs w:val="20"/>
        </w:rPr>
        <w:t xml:space="preserve">xternal </w:t>
      </w:r>
      <w:r w:rsidR="00DE6A51">
        <w:rPr>
          <w:rFonts w:ascii="Times New Roman" w:hAnsi="Times New Roman" w:cs="Times New Roman"/>
          <w:b/>
          <w:bCs/>
          <w:i/>
          <w:iCs/>
          <w:sz w:val="20"/>
          <w:szCs w:val="20"/>
        </w:rPr>
        <w:t>P</w:t>
      </w:r>
      <w:r w:rsidRPr="00DE6A51">
        <w:rPr>
          <w:rFonts w:ascii="Times New Roman" w:hAnsi="Times New Roman" w:cs="Times New Roman"/>
          <w:b/>
          <w:bCs/>
          <w:i/>
          <w:iCs/>
          <w:sz w:val="20"/>
          <w:szCs w:val="20"/>
        </w:rPr>
        <w:t xml:space="preserve">artner and </w:t>
      </w:r>
      <w:r w:rsidR="00DE6A51">
        <w:rPr>
          <w:rFonts w:ascii="Times New Roman" w:hAnsi="Times New Roman" w:cs="Times New Roman"/>
          <w:b/>
          <w:bCs/>
          <w:i/>
          <w:iCs/>
          <w:sz w:val="20"/>
          <w:szCs w:val="20"/>
        </w:rPr>
        <w:t>I</w:t>
      </w:r>
      <w:r w:rsidRPr="00DE6A51">
        <w:rPr>
          <w:rFonts w:ascii="Times New Roman" w:hAnsi="Times New Roman" w:cs="Times New Roman"/>
          <w:b/>
          <w:bCs/>
          <w:i/>
          <w:iCs/>
          <w:sz w:val="20"/>
          <w:szCs w:val="20"/>
        </w:rPr>
        <w:t xml:space="preserve">ndustry </w:t>
      </w:r>
      <w:r w:rsidR="00DE6A51">
        <w:rPr>
          <w:rFonts w:ascii="Times New Roman" w:hAnsi="Times New Roman" w:cs="Times New Roman"/>
          <w:b/>
          <w:bCs/>
          <w:i/>
          <w:iCs/>
          <w:sz w:val="20"/>
          <w:szCs w:val="20"/>
        </w:rPr>
        <w:t>R</w:t>
      </w:r>
      <w:r w:rsidRPr="00DE6A51">
        <w:rPr>
          <w:rFonts w:ascii="Times New Roman" w:hAnsi="Times New Roman" w:cs="Times New Roman"/>
          <w:b/>
          <w:bCs/>
          <w:i/>
          <w:iCs/>
          <w:sz w:val="20"/>
          <w:szCs w:val="20"/>
        </w:rPr>
        <w:t>elationships</w:t>
      </w:r>
    </w:p>
    <w:p w14:paraId="4DD808B9" w14:textId="77777777" w:rsidR="00E06570" w:rsidRDefault="00E06570" w:rsidP="00E06570">
      <w:pPr>
        <w:spacing w:after="0" w:line="240" w:lineRule="auto"/>
        <w:jc w:val="both"/>
        <w:rPr>
          <w:rFonts w:ascii="Times New Roman" w:hAnsi="Times New Roman" w:cs="Times New Roman"/>
          <w:b/>
          <w:bCs/>
          <w:sz w:val="20"/>
          <w:szCs w:val="20"/>
        </w:rPr>
      </w:pPr>
    </w:p>
    <w:p w14:paraId="46423AF3" w14:textId="2E1A9BCE" w:rsidR="005E604D" w:rsidRPr="00153C3B" w:rsidRDefault="005E604D" w:rsidP="00E06570">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lastRenderedPageBreak/>
        <w:t xml:space="preserve">Groups working with industry and community partners identified that these stakeholders frequently lacked the contextual knowledge to apply ESD rubrics consistently. Group 6 noted that 'vetting panels and industry partners often misunderstand the new rubrics and ESD (Education for Sustainable Development) standards'. Rather than treating this as an insurmountable barrier, faculty proposed concrete solutions: 'Provide industry panel members with a guideline for evaluating student logbooks, thereby </w:t>
      </w:r>
      <w:proofErr w:type="spellStart"/>
      <w:r w:rsidRPr="00153C3B">
        <w:rPr>
          <w:rFonts w:ascii="Times New Roman" w:hAnsi="Times New Roman" w:cs="Times New Roman"/>
          <w:sz w:val="20"/>
          <w:szCs w:val="20"/>
        </w:rPr>
        <w:t>standardising</w:t>
      </w:r>
      <w:proofErr w:type="spellEnd"/>
      <w:r w:rsidRPr="00153C3B">
        <w:rPr>
          <w:rFonts w:ascii="Times New Roman" w:hAnsi="Times New Roman" w:cs="Times New Roman"/>
          <w:sz w:val="20"/>
          <w:szCs w:val="20"/>
        </w:rPr>
        <w:t xml:space="preserve"> the assessment,' and community engagement protocols such as 'engaging community leaders (e.g., Tok Penghulu) before approaching communities directly.'</w:t>
      </w:r>
    </w:p>
    <w:p w14:paraId="1A03943B" w14:textId="77777777" w:rsidR="005E604D" w:rsidRPr="00153C3B" w:rsidRDefault="005E604D" w:rsidP="00153C3B">
      <w:pPr>
        <w:spacing w:after="0" w:line="240" w:lineRule="auto"/>
        <w:rPr>
          <w:rFonts w:ascii="Times New Roman" w:hAnsi="Times New Roman" w:cs="Times New Roman"/>
          <w:i/>
          <w:iCs/>
          <w:sz w:val="20"/>
          <w:szCs w:val="20"/>
        </w:rPr>
      </w:pPr>
    </w:p>
    <w:p w14:paraId="75DC4A93" w14:textId="2AB4D8A2" w:rsidR="005E604D" w:rsidRDefault="005E604D" w:rsidP="00153C3B">
      <w:pPr>
        <w:spacing w:after="0" w:line="240" w:lineRule="auto"/>
        <w:rPr>
          <w:rFonts w:ascii="Times New Roman" w:hAnsi="Times New Roman" w:cs="Times New Roman"/>
          <w:b/>
          <w:bCs/>
          <w:i/>
          <w:iCs/>
          <w:sz w:val="20"/>
          <w:szCs w:val="20"/>
        </w:rPr>
      </w:pPr>
      <w:r w:rsidRPr="00DE6A51">
        <w:rPr>
          <w:rFonts w:ascii="Times New Roman" w:hAnsi="Times New Roman" w:cs="Times New Roman"/>
          <w:b/>
          <w:bCs/>
          <w:i/>
          <w:iCs/>
          <w:sz w:val="20"/>
          <w:szCs w:val="20"/>
        </w:rPr>
        <w:t xml:space="preserve">4b: Institutional </w:t>
      </w:r>
      <w:r w:rsidR="00DE6A51">
        <w:rPr>
          <w:rFonts w:ascii="Times New Roman" w:hAnsi="Times New Roman" w:cs="Times New Roman"/>
          <w:b/>
          <w:bCs/>
          <w:i/>
          <w:iCs/>
          <w:sz w:val="20"/>
          <w:szCs w:val="20"/>
        </w:rPr>
        <w:t>S</w:t>
      </w:r>
      <w:r w:rsidR="00DE6A51" w:rsidRPr="00DE6A51">
        <w:rPr>
          <w:rFonts w:ascii="Times New Roman" w:hAnsi="Times New Roman" w:cs="Times New Roman"/>
          <w:b/>
          <w:bCs/>
          <w:i/>
          <w:iCs/>
          <w:sz w:val="20"/>
          <w:szCs w:val="20"/>
        </w:rPr>
        <w:t>tandardization</w:t>
      </w:r>
      <w:r w:rsidRPr="00DE6A51">
        <w:rPr>
          <w:rFonts w:ascii="Times New Roman" w:hAnsi="Times New Roman" w:cs="Times New Roman"/>
          <w:b/>
          <w:bCs/>
          <w:i/>
          <w:iCs/>
          <w:sz w:val="20"/>
          <w:szCs w:val="20"/>
        </w:rPr>
        <w:t xml:space="preserve"> </w:t>
      </w:r>
      <w:r w:rsidR="00DE6A51">
        <w:rPr>
          <w:rFonts w:ascii="Times New Roman" w:hAnsi="Times New Roman" w:cs="Times New Roman"/>
          <w:b/>
          <w:bCs/>
          <w:i/>
          <w:iCs/>
          <w:sz w:val="20"/>
          <w:szCs w:val="20"/>
        </w:rPr>
        <w:t>M</w:t>
      </w:r>
      <w:r w:rsidRPr="00DE6A51">
        <w:rPr>
          <w:rFonts w:ascii="Times New Roman" w:hAnsi="Times New Roman" w:cs="Times New Roman"/>
          <w:b/>
          <w:bCs/>
          <w:i/>
          <w:iCs/>
          <w:sz w:val="20"/>
          <w:szCs w:val="20"/>
        </w:rPr>
        <w:t>echanisms</w:t>
      </w:r>
    </w:p>
    <w:p w14:paraId="12D4AD10" w14:textId="77777777" w:rsidR="00E06570" w:rsidRDefault="00E06570" w:rsidP="00E06570">
      <w:pPr>
        <w:spacing w:after="0" w:line="240" w:lineRule="auto"/>
        <w:jc w:val="both"/>
        <w:rPr>
          <w:rFonts w:ascii="Times New Roman" w:hAnsi="Times New Roman" w:cs="Times New Roman"/>
          <w:b/>
          <w:bCs/>
          <w:sz w:val="20"/>
          <w:szCs w:val="20"/>
        </w:rPr>
      </w:pPr>
    </w:p>
    <w:p w14:paraId="1F25E27D" w14:textId="1B011022" w:rsidR="005E604D" w:rsidRPr="00153C3B" w:rsidRDefault="005E604D" w:rsidP="00E06570">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Some groups had already developed institutional responses to the inconsistency problem identified in Theme 1. Group 1's multi-campus </w:t>
      </w:r>
      <w:proofErr w:type="spellStart"/>
      <w:r w:rsidRPr="00153C3B">
        <w:rPr>
          <w:rFonts w:ascii="Times New Roman" w:hAnsi="Times New Roman" w:cs="Times New Roman"/>
          <w:sz w:val="20"/>
          <w:szCs w:val="20"/>
        </w:rPr>
        <w:t>standardisation</w:t>
      </w:r>
      <w:proofErr w:type="spellEnd"/>
      <w:r w:rsidRPr="00153C3B">
        <w:rPr>
          <w:rFonts w:ascii="Times New Roman" w:hAnsi="Times New Roman" w:cs="Times New Roman"/>
          <w:sz w:val="20"/>
          <w:szCs w:val="20"/>
        </w:rPr>
        <w:t xml:space="preserve"> strategy — briefings at the start of each semester and panel-based mean scoring — represents an institutionally embedded calibration mechanism. While not eliminating subjectivity, these mechanisms demonstrate that faculty are not waiting for top-down solutions but are constructing bottom-up infrastructure for assessment quality.</w:t>
      </w:r>
    </w:p>
    <w:p w14:paraId="5FB3B145" w14:textId="77777777" w:rsidR="005E604D" w:rsidRPr="00153C3B" w:rsidRDefault="005E604D" w:rsidP="00153C3B">
      <w:pPr>
        <w:spacing w:after="0" w:line="240" w:lineRule="auto"/>
        <w:ind w:right="720"/>
        <w:jc w:val="both"/>
        <w:rPr>
          <w:rFonts w:ascii="Times New Roman" w:hAnsi="Times New Roman" w:cs="Times New Roman"/>
          <w:i/>
          <w:iCs/>
          <w:sz w:val="20"/>
          <w:szCs w:val="20"/>
        </w:rPr>
      </w:pPr>
    </w:p>
    <w:p w14:paraId="0B6E9D45" w14:textId="1B3F1FCD" w:rsidR="005E604D" w:rsidRPr="00153C3B" w:rsidRDefault="005E604D" w:rsidP="00DE6A51">
      <w:pPr>
        <w:spacing w:after="0" w:line="240" w:lineRule="auto"/>
        <w:ind w:right="720"/>
        <w:rPr>
          <w:rFonts w:ascii="Times New Roman" w:hAnsi="Times New Roman" w:cs="Times New Roman"/>
          <w:i/>
          <w:iCs/>
          <w:sz w:val="20"/>
          <w:szCs w:val="20"/>
        </w:rPr>
      </w:pPr>
      <w:r w:rsidRPr="00153C3B">
        <w:rPr>
          <w:rFonts w:ascii="Times New Roman" w:hAnsi="Times New Roman" w:cs="Times New Roman"/>
          <w:i/>
          <w:iCs/>
          <w:sz w:val="20"/>
          <w:szCs w:val="20"/>
        </w:rPr>
        <w:t xml:space="preserve">"RP conducts </w:t>
      </w:r>
      <w:proofErr w:type="spellStart"/>
      <w:r w:rsidRPr="00153C3B">
        <w:rPr>
          <w:rFonts w:ascii="Times New Roman" w:hAnsi="Times New Roman" w:cs="Times New Roman"/>
          <w:i/>
          <w:iCs/>
          <w:sz w:val="20"/>
          <w:szCs w:val="20"/>
        </w:rPr>
        <w:t>standardisation</w:t>
      </w:r>
      <w:proofErr w:type="spellEnd"/>
      <w:r w:rsidRPr="00153C3B">
        <w:rPr>
          <w:rFonts w:ascii="Times New Roman" w:hAnsi="Times New Roman" w:cs="Times New Roman"/>
          <w:i/>
          <w:iCs/>
          <w:sz w:val="20"/>
          <w:szCs w:val="20"/>
        </w:rPr>
        <w:t xml:space="preserve"> briefings for all lecturers across eight campuses at the start of the semester to align on rubric application and clarify specific attribute criteria. Student presentations are assessed by a panel of all teaching lecturers, with the final grade derived from the mean score. (G1)"</w:t>
      </w:r>
    </w:p>
    <w:p w14:paraId="4FCB58F4" w14:textId="77777777" w:rsidR="005E604D" w:rsidRPr="00153C3B" w:rsidRDefault="005E604D" w:rsidP="00153C3B">
      <w:pPr>
        <w:spacing w:after="0" w:line="240" w:lineRule="auto"/>
        <w:ind w:right="720"/>
        <w:jc w:val="center"/>
        <w:rPr>
          <w:rFonts w:ascii="Times New Roman" w:hAnsi="Times New Roman" w:cs="Times New Roman"/>
          <w:sz w:val="20"/>
          <w:szCs w:val="20"/>
        </w:rPr>
      </w:pPr>
    </w:p>
    <w:p w14:paraId="2D941AF6" w14:textId="77777777" w:rsidR="005E604D" w:rsidRPr="00DE6A51" w:rsidRDefault="005E604D" w:rsidP="00153C3B">
      <w:pPr>
        <w:spacing w:after="0" w:line="240" w:lineRule="auto"/>
        <w:rPr>
          <w:rFonts w:ascii="Times New Roman" w:hAnsi="Times New Roman" w:cs="Times New Roman"/>
          <w:b/>
          <w:bCs/>
          <w:sz w:val="20"/>
          <w:szCs w:val="20"/>
        </w:rPr>
      </w:pPr>
      <w:r w:rsidRPr="00DE6A51">
        <w:rPr>
          <w:rFonts w:ascii="Times New Roman" w:hAnsi="Times New Roman" w:cs="Times New Roman"/>
          <w:b/>
          <w:bCs/>
          <w:i/>
          <w:iCs/>
          <w:sz w:val="20"/>
          <w:szCs w:val="20"/>
        </w:rPr>
        <w:t>4c: Good practice identification and dissemination</w:t>
      </w:r>
    </w:p>
    <w:p w14:paraId="5AA5C3BD" w14:textId="77777777" w:rsidR="005E604D" w:rsidRPr="00153C3B" w:rsidRDefault="005E604D" w:rsidP="00153C3B">
      <w:pPr>
        <w:spacing w:after="0" w:line="240" w:lineRule="auto"/>
        <w:jc w:val="both"/>
        <w:rPr>
          <w:rFonts w:ascii="Times New Roman" w:hAnsi="Times New Roman" w:cs="Times New Roman"/>
          <w:sz w:val="20"/>
          <w:szCs w:val="20"/>
        </w:rPr>
      </w:pPr>
    </w:p>
    <w:p w14:paraId="25DB205E" w14:textId="5E14AFB6" w:rsidR="005E604D" w:rsidRPr="00153C3B" w:rsidRDefault="005E604D" w:rsidP="00153C3B">
      <w:p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Perhaps most significantly, each group in the study identified at least one emerging good practice — a course or assessment format that the group considered a model for ESD competency integration. This reflexive self-assessment function — faculty </w:t>
      </w:r>
      <w:proofErr w:type="spellStart"/>
      <w:r w:rsidRPr="00153C3B">
        <w:rPr>
          <w:rFonts w:ascii="Times New Roman" w:hAnsi="Times New Roman" w:cs="Times New Roman"/>
          <w:sz w:val="20"/>
          <w:szCs w:val="20"/>
        </w:rPr>
        <w:t>analysing</w:t>
      </w:r>
      <w:proofErr w:type="spellEnd"/>
      <w:r w:rsidRPr="00153C3B">
        <w:rPr>
          <w:rFonts w:ascii="Times New Roman" w:hAnsi="Times New Roman" w:cs="Times New Roman"/>
          <w:sz w:val="20"/>
          <w:szCs w:val="20"/>
        </w:rPr>
        <w:t xml:space="preserve"> their own practice against ESD standards and nominating exemplars for peer sharing — represents a form of institutional learning that the workshop format has enabled. The identification of MAF671, MED111, CHM258, and AGB300 as good practices constitutes a living inventory of ESD assessment innovation within the institution, ready for wider dissemination.</w:t>
      </w:r>
    </w:p>
    <w:p w14:paraId="0D29E349" w14:textId="77777777" w:rsidR="00E06570" w:rsidRPr="00153C3B" w:rsidRDefault="00E06570" w:rsidP="00E06570">
      <w:pPr>
        <w:pStyle w:val="p1"/>
        <w:rPr>
          <w:color w:val="auto"/>
          <w:spacing w:val="1"/>
          <w:sz w:val="20"/>
          <w:szCs w:val="20"/>
          <w:shd w:val="clear" w:color="auto" w:fill="FFFFFF"/>
        </w:rPr>
      </w:pPr>
    </w:p>
    <w:p w14:paraId="40F08ADC" w14:textId="22B59B44" w:rsidR="00FD73AB" w:rsidRPr="00153C3B" w:rsidRDefault="00153C3B" w:rsidP="00153C3B">
      <w:pPr>
        <w:pStyle w:val="p1"/>
        <w:numPr>
          <w:ilvl w:val="0"/>
          <w:numId w:val="1"/>
        </w:numPr>
        <w:jc w:val="center"/>
        <w:rPr>
          <w:color w:val="auto"/>
          <w:spacing w:val="1"/>
          <w:sz w:val="20"/>
          <w:szCs w:val="20"/>
          <w:shd w:val="clear" w:color="auto" w:fill="FFFFFF"/>
        </w:rPr>
      </w:pPr>
      <w:r w:rsidRPr="00153C3B">
        <w:rPr>
          <w:color w:val="auto"/>
          <w:spacing w:val="1"/>
          <w:sz w:val="20"/>
          <w:szCs w:val="20"/>
          <w:shd w:val="clear" w:color="auto" w:fill="FFFFFF"/>
        </w:rPr>
        <w:t>DISCUSSION AND CONCLUSION</w:t>
      </w:r>
    </w:p>
    <w:p w14:paraId="5344C63C" w14:textId="77777777" w:rsidR="00153C3B" w:rsidRPr="00153C3B" w:rsidRDefault="00153C3B" w:rsidP="00153C3B">
      <w:pPr>
        <w:pStyle w:val="p1"/>
        <w:jc w:val="center"/>
        <w:rPr>
          <w:color w:val="auto"/>
          <w:spacing w:val="1"/>
          <w:sz w:val="20"/>
          <w:szCs w:val="20"/>
          <w:shd w:val="clear" w:color="auto" w:fill="FFFFFF"/>
        </w:rPr>
      </w:pPr>
    </w:p>
    <w:p w14:paraId="5CFE304D"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 four themes collectively produce an overarching narrative: ESD competency assessment at UiTM is </w:t>
      </w:r>
      <w:proofErr w:type="spellStart"/>
      <w:r w:rsidRPr="00153C3B">
        <w:rPr>
          <w:rFonts w:ascii="Times New Roman" w:hAnsi="Times New Roman" w:cs="Times New Roman"/>
          <w:sz w:val="20"/>
          <w:szCs w:val="20"/>
        </w:rPr>
        <w:t>characterised</w:t>
      </w:r>
      <w:proofErr w:type="spellEnd"/>
      <w:r w:rsidRPr="00153C3B">
        <w:rPr>
          <w:rFonts w:ascii="Times New Roman" w:hAnsi="Times New Roman" w:cs="Times New Roman"/>
          <w:sz w:val="20"/>
          <w:szCs w:val="20"/>
        </w:rPr>
        <w:t xml:space="preserve"> by productive tension between systemic inadequacy and practitioner innovation. This narrative has theoretical and practical implications that extend beyond the Malaysian context.</w:t>
      </w:r>
    </w:p>
    <w:p w14:paraId="150E97B4"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1E8FE6D9"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Theoretically, the findings confirm Barth et al.'s (2007) observation that assessment rubric design is the critical bottleneck in ESD implementation — not faculty </w:t>
      </w:r>
      <w:r w:rsidRPr="00153C3B">
        <w:rPr>
          <w:rFonts w:ascii="Times New Roman" w:hAnsi="Times New Roman" w:cs="Times New Roman"/>
          <w:sz w:val="20"/>
          <w:szCs w:val="20"/>
        </w:rPr>
        <w:t>motivation or course design philosophy, but the technical inadequacy of measurement instruments. The Rubric Gap (Theme 1) is systemic precisely because it operates at the infrastructure level: even enthusiastic and pedagogically sophisticated faculty cannot demonstrate ESD competency development if their rubric cannot distinguish performance levels. This has implications for how institutions approach ESD reform: redesigning teaching activities or adding new assessment tasks without addressing rubric design is likely to produce surface compliance rather than genuine competency development.</w:t>
      </w:r>
    </w:p>
    <w:p w14:paraId="533D1F40"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1197C364"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The authentic assessment innovations documented in Theme 2 align with Kolb's (1984) experiential learning framework and </w:t>
      </w:r>
      <w:proofErr w:type="spellStart"/>
      <w:r w:rsidRPr="00153C3B">
        <w:rPr>
          <w:rFonts w:ascii="Times New Roman" w:hAnsi="Times New Roman" w:cs="Times New Roman"/>
          <w:sz w:val="20"/>
          <w:szCs w:val="20"/>
        </w:rPr>
        <w:t>Brundiers</w:t>
      </w:r>
      <w:proofErr w:type="spellEnd"/>
      <w:r w:rsidRPr="00153C3B">
        <w:rPr>
          <w:rFonts w:ascii="Times New Roman" w:hAnsi="Times New Roman" w:cs="Times New Roman"/>
          <w:sz w:val="20"/>
          <w:szCs w:val="20"/>
        </w:rPr>
        <w:t xml:space="preserve"> and Wiek's (2013) evidence on problem-based ESD pedagogy. Community-engaged assessment through SULAM, work-based logbooks, and ethics-integrated reflective portfolios each close the experiential learning cycle in ways that conventional examinations cannot. That these practices have emerged in the absence of comprehensive rubric support suggests that some faculty have developed tacit assessment expertise that has not yet been </w:t>
      </w:r>
      <w:proofErr w:type="spellStart"/>
      <w:r w:rsidRPr="00153C3B">
        <w:rPr>
          <w:rFonts w:ascii="Times New Roman" w:hAnsi="Times New Roman" w:cs="Times New Roman"/>
          <w:sz w:val="20"/>
          <w:szCs w:val="20"/>
        </w:rPr>
        <w:t>formalised</w:t>
      </w:r>
      <w:proofErr w:type="spellEnd"/>
      <w:r w:rsidRPr="00153C3B">
        <w:rPr>
          <w:rFonts w:ascii="Times New Roman" w:hAnsi="Times New Roman" w:cs="Times New Roman"/>
          <w:sz w:val="20"/>
          <w:szCs w:val="20"/>
        </w:rPr>
        <w:t xml:space="preserve"> or institutionally validated.</w:t>
      </w:r>
    </w:p>
    <w:p w14:paraId="646A562E"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062F7B6B"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The Student Readiness Deficit (Theme 3) introduces a complicating dimension: structural reform may be necessary but not sufficient if students themselves are not prepared for higher-order ESD engagement. This finding is consistent with Biggs and Tang's (2011) analysis of the backwash effect — surface assessment drives surface learning, creating a self-reinforcing cycle. Breaking this cycle requires both rubric reform (Theme 1) and active pedagogical scaffolding to develop students' integrative and systems-thinking capabilities.</w:t>
      </w:r>
    </w:p>
    <w:p w14:paraId="636EF407"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4D571FB5" w14:textId="3A8D985D" w:rsidR="00153C3B" w:rsidRPr="00153C3B" w:rsidRDefault="00153C3B" w:rsidP="00DE6A51">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 xml:space="preserve">Faculty agency (Theme 4) is the study's most theoretically generative finding. It suggests that ESD implementation in Malaysian higher education is not simply a top-down policy compliance exercise but a site of active professional sense-making. Faculty are constructing local solutions — calibration briefings, industry partner guidelines, good practice inventories — that function as informal institutional infrastructure. </w:t>
      </w:r>
      <w:proofErr w:type="spellStart"/>
      <w:r w:rsidRPr="00153C3B">
        <w:rPr>
          <w:rFonts w:ascii="Times New Roman" w:hAnsi="Times New Roman" w:cs="Times New Roman"/>
          <w:sz w:val="20"/>
          <w:szCs w:val="20"/>
        </w:rPr>
        <w:t>Formalising</w:t>
      </w:r>
      <w:proofErr w:type="spellEnd"/>
      <w:r w:rsidRPr="00153C3B">
        <w:rPr>
          <w:rFonts w:ascii="Times New Roman" w:hAnsi="Times New Roman" w:cs="Times New Roman"/>
          <w:sz w:val="20"/>
          <w:szCs w:val="20"/>
        </w:rPr>
        <w:t xml:space="preserve"> and scaling these solutions </w:t>
      </w:r>
      <w:r w:rsidRPr="00153C3B">
        <w:rPr>
          <w:rFonts w:ascii="Times New Roman" w:hAnsi="Times New Roman" w:cs="Times New Roman"/>
          <w:sz w:val="20"/>
          <w:szCs w:val="20"/>
        </w:rPr>
        <w:t>represent</w:t>
      </w:r>
      <w:r w:rsidRPr="00153C3B">
        <w:rPr>
          <w:rFonts w:ascii="Times New Roman" w:hAnsi="Times New Roman" w:cs="Times New Roman"/>
          <w:sz w:val="20"/>
          <w:szCs w:val="20"/>
        </w:rPr>
        <w:t xml:space="preserve"> the most immediate institutional opportunity.</w:t>
      </w:r>
    </w:p>
    <w:p w14:paraId="64E62ECD"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This study applied Braun and Clarke's (2006) thematic analysis framework to six faculty synthesis documents from an ESD competency mapping workshop at UiTM, generating four themes that account for the patterns, challenges, and enabling conditions of ESD competency assessment practice. The Rubric Gap, Assessment Beyond the Classroom, the Student Readiness Deficit, and Navigating the Ecosystem constitute a coherent and generative account of the current state of ESD assessment integration in Malaysian higher education.</w:t>
      </w:r>
    </w:p>
    <w:p w14:paraId="633943AE"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6D9E5ECA" w14:textId="57315345"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lastRenderedPageBreak/>
        <w:t xml:space="preserve">Three practical recommendations follow from the findings. First, institutions should </w:t>
      </w:r>
      <w:r w:rsidR="00DE6A51" w:rsidRPr="00153C3B">
        <w:rPr>
          <w:rFonts w:ascii="Times New Roman" w:hAnsi="Times New Roman" w:cs="Times New Roman"/>
          <w:sz w:val="20"/>
          <w:szCs w:val="20"/>
        </w:rPr>
        <w:t>prioritize</w:t>
      </w:r>
      <w:r w:rsidRPr="00153C3B">
        <w:rPr>
          <w:rFonts w:ascii="Times New Roman" w:hAnsi="Times New Roman" w:cs="Times New Roman"/>
          <w:sz w:val="20"/>
          <w:szCs w:val="20"/>
        </w:rPr>
        <w:t xml:space="preserve"> rubric reform as the highest-leverage intervention — specifically, developing competency-specific descriptor banks with observable performance anchors aligned to each ESD competency. Second, the good practices identified in this study — MAF671, MED111, CHM258, and AGB300 — should be formally documented and shared as institutional ESD assessment exemplars through a peer-learning repository. Third, student academic literacy development — particularly source evaluation, systems thinking scaffolding, and cross-disciplinary synthesis skills — should be embedded as explicit learning activities in ESD-mapped courses rather than assumed as prior competencies.</w:t>
      </w:r>
    </w:p>
    <w:p w14:paraId="0D19A364" w14:textId="77777777" w:rsidR="00153C3B" w:rsidRPr="00153C3B" w:rsidRDefault="00153C3B" w:rsidP="00153C3B">
      <w:pPr>
        <w:spacing w:after="0" w:line="240" w:lineRule="auto"/>
        <w:ind w:firstLine="720"/>
        <w:jc w:val="both"/>
        <w:rPr>
          <w:rFonts w:ascii="Times New Roman" w:hAnsi="Times New Roman" w:cs="Times New Roman"/>
          <w:sz w:val="20"/>
          <w:szCs w:val="20"/>
        </w:rPr>
      </w:pPr>
    </w:p>
    <w:p w14:paraId="6FA74FEF" w14:textId="77777777" w:rsidR="00153C3B" w:rsidRPr="00153C3B" w:rsidRDefault="00153C3B" w:rsidP="00153C3B">
      <w:pPr>
        <w:spacing w:after="0" w:line="240" w:lineRule="auto"/>
        <w:ind w:firstLine="720"/>
        <w:jc w:val="both"/>
        <w:rPr>
          <w:rFonts w:ascii="Times New Roman" w:hAnsi="Times New Roman" w:cs="Times New Roman"/>
          <w:sz w:val="20"/>
          <w:szCs w:val="20"/>
        </w:rPr>
      </w:pPr>
      <w:r w:rsidRPr="00153C3B">
        <w:rPr>
          <w:rFonts w:ascii="Times New Roman" w:hAnsi="Times New Roman" w:cs="Times New Roman"/>
          <w:sz w:val="20"/>
          <w:szCs w:val="20"/>
        </w:rPr>
        <w:t>This study has limitations. The data corpus is restricted to a single institutional workshop, limiting transferability. Documents represent collective rather than individual faculty voices, and group dynamics may have suppressed minority perspectives. Future research should triangulate these findings with individual faculty interviews and student performance data to validate the structural patterns identified here.</w:t>
      </w:r>
    </w:p>
    <w:p w14:paraId="3966C791" w14:textId="12137589" w:rsidR="00FD73AB" w:rsidRPr="00153C3B" w:rsidRDefault="00FD73AB" w:rsidP="00153C3B">
      <w:pPr>
        <w:pStyle w:val="p1"/>
        <w:rPr>
          <w:color w:val="auto"/>
          <w:spacing w:val="1"/>
          <w:sz w:val="20"/>
          <w:szCs w:val="20"/>
          <w:shd w:val="clear" w:color="auto" w:fill="FFFFFF"/>
        </w:rPr>
      </w:pPr>
    </w:p>
    <w:p w14:paraId="6DD64395" w14:textId="1723F99F" w:rsidR="002B79CD" w:rsidRPr="00153C3B" w:rsidRDefault="002B79CD" w:rsidP="00153C3B">
      <w:pPr>
        <w:pStyle w:val="p1"/>
        <w:numPr>
          <w:ilvl w:val="0"/>
          <w:numId w:val="1"/>
        </w:numPr>
        <w:jc w:val="center"/>
        <w:rPr>
          <w:color w:val="auto"/>
          <w:spacing w:val="1"/>
          <w:sz w:val="20"/>
          <w:szCs w:val="20"/>
          <w:shd w:val="clear" w:color="auto" w:fill="FFFFFF"/>
        </w:rPr>
      </w:pPr>
      <w:r w:rsidRPr="00153C3B">
        <w:rPr>
          <w:color w:val="auto"/>
          <w:sz w:val="20"/>
          <w:szCs w:val="20"/>
        </w:rPr>
        <w:t>REFERENCES</w:t>
      </w:r>
    </w:p>
    <w:p w14:paraId="56F1B668" w14:textId="77777777" w:rsidR="002B79CD" w:rsidRPr="00153C3B" w:rsidRDefault="002B79CD" w:rsidP="00153C3B">
      <w:pPr>
        <w:pStyle w:val="p1"/>
        <w:ind w:left="720"/>
        <w:rPr>
          <w:color w:val="auto"/>
          <w:spacing w:val="1"/>
          <w:sz w:val="16"/>
          <w:szCs w:val="16"/>
          <w:shd w:val="clear" w:color="auto" w:fill="FFFFFF"/>
        </w:rPr>
      </w:pPr>
    </w:p>
    <w:p w14:paraId="7734A770"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Barth, M., Godemann, J., Rieckmann, M., &amp; Stoltenberg, U. (2007). Developing key competencies for sustainable development in higher education. International Journal of Sustainability in Higher Education, 8(4), 416–430. https://doi.org/10.1108/14676370710823582</w:t>
      </w:r>
    </w:p>
    <w:p w14:paraId="3A087A1C"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Biggs, J. B., &amp; Tang, C. (2011). Teaching for quality learning at university (4th ed.). Open University Press.</w:t>
      </w:r>
    </w:p>
    <w:p w14:paraId="724158C3"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Binkley, M., Erstad, O., Herman, J., Raizen, S., Ripley, M., Miller-Ricci, M., &amp; Rumble, M. (2012). Defining twenty-first century skills. In P. Griffin, B. McGaw, &amp; E. Care (Eds.), Assessment and teaching of 21st century </w:t>
      </w:r>
      <w:r w:rsidRPr="00153C3B">
        <w:rPr>
          <w:rFonts w:ascii="Times New Roman" w:hAnsi="Times New Roman" w:cs="Times New Roman"/>
          <w:sz w:val="20"/>
          <w:szCs w:val="20"/>
        </w:rPr>
        <w:t>skills (pp. 17–66). Springer. https://doi.org/10.1007/978-94-007-2324-5_2</w:t>
      </w:r>
    </w:p>
    <w:p w14:paraId="4FF733D0"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Braun, V., &amp; Clarke, V. (2006). Using thematic analysis in psychology. Qualitative Research in Psychology, 3(2), 77–101. https://doi.org/10.1191/1478088706qp063oa</w:t>
      </w:r>
    </w:p>
    <w:p w14:paraId="598B9FE2"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proofErr w:type="spellStart"/>
      <w:r w:rsidRPr="00153C3B">
        <w:rPr>
          <w:rFonts w:ascii="Times New Roman" w:hAnsi="Times New Roman" w:cs="Times New Roman"/>
          <w:sz w:val="20"/>
          <w:szCs w:val="20"/>
        </w:rPr>
        <w:t>Brundiers</w:t>
      </w:r>
      <w:proofErr w:type="spellEnd"/>
      <w:r w:rsidRPr="00153C3B">
        <w:rPr>
          <w:rFonts w:ascii="Times New Roman" w:hAnsi="Times New Roman" w:cs="Times New Roman"/>
          <w:sz w:val="20"/>
          <w:szCs w:val="20"/>
        </w:rPr>
        <w:t>, K., &amp; Wiek, A. (2013). Do we teach what we preach? An international comparison of problem- and project-based learning courses in sustainability. Sustainability, 5(4), 1725–1746. https://doi.org/10.3390/su5041725</w:t>
      </w:r>
    </w:p>
    <w:p w14:paraId="5C817B77"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Kolb, D. A. (1984). Experiential learning: Experience as the source of learning and development. Prentice-Hall.</w:t>
      </w:r>
    </w:p>
    <w:p w14:paraId="6E6A6051"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 xml:space="preserve">Lozano, R., Merrill, M. Y., </w:t>
      </w:r>
      <w:proofErr w:type="spellStart"/>
      <w:r w:rsidRPr="00153C3B">
        <w:rPr>
          <w:rFonts w:ascii="Times New Roman" w:hAnsi="Times New Roman" w:cs="Times New Roman"/>
          <w:sz w:val="20"/>
          <w:szCs w:val="20"/>
        </w:rPr>
        <w:t>Sammalisto</w:t>
      </w:r>
      <w:proofErr w:type="spellEnd"/>
      <w:r w:rsidRPr="00153C3B">
        <w:rPr>
          <w:rFonts w:ascii="Times New Roman" w:hAnsi="Times New Roman" w:cs="Times New Roman"/>
          <w:sz w:val="20"/>
          <w:szCs w:val="20"/>
        </w:rPr>
        <w:t>, K., Ceulemans, K., &amp; Lozano, F. J. (2017). Connecting competencies and pedagogical approaches for sustainable development in higher education: A literature review and framework proposal. Sustainability, 9(10), 1889. https://doi.org/10.3390/su9101889</w:t>
      </w:r>
    </w:p>
    <w:p w14:paraId="01FDE656"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Rieckmann, M. (2012). Future-oriented higher education: Which key competencies should be fostered through university teaching and learning? Futures, 44(2), 127–135. https://doi.org/10.1016/j.futures.2011.09.005</w:t>
      </w:r>
    </w:p>
    <w:p w14:paraId="047A1BBB"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Stokes, E. (2009). Assessment for learning in higher education. The Higher Education Academy.</w:t>
      </w:r>
    </w:p>
    <w:p w14:paraId="5B868809"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United Nations Educational, Scientific and Cultural Organization. (2017). Education for sustainable development goals: Learning objectives. UNESCO. https://unesdoc.unesco.org/ark:/48223/pf0000247444</w:t>
      </w:r>
    </w:p>
    <w:p w14:paraId="531DAD76" w14:textId="77777777" w:rsidR="00153C3B" w:rsidRPr="00153C3B" w:rsidRDefault="00153C3B" w:rsidP="00153C3B">
      <w:pPr>
        <w:pStyle w:val="ListParagraph"/>
        <w:numPr>
          <w:ilvl w:val="0"/>
          <w:numId w:val="5"/>
        </w:numPr>
        <w:spacing w:after="0" w:line="240" w:lineRule="auto"/>
        <w:jc w:val="both"/>
        <w:rPr>
          <w:rFonts w:ascii="Times New Roman" w:hAnsi="Times New Roman" w:cs="Times New Roman"/>
          <w:sz w:val="20"/>
          <w:szCs w:val="20"/>
        </w:rPr>
      </w:pPr>
      <w:r w:rsidRPr="00153C3B">
        <w:rPr>
          <w:rFonts w:ascii="Times New Roman" w:hAnsi="Times New Roman" w:cs="Times New Roman"/>
          <w:sz w:val="20"/>
          <w:szCs w:val="20"/>
        </w:rPr>
        <w:t>Wasserman, S., &amp; Faust, K. (1994). Social network analysis: Methods and applications. Cambridge University Press.</w:t>
      </w:r>
    </w:p>
    <w:p w14:paraId="60F3622F" w14:textId="7BE2E6E5" w:rsidR="00B85260" w:rsidRPr="00153C3B" w:rsidRDefault="00153C3B" w:rsidP="00153C3B">
      <w:pPr>
        <w:pStyle w:val="ListParagraph"/>
        <w:numPr>
          <w:ilvl w:val="0"/>
          <w:numId w:val="5"/>
        </w:numPr>
        <w:spacing w:after="0" w:line="240" w:lineRule="auto"/>
        <w:jc w:val="both"/>
        <w:rPr>
          <w:rFonts w:ascii="Times New Roman" w:hAnsi="Times New Roman" w:cs="Times New Roman"/>
          <w:sz w:val="48"/>
          <w:szCs w:val="48"/>
        </w:rPr>
        <w:sectPr w:rsidR="00B85260" w:rsidRPr="00153C3B" w:rsidSect="00B85260">
          <w:type w:val="continuous"/>
          <w:pgSz w:w="12240" w:h="15840"/>
          <w:pgMar w:top="1077" w:right="845" w:bottom="1440" w:left="902" w:header="720" w:footer="720" w:gutter="0"/>
          <w:cols w:num="2" w:space="720"/>
          <w:docGrid w:linePitch="360"/>
        </w:sectPr>
      </w:pPr>
      <w:r w:rsidRPr="00153C3B">
        <w:rPr>
          <w:rFonts w:ascii="Times New Roman" w:hAnsi="Times New Roman" w:cs="Times New Roman"/>
          <w:sz w:val="20"/>
          <w:szCs w:val="20"/>
        </w:rPr>
        <w:t xml:space="preserve">Wiek, A., </w:t>
      </w:r>
      <w:proofErr w:type="spellStart"/>
      <w:r w:rsidRPr="00153C3B">
        <w:rPr>
          <w:rFonts w:ascii="Times New Roman" w:hAnsi="Times New Roman" w:cs="Times New Roman"/>
          <w:sz w:val="20"/>
          <w:szCs w:val="20"/>
        </w:rPr>
        <w:t>Withycombe</w:t>
      </w:r>
      <w:proofErr w:type="spellEnd"/>
      <w:r w:rsidRPr="00153C3B">
        <w:rPr>
          <w:rFonts w:ascii="Times New Roman" w:hAnsi="Times New Roman" w:cs="Times New Roman"/>
          <w:sz w:val="20"/>
          <w:szCs w:val="20"/>
        </w:rPr>
        <w:t>, L., &amp; Redman, C. L. (2011). Key competencies in sustainability: A reference framework for academic program development. Sustainability Science, 6(2), 203–218. https://doi.org/10.1007/s11625-011-0132-</w:t>
      </w:r>
      <w:r w:rsidRPr="00153C3B">
        <w:rPr>
          <w:rFonts w:ascii="Times New Roman" w:hAnsi="Times New Roman" w:cs="Times New Roman"/>
          <w:sz w:val="20"/>
          <w:szCs w:val="20"/>
        </w:rPr>
        <w:t>6</w:t>
      </w:r>
    </w:p>
    <w:p w14:paraId="37C54EB1" w14:textId="7085D84D" w:rsidR="00DC3B7F" w:rsidRPr="00153C3B" w:rsidRDefault="00DC3B7F" w:rsidP="00164036">
      <w:pPr>
        <w:spacing w:line="240" w:lineRule="auto"/>
        <w:rPr>
          <w:rFonts w:ascii="Times New Roman" w:hAnsi="Times New Roman" w:cs="Times New Roman"/>
          <w:sz w:val="48"/>
          <w:szCs w:val="48"/>
        </w:rPr>
        <w:sectPr w:rsidR="00DC3B7F" w:rsidRPr="00153C3B" w:rsidSect="00FD73AB">
          <w:type w:val="continuous"/>
          <w:pgSz w:w="12240" w:h="15840"/>
          <w:pgMar w:top="1077" w:right="845" w:bottom="1440" w:left="902" w:header="720" w:footer="720" w:gutter="0"/>
          <w:cols w:space="720"/>
          <w:docGrid w:linePitch="360"/>
        </w:sectPr>
      </w:pPr>
    </w:p>
    <w:p w14:paraId="6C730E8F" w14:textId="77777777" w:rsidR="00686473" w:rsidRPr="00153C3B" w:rsidRDefault="00686473" w:rsidP="00164036">
      <w:pPr>
        <w:spacing w:line="240" w:lineRule="auto"/>
        <w:rPr>
          <w:rFonts w:ascii="Times New Roman" w:hAnsi="Times New Roman" w:cs="Times New Roman"/>
          <w:sz w:val="48"/>
          <w:szCs w:val="48"/>
        </w:rPr>
      </w:pPr>
    </w:p>
    <w:sectPr w:rsidR="00686473" w:rsidRPr="00153C3B" w:rsidSect="00FD73AB">
      <w:type w:val="continuous"/>
      <w:pgSz w:w="12240" w:h="15840"/>
      <w:pgMar w:top="1077" w:right="845" w:bottom="1440"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7392" w14:textId="77777777" w:rsidR="000A3E88" w:rsidRDefault="000A3E88" w:rsidP="00164036">
      <w:pPr>
        <w:spacing w:after="0" w:line="240" w:lineRule="auto"/>
      </w:pPr>
      <w:r>
        <w:separator/>
      </w:r>
    </w:p>
  </w:endnote>
  <w:endnote w:type="continuationSeparator" w:id="0">
    <w:p w14:paraId="19AFED15" w14:textId="77777777" w:rsidR="000A3E88" w:rsidRDefault="000A3E88" w:rsidP="0016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630708"/>
      <w:docPartObj>
        <w:docPartGallery w:val="Page Numbers (Bottom of Page)"/>
        <w:docPartUnique/>
      </w:docPartObj>
    </w:sdtPr>
    <w:sdtContent>
      <w:p w14:paraId="2AE5EEDB" w14:textId="3FA44225" w:rsidR="00164036" w:rsidRDefault="00164036" w:rsidP="004038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87464" w14:textId="77777777" w:rsidR="00164036" w:rsidRDefault="0016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2018348105"/>
      <w:docPartObj>
        <w:docPartGallery w:val="Page Numbers (Bottom of Page)"/>
        <w:docPartUnique/>
      </w:docPartObj>
    </w:sdtPr>
    <w:sdtContent>
      <w:p w14:paraId="67486A93" w14:textId="08B2FA01" w:rsidR="00164036" w:rsidRPr="00164036" w:rsidRDefault="00164036" w:rsidP="004038DA">
        <w:pPr>
          <w:pStyle w:val="Footer"/>
          <w:framePr w:wrap="none" w:vAnchor="text" w:hAnchor="margin" w:xAlign="center" w:y="1"/>
          <w:rPr>
            <w:rStyle w:val="PageNumber"/>
            <w:rFonts w:ascii="Times New Roman" w:hAnsi="Times New Roman" w:cs="Times New Roman"/>
            <w:sz w:val="20"/>
            <w:szCs w:val="20"/>
          </w:rPr>
        </w:pPr>
        <w:r w:rsidRPr="00164036">
          <w:rPr>
            <w:rStyle w:val="PageNumber"/>
            <w:rFonts w:ascii="Times New Roman" w:hAnsi="Times New Roman" w:cs="Times New Roman"/>
            <w:sz w:val="20"/>
            <w:szCs w:val="20"/>
          </w:rPr>
          <w:fldChar w:fldCharType="begin"/>
        </w:r>
        <w:r w:rsidRPr="00164036">
          <w:rPr>
            <w:rStyle w:val="PageNumber"/>
            <w:rFonts w:ascii="Times New Roman" w:hAnsi="Times New Roman" w:cs="Times New Roman"/>
            <w:sz w:val="20"/>
            <w:szCs w:val="20"/>
          </w:rPr>
          <w:instrText xml:space="preserve"> PAGE </w:instrText>
        </w:r>
        <w:r w:rsidRPr="00164036">
          <w:rPr>
            <w:rStyle w:val="PageNumber"/>
            <w:rFonts w:ascii="Times New Roman" w:hAnsi="Times New Roman" w:cs="Times New Roman"/>
            <w:sz w:val="20"/>
            <w:szCs w:val="20"/>
          </w:rPr>
          <w:fldChar w:fldCharType="separate"/>
        </w:r>
        <w:r w:rsidRPr="00164036">
          <w:rPr>
            <w:rStyle w:val="PageNumber"/>
            <w:rFonts w:ascii="Times New Roman" w:hAnsi="Times New Roman" w:cs="Times New Roman"/>
            <w:noProof/>
            <w:sz w:val="20"/>
            <w:szCs w:val="20"/>
          </w:rPr>
          <w:t>6</w:t>
        </w:r>
        <w:r w:rsidRPr="00164036">
          <w:rPr>
            <w:rStyle w:val="PageNumber"/>
            <w:rFonts w:ascii="Times New Roman" w:hAnsi="Times New Roman" w:cs="Times New Roman"/>
            <w:sz w:val="20"/>
            <w:szCs w:val="20"/>
          </w:rPr>
          <w:fldChar w:fldCharType="end"/>
        </w:r>
      </w:p>
    </w:sdtContent>
  </w:sdt>
  <w:p w14:paraId="6C5A825F" w14:textId="77777777" w:rsidR="00164036" w:rsidRPr="00164036" w:rsidRDefault="0016403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E09B" w14:textId="77777777" w:rsidR="000A3E88" w:rsidRDefault="000A3E88" w:rsidP="00164036">
      <w:pPr>
        <w:spacing w:after="0" w:line="240" w:lineRule="auto"/>
      </w:pPr>
      <w:r>
        <w:separator/>
      </w:r>
    </w:p>
  </w:footnote>
  <w:footnote w:type="continuationSeparator" w:id="0">
    <w:p w14:paraId="2C428FA0" w14:textId="77777777" w:rsidR="000A3E88" w:rsidRDefault="000A3E88" w:rsidP="00164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AE0"/>
    <w:multiLevelType w:val="hybridMultilevel"/>
    <w:tmpl w:val="A14A2668"/>
    <w:lvl w:ilvl="0" w:tplc="DDCC629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B379B"/>
    <w:multiLevelType w:val="hybridMultilevel"/>
    <w:tmpl w:val="0FF22686"/>
    <w:lvl w:ilvl="0" w:tplc="E506A9E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2356E7"/>
    <w:multiLevelType w:val="hybridMultilevel"/>
    <w:tmpl w:val="41D84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EC6036"/>
    <w:multiLevelType w:val="hybridMultilevel"/>
    <w:tmpl w:val="79B21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722F9"/>
    <w:multiLevelType w:val="hybridMultilevel"/>
    <w:tmpl w:val="1310B8AA"/>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57671">
    <w:abstractNumId w:val="1"/>
  </w:num>
  <w:num w:numId="2" w16cid:durableId="489835499">
    <w:abstractNumId w:val="3"/>
  </w:num>
  <w:num w:numId="3" w16cid:durableId="1305237344">
    <w:abstractNumId w:val="4"/>
  </w:num>
  <w:num w:numId="4" w16cid:durableId="1092169802">
    <w:abstractNumId w:val="2"/>
  </w:num>
  <w:num w:numId="5" w16cid:durableId="31353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73"/>
    <w:rsid w:val="000A3E88"/>
    <w:rsid w:val="00153C3B"/>
    <w:rsid w:val="00164036"/>
    <w:rsid w:val="00172A69"/>
    <w:rsid w:val="001A5321"/>
    <w:rsid w:val="002B52B9"/>
    <w:rsid w:val="002B79CD"/>
    <w:rsid w:val="00341AED"/>
    <w:rsid w:val="00475F07"/>
    <w:rsid w:val="00491EFB"/>
    <w:rsid w:val="00573F3A"/>
    <w:rsid w:val="005E1378"/>
    <w:rsid w:val="005E604D"/>
    <w:rsid w:val="005E7266"/>
    <w:rsid w:val="00686473"/>
    <w:rsid w:val="006A135E"/>
    <w:rsid w:val="006F3EF3"/>
    <w:rsid w:val="00760274"/>
    <w:rsid w:val="008F00B5"/>
    <w:rsid w:val="00922B85"/>
    <w:rsid w:val="00A20FE4"/>
    <w:rsid w:val="00A43052"/>
    <w:rsid w:val="00A457AD"/>
    <w:rsid w:val="00A52AB1"/>
    <w:rsid w:val="00A53B38"/>
    <w:rsid w:val="00A72787"/>
    <w:rsid w:val="00A72F3C"/>
    <w:rsid w:val="00B2381F"/>
    <w:rsid w:val="00B85260"/>
    <w:rsid w:val="00BB17BB"/>
    <w:rsid w:val="00C20938"/>
    <w:rsid w:val="00C84CE2"/>
    <w:rsid w:val="00D11B66"/>
    <w:rsid w:val="00DC3B7F"/>
    <w:rsid w:val="00DE6A51"/>
    <w:rsid w:val="00E06570"/>
    <w:rsid w:val="00E7163F"/>
    <w:rsid w:val="00E84C98"/>
    <w:rsid w:val="00EF5E93"/>
    <w:rsid w:val="00F555D7"/>
    <w:rsid w:val="00FD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B9C4"/>
  <w15:chartTrackingRefBased/>
  <w15:docId w15:val="{BA7FD991-41D9-A84B-8E7F-C2D0EADD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473"/>
    <w:rPr>
      <w:rFonts w:eastAsiaTheme="majorEastAsia" w:cstheme="majorBidi"/>
      <w:color w:val="272727" w:themeColor="text1" w:themeTint="D8"/>
    </w:rPr>
  </w:style>
  <w:style w:type="paragraph" w:styleId="Title">
    <w:name w:val="Title"/>
    <w:basedOn w:val="Normal"/>
    <w:next w:val="Normal"/>
    <w:link w:val="TitleChar"/>
    <w:uiPriority w:val="10"/>
    <w:qFormat/>
    <w:rsid w:val="0068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473"/>
    <w:pPr>
      <w:spacing w:before="160"/>
      <w:jc w:val="center"/>
    </w:pPr>
    <w:rPr>
      <w:i/>
      <w:iCs/>
      <w:color w:val="404040" w:themeColor="text1" w:themeTint="BF"/>
    </w:rPr>
  </w:style>
  <w:style w:type="character" w:customStyle="1" w:styleId="QuoteChar">
    <w:name w:val="Quote Char"/>
    <w:basedOn w:val="DefaultParagraphFont"/>
    <w:link w:val="Quote"/>
    <w:uiPriority w:val="29"/>
    <w:rsid w:val="00686473"/>
    <w:rPr>
      <w:i/>
      <w:iCs/>
      <w:color w:val="404040" w:themeColor="text1" w:themeTint="BF"/>
    </w:rPr>
  </w:style>
  <w:style w:type="paragraph" w:styleId="ListParagraph">
    <w:name w:val="List Paragraph"/>
    <w:basedOn w:val="Normal"/>
    <w:uiPriority w:val="34"/>
    <w:qFormat/>
    <w:rsid w:val="00686473"/>
    <w:pPr>
      <w:ind w:left="720"/>
      <w:contextualSpacing/>
    </w:pPr>
  </w:style>
  <w:style w:type="character" w:styleId="IntenseEmphasis">
    <w:name w:val="Intense Emphasis"/>
    <w:basedOn w:val="DefaultParagraphFont"/>
    <w:uiPriority w:val="21"/>
    <w:qFormat/>
    <w:rsid w:val="00686473"/>
    <w:rPr>
      <w:i/>
      <w:iCs/>
      <w:color w:val="0F4761" w:themeColor="accent1" w:themeShade="BF"/>
    </w:rPr>
  </w:style>
  <w:style w:type="paragraph" w:styleId="IntenseQuote">
    <w:name w:val="Intense Quote"/>
    <w:basedOn w:val="Normal"/>
    <w:next w:val="Normal"/>
    <w:link w:val="IntenseQuoteChar"/>
    <w:uiPriority w:val="30"/>
    <w:qFormat/>
    <w:rsid w:val="0068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473"/>
    <w:rPr>
      <w:i/>
      <w:iCs/>
      <w:color w:val="0F4761" w:themeColor="accent1" w:themeShade="BF"/>
    </w:rPr>
  </w:style>
  <w:style w:type="character" w:styleId="IntenseReference">
    <w:name w:val="Intense Reference"/>
    <w:basedOn w:val="DefaultParagraphFont"/>
    <w:uiPriority w:val="32"/>
    <w:qFormat/>
    <w:rsid w:val="00686473"/>
    <w:rPr>
      <w:b/>
      <w:bCs/>
      <w:smallCaps/>
      <w:color w:val="0F4761" w:themeColor="accent1" w:themeShade="BF"/>
      <w:spacing w:val="5"/>
    </w:rPr>
  </w:style>
  <w:style w:type="paragraph" w:customStyle="1" w:styleId="p1">
    <w:name w:val="p1"/>
    <w:basedOn w:val="Normal"/>
    <w:rsid w:val="00686473"/>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2">
    <w:name w:val="p2"/>
    <w:basedOn w:val="Normal"/>
    <w:rsid w:val="00686473"/>
    <w:pPr>
      <w:spacing w:after="0" w:line="240" w:lineRule="auto"/>
    </w:pPr>
    <w:rPr>
      <w:rFonts w:ascii="Times New Roman" w:eastAsia="Times New Roman" w:hAnsi="Times New Roman" w:cs="Times New Roman"/>
      <w:color w:val="000000"/>
      <w:kern w:val="0"/>
      <w:sz w:val="15"/>
      <w:szCs w:val="15"/>
      <w14:ligatures w14:val="none"/>
    </w:rPr>
  </w:style>
  <w:style w:type="character" w:customStyle="1" w:styleId="s1">
    <w:name w:val="s1"/>
    <w:basedOn w:val="DefaultParagraphFont"/>
    <w:rsid w:val="00686473"/>
    <w:rPr>
      <w:rFonts w:ascii="Times New Roman" w:hAnsi="Times New Roman" w:cs="Times New Roman" w:hint="default"/>
      <w:sz w:val="11"/>
      <w:szCs w:val="11"/>
    </w:rPr>
  </w:style>
  <w:style w:type="character" w:customStyle="1" w:styleId="s2">
    <w:name w:val="s2"/>
    <w:basedOn w:val="DefaultParagraphFont"/>
    <w:rsid w:val="00686473"/>
    <w:rPr>
      <w:rFonts w:ascii="Times New Roman" w:hAnsi="Times New Roman" w:cs="Times New Roman" w:hint="default"/>
      <w:sz w:val="10"/>
      <w:szCs w:val="10"/>
    </w:rPr>
  </w:style>
  <w:style w:type="table" w:styleId="TableGrid">
    <w:name w:val="Table Grid"/>
    <w:basedOn w:val="TableNormal"/>
    <w:uiPriority w:val="59"/>
    <w:rsid w:val="00FD73A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73AB"/>
    <w:rPr>
      <w:b/>
      <w:bCs/>
    </w:rPr>
  </w:style>
  <w:style w:type="paragraph" w:styleId="Footer">
    <w:name w:val="footer"/>
    <w:basedOn w:val="Normal"/>
    <w:link w:val="FooterChar"/>
    <w:uiPriority w:val="99"/>
    <w:unhideWhenUsed/>
    <w:rsid w:val="0016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36"/>
  </w:style>
  <w:style w:type="character" w:styleId="PageNumber">
    <w:name w:val="page number"/>
    <w:basedOn w:val="DefaultParagraphFont"/>
    <w:uiPriority w:val="99"/>
    <w:semiHidden/>
    <w:unhideWhenUsed/>
    <w:rsid w:val="00164036"/>
  </w:style>
  <w:style w:type="paragraph" w:styleId="Header">
    <w:name w:val="header"/>
    <w:basedOn w:val="Normal"/>
    <w:link w:val="HeaderChar"/>
    <w:uiPriority w:val="99"/>
    <w:unhideWhenUsed/>
    <w:rsid w:val="0016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036"/>
  </w:style>
  <w:style w:type="character" w:customStyle="1" w:styleId="apple-converted-space">
    <w:name w:val="apple-converted-space"/>
    <w:basedOn w:val="DefaultParagraphFont"/>
    <w:rsid w:val="00D11B66"/>
  </w:style>
  <w:style w:type="character" w:customStyle="1" w:styleId="truncate">
    <w:name w:val="truncate"/>
    <w:basedOn w:val="DefaultParagraphFont"/>
    <w:rsid w:val="00172A69"/>
  </w:style>
  <w:style w:type="character" w:styleId="Emphasis">
    <w:name w:val="Emphasis"/>
    <w:basedOn w:val="DefaultParagraphFont"/>
    <w:uiPriority w:val="20"/>
    <w:qFormat/>
    <w:rsid w:val="00172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3844">
      <w:bodyDiv w:val="1"/>
      <w:marLeft w:val="0"/>
      <w:marRight w:val="0"/>
      <w:marTop w:val="0"/>
      <w:marBottom w:val="0"/>
      <w:divBdr>
        <w:top w:val="none" w:sz="0" w:space="0" w:color="auto"/>
        <w:left w:val="none" w:sz="0" w:space="0" w:color="auto"/>
        <w:bottom w:val="none" w:sz="0" w:space="0" w:color="auto"/>
        <w:right w:val="none" w:sz="0" w:space="0" w:color="auto"/>
      </w:divBdr>
    </w:div>
    <w:div w:id="516426813">
      <w:bodyDiv w:val="1"/>
      <w:marLeft w:val="0"/>
      <w:marRight w:val="0"/>
      <w:marTop w:val="0"/>
      <w:marBottom w:val="0"/>
      <w:divBdr>
        <w:top w:val="none" w:sz="0" w:space="0" w:color="auto"/>
        <w:left w:val="none" w:sz="0" w:space="0" w:color="auto"/>
        <w:bottom w:val="none" w:sz="0" w:space="0" w:color="auto"/>
        <w:right w:val="none" w:sz="0" w:space="0" w:color="auto"/>
      </w:divBdr>
    </w:div>
    <w:div w:id="659163818">
      <w:bodyDiv w:val="1"/>
      <w:marLeft w:val="0"/>
      <w:marRight w:val="0"/>
      <w:marTop w:val="0"/>
      <w:marBottom w:val="0"/>
      <w:divBdr>
        <w:top w:val="none" w:sz="0" w:space="0" w:color="auto"/>
        <w:left w:val="none" w:sz="0" w:space="0" w:color="auto"/>
        <w:bottom w:val="none" w:sz="0" w:space="0" w:color="auto"/>
        <w:right w:val="none" w:sz="0" w:space="0" w:color="auto"/>
      </w:divBdr>
    </w:div>
    <w:div w:id="678000500">
      <w:bodyDiv w:val="1"/>
      <w:marLeft w:val="0"/>
      <w:marRight w:val="0"/>
      <w:marTop w:val="0"/>
      <w:marBottom w:val="0"/>
      <w:divBdr>
        <w:top w:val="none" w:sz="0" w:space="0" w:color="auto"/>
        <w:left w:val="none" w:sz="0" w:space="0" w:color="auto"/>
        <w:bottom w:val="none" w:sz="0" w:space="0" w:color="auto"/>
        <w:right w:val="none" w:sz="0" w:space="0" w:color="auto"/>
      </w:divBdr>
    </w:div>
    <w:div w:id="678853200">
      <w:bodyDiv w:val="1"/>
      <w:marLeft w:val="0"/>
      <w:marRight w:val="0"/>
      <w:marTop w:val="0"/>
      <w:marBottom w:val="0"/>
      <w:divBdr>
        <w:top w:val="none" w:sz="0" w:space="0" w:color="auto"/>
        <w:left w:val="none" w:sz="0" w:space="0" w:color="auto"/>
        <w:bottom w:val="none" w:sz="0" w:space="0" w:color="auto"/>
        <w:right w:val="none" w:sz="0" w:space="0" w:color="auto"/>
      </w:divBdr>
    </w:div>
    <w:div w:id="721561218">
      <w:bodyDiv w:val="1"/>
      <w:marLeft w:val="0"/>
      <w:marRight w:val="0"/>
      <w:marTop w:val="0"/>
      <w:marBottom w:val="0"/>
      <w:divBdr>
        <w:top w:val="none" w:sz="0" w:space="0" w:color="auto"/>
        <w:left w:val="none" w:sz="0" w:space="0" w:color="auto"/>
        <w:bottom w:val="none" w:sz="0" w:space="0" w:color="auto"/>
        <w:right w:val="none" w:sz="0" w:space="0" w:color="auto"/>
      </w:divBdr>
    </w:div>
    <w:div w:id="745765432">
      <w:bodyDiv w:val="1"/>
      <w:marLeft w:val="0"/>
      <w:marRight w:val="0"/>
      <w:marTop w:val="0"/>
      <w:marBottom w:val="0"/>
      <w:divBdr>
        <w:top w:val="none" w:sz="0" w:space="0" w:color="auto"/>
        <w:left w:val="none" w:sz="0" w:space="0" w:color="auto"/>
        <w:bottom w:val="none" w:sz="0" w:space="0" w:color="auto"/>
        <w:right w:val="none" w:sz="0" w:space="0" w:color="auto"/>
      </w:divBdr>
    </w:div>
    <w:div w:id="1012411062">
      <w:bodyDiv w:val="1"/>
      <w:marLeft w:val="0"/>
      <w:marRight w:val="0"/>
      <w:marTop w:val="0"/>
      <w:marBottom w:val="0"/>
      <w:divBdr>
        <w:top w:val="none" w:sz="0" w:space="0" w:color="auto"/>
        <w:left w:val="none" w:sz="0" w:space="0" w:color="auto"/>
        <w:bottom w:val="none" w:sz="0" w:space="0" w:color="auto"/>
        <w:right w:val="none" w:sz="0" w:space="0" w:color="auto"/>
      </w:divBdr>
    </w:div>
    <w:div w:id="1133324570">
      <w:bodyDiv w:val="1"/>
      <w:marLeft w:val="0"/>
      <w:marRight w:val="0"/>
      <w:marTop w:val="0"/>
      <w:marBottom w:val="0"/>
      <w:divBdr>
        <w:top w:val="none" w:sz="0" w:space="0" w:color="auto"/>
        <w:left w:val="none" w:sz="0" w:space="0" w:color="auto"/>
        <w:bottom w:val="none" w:sz="0" w:space="0" w:color="auto"/>
        <w:right w:val="none" w:sz="0" w:space="0" w:color="auto"/>
      </w:divBdr>
    </w:div>
    <w:div w:id="1438797031">
      <w:bodyDiv w:val="1"/>
      <w:marLeft w:val="0"/>
      <w:marRight w:val="0"/>
      <w:marTop w:val="0"/>
      <w:marBottom w:val="0"/>
      <w:divBdr>
        <w:top w:val="none" w:sz="0" w:space="0" w:color="auto"/>
        <w:left w:val="none" w:sz="0" w:space="0" w:color="auto"/>
        <w:bottom w:val="none" w:sz="0" w:space="0" w:color="auto"/>
        <w:right w:val="none" w:sz="0" w:space="0" w:color="auto"/>
      </w:divBdr>
    </w:div>
    <w:div w:id="1564177171">
      <w:bodyDiv w:val="1"/>
      <w:marLeft w:val="0"/>
      <w:marRight w:val="0"/>
      <w:marTop w:val="0"/>
      <w:marBottom w:val="0"/>
      <w:divBdr>
        <w:top w:val="none" w:sz="0" w:space="0" w:color="auto"/>
        <w:left w:val="none" w:sz="0" w:space="0" w:color="auto"/>
        <w:bottom w:val="none" w:sz="0" w:space="0" w:color="auto"/>
        <w:right w:val="none" w:sz="0" w:space="0" w:color="auto"/>
      </w:divBdr>
    </w:div>
    <w:div w:id="1728534150">
      <w:bodyDiv w:val="1"/>
      <w:marLeft w:val="0"/>
      <w:marRight w:val="0"/>
      <w:marTop w:val="0"/>
      <w:marBottom w:val="0"/>
      <w:divBdr>
        <w:top w:val="none" w:sz="0" w:space="0" w:color="auto"/>
        <w:left w:val="none" w:sz="0" w:space="0" w:color="auto"/>
        <w:bottom w:val="none" w:sz="0" w:space="0" w:color="auto"/>
        <w:right w:val="none" w:sz="0" w:space="0" w:color="auto"/>
      </w:divBdr>
    </w:div>
    <w:div w:id="1864050988">
      <w:bodyDiv w:val="1"/>
      <w:marLeft w:val="0"/>
      <w:marRight w:val="0"/>
      <w:marTop w:val="0"/>
      <w:marBottom w:val="0"/>
      <w:divBdr>
        <w:top w:val="none" w:sz="0" w:space="0" w:color="auto"/>
        <w:left w:val="none" w:sz="0" w:space="0" w:color="auto"/>
        <w:bottom w:val="none" w:sz="0" w:space="0" w:color="auto"/>
        <w:right w:val="none" w:sz="0" w:space="0" w:color="auto"/>
      </w:divBdr>
    </w:div>
    <w:div w:id="1956517657">
      <w:bodyDiv w:val="1"/>
      <w:marLeft w:val="0"/>
      <w:marRight w:val="0"/>
      <w:marTop w:val="0"/>
      <w:marBottom w:val="0"/>
      <w:divBdr>
        <w:top w:val="none" w:sz="0" w:space="0" w:color="auto"/>
        <w:left w:val="none" w:sz="0" w:space="0" w:color="auto"/>
        <w:bottom w:val="none" w:sz="0" w:space="0" w:color="auto"/>
        <w:right w:val="none" w:sz="0" w:space="0" w:color="auto"/>
      </w:divBdr>
      <w:divsChild>
        <w:div w:id="873226597">
          <w:marLeft w:val="0"/>
          <w:marRight w:val="0"/>
          <w:marTop w:val="0"/>
          <w:marBottom w:val="0"/>
          <w:divBdr>
            <w:top w:val="none" w:sz="0" w:space="0" w:color="auto"/>
            <w:left w:val="none" w:sz="0" w:space="0" w:color="auto"/>
            <w:bottom w:val="none" w:sz="0" w:space="0" w:color="auto"/>
            <w:right w:val="none" w:sz="0" w:space="0" w:color="auto"/>
          </w:divBdr>
        </w:div>
      </w:divsChild>
    </w:div>
    <w:div w:id="2059281457">
      <w:bodyDiv w:val="1"/>
      <w:marLeft w:val="0"/>
      <w:marRight w:val="0"/>
      <w:marTop w:val="0"/>
      <w:marBottom w:val="0"/>
      <w:divBdr>
        <w:top w:val="none" w:sz="0" w:space="0" w:color="auto"/>
        <w:left w:val="none" w:sz="0" w:space="0" w:color="auto"/>
        <w:bottom w:val="none" w:sz="0" w:space="0" w:color="auto"/>
        <w:right w:val="none" w:sz="0" w:space="0" w:color="auto"/>
      </w:divBdr>
    </w:div>
    <w:div w:id="210718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686270-958A-4D47-BE2B-A776D2C4AE95}">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64C-BD5B-5545-B962-34AAEC9C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 MADYA TS DR SYAMSUL NOR AZLAN BIN MOHAMAD</dc:creator>
  <cp:keywords/>
  <dc:description/>
  <cp:lastModifiedBy>PROFESOR TS DR SYAMSUL NOR AZLAN BIN MOHAMAD</cp:lastModifiedBy>
  <cp:revision>4</cp:revision>
  <cp:lastPrinted>2025-03-23T02:09:00Z</cp:lastPrinted>
  <dcterms:created xsi:type="dcterms:W3CDTF">2026-06-02T13:42:00Z</dcterms:created>
  <dcterms:modified xsi:type="dcterms:W3CDTF">2026-06-02T13:48:00Z</dcterms:modified>
</cp:coreProperties>
</file>