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3D594" w14:textId="34A69712" w:rsidR="00C17104" w:rsidRPr="00C17104" w:rsidRDefault="00C17104" w:rsidP="00C17104">
      <w:pPr>
        <w:spacing w:after="120" w:line="240" w:lineRule="auto"/>
        <w:jc w:val="center"/>
        <w:rPr>
          <w:rFonts w:ascii="Times New Roman" w:hAnsi="Times New Roman" w:cs="Times New Roman"/>
          <w:b/>
          <w:bCs/>
          <w:lang w:val="en-PH"/>
        </w:rPr>
      </w:pPr>
      <w:r w:rsidRPr="00C17104">
        <w:rPr>
          <w:rFonts w:ascii="Times New Roman" w:hAnsi="Times New Roman" w:cs="Times New Roman"/>
          <w:b/>
          <w:bCs/>
          <w:lang w:val="en-PH"/>
        </w:rPr>
        <w:t>KNOWLEDGE AND COUNSELING PRACTICES OF PUBLIC HEALTH AND COMMUNITY PHARMACISTS ON MICRONUTRIENTS USE AMONG FIRST- AND SECOND-TRIMESTER PREGNANT WOMEN IN SOUTH COTABATO</w:t>
      </w:r>
    </w:p>
    <w:p w14:paraId="30054B16" w14:textId="04247FFE" w:rsidR="00B11824" w:rsidRPr="000C2967" w:rsidRDefault="00C17104" w:rsidP="00B11824">
      <w:pPr>
        <w:spacing w:after="120" w:line="240" w:lineRule="auto"/>
        <w:jc w:val="center"/>
        <w:rPr>
          <w:rFonts w:ascii="Times New Roman" w:hAnsi="Times New Roman" w:cs="Times New Roman"/>
          <w:b/>
          <w:bCs/>
          <w:vertAlign w:val="superscript"/>
        </w:rPr>
      </w:pPr>
      <w:r w:rsidRPr="00C17104">
        <w:rPr>
          <w:rFonts w:ascii="Times New Roman" w:hAnsi="Times New Roman" w:cs="Times New Roman"/>
          <w:b/>
          <w:bCs/>
        </w:rPr>
        <w:t/>
      </w:r>
      <w:r w:rsidR="006049AD" w:rsidRPr="000C2967">
        <w:rPr>
          <w:rFonts w:ascii="Times New Roman" w:hAnsi="Times New Roman" w:cs="Times New Roman"/>
          <w:b/>
          <w:bCs/>
          <w:vertAlign w:val="superscript"/>
        </w:rPr>
        <w:t/>
      </w:r>
      <w:r w:rsidR="006049AD" w:rsidRPr="000C2967">
        <w:rPr>
          <w:rFonts w:ascii="Times New Roman" w:hAnsi="Times New Roman" w:cs="Times New Roman"/>
          <w:b/>
          <w:bCs/>
        </w:rPr>
        <w:t xml:space="preserve"/>
      </w:r>
      <w:r w:rsidRPr="00C17104">
        <w:rPr>
          <w:rFonts w:ascii="Times New Roman" w:hAnsi="Times New Roman" w:cs="Times New Roman"/>
          <w:b/>
          <w:bCs/>
        </w:rPr>
        <w:t/>
      </w:r>
      <w:r w:rsidR="00B11824">
        <w:rPr>
          <w:rFonts w:ascii="Times New Roman" w:hAnsi="Times New Roman" w:cs="Times New Roman"/>
          <w:b/>
          <w:bCs/>
          <w:vertAlign w:val="superscript"/>
        </w:rPr>
        <w:t/>
      </w:r>
      <w:r w:rsidR="00567B84" w:rsidRPr="000C2967">
        <w:rPr>
          <w:rFonts w:ascii="Times New Roman" w:hAnsi="Times New Roman" w:cs="Times New Roman"/>
          <w:b/>
          <w:bCs/>
          <w:vertAlign w:val="superscript"/>
        </w:rPr>
        <w:t/>
      </w:r>
      <w:r w:rsidR="006049AD" w:rsidRPr="000C2967">
        <w:rPr>
          <w:rFonts w:ascii="Times New Roman" w:hAnsi="Times New Roman" w:cs="Times New Roman"/>
          <w:b/>
          <w:bCs/>
        </w:rPr>
        <w:t xml:space="preserve"/>
      </w:r>
      <w:r w:rsidRPr="00C17104">
        <w:rPr>
          <w:rFonts w:ascii="Times New Roman" w:hAnsi="Times New Roman" w:cs="Times New Roman"/>
          <w:b/>
          <w:bCs/>
        </w:rPr>
        <w:t/>
      </w:r>
      <w:r w:rsidR="00B11824">
        <w:rPr>
          <w:rFonts w:ascii="Times New Roman" w:hAnsi="Times New Roman" w:cs="Times New Roman"/>
          <w:b/>
          <w:bCs/>
          <w:vertAlign w:val="superscript"/>
        </w:rPr>
        <w:t/>
      </w:r>
      <w:r w:rsidR="00B11824">
        <w:rPr>
          <w:rFonts w:ascii="Times New Roman" w:hAnsi="Times New Roman" w:cs="Times New Roman"/>
          <w:b/>
          <w:bCs/>
        </w:rPr>
        <w:t/>
      </w:r>
      <w:r w:rsidR="00B11824" w:rsidRPr="000C2967">
        <w:rPr>
          <w:rFonts w:ascii="Times New Roman" w:hAnsi="Times New Roman" w:cs="Times New Roman"/>
          <w:b/>
          <w:bCs/>
          <w:vertAlign w:val="superscript"/>
        </w:rPr>
        <w:t/>
      </w:r>
      <w:r w:rsidR="00B11824" w:rsidRPr="000C2967">
        <w:rPr>
          <w:rFonts w:ascii="Times New Roman" w:hAnsi="Times New Roman" w:cs="Times New Roman"/>
          <w:b/>
          <w:bCs/>
        </w:rPr>
        <w:t/>
      </w:r>
      <w:r w:rsidR="00B11824" w:rsidRPr="000C2967">
        <w:rPr>
          <w:rFonts w:ascii="Times New Roman" w:hAnsi="Times New Roman" w:cs="Times New Roman"/>
          <w:b/>
          <w:bCs/>
          <w:vertAlign w:val="superscript"/>
        </w:rPr>
        <w:t/>
      </w:r>
    </w:p>
    <w:p w14:paraId="2AA8C30E" w14:textId="391512D1" w:rsidR="00C17104" w:rsidRDefault="00B11824" w:rsidP="00B11824">
      <w:pPr>
        <w:spacing w:line="240" w:lineRule="auto"/>
        <w:jc w:val="center"/>
        <w:rPr>
          <w:rFonts w:ascii="Times New Roman" w:hAnsi="Times New Roman" w:cs="Times New Roman"/>
          <w:b/>
          <w:bCs/>
        </w:rPr>
      </w:pPr>
      <w:r w:rsidRPr="000C2967">
        <w:rPr>
          <w:rFonts w:ascii="Times New Roman" w:hAnsi="Times New Roman" w:cs="Times New Roman"/>
          <w:b/>
          <w:bCs/>
        </w:rPr>
        <w:t/>
      </w:r>
    </w:p>
    <w:p w14:paraId="089F4074" w14:textId="25AF8172" w:rsidR="00567B84" w:rsidRDefault="00567B84" w:rsidP="000C2967">
      <w:pPr>
        <w:spacing w:line="240" w:lineRule="auto"/>
        <w:jc w:val="center"/>
        <w:rPr>
          <w:rStyle w:val="Hyperlink"/>
          <w:rFonts w:ascii="Times New Roman" w:hAnsi="Times New Roman" w:cs="Times New Roman"/>
        </w:rPr>
      </w:pPr>
      <w:r w:rsidRPr="000C2967">
        <w:rPr>
          <w:rFonts w:ascii="Times New Roman" w:hAnsi="Times New Roman" w:cs="Times New Roman"/>
        </w:rPr>
        <w:t/>
      </w:r>
      <w:r w:rsidRPr="000C2967">
        <w:rPr>
          <w:rFonts w:ascii="Times New Roman" w:hAnsi="Times New Roman" w:cs="Times New Roman"/>
          <w:b/>
          <w:bCs/>
        </w:rPr>
        <w:t xml:space="preserve"/>
      </w:r>
      <w:hyperlink r:id="rId8" w:history="1">
        <w:r w:rsidR="00C17104" w:rsidRPr="00951E91">
          <w:rPr>
            <w:rStyle w:val="Hyperlink"/>
            <w:rFonts w:ascii="Times New Roman" w:hAnsi="Times New Roman" w:cs="Times New Roman"/>
          </w:rPr>
          <w:t/>
        </w:r>
      </w:hyperlink>
    </w:p>
    <w:p w14:paraId="6B4A0D75" w14:textId="77777777" w:rsidR="00271381" w:rsidRPr="000C2967" w:rsidRDefault="00271381" w:rsidP="000C2967">
      <w:pPr>
        <w:spacing w:line="240" w:lineRule="auto"/>
        <w:jc w:val="center"/>
        <w:rPr>
          <w:rFonts w:ascii="Times New Roman" w:hAnsi="Times New Roman" w:cs="Times New Roman"/>
          <w:u w:val="single"/>
        </w:rPr>
      </w:pPr>
    </w:p>
    <w:p w14:paraId="1A67DC6A" w14:textId="1FE80460" w:rsidR="00567B84" w:rsidRPr="000C2967" w:rsidRDefault="00567B84" w:rsidP="000C2967">
      <w:pPr>
        <w:spacing w:after="0" w:line="240" w:lineRule="auto"/>
        <w:jc w:val="both"/>
        <w:rPr>
          <w:rFonts w:ascii="Times New Roman" w:hAnsi="Times New Roman" w:cs="Times New Roman"/>
          <w:u w:val="single"/>
        </w:rPr>
      </w:pPr>
    </w:p>
    <w:p w14:paraId="536986AC" w14:textId="03F3E664" w:rsidR="006049AD" w:rsidRPr="000C2967" w:rsidRDefault="006049AD" w:rsidP="000C2967">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ABSTRACT</w:t>
      </w:r>
    </w:p>
    <w:p w14:paraId="740FBC07" w14:textId="77777777" w:rsidR="00E13989" w:rsidRDefault="00E13989" w:rsidP="000C2967">
      <w:pPr>
        <w:spacing w:before="240" w:after="240" w:line="240" w:lineRule="auto"/>
        <w:jc w:val="both"/>
        <w:rPr>
          <w:rFonts w:ascii="Times New Roman" w:hAnsi="Times New Roman" w:cs="Times New Roman"/>
        </w:rPr>
      </w:pPr>
      <w:r w:rsidRPr="00E13989">
        <w:rPr>
          <w:rFonts w:ascii="Times New Roman" w:hAnsi="Times New Roman" w:cs="Times New Roman"/>
        </w:rPr>
        <w:t xml:space="preserve">Pharmacists play a critical role in maternal </w:t>
      </w:r>
      <w:bookmarkStart w:id="0" w:name="_GoBack"/>
      <w:bookmarkEnd w:id="0"/>
      <w:r w:rsidRPr="00E13989">
        <w:rPr>
          <w:rFonts w:ascii="Times New Roman" w:hAnsi="Times New Roman" w:cs="Times New Roman"/>
        </w:rPr>
        <w:t>healthcare by ensuring the safe and appropriate use of micronutrient supplementation during pregnancy through evidence-based counseling and clinical guidance. This study employed a quantitative cross-sectional design to determine the knowledge and counseling practices of public health and community pharmacists regarding micronutrient use among first- and second-trimester pregnant women in South Cotabato. A total of 103 licensed pharmacists working in Rural Health Unit (RHU) pharmacies and selected community pharmacies participated in the study. The respondents were assessed regarding their demographic profile, level of knowledge of the benefits and risks of micronutrient use, and counseling practices in clinical decision-making, including evidence-based consultation and patient counseling. Inferential analysis was also conducted to determine significant differences in knowledge and practices across age, years of professional experience, and practice setting. The results showed that most respondents were young, early-career pharmacists, predominantly aged 20–29 years (72.8%) with 1–3 years of professional experience (52.4%), and mainly working in community pharmacies (85.4%). The respondents demonstrated a very high level of knowledge regarding both the benefits and risks of micronutrient use during pregnancy. Likewise, their counseling practices were rated high in both clinical decision-making with evidence-based consultation (M = 3.709, SD = 0.372) and patient counseling (M = 3.639, SD = 0.446). Inferential results revealed no significant differences in knowledge or practice when grouped by age (p = .151) or practice setting (p = .860). In contrast, a significant difference was found by years of professional experience (p = .023). The findings indicate that pharmacists possess strong and well-balanced knowledge and demonstrate competent counseling practices regarding micronutrient use during pregnancy. However, professional experience significantly influences practice levels, suggesting that experiential learning plays an important role in enhancing counseling competence. It is recommended that structured mentorship programs, targeted continuing professional development activities, and strengthened pharmacy education be implemented to enhance counseling skills further and ensure consistent, evidence-based maternal care across practice settings.</w:t>
      </w:r>
    </w:p>
    <w:p w14:paraId="164DA554" w14:textId="6337DA15" w:rsidR="00E22EA8" w:rsidRPr="000C2967" w:rsidRDefault="00567B84" w:rsidP="000C2967">
      <w:pPr>
        <w:spacing w:before="240" w:after="240" w:line="240" w:lineRule="auto"/>
        <w:jc w:val="both"/>
        <w:rPr>
          <w:rFonts w:ascii="Times New Roman" w:hAnsi="Times New Roman" w:cs="Times New Roman"/>
        </w:rPr>
      </w:pPr>
      <w:r w:rsidRPr="000C2967">
        <w:rPr>
          <w:rFonts w:ascii="Times New Roman" w:hAnsi="Times New Roman" w:cs="Times New Roman"/>
          <w:b/>
          <w:bCs/>
        </w:rPr>
        <w:t>Keywords:</w:t>
      </w:r>
      <w:r w:rsidRPr="000C2967">
        <w:rPr>
          <w:rFonts w:ascii="Times New Roman" w:hAnsi="Times New Roman" w:cs="Times New Roman"/>
        </w:rPr>
        <w:t xml:space="preserve"> </w:t>
      </w:r>
      <w:r w:rsidR="00E13989" w:rsidRPr="00E13989">
        <w:rPr>
          <w:rFonts w:ascii="Times New Roman" w:hAnsi="Times New Roman" w:cs="Times New Roman"/>
          <w:i/>
          <w:iCs/>
        </w:rPr>
        <w:t>Micronutrients; Pregnancy; Public Health Pharmacists; Community Pharmacists; Knowledge; Counseling Practices</w:t>
      </w:r>
    </w:p>
    <w:p w14:paraId="68261D3B" w14:textId="56F8214E" w:rsidR="003C7E69" w:rsidRPr="000C2967" w:rsidRDefault="003C7E69" w:rsidP="000C2967">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lastRenderedPageBreak/>
        <w:t>INTRODUCTION</w:t>
      </w:r>
    </w:p>
    <w:p w14:paraId="15CAEC74" w14:textId="644F6BA2" w:rsidR="00271381" w:rsidRPr="00271381" w:rsidRDefault="00271381" w:rsidP="00271381">
      <w:pPr>
        <w:pStyle w:val="Heading1"/>
        <w:spacing w:before="120" w:after="120" w:line="240" w:lineRule="auto"/>
        <w:jc w:val="both"/>
        <w:rPr>
          <w:rFonts w:ascii="Times New Roman" w:eastAsiaTheme="minorHAnsi" w:hAnsi="Times New Roman" w:cs="Times New Roman"/>
          <w:b/>
          <w:color w:val="auto"/>
          <w:sz w:val="24"/>
          <w:szCs w:val="24"/>
        </w:rPr>
      </w:pPr>
      <w:r w:rsidRPr="00271381">
        <w:rPr>
          <w:rFonts w:ascii="Times New Roman" w:eastAsiaTheme="minorHAnsi" w:hAnsi="Times New Roman" w:cs="Times New Roman"/>
          <w:b/>
          <w:color w:val="auto"/>
          <w:sz w:val="24"/>
          <w:szCs w:val="24"/>
        </w:rPr>
        <w:t>Background of the Study</w:t>
      </w:r>
    </w:p>
    <w:p w14:paraId="1FAAC104" w14:textId="77777777" w:rsidR="00E13989" w:rsidRP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Malnutrition remains a major public health concern in many developing countries, including the Philippines, where micronutrient deficiencies continue to significantly contribute to maternal and child morbidity and mortality. Beyond its direct health effects, malnutrition imposes substantial social and economic burdens on families and the healthcare system. Additionally, nearly 2 in 10 pregnant Filipino women are nutritionally at risk, lacking sufficient calories and essential micronutrients to support healthy fetal development (UNICEF Philippines, 2024).</w:t>
      </w:r>
    </w:p>
    <w:p w14:paraId="74BB7E02" w14:textId="77777777" w:rsidR="00E13989" w:rsidRP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According to the Department of Science and Technology–Food and Nutrition Research Institute (DOST-FNRI, 2024), the under-five mortality rate in the Philippines remains at 26 per 1,000 live births, with higher rates reaching 28 per 1,000 in regions such as the Bangsamoro Autonomous Region in Muslim Mindanao (BARMM), where maternal malnutrition is more prevalent. Nearly half (47%–50%) of under-five deaths occur during the neonatal period, primarily due to preterm birth and low birth weight conditions strongly associated with maternal micronutrient deficiencies.</w:t>
      </w:r>
    </w:p>
    <w:p w14:paraId="57DDFE79" w14:textId="77777777" w:rsidR="00E13989" w:rsidRP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Felipe-Dimog et al. (2021) identified two major contributing factors to these deficiencies: (1) inadequate iron and folic acid supplementation (IFAS) intake, largely due to healthcare providers’ limited capacity to effectively motivate and counsel pregnant women, often resulting from insufficient awareness of the consequences of low compliance; and (2) inconsistent IFAS supply due to economic and logistical constraints affecting the availability of supplements in health facilities.</w:t>
      </w:r>
    </w:p>
    <w:p w14:paraId="7A784996" w14:textId="77777777" w:rsidR="00E13989" w:rsidRP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Patient-centered care is an essential component of antenatal services, emphasizing individualized and evidence-based support for pregnant women (Truong et al., 2019). Community pharmacists play a strategic role in this approach, as they are often the first point of contact for over-the-counter medications and basic health advice. Their accessibility allows them to promote the safe and appropriate use of medicines during preconception, pregnancy, and lactation through counseling, provision of accurate information, and the development of trusting patient relationships (Algarni et al., 2022).</w:t>
      </w:r>
    </w:p>
    <w:p w14:paraId="73ABF354" w14:textId="77777777" w:rsidR="00E13989" w:rsidRP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Antenatal care requires healthcare professionals to consider biological, social, and cultural factors influencing maternal health (Anon, 2020). Nutrition education and counseling (NEC) is a well-established intervention that promotes balanced diets and adequate micronutrient intake, with evidence showing improvements in nutrition knowledge and dietary practices among pregnant women, particularly adolescents. Pharmacists can contribute to these efforts by providing counseling, supporting medication adherence, and recommending essential prenatal supplements such as folic acid, iron, calcium, and vitamin D. However, despite existing guidelines, gaps in counseling persist, especially in rural and underserved areas (UNICEF, 2021).</w:t>
      </w:r>
    </w:p>
    <w:p w14:paraId="5018397D" w14:textId="77777777" w:rsidR="00E13989" w:rsidRDefault="00E13989" w:rsidP="00E13989">
      <w:pPr>
        <w:pStyle w:val="Heading1"/>
        <w:spacing w:before="120" w:after="120" w:line="240" w:lineRule="auto"/>
        <w:ind w:firstLine="720"/>
        <w:jc w:val="both"/>
        <w:rPr>
          <w:rFonts w:ascii="Times New Roman" w:eastAsiaTheme="minorHAnsi" w:hAnsi="Times New Roman" w:cs="Times New Roman"/>
          <w:color w:val="auto"/>
          <w:sz w:val="24"/>
          <w:szCs w:val="24"/>
        </w:rPr>
      </w:pPr>
      <w:r w:rsidRPr="00E13989">
        <w:rPr>
          <w:rFonts w:ascii="Times New Roman" w:eastAsiaTheme="minorHAnsi" w:hAnsi="Times New Roman" w:cs="Times New Roman"/>
          <w:color w:val="auto"/>
          <w:sz w:val="24"/>
          <w:szCs w:val="24"/>
        </w:rPr>
        <w:t>A study conducted in Cebu City reported that 20.23% of pharmacists did not provide counseling, while 8.17% reported low confidence in patient interactions (Kriza et al., 2023). Strengthening pharmacist training, continuing professional development, and access to clinical guidelines can enhance their role in antenatal care and ultimately improve maternal and neonatal health outcomes (Jarab et al., 2025).</w:t>
      </w:r>
    </w:p>
    <w:p w14:paraId="7ECD9073" w14:textId="3B7FB68C" w:rsidR="008710EC" w:rsidRDefault="00271381" w:rsidP="00E13989">
      <w:pPr>
        <w:pStyle w:val="Heading1"/>
        <w:spacing w:before="120" w:after="12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Statement of the Problem</w:t>
      </w:r>
    </w:p>
    <w:p w14:paraId="5EE6AEBF" w14:textId="77777777" w:rsidR="00271381" w:rsidRPr="00271381" w:rsidRDefault="00271381" w:rsidP="00E61EAF">
      <w:pPr>
        <w:spacing w:line="240" w:lineRule="auto"/>
        <w:ind w:firstLine="720"/>
        <w:jc w:val="both"/>
        <w:rPr>
          <w:rFonts w:ascii="Times New Roman" w:hAnsi="Times New Roman" w:cs="Times New Roman"/>
          <w:lang w:val="en-PH"/>
        </w:rPr>
      </w:pPr>
      <w:r w:rsidRPr="00271381">
        <w:rPr>
          <w:rFonts w:ascii="Times New Roman" w:hAnsi="Times New Roman" w:cs="Times New Roman"/>
          <w:lang w:val="en-PH"/>
        </w:rPr>
        <w:t>Generally, this study aimed to determine the knowledge and counseling practices of public health and community pharmacists regarding micronutrient use among first- and second-trimester pregnant women in South Cotabato.</w:t>
      </w:r>
    </w:p>
    <w:p w14:paraId="0C04AE09" w14:textId="77777777" w:rsidR="004C1802" w:rsidRDefault="00271381" w:rsidP="004C1802">
      <w:pPr>
        <w:spacing w:after="0" w:line="240" w:lineRule="auto"/>
        <w:ind w:firstLine="720"/>
        <w:jc w:val="both"/>
        <w:rPr>
          <w:rFonts w:ascii="Times New Roman" w:hAnsi="Times New Roman" w:cs="Times New Roman"/>
          <w:lang w:val="en-PH"/>
        </w:rPr>
      </w:pPr>
      <w:r w:rsidRPr="00271381">
        <w:rPr>
          <w:rFonts w:ascii="Times New Roman" w:hAnsi="Times New Roman" w:cs="Times New Roman"/>
          <w:lang w:val="en-PH"/>
        </w:rPr>
        <w:t>Specifically, this study sought to answer the following questions:</w:t>
      </w:r>
      <w:r>
        <w:rPr>
          <w:rFonts w:ascii="Times New Roman" w:hAnsi="Times New Roman" w:cs="Times New Roman"/>
          <w:lang w:val="en-PH"/>
        </w:rPr>
        <w:t xml:space="preserve"> (1) </w:t>
      </w:r>
      <w:r w:rsidRPr="00271381">
        <w:rPr>
          <w:rFonts w:ascii="Times New Roman" w:hAnsi="Times New Roman" w:cs="Times New Roman"/>
          <w:lang w:val="en-PH"/>
        </w:rPr>
        <w:t>What is the demographic profile of the respondents in terms of:</w:t>
      </w:r>
      <w:r>
        <w:rPr>
          <w:rFonts w:ascii="Times New Roman" w:hAnsi="Times New Roman" w:cs="Times New Roman"/>
          <w:lang w:val="en-PH"/>
        </w:rPr>
        <w:t xml:space="preserve"> </w:t>
      </w:r>
      <w:r w:rsidRPr="00271381">
        <w:rPr>
          <w:rFonts w:ascii="Times New Roman" w:hAnsi="Times New Roman" w:cs="Times New Roman"/>
          <w:lang w:val="en-PH"/>
        </w:rPr>
        <w:t>Age;</w:t>
      </w:r>
      <w:r>
        <w:rPr>
          <w:rFonts w:ascii="Times New Roman" w:hAnsi="Times New Roman" w:cs="Times New Roman"/>
          <w:lang w:val="en-PH"/>
        </w:rPr>
        <w:t xml:space="preserve"> </w:t>
      </w:r>
      <w:r w:rsidRPr="00271381">
        <w:rPr>
          <w:rFonts w:ascii="Times New Roman" w:hAnsi="Times New Roman" w:cs="Times New Roman"/>
          <w:lang w:val="en-PH"/>
        </w:rPr>
        <w:t>Years of professional experience; and</w:t>
      </w:r>
      <w:r>
        <w:rPr>
          <w:rFonts w:ascii="Times New Roman" w:hAnsi="Times New Roman" w:cs="Times New Roman"/>
          <w:lang w:val="en-PH"/>
        </w:rPr>
        <w:t xml:space="preserve"> Practice setting? (2) </w:t>
      </w:r>
      <w:r w:rsidRPr="00271381">
        <w:rPr>
          <w:rFonts w:ascii="Times New Roman" w:hAnsi="Times New Roman" w:cs="Times New Roman"/>
          <w:lang w:val="en-PH"/>
        </w:rPr>
        <w:t>What is the level of knowledge of public health and community pharmacists regarding recommended micronutrient use during pregnancy in terms of:</w:t>
      </w:r>
      <w:r>
        <w:rPr>
          <w:rFonts w:ascii="Times New Roman" w:hAnsi="Times New Roman" w:cs="Times New Roman"/>
          <w:lang w:val="en-PH"/>
        </w:rPr>
        <w:t xml:space="preserve"> </w:t>
      </w:r>
      <w:r w:rsidRPr="00271381">
        <w:rPr>
          <w:rFonts w:ascii="Times New Roman" w:hAnsi="Times New Roman" w:cs="Times New Roman"/>
          <w:lang w:val="en-PH"/>
        </w:rPr>
        <w:t>Benefits of micronutrients; and</w:t>
      </w:r>
      <w:r>
        <w:rPr>
          <w:rFonts w:ascii="Times New Roman" w:hAnsi="Times New Roman" w:cs="Times New Roman"/>
          <w:lang w:val="en-PH"/>
        </w:rPr>
        <w:t xml:space="preserve"> </w:t>
      </w:r>
      <w:r w:rsidRPr="00271381">
        <w:rPr>
          <w:rFonts w:ascii="Times New Roman" w:hAnsi="Times New Roman" w:cs="Times New Roman"/>
          <w:lang w:val="en-PH"/>
        </w:rPr>
        <w:t>Risks of micronutrients? </w:t>
      </w:r>
      <w:r>
        <w:rPr>
          <w:rFonts w:ascii="Times New Roman" w:hAnsi="Times New Roman" w:cs="Times New Roman"/>
          <w:lang w:val="en-PH"/>
        </w:rPr>
        <w:t>(3)</w:t>
      </w:r>
      <w:r w:rsidRPr="00271381">
        <w:rPr>
          <w:rFonts w:ascii="Times New Roman" w:hAnsi="Times New Roman" w:cs="Times New Roman"/>
          <w:lang w:val="en-PH"/>
        </w:rPr>
        <w:t>What is the level of counseling practice of public health and community pharmacists regarding recommended micronutrient use during pregnancy in terms of:</w:t>
      </w:r>
      <w:r>
        <w:rPr>
          <w:rFonts w:ascii="Times New Roman" w:hAnsi="Times New Roman" w:cs="Times New Roman"/>
          <w:lang w:val="en-PH"/>
        </w:rPr>
        <w:t xml:space="preserve"> </w:t>
      </w:r>
      <w:r w:rsidRPr="00271381">
        <w:rPr>
          <w:rFonts w:ascii="Times New Roman" w:hAnsi="Times New Roman" w:cs="Times New Roman"/>
          <w:lang w:val="en-PH"/>
        </w:rPr>
        <w:t>Clinical decision-making and evidence-based consultation practices; and</w:t>
      </w:r>
      <w:r>
        <w:rPr>
          <w:rFonts w:ascii="Times New Roman" w:hAnsi="Times New Roman" w:cs="Times New Roman"/>
          <w:lang w:val="en-PH"/>
        </w:rPr>
        <w:t xml:space="preserve"> </w:t>
      </w:r>
      <w:r w:rsidRPr="00271381">
        <w:rPr>
          <w:rFonts w:ascii="Times New Roman" w:hAnsi="Times New Roman" w:cs="Times New Roman"/>
          <w:lang w:val="en-PH"/>
        </w:rPr>
        <w:t>Patient counseling practices on the risks and benefits of micronutrient use?</w:t>
      </w:r>
      <w:r>
        <w:rPr>
          <w:rFonts w:ascii="Times New Roman" w:hAnsi="Times New Roman" w:cs="Times New Roman"/>
          <w:lang w:val="en-PH"/>
        </w:rPr>
        <w:t xml:space="preserve"> (4) </w:t>
      </w:r>
      <w:r w:rsidRPr="00271381">
        <w:rPr>
          <w:rFonts w:ascii="Times New Roman" w:hAnsi="Times New Roman" w:cs="Times New Roman"/>
          <w:lang w:val="en-PH"/>
        </w:rPr>
        <w:t>Is there a significant difference in the knowledge and counseling practices of public health and community pharmacists regarding recommended micronutrient use during pregnancy when grouped according to age, years of professional e</w:t>
      </w:r>
      <w:r w:rsidR="0049134C">
        <w:rPr>
          <w:rFonts w:ascii="Times New Roman" w:hAnsi="Times New Roman" w:cs="Times New Roman"/>
          <w:lang w:val="en-PH"/>
        </w:rPr>
        <w:t>xperience, and practice setting.</w:t>
      </w:r>
    </w:p>
    <w:p w14:paraId="4B373976" w14:textId="2A954B4A" w:rsidR="001E758A" w:rsidRPr="004C1802" w:rsidRDefault="001E758A" w:rsidP="004C1802">
      <w:pPr>
        <w:spacing w:after="0" w:line="240" w:lineRule="auto"/>
        <w:jc w:val="both"/>
        <w:rPr>
          <w:rFonts w:ascii="Times New Roman" w:hAnsi="Times New Roman" w:cs="Times New Roman"/>
          <w:lang w:val="en-PH"/>
        </w:rPr>
      </w:pPr>
      <w:r w:rsidRPr="000C2967">
        <w:rPr>
          <w:rFonts w:ascii="Times New Roman" w:hAnsi="Times New Roman" w:cs="Times New Roman"/>
          <w:b/>
          <w:bCs/>
        </w:rPr>
        <w:lastRenderedPageBreak/>
        <w:t>METHODOLOGY</w:t>
      </w:r>
    </w:p>
    <w:p w14:paraId="166FD5FF" w14:textId="44ECA9DE" w:rsidR="001E758A" w:rsidRPr="000C2967" w:rsidRDefault="001E758A" w:rsidP="000C2967">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Research Design</w:t>
      </w:r>
    </w:p>
    <w:p w14:paraId="6648F3D9" w14:textId="77777777" w:rsidR="00E13989" w:rsidRPr="00E13989" w:rsidRDefault="00E13989" w:rsidP="00E13989">
      <w:pPr>
        <w:pStyle w:val="Heading2"/>
        <w:spacing w:before="120" w:after="120" w:line="240" w:lineRule="auto"/>
        <w:ind w:firstLine="720"/>
        <w:jc w:val="both"/>
        <w:rPr>
          <w:rFonts w:ascii="Times New Roman" w:eastAsia="Aptos" w:hAnsi="Times New Roman" w:cs="Times New Roman"/>
          <w:noProof w:val="0"/>
          <w:color w:val="auto"/>
          <w:sz w:val="24"/>
          <w:szCs w:val="24"/>
          <w:lang w:val="en-PH" w:bidi="th-TH"/>
        </w:rPr>
      </w:pPr>
      <w:r w:rsidRPr="00E13989">
        <w:rPr>
          <w:rFonts w:ascii="Times New Roman" w:eastAsia="Aptos" w:hAnsi="Times New Roman" w:cs="Times New Roman"/>
          <w:noProof w:val="0"/>
          <w:color w:val="auto"/>
          <w:sz w:val="24"/>
          <w:szCs w:val="24"/>
          <w:lang w:val="en-PH" w:bidi="th-TH"/>
        </w:rPr>
        <w:t xml:space="preserve">This study utilized a quantitative cross-sectional research design to assess the knowledge and </w:t>
      </w:r>
      <w:proofErr w:type="spellStart"/>
      <w:r w:rsidRPr="00E13989">
        <w:rPr>
          <w:rFonts w:ascii="Times New Roman" w:eastAsia="Aptos" w:hAnsi="Times New Roman" w:cs="Times New Roman"/>
          <w:noProof w:val="0"/>
          <w:color w:val="auto"/>
          <w:sz w:val="24"/>
          <w:szCs w:val="24"/>
          <w:lang w:val="en-PH" w:bidi="th-TH"/>
        </w:rPr>
        <w:t>counseling</w:t>
      </w:r>
      <w:proofErr w:type="spellEnd"/>
      <w:r w:rsidRPr="00E13989">
        <w:rPr>
          <w:rFonts w:ascii="Times New Roman" w:eastAsia="Aptos" w:hAnsi="Times New Roman" w:cs="Times New Roman"/>
          <w:noProof w:val="0"/>
          <w:color w:val="auto"/>
          <w:sz w:val="24"/>
          <w:szCs w:val="24"/>
          <w:lang w:val="en-PH" w:bidi="th-TH"/>
        </w:rPr>
        <w:t xml:space="preserve"> practices of community and rural health pharmacists regarding micronutrient use among first- and second-trimester pregnant women. According to Creswell and Creswell (2018), quantitative research uses numerical data and statistical analysis to examine variables, while cross-sectional research collects data at a single point in time to describe existing conditions and examine relationships or differences among variables.</w:t>
      </w:r>
    </w:p>
    <w:p w14:paraId="17BFBFF9" w14:textId="77777777" w:rsidR="00E13989" w:rsidRPr="00E13989" w:rsidRDefault="00E13989" w:rsidP="00E13989">
      <w:pPr>
        <w:pStyle w:val="Heading2"/>
        <w:spacing w:before="120" w:after="120" w:line="240" w:lineRule="auto"/>
        <w:ind w:firstLine="720"/>
        <w:jc w:val="both"/>
        <w:rPr>
          <w:rFonts w:ascii="Times New Roman" w:eastAsia="Aptos" w:hAnsi="Times New Roman" w:cs="Times New Roman"/>
          <w:noProof w:val="0"/>
          <w:color w:val="auto"/>
          <w:sz w:val="24"/>
          <w:szCs w:val="24"/>
          <w:lang w:val="en-PH" w:bidi="th-TH"/>
        </w:rPr>
      </w:pPr>
      <w:r w:rsidRPr="00E13989">
        <w:rPr>
          <w:rFonts w:ascii="Times New Roman" w:eastAsia="Aptos" w:hAnsi="Times New Roman" w:cs="Times New Roman"/>
          <w:noProof w:val="0"/>
          <w:color w:val="auto"/>
          <w:sz w:val="24"/>
          <w:szCs w:val="24"/>
          <w:lang w:val="en-PH" w:bidi="th-TH"/>
        </w:rPr>
        <w:t xml:space="preserve">A descriptive approach was employed to determine the demographic profile of the respondents in terms of age, years of professional experience, and practice setting, as well as to assess their knowledge of the benefits and risks of micronutrients and their </w:t>
      </w:r>
      <w:proofErr w:type="spellStart"/>
      <w:r w:rsidRPr="00E13989">
        <w:rPr>
          <w:rFonts w:ascii="Times New Roman" w:eastAsia="Aptos" w:hAnsi="Times New Roman" w:cs="Times New Roman"/>
          <w:noProof w:val="0"/>
          <w:color w:val="auto"/>
          <w:sz w:val="24"/>
          <w:szCs w:val="24"/>
          <w:lang w:val="en-PH" w:bidi="th-TH"/>
        </w:rPr>
        <w:t>counseling</w:t>
      </w:r>
      <w:proofErr w:type="spellEnd"/>
      <w:r w:rsidRPr="00E13989">
        <w:rPr>
          <w:rFonts w:ascii="Times New Roman" w:eastAsia="Aptos" w:hAnsi="Times New Roman" w:cs="Times New Roman"/>
          <w:noProof w:val="0"/>
          <w:color w:val="auto"/>
          <w:sz w:val="24"/>
          <w:szCs w:val="24"/>
          <w:lang w:val="en-PH" w:bidi="th-TH"/>
        </w:rPr>
        <w:t xml:space="preserve"> practices, including clinical decision-making and patient </w:t>
      </w:r>
      <w:proofErr w:type="spellStart"/>
      <w:r w:rsidRPr="00E13989">
        <w:rPr>
          <w:rFonts w:ascii="Times New Roman" w:eastAsia="Aptos" w:hAnsi="Times New Roman" w:cs="Times New Roman"/>
          <w:noProof w:val="0"/>
          <w:color w:val="auto"/>
          <w:sz w:val="24"/>
          <w:szCs w:val="24"/>
          <w:lang w:val="en-PH" w:bidi="th-TH"/>
        </w:rPr>
        <w:t>counseling</w:t>
      </w:r>
      <w:proofErr w:type="spellEnd"/>
      <w:r w:rsidRPr="00E13989">
        <w:rPr>
          <w:rFonts w:ascii="Times New Roman" w:eastAsia="Aptos" w:hAnsi="Times New Roman" w:cs="Times New Roman"/>
          <w:noProof w:val="0"/>
          <w:color w:val="auto"/>
          <w:sz w:val="24"/>
          <w:szCs w:val="24"/>
          <w:lang w:val="en-PH" w:bidi="th-TH"/>
        </w:rPr>
        <w:t xml:space="preserve">. In addition, the comparative design was used to determine whether significant differences existed in respondents' knowledge and </w:t>
      </w:r>
      <w:proofErr w:type="spellStart"/>
      <w:r w:rsidRPr="00E13989">
        <w:rPr>
          <w:rFonts w:ascii="Times New Roman" w:eastAsia="Aptos" w:hAnsi="Times New Roman" w:cs="Times New Roman"/>
          <w:noProof w:val="0"/>
          <w:color w:val="auto"/>
          <w:sz w:val="24"/>
          <w:szCs w:val="24"/>
          <w:lang w:val="en-PH" w:bidi="th-TH"/>
        </w:rPr>
        <w:t>counseling</w:t>
      </w:r>
      <w:proofErr w:type="spellEnd"/>
      <w:r w:rsidRPr="00E13989">
        <w:rPr>
          <w:rFonts w:ascii="Times New Roman" w:eastAsia="Aptos" w:hAnsi="Times New Roman" w:cs="Times New Roman"/>
          <w:noProof w:val="0"/>
          <w:color w:val="auto"/>
          <w:sz w:val="24"/>
          <w:szCs w:val="24"/>
          <w:lang w:val="en-PH" w:bidi="th-TH"/>
        </w:rPr>
        <w:t xml:space="preserve"> practices across demographic groups.</w:t>
      </w:r>
    </w:p>
    <w:p w14:paraId="227CCC8C" w14:textId="77777777" w:rsidR="00E13989" w:rsidRDefault="00E13989" w:rsidP="00E13989">
      <w:pPr>
        <w:pStyle w:val="Heading2"/>
        <w:spacing w:before="120" w:after="120" w:line="240" w:lineRule="auto"/>
        <w:ind w:firstLine="720"/>
        <w:jc w:val="both"/>
        <w:rPr>
          <w:rFonts w:ascii="Times New Roman" w:eastAsia="Aptos" w:hAnsi="Times New Roman" w:cs="Times New Roman"/>
          <w:noProof w:val="0"/>
          <w:color w:val="auto"/>
          <w:sz w:val="24"/>
          <w:szCs w:val="24"/>
          <w:lang w:val="en-PH" w:bidi="th-TH"/>
        </w:rPr>
      </w:pPr>
      <w:r w:rsidRPr="00E13989">
        <w:rPr>
          <w:rFonts w:ascii="Times New Roman" w:eastAsia="Aptos" w:hAnsi="Times New Roman" w:cs="Times New Roman"/>
          <w:noProof w:val="0"/>
          <w:color w:val="auto"/>
          <w:sz w:val="24"/>
          <w:szCs w:val="24"/>
          <w:lang w:val="en-PH" w:bidi="th-TH"/>
        </w:rPr>
        <w:t xml:space="preserve">This research design was appropriate for the study because it allowed the researchers to examine variables as they naturally occurred without manipulation. Furthermore, the cross-sectional approach enabled the researchers to obtain a clear snapshot of respondents' current knowledge and </w:t>
      </w:r>
      <w:proofErr w:type="spellStart"/>
      <w:r w:rsidRPr="00E13989">
        <w:rPr>
          <w:rFonts w:ascii="Times New Roman" w:eastAsia="Aptos" w:hAnsi="Times New Roman" w:cs="Times New Roman"/>
          <w:noProof w:val="0"/>
          <w:color w:val="auto"/>
          <w:sz w:val="24"/>
          <w:szCs w:val="24"/>
          <w:lang w:val="en-PH" w:bidi="th-TH"/>
        </w:rPr>
        <w:t>counseling</w:t>
      </w:r>
      <w:proofErr w:type="spellEnd"/>
      <w:r w:rsidRPr="00E13989">
        <w:rPr>
          <w:rFonts w:ascii="Times New Roman" w:eastAsia="Aptos" w:hAnsi="Times New Roman" w:cs="Times New Roman"/>
          <w:noProof w:val="0"/>
          <w:color w:val="auto"/>
          <w:sz w:val="24"/>
          <w:szCs w:val="24"/>
          <w:lang w:val="en-PH" w:bidi="th-TH"/>
        </w:rPr>
        <w:t xml:space="preserve"> practices at a specific point in time, without requiring long-term observation, making it efficient and practical for achieving the study's objectives.</w:t>
      </w:r>
    </w:p>
    <w:p w14:paraId="07CA869E" w14:textId="28BFCF22" w:rsidR="00E22EA8" w:rsidRPr="000C2967" w:rsidRDefault="00E22EA8" w:rsidP="00E13989">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Research Locale</w:t>
      </w:r>
    </w:p>
    <w:p w14:paraId="79AD1B35" w14:textId="77777777" w:rsidR="00E13989" w:rsidRPr="00E13989" w:rsidRDefault="00E13989" w:rsidP="00E13989">
      <w:pPr>
        <w:pStyle w:val="Heading2"/>
        <w:spacing w:before="120" w:after="120" w:line="240" w:lineRule="auto"/>
        <w:ind w:firstLine="720"/>
        <w:jc w:val="both"/>
        <w:rPr>
          <w:rFonts w:ascii="Times New Roman" w:hAnsi="Times New Roman" w:cs="Times New Roman"/>
          <w:color w:val="auto"/>
          <w:sz w:val="24"/>
          <w:szCs w:val="24"/>
        </w:rPr>
      </w:pPr>
      <w:r w:rsidRPr="00E13989">
        <w:rPr>
          <w:rFonts w:ascii="Times New Roman" w:hAnsi="Times New Roman" w:cs="Times New Roman"/>
          <w:color w:val="auto"/>
          <w:sz w:val="24"/>
          <w:szCs w:val="24"/>
        </w:rPr>
        <w:t>The study was conducted in Rural Health Units (RHUs) and selected community pharmacies in the Province of South Cotabato, Philippines. The province was chosen as the locale of the study due to the presence of both public and private pharmaceutical practice settings where pharmacists are actively involved in the delivery of primary healthcare services, including medication dispensing and patient counseling. These settings provide direct access to pregnant women who frequently seek advice on supplement use, making the area highly relevant for assessing pharmacists’ knowledge and counseling practices on micronutrient use during pregnancy.</w:t>
      </w:r>
    </w:p>
    <w:p w14:paraId="00F9C854" w14:textId="77777777" w:rsidR="00E13989" w:rsidRPr="00E13989" w:rsidRDefault="00E13989" w:rsidP="00E13989">
      <w:pPr>
        <w:pStyle w:val="Heading2"/>
        <w:spacing w:before="120" w:after="120" w:line="240" w:lineRule="auto"/>
        <w:ind w:firstLine="720"/>
        <w:jc w:val="both"/>
        <w:rPr>
          <w:rFonts w:ascii="Times New Roman" w:hAnsi="Times New Roman" w:cs="Times New Roman"/>
          <w:color w:val="auto"/>
          <w:sz w:val="24"/>
          <w:szCs w:val="24"/>
        </w:rPr>
      </w:pPr>
      <w:r w:rsidRPr="00E13989">
        <w:rPr>
          <w:rFonts w:ascii="Times New Roman" w:hAnsi="Times New Roman" w:cs="Times New Roman"/>
          <w:color w:val="auto"/>
          <w:sz w:val="24"/>
          <w:szCs w:val="24"/>
        </w:rPr>
        <w:t>South Cotabato is located in the SOCCSKSARGEN Region of Mindanao and consists of one component city and ten municipalities, namely: Koronadal City, Banga, Lake Sebu, Norala, Polomolok, Tupi, Tampakan, Tantangan, Sto. Niño, T’Boli, and Surallah. General Santos City was excluded from the study due to its status as an independent highly urbanized city and separate administrative jurisdiction.</w:t>
      </w:r>
    </w:p>
    <w:p w14:paraId="0986EC9A" w14:textId="77777777" w:rsidR="00E13989" w:rsidRPr="00E13989" w:rsidRDefault="00E13989" w:rsidP="00E13989">
      <w:pPr>
        <w:pStyle w:val="Heading2"/>
        <w:spacing w:before="120" w:after="120" w:line="240" w:lineRule="auto"/>
        <w:ind w:firstLine="720"/>
        <w:jc w:val="both"/>
        <w:rPr>
          <w:rFonts w:ascii="Times New Roman" w:hAnsi="Times New Roman" w:cs="Times New Roman"/>
          <w:color w:val="auto"/>
          <w:sz w:val="24"/>
          <w:szCs w:val="24"/>
        </w:rPr>
      </w:pPr>
      <w:r w:rsidRPr="00E13989">
        <w:rPr>
          <w:rFonts w:ascii="Times New Roman" w:hAnsi="Times New Roman" w:cs="Times New Roman"/>
          <w:color w:val="auto"/>
          <w:sz w:val="24"/>
          <w:szCs w:val="24"/>
        </w:rPr>
        <w:t>The province’s healthcare system, which includes RHUs and community pharmacies, plays a significant role in maternal and child health services, particularly in rural and semi-urban communities. This makes South Cotabato an appropriate setting for examining the knowledge and counseling practices of pharmacists regarding micronutrient use among pregnant women.</w:t>
      </w:r>
    </w:p>
    <w:p w14:paraId="702556AD" w14:textId="77777777" w:rsidR="00E13989" w:rsidRDefault="00E13989" w:rsidP="00E13989">
      <w:pPr>
        <w:pStyle w:val="Heading2"/>
        <w:spacing w:before="120" w:after="120" w:line="240" w:lineRule="auto"/>
        <w:ind w:firstLine="720"/>
        <w:jc w:val="both"/>
        <w:rPr>
          <w:rFonts w:ascii="Times New Roman" w:hAnsi="Times New Roman" w:cs="Times New Roman"/>
          <w:color w:val="auto"/>
          <w:sz w:val="24"/>
          <w:szCs w:val="24"/>
        </w:rPr>
      </w:pPr>
      <w:r w:rsidRPr="00E13989">
        <w:rPr>
          <w:rFonts w:ascii="Times New Roman" w:hAnsi="Times New Roman" w:cs="Times New Roman"/>
          <w:color w:val="auto"/>
          <w:sz w:val="24"/>
          <w:szCs w:val="24"/>
        </w:rPr>
        <w:t>According to the 2020 Census, the total population of South Cotabato, excluding General Santos City, was 975,476, representing approximately 3.72% of the population of the Mindanao island group. This population distribution, along with its mix of rural and urban communities, provides a suitable context for studying variations in pharmacy practice within primary healthcare settings.</w:t>
      </w:r>
    </w:p>
    <w:p w14:paraId="688D3FB7" w14:textId="637B131C" w:rsidR="00E22EA8" w:rsidRPr="000C2967" w:rsidRDefault="00E22EA8" w:rsidP="00E13989">
      <w:pPr>
        <w:pStyle w:val="Heading2"/>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Participants of the Study</w:t>
      </w:r>
    </w:p>
    <w:p w14:paraId="675730EF" w14:textId="77777777" w:rsid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The participants of this study are licensed pharmacists working in Rural Health Unit (RHU) Pharmacies and selected community pharmacies in South Cotabato. The respondents were chosen using a purposive sampling technique, meaning only those who met the inclusion criteria are to be selected. The inclusion criteria are licensed pharmacist currently practicing in RHU/CHO or community pharmacies in South Cotabato, and interacts with pregnant women during their practice. The number of respondents was decided based on the data gathered from the FDA, this data consist of all the registered pharmacies in community and rural or city health pharmacies only.  The data is solved with a confidence level of ninety percent, fifty percent as population proportion and five as its margin of error.</w:t>
      </w:r>
    </w:p>
    <w:p w14:paraId="043FEC16" w14:textId="16FD1EA3" w:rsidR="003A695F" w:rsidRPr="000C2967" w:rsidRDefault="003A695F" w:rsidP="00E13989">
      <w:pPr>
        <w:spacing w:line="240" w:lineRule="auto"/>
        <w:jc w:val="both"/>
        <w:rPr>
          <w:rFonts w:ascii="Times New Roman" w:hAnsi="Times New Roman" w:cs="Times New Roman"/>
          <w:b/>
          <w:bCs/>
        </w:rPr>
      </w:pPr>
      <w:r w:rsidRPr="000C2967">
        <w:rPr>
          <w:rFonts w:ascii="Times New Roman" w:hAnsi="Times New Roman" w:cs="Times New Roman"/>
          <w:b/>
          <w:bCs/>
        </w:rPr>
        <w:t>Sampling Technique</w:t>
      </w:r>
    </w:p>
    <w:p w14:paraId="73DF56B8"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The data gathered from the survey questionnaires were analyzed using descriptive and inferential statistical methods to ensure accurate interpretation of the findings.</w:t>
      </w:r>
    </w:p>
    <w:p w14:paraId="5A0EC01C"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lastRenderedPageBreak/>
        <w:t>Descriptive statistics, including frequency counts, percentages, means, and standard deviations, were used to summarize the demographic profile of respondents by age, years of professional experience, and practice setting (community pharmacy and RHU/CHO). These statistical tools were also used to describe the level of knowledge regarding the benefits and risks of micronutrient use, as well as pharmacists' counseling practices, including clinical decision-making and patient counseling.</w:t>
      </w:r>
    </w:p>
    <w:p w14:paraId="02ECE856"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For inferential analysis, differences in knowledge and counseling practices across demographic variables (age, years of professional experience, and practice setting) were examined using appropriate statistical tests. One-way Analysis of Variance (ANOVA) was used to determine significant differences among groups. When assumptions of normality or homogeneity of variance were violated, the non-parametric alternative, the Kruskal–Wallis test, was applied. Post hoc tests, such as Tukey's Honest Significant Difference (HSD) and Dunn's test, were conducted to identify specific group differences when significant results were obtained.</w:t>
      </w:r>
    </w:p>
    <w:p w14:paraId="2350A837" w14:textId="26F2263F" w:rsidR="003A695F" w:rsidRPr="000C2967"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All statistical analyses were conducted to ensure objectivity and rigor in data interpretation, thereby providing a sound basis for assessing pharmacists' knowledge and counseling practices regarding micronu</w:t>
      </w:r>
      <w:r>
        <w:rPr>
          <w:rFonts w:ascii="Times New Roman" w:hAnsi="Times New Roman" w:cs="Times New Roman"/>
        </w:rPr>
        <w:t>trient use during pregnancy</w:t>
      </w:r>
      <w:r w:rsidR="003A695F" w:rsidRPr="000C2967">
        <w:rPr>
          <w:rFonts w:ascii="Times New Roman" w:hAnsi="Times New Roman" w:cs="Times New Roman"/>
        </w:rPr>
        <w:t>.</w:t>
      </w:r>
    </w:p>
    <w:p w14:paraId="6851FD80" w14:textId="77777777" w:rsidR="003A695F" w:rsidRPr="000C2967" w:rsidRDefault="003A695F" w:rsidP="000C2967">
      <w:pPr>
        <w:spacing w:line="240" w:lineRule="auto"/>
        <w:jc w:val="both"/>
        <w:rPr>
          <w:rFonts w:ascii="Times New Roman" w:hAnsi="Times New Roman" w:cs="Times New Roman"/>
          <w:b/>
          <w:bCs/>
        </w:rPr>
      </w:pPr>
      <w:r w:rsidRPr="000C2967">
        <w:rPr>
          <w:rFonts w:ascii="Times New Roman" w:hAnsi="Times New Roman" w:cs="Times New Roman"/>
          <w:b/>
          <w:bCs/>
        </w:rPr>
        <w:t>Research Instrument</w:t>
      </w:r>
    </w:p>
    <w:p w14:paraId="7087DD60"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A three-part self-made and validated survey questionnaire was used in this study. Part I consisted of five (5) items designed to collect the respondents' demographic profile, including age, years of professional experience, and practice setting.</w:t>
      </w:r>
    </w:p>
    <w:p w14:paraId="2744AB41"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Part II comprised twenty (20) items that assessed the respondents' level of knowledge regarding the benefits and risks of micronutrient use during pregnancy. This section assessed pharmacists' understanding of the topic.</w:t>
      </w:r>
    </w:p>
    <w:p w14:paraId="106AAE5D"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Part III consisted of ten (10) items divided into two domains: clinical decision-making and evidence-based consultation practices, and patient counseling practices on the risks and benefits of micronutrient use. This section assessed the respondents' counseling practice.</w:t>
      </w:r>
    </w:p>
    <w:p w14:paraId="67AFDFC7"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The questionnaire utilized dichotomous scoring for Part II and a Likert scale for Part III to quantify respondents' knowledge and counseling practices. The instrument was designed to generate quantitative data aligned with the study's objectives.</w:t>
      </w:r>
    </w:p>
    <w:p w14:paraId="6D8220D5" w14:textId="59D7D493" w:rsidR="003A695F"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To ensure validity and reliability, the questionnaire was developed based on established principles of instrument construction. Content validation was conducted by two (2) registered pharmacists and one (1) registered midwife. Their suggestions and recommendations were incorporated in the revision and finalization of the instr</w:t>
      </w:r>
      <w:r>
        <w:rPr>
          <w:rFonts w:ascii="Times New Roman" w:hAnsi="Times New Roman" w:cs="Times New Roman"/>
        </w:rPr>
        <w:t>ument before its administration</w:t>
      </w:r>
      <w:r w:rsidR="003A695F" w:rsidRPr="000C2967">
        <w:rPr>
          <w:rFonts w:ascii="Times New Roman" w:hAnsi="Times New Roman" w:cs="Times New Roman"/>
        </w:rPr>
        <w:t>.</w:t>
      </w:r>
    </w:p>
    <w:p w14:paraId="41BBB9BE" w14:textId="77777777" w:rsidR="003A695F" w:rsidRPr="000C2967" w:rsidRDefault="003A695F" w:rsidP="000C2967">
      <w:pPr>
        <w:spacing w:line="240" w:lineRule="auto"/>
        <w:jc w:val="both"/>
        <w:rPr>
          <w:rFonts w:ascii="Times New Roman" w:hAnsi="Times New Roman" w:cs="Times New Roman"/>
        </w:rPr>
      </w:pPr>
      <w:r w:rsidRPr="000C2967">
        <w:rPr>
          <w:rFonts w:ascii="Times New Roman" w:hAnsi="Times New Roman" w:cs="Times New Roman"/>
          <w:b/>
          <w:bCs/>
        </w:rPr>
        <w:t>Research Procedures</w:t>
      </w:r>
    </w:p>
    <w:p w14:paraId="562DBCC4" w14:textId="5D875E67" w:rsidR="003A695F" w:rsidRPr="00F01F70" w:rsidRDefault="003A695F" w:rsidP="000C2967">
      <w:pPr>
        <w:spacing w:line="240" w:lineRule="auto"/>
        <w:ind w:firstLine="720"/>
        <w:jc w:val="both"/>
        <w:rPr>
          <w:rFonts w:ascii="Times New Roman" w:hAnsi="Times New Roman" w:cs="Times New Roman"/>
          <w:color w:val="000000" w:themeColor="text1"/>
        </w:rPr>
      </w:pPr>
      <w:r w:rsidRPr="00F01F70">
        <w:rPr>
          <w:rFonts w:ascii="Times New Roman" w:hAnsi="Times New Roman" w:cs="Times New Roman"/>
          <w:color w:val="000000" w:themeColor="text1"/>
        </w:rPr>
        <w:t>The study began with the preparation and validation of the survey questionnaire. The instrument was reviewed by experts in pharmacy</w:t>
      </w:r>
      <w:r w:rsidR="00F01F70" w:rsidRPr="00F01F70">
        <w:rPr>
          <w:rFonts w:ascii="Times New Roman" w:hAnsi="Times New Roman" w:cs="Times New Roman"/>
          <w:color w:val="000000" w:themeColor="text1"/>
        </w:rPr>
        <w:t xml:space="preserve"> and midwifery</w:t>
      </w:r>
      <w:r w:rsidRPr="00F01F70">
        <w:rPr>
          <w:rFonts w:ascii="Times New Roman" w:hAnsi="Times New Roman" w:cs="Times New Roman"/>
          <w:color w:val="000000" w:themeColor="text1"/>
        </w:rPr>
        <w:t xml:space="preserve"> and research methodology to ensure clarity, relevance, and reliability. After validation, formal permissions were obtained from the loca</w:t>
      </w:r>
      <w:r w:rsidR="00F01F70" w:rsidRPr="00F01F70">
        <w:rPr>
          <w:rFonts w:ascii="Times New Roman" w:hAnsi="Times New Roman" w:cs="Times New Roman"/>
          <w:color w:val="000000" w:themeColor="text1"/>
        </w:rPr>
        <w:t xml:space="preserve">l government of Koronadal City and different Municipalities of </w:t>
      </w:r>
      <w:r w:rsidRPr="00F01F70">
        <w:rPr>
          <w:rFonts w:ascii="Times New Roman" w:hAnsi="Times New Roman" w:cs="Times New Roman"/>
          <w:color w:val="000000" w:themeColor="text1"/>
        </w:rPr>
        <w:t>South Cotabato, and from the management of participating pharmacies. Consent letters were provided to inform them about the purpose, procedures, and ethical considerations of the study, ensuring transparency and compliance with ethical research standards.</w:t>
      </w:r>
    </w:p>
    <w:p w14:paraId="72642813" w14:textId="696160BA" w:rsidR="003A695F" w:rsidRPr="00F01F70" w:rsidRDefault="003A695F" w:rsidP="00F01F70">
      <w:pPr>
        <w:spacing w:line="240" w:lineRule="auto"/>
        <w:ind w:firstLine="720"/>
        <w:jc w:val="both"/>
        <w:rPr>
          <w:rFonts w:ascii="Times New Roman" w:hAnsi="Times New Roman" w:cs="Times New Roman"/>
          <w:color w:val="000000" w:themeColor="text1"/>
        </w:rPr>
      </w:pPr>
      <w:r w:rsidRPr="00F01F70">
        <w:rPr>
          <w:rFonts w:ascii="Times New Roman" w:hAnsi="Times New Roman" w:cs="Times New Roman"/>
          <w:color w:val="000000" w:themeColor="text1"/>
        </w:rPr>
        <w:t>Data collection was conducted through on-site visits to selected pharmacies within Koronadal City. The researchers personally distributed and retrieved the instruments to ensure completeness and to clarify any items that may have been misunderstood. Adequate time was provided to allow respondents to answer without disrupting normal pharmacy operations.</w:t>
      </w:r>
      <w:r w:rsidR="00F01F70" w:rsidRPr="00F01F70">
        <w:rPr>
          <w:rFonts w:ascii="Times New Roman" w:hAnsi="Times New Roman" w:cs="Times New Roman"/>
          <w:color w:val="000000" w:themeColor="text1"/>
        </w:rPr>
        <w:t xml:space="preserve"> </w:t>
      </w:r>
      <w:r w:rsidRPr="00F01F70">
        <w:rPr>
          <w:rFonts w:ascii="Times New Roman" w:hAnsi="Times New Roman" w:cs="Times New Roman"/>
          <w:color w:val="000000" w:themeColor="text1"/>
        </w:rPr>
        <w:t xml:space="preserve">After data collection, the completed questionnaires were organized, coded, and analyzed using appropriate descriptive statistical tools. Responses from Likert-scale items were summarized using mean and standard deviation. These statistical measures were used to describe the levels of knowledge, attitudes, and practices of community pharmacists regarding </w:t>
      </w:r>
      <w:r w:rsidR="00F01F70" w:rsidRPr="00F01F70">
        <w:rPr>
          <w:rFonts w:ascii="Times New Roman" w:hAnsi="Times New Roman" w:cs="Times New Roman"/>
          <w:color w:val="000000" w:themeColor="text1"/>
        </w:rPr>
        <w:t>micronutrient use among first- and second-trimester pregnant women</w:t>
      </w:r>
      <w:r w:rsidRPr="00F01F70">
        <w:rPr>
          <w:rFonts w:ascii="Times New Roman" w:hAnsi="Times New Roman" w:cs="Times New Roman"/>
          <w:color w:val="000000" w:themeColor="text1"/>
        </w:rPr>
        <w:t>, serving as a basis for interpretation, conclusions, and recommendations</w:t>
      </w:r>
    </w:p>
    <w:p w14:paraId="3335E691" w14:textId="77777777" w:rsidR="001A343B" w:rsidRDefault="001A343B" w:rsidP="000C2967">
      <w:pPr>
        <w:spacing w:line="240" w:lineRule="auto"/>
        <w:jc w:val="both"/>
        <w:rPr>
          <w:rFonts w:ascii="Times New Roman" w:hAnsi="Times New Roman" w:cs="Times New Roman"/>
          <w:b/>
          <w:bCs/>
        </w:rPr>
      </w:pPr>
    </w:p>
    <w:p w14:paraId="07625DF6" w14:textId="1F38DFDB" w:rsidR="003A695F" w:rsidRPr="000C2967" w:rsidRDefault="00E13989" w:rsidP="000C2967">
      <w:pPr>
        <w:spacing w:line="240" w:lineRule="auto"/>
        <w:jc w:val="both"/>
        <w:rPr>
          <w:rFonts w:ascii="Times New Roman" w:hAnsi="Times New Roman" w:cs="Times New Roman"/>
          <w:b/>
          <w:bCs/>
        </w:rPr>
      </w:pPr>
      <w:r>
        <w:rPr>
          <w:rFonts w:ascii="Times New Roman" w:hAnsi="Times New Roman" w:cs="Times New Roman"/>
          <w:b/>
          <w:bCs/>
        </w:rPr>
        <w:lastRenderedPageBreak/>
        <w:t>Scoring and Quantification</w:t>
      </w:r>
    </w:p>
    <w:p w14:paraId="674732C9"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To describe the study's various dimensions, the researcher employed dichotomous scoring for Part II of the questionnaire, which assessed knowledge in a test format with each item having one correct answer (correct = 1 point; incorrect = 0 points). In Part III of the questionnaire, a 4-point Likert scale was used.</w:t>
      </w:r>
    </w:p>
    <w:p w14:paraId="317425F8" w14:textId="77777777" w:rsidR="00E13989" w:rsidRPr="00E13989" w:rsidRDefault="00E13989" w:rsidP="00E13989">
      <w:pPr>
        <w:spacing w:line="240" w:lineRule="auto"/>
        <w:ind w:firstLine="720"/>
        <w:jc w:val="both"/>
        <w:rPr>
          <w:rFonts w:ascii="Times New Roman" w:hAnsi="Times New Roman" w:cs="Times New Roman"/>
        </w:rPr>
      </w:pPr>
      <w:r w:rsidRPr="00E13989">
        <w:rPr>
          <w:rFonts w:ascii="Times New Roman" w:hAnsi="Times New Roman" w:cs="Times New Roman"/>
        </w:rPr>
        <w:t>This scale was used to measure respondents' counseling practices, including their attitudes, perceptions, and behaviors regarding counseling practices of public health and community pharmacists on micronutrient use among first- and second-trimester pregnant women. The 4-point Likert scale included four response options: 1 – Never, 2 – Rarely, 3 – Often, and 4 – Always. This format encouraged respondents to express a clear position without a neutral option, thereby reducing indecisiveness and promoting more definitive responses.</w:t>
      </w:r>
    </w:p>
    <w:p w14:paraId="2EB9E436" w14:textId="09661E8D" w:rsidR="000C2967" w:rsidRPr="000C2967" w:rsidRDefault="00E13989" w:rsidP="00B30C01">
      <w:pPr>
        <w:spacing w:line="240" w:lineRule="auto"/>
        <w:ind w:firstLine="720"/>
        <w:jc w:val="both"/>
        <w:rPr>
          <w:rFonts w:ascii="Times New Roman" w:hAnsi="Times New Roman" w:cs="Times New Roman"/>
        </w:rPr>
      </w:pPr>
      <w:r w:rsidRPr="00E13989">
        <w:rPr>
          <w:rFonts w:ascii="Times New Roman" w:hAnsi="Times New Roman" w:cs="Times New Roman"/>
        </w:rPr>
        <w:t>The use of dichotomous scoring and a 4-point Likert scale was appropriate for this study as it allowed the quantification of both knowledge and counseling practices. These scoring methods yielded clearer, more objective data on pharmacists' knowledge and practices regarding micronutri</w:t>
      </w:r>
      <w:r>
        <w:rPr>
          <w:rFonts w:ascii="Times New Roman" w:hAnsi="Times New Roman" w:cs="Times New Roman"/>
        </w:rPr>
        <w:t>ent counseling during pregnancy</w:t>
      </w:r>
    </w:p>
    <w:p w14:paraId="35DB10D5" w14:textId="77777777" w:rsidR="001A343B" w:rsidRDefault="001A343B" w:rsidP="000C2967">
      <w:pPr>
        <w:pStyle w:val="Heading1"/>
        <w:spacing w:before="120" w:after="120" w:line="240" w:lineRule="auto"/>
        <w:jc w:val="both"/>
        <w:rPr>
          <w:rFonts w:ascii="Times New Roman" w:hAnsi="Times New Roman" w:cs="Times New Roman"/>
          <w:b/>
          <w:bCs/>
          <w:color w:val="auto"/>
          <w:sz w:val="24"/>
          <w:szCs w:val="24"/>
        </w:rPr>
      </w:pPr>
    </w:p>
    <w:p w14:paraId="2D532854" w14:textId="4505484B" w:rsidR="002250F3" w:rsidRPr="000C2967" w:rsidRDefault="001338F7" w:rsidP="000C2967">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RESULTS AND DISCUSSION</w:t>
      </w:r>
    </w:p>
    <w:p w14:paraId="336D9C53" w14:textId="2AAD6FA5" w:rsidR="008710EC" w:rsidRPr="008710EC" w:rsidRDefault="008710EC" w:rsidP="008710EC">
      <w:pPr>
        <w:spacing w:line="240" w:lineRule="auto"/>
        <w:jc w:val="both"/>
        <w:rPr>
          <w:rFonts w:ascii="Times New Roman" w:hAnsi="Times New Roman" w:cs="Times New Roman"/>
          <w:b/>
          <w:bCs/>
          <w:lang w:val="en-PH"/>
        </w:rPr>
      </w:pPr>
      <w:r w:rsidRPr="008710EC">
        <w:rPr>
          <w:rFonts w:ascii="Times New Roman" w:hAnsi="Times New Roman" w:cs="Times New Roman"/>
          <w:b/>
          <w:bCs/>
          <w:lang w:val="en-PH"/>
        </w:rPr>
        <w:t>Table 1. </w:t>
      </w:r>
      <w:r w:rsidRPr="008710EC">
        <w:rPr>
          <w:rFonts w:ascii="Times New Roman" w:hAnsi="Times New Roman" w:cs="Times New Roman"/>
          <w:b/>
          <w:bCs/>
          <w:i/>
          <w:iCs/>
          <w:lang w:val="en-PH"/>
        </w:rPr>
        <w:t>Profile of Respondents in terms of Age </w:t>
      </w:r>
    </w:p>
    <w:tbl>
      <w:tblPr>
        <w:tblW w:w="0" w:type="auto"/>
        <w:tblCellMar>
          <w:top w:w="15" w:type="dxa"/>
          <w:left w:w="15" w:type="dxa"/>
          <w:bottom w:w="15" w:type="dxa"/>
          <w:right w:w="15" w:type="dxa"/>
        </w:tblCellMar>
        <w:tblLook w:val="04A0" w:firstRow="1" w:lastRow="0" w:firstColumn="1" w:lastColumn="0" w:noHBand="0" w:noVBand="1"/>
      </w:tblPr>
      <w:tblGrid>
        <w:gridCol w:w="2393"/>
        <w:gridCol w:w="186"/>
        <w:gridCol w:w="1078"/>
        <w:gridCol w:w="371"/>
        <w:gridCol w:w="1142"/>
      </w:tblGrid>
      <w:tr w:rsidR="008710EC" w:rsidRPr="008710EC" w14:paraId="7140474F" w14:textId="77777777" w:rsidTr="008710EC">
        <w:trPr>
          <w:trHeight w:val="390"/>
        </w:trPr>
        <w:tc>
          <w:tcPr>
            <w:tcW w:w="0" w:type="auto"/>
            <w:gridSpan w:val="2"/>
            <w:tcBorders>
              <w:top w:val="single" w:sz="8" w:space="0" w:color="000000"/>
              <w:bottom w:val="single" w:sz="8" w:space="0" w:color="000000"/>
            </w:tcBorders>
            <w:tcMar>
              <w:top w:w="40" w:type="dxa"/>
              <w:left w:w="180" w:type="dxa"/>
              <w:bottom w:w="40" w:type="dxa"/>
              <w:right w:w="180" w:type="dxa"/>
            </w:tcMar>
            <w:hideMark/>
          </w:tcPr>
          <w:p w14:paraId="0F12EF40" w14:textId="77777777" w:rsidR="008710EC" w:rsidRPr="008710EC" w:rsidRDefault="008710EC" w:rsidP="008710EC">
            <w:pPr>
              <w:spacing w:line="240" w:lineRule="auto"/>
              <w:jc w:val="both"/>
              <w:rPr>
                <w:rFonts w:ascii="Times New Roman" w:hAnsi="Times New Roman" w:cs="Times New Roman"/>
                <w:b/>
                <w:bCs/>
                <w:lang w:val="en-PH"/>
              </w:rPr>
            </w:pPr>
            <w:r w:rsidRPr="008710EC">
              <w:rPr>
                <w:rFonts w:ascii="Times New Roman" w:hAnsi="Times New Roman" w:cs="Times New Roman"/>
                <w:b/>
                <w:bCs/>
                <w:lang w:val="en-PH"/>
              </w:rPr>
              <w:t>Age</w:t>
            </w:r>
          </w:p>
        </w:tc>
        <w:tc>
          <w:tcPr>
            <w:tcW w:w="0" w:type="auto"/>
            <w:gridSpan w:val="2"/>
            <w:tcBorders>
              <w:top w:val="single" w:sz="8" w:space="0" w:color="000000"/>
              <w:bottom w:val="single" w:sz="8" w:space="0" w:color="000000"/>
            </w:tcBorders>
            <w:tcMar>
              <w:top w:w="40" w:type="dxa"/>
              <w:left w:w="180" w:type="dxa"/>
              <w:bottom w:w="40" w:type="dxa"/>
              <w:right w:w="180" w:type="dxa"/>
            </w:tcMar>
            <w:hideMark/>
          </w:tcPr>
          <w:p w14:paraId="64712E95" w14:textId="77777777" w:rsidR="008710EC" w:rsidRPr="008710EC" w:rsidRDefault="008710EC" w:rsidP="008710EC">
            <w:pPr>
              <w:spacing w:line="240" w:lineRule="auto"/>
              <w:jc w:val="both"/>
              <w:rPr>
                <w:rFonts w:ascii="Times New Roman" w:hAnsi="Times New Roman" w:cs="Times New Roman"/>
                <w:b/>
                <w:bCs/>
                <w:lang w:val="en-PH"/>
              </w:rPr>
            </w:pPr>
            <w:r w:rsidRPr="008710EC">
              <w:rPr>
                <w:rFonts w:ascii="Times New Roman" w:hAnsi="Times New Roman" w:cs="Times New Roman"/>
                <w:b/>
                <w:bCs/>
                <w:lang w:val="en-PH"/>
              </w:rPr>
              <w:t>Frequency</w:t>
            </w:r>
          </w:p>
        </w:tc>
        <w:tc>
          <w:tcPr>
            <w:tcW w:w="0" w:type="auto"/>
            <w:tcBorders>
              <w:top w:val="single" w:sz="8" w:space="0" w:color="000000"/>
              <w:bottom w:val="single" w:sz="8" w:space="0" w:color="000000"/>
            </w:tcBorders>
            <w:tcMar>
              <w:top w:w="40" w:type="dxa"/>
              <w:left w:w="180" w:type="dxa"/>
              <w:bottom w:w="40" w:type="dxa"/>
              <w:right w:w="180" w:type="dxa"/>
            </w:tcMar>
            <w:hideMark/>
          </w:tcPr>
          <w:p w14:paraId="6514FD24" w14:textId="77777777" w:rsidR="008710EC" w:rsidRPr="008710EC" w:rsidRDefault="008710EC" w:rsidP="008710EC">
            <w:pPr>
              <w:spacing w:line="240" w:lineRule="auto"/>
              <w:jc w:val="both"/>
              <w:rPr>
                <w:rFonts w:ascii="Times New Roman" w:hAnsi="Times New Roman" w:cs="Times New Roman"/>
                <w:b/>
                <w:bCs/>
                <w:lang w:val="en-PH"/>
              </w:rPr>
            </w:pPr>
            <w:r w:rsidRPr="008710EC">
              <w:rPr>
                <w:rFonts w:ascii="Times New Roman" w:hAnsi="Times New Roman" w:cs="Times New Roman"/>
                <w:b/>
                <w:bCs/>
                <w:lang w:val="en-PH"/>
              </w:rPr>
              <w:t>Percent</w:t>
            </w:r>
          </w:p>
        </w:tc>
      </w:tr>
      <w:tr w:rsidR="008710EC" w:rsidRPr="008710EC" w14:paraId="56371627" w14:textId="77777777" w:rsidTr="008710EC">
        <w:trPr>
          <w:trHeight w:val="465"/>
        </w:trPr>
        <w:tc>
          <w:tcPr>
            <w:tcW w:w="0" w:type="auto"/>
            <w:tcBorders>
              <w:top w:val="single" w:sz="8" w:space="0" w:color="000000"/>
            </w:tcBorders>
            <w:tcMar>
              <w:top w:w="160" w:type="dxa"/>
              <w:left w:w="180" w:type="dxa"/>
              <w:bottom w:w="20" w:type="dxa"/>
              <w:right w:w="0" w:type="dxa"/>
            </w:tcMar>
            <w:hideMark/>
          </w:tcPr>
          <w:p w14:paraId="49FC9DDB"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20-29 years old</w:t>
            </w:r>
          </w:p>
        </w:tc>
        <w:tc>
          <w:tcPr>
            <w:tcW w:w="0" w:type="auto"/>
            <w:tcBorders>
              <w:top w:val="single" w:sz="8" w:space="0" w:color="000000"/>
            </w:tcBorders>
            <w:tcMar>
              <w:top w:w="160" w:type="dxa"/>
              <w:left w:w="0" w:type="dxa"/>
              <w:bottom w:w="20" w:type="dxa"/>
              <w:right w:w="180" w:type="dxa"/>
            </w:tcMar>
            <w:hideMark/>
          </w:tcPr>
          <w:p w14:paraId="7B40B3A5"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Borders>
              <w:top w:val="single" w:sz="8" w:space="0" w:color="000000"/>
            </w:tcBorders>
            <w:tcMar>
              <w:top w:w="160" w:type="dxa"/>
              <w:left w:w="180" w:type="dxa"/>
              <w:bottom w:w="20" w:type="dxa"/>
              <w:right w:w="0" w:type="dxa"/>
            </w:tcMar>
            <w:hideMark/>
          </w:tcPr>
          <w:p w14:paraId="7C38C004"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75</w:t>
            </w:r>
          </w:p>
        </w:tc>
        <w:tc>
          <w:tcPr>
            <w:tcW w:w="0" w:type="auto"/>
            <w:tcBorders>
              <w:top w:val="single" w:sz="8" w:space="0" w:color="000000"/>
            </w:tcBorders>
            <w:tcMar>
              <w:top w:w="160" w:type="dxa"/>
              <w:left w:w="0" w:type="dxa"/>
              <w:bottom w:w="20" w:type="dxa"/>
              <w:right w:w="180" w:type="dxa"/>
            </w:tcMar>
            <w:hideMark/>
          </w:tcPr>
          <w:p w14:paraId="282B5C0E"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Borders>
              <w:top w:val="single" w:sz="8" w:space="0" w:color="000000"/>
            </w:tcBorders>
            <w:tcMar>
              <w:top w:w="160" w:type="dxa"/>
              <w:left w:w="180" w:type="dxa"/>
              <w:bottom w:w="20" w:type="dxa"/>
              <w:right w:w="0" w:type="dxa"/>
            </w:tcMar>
            <w:hideMark/>
          </w:tcPr>
          <w:p w14:paraId="22774FA4"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72.8</w:t>
            </w:r>
          </w:p>
        </w:tc>
      </w:tr>
      <w:tr w:rsidR="008710EC" w:rsidRPr="008710EC" w14:paraId="0D4EB794" w14:textId="77777777" w:rsidTr="008710EC">
        <w:trPr>
          <w:trHeight w:val="315"/>
        </w:trPr>
        <w:tc>
          <w:tcPr>
            <w:tcW w:w="0" w:type="auto"/>
            <w:tcMar>
              <w:top w:w="20" w:type="dxa"/>
              <w:left w:w="180" w:type="dxa"/>
              <w:bottom w:w="20" w:type="dxa"/>
              <w:right w:w="0" w:type="dxa"/>
            </w:tcMar>
            <w:hideMark/>
          </w:tcPr>
          <w:p w14:paraId="1A59AC43"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30-39 years old</w:t>
            </w:r>
          </w:p>
        </w:tc>
        <w:tc>
          <w:tcPr>
            <w:tcW w:w="0" w:type="auto"/>
            <w:tcMar>
              <w:top w:w="20" w:type="dxa"/>
              <w:left w:w="0" w:type="dxa"/>
              <w:bottom w:w="20" w:type="dxa"/>
              <w:right w:w="180" w:type="dxa"/>
            </w:tcMar>
            <w:hideMark/>
          </w:tcPr>
          <w:p w14:paraId="7D3254DC"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0EEE89EA"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14</w:t>
            </w:r>
          </w:p>
        </w:tc>
        <w:tc>
          <w:tcPr>
            <w:tcW w:w="0" w:type="auto"/>
            <w:tcMar>
              <w:top w:w="20" w:type="dxa"/>
              <w:left w:w="0" w:type="dxa"/>
              <w:bottom w:w="20" w:type="dxa"/>
              <w:right w:w="180" w:type="dxa"/>
            </w:tcMar>
            <w:hideMark/>
          </w:tcPr>
          <w:p w14:paraId="702D9193"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1F369DC1"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13.6</w:t>
            </w:r>
          </w:p>
        </w:tc>
      </w:tr>
      <w:tr w:rsidR="008710EC" w:rsidRPr="008710EC" w14:paraId="74254DE1" w14:textId="77777777" w:rsidTr="008710EC">
        <w:trPr>
          <w:trHeight w:val="315"/>
        </w:trPr>
        <w:tc>
          <w:tcPr>
            <w:tcW w:w="0" w:type="auto"/>
            <w:tcMar>
              <w:top w:w="20" w:type="dxa"/>
              <w:left w:w="180" w:type="dxa"/>
              <w:bottom w:w="20" w:type="dxa"/>
              <w:right w:w="0" w:type="dxa"/>
            </w:tcMar>
            <w:hideMark/>
          </w:tcPr>
          <w:p w14:paraId="1FE560AA"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40-49 years old</w:t>
            </w:r>
          </w:p>
        </w:tc>
        <w:tc>
          <w:tcPr>
            <w:tcW w:w="0" w:type="auto"/>
            <w:tcMar>
              <w:top w:w="20" w:type="dxa"/>
              <w:left w:w="0" w:type="dxa"/>
              <w:bottom w:w="20" w:type="dxa"/>
              <w:right w:w="180" w:type="dxa"/>
            </w:tcMar>
            <w:hideMark/>
          </w:tcPr>
          <w:p w14:paraId="3DBA2091"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2880271B"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2</w:t>
            </w:r>
          </w:p>
        </w:tc>
        <w:tc>
          <w:tcPr>
            <w:tcW w:w="0" w:type="auto"/>
            <w:tcMar>
              <w:top w:w="20" w:type="dxa"/>
              <w:left w:w="0" w:type="dxa"/>
              <w:bottom w:w="20" w:type="dxa"/>
              <w:right w:w="180" w:type="dxa"/>
            </w:tcMar>
            <w:hideMark/>
          </w:tcPr>
          <w:p w14:paraId="5768F4C6"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70833215"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1.9</w:t>
            </w:r>
          </w:p>
        </w:tc>
      </w:tr>
      <w:tr w:rsidR="008710EC" w:rsidRPr="008710EC" w14:paraId="58E97A4E" w14:textId="77777777" w:rsidTr="008710EC">
        <w:trPr>
          <w:trHeight w:val="315"/>
        </w:trPr>
        <w:tc>
          <w:tcPr>
            <w:tcW w:w="0" w:type="auto"/>
            <w:tcMar>
              <w:top w:w="20" w:type="dxa"/>
              <w:left w:w="180" w:type="dxa"/>
              <w:bottom w:w="20" w:type="dxa"/>
              <w:right w:w="0" w:type="dxa"/>
            </w:tcMar>
            <w:hideMark/>
          </w:tcPr>
          <w:p w14:paraId="5629B37D"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50 years old and above</w:t>
            </w:r>
          </w:p>
        </w:tc>
        <w:tc>
          <w:tcPr>
            <w:tcW w:w="0" w:type="auto"/>
            <w:tcMar>
              <w:top w:w="20" w:type="dxa"/>
              <w:left w:w="0" w:type="dxa"/>
              <w:bottom w:w="20" w:type="dxa"/>
              <w:right w:w="180" w:type="dxa"/>
            </w:tcMar>
            <w:hideMark/>
          </w:tcPr>
          <w:p w14:paraId="18D79AE7"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225E5740"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12</w:t>
            </w:r>
          </w:p>
        </w:tc>
        <w:tc>
          <w:tcPr>
            <w:tcW w:w="0" w:type="auto"/>
            <w:tcMar>
              <w:top w:w="20" w:type="dxa"/>
              <w:left w:w="0" w:type="dxa"/>
              <w:bottom w:w="20" w:type="dxa"/>
              <w:right w:w="180" w:type="dxa"/>
            </w:tcMar>
            <w:hideMark/>
          </w:tcPr>
          <w:p w14:paraId="18460918"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Mar>
              <w:top w:w="20" w:type="dxa"/>
              <w:left w:w="180" w:type="dxa"/>
              <w:bottom w:w="20" w:type="dxa"/>
              <w:right w:w="0" w:type="dxa"/>
            </w:tcMar>
            <w:hideMark/>
          </w:tcPr>
          <w:p w14:paraId="51D7A533"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11.7</w:t>
            </w:r>
          </w:p>
        </w:tc>
      </w:tr>
      <w:tr w:rsidR="008710EC" w:rsidRPr="008710EC" w14:paraId="7AC6DEF9" w14:textId="77777777" w:rsidTr="008710EC">
        <w:trPr>
          <w:trHeight w:val="465"/>
        </w:trPr>
        <w:tc>
          <w:tcPr>
            <w:tcW w:w="0" w:type="auto"/>
            <w:tcBorders>
              <w:bottom w:val="single" w:sz="8" w:space="0" w:color="000000"/>
            </w:tcBorders>
            <w:tcMar>
              <w:top w:w="20" w:type="dxa"/>
              <w:left w:w="180" w:type="dxa"/>
              <w:bottom w:w="20" w:type="dxa"/>
              <w:right w:w="0" w:type="dxa"/>
            </w:tcMar>
            <w:hideMark/>
          </w:tcPr>
          <w:p w14:paraId="1005E7F1"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Total</w:t>
            </w:r>
          </w:p>
        </w:tc>
        <w:tc>
          <w:tcPr>
            <w:tcW w:w="0" w:type="auto"/>
            <w:tcBorders>
              <w:bottom w:val="single" w:sz="8" w:space="0" w:color="000000"/>
            </w:tcBorders>
            <w:tcMar>
              <w:top w:w="20" w:type="dxa"/>
              <w:left w:w="0" w:type="dxa"/>
              <w:bottom w:w="20" w:type="dxa"/>
              <w:right w:w="180" w:type="dxa"/>
            </w:tcMar>
            <w:hideMark/>
          </w:tcPr>
          <w:p w14:paraId="4D9FC7B7"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Borders>
              <w:bottom w:val="single" w:sz="8" w:space="0" w:color="000000"/>
            </w:tcBorders>
            <w:tcMar>
              <w:top w:w="20" w:type="dxa"/>
              <w:left w:w="180" w:type="dxa"/>
              <w:bottom w:w="20" w:type="dxa"/>
              <w:right w:w="0" w:type="dxa"/>
            </w:tcMar>
            <w:hideMark/>
          </w:tcPr>
          <w:p w14:paraId="05BD960B"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103</w:t>
            </w:r>
          </w:p>
        </w:tc>
        <w:tc>
          <w:tcPr>
            <w:tcW w:w="0" w:type="auto"/>
            <w:tcBorders>
              <w:bottom w:val="single" w:sz="8" w:space="0" w:color="000000"/>
            </w:tcBorders>
            <w:tcMar>
              <w:top w:w="20" w:type="dxa"/>
              <w:left w:w="0" w:type="dxa"/>
              <w:bottom w:w="20" w:type="dxa"/>
              <w:right w:w="180" w:type="dxa"/>
            </w:tcMar>
            <w:hideMark/>
          </w:tcPr>
          <w:p w14:paraId="5531E050" w14:textId="77777777" w:rsidR="008710EC" w:rsidRPr="008710EC" w:rsidRDefault="008710EC" w:rsidP="008710EC">
            <w:pPr>
              <w:spacing w:line="240" w:lineRule="auto"/>
              <w:jc w:val="both"/>
              <w:rPr>
                <w:rFonts w:ascii="Times New Roman" w:hAnsi="Times New Roman" w:cs="Times New Roman"/>
                <w:bCs/>
                <w:lang w:val="en-PH"/>
              </w:rPr>
            </w:pPr>
          </w:p>
        </w:tc>
        <w:tc>
          <w:tcPr>
            <w:tcW w:w="0" w:type="auto"/>
            <w:tcBorders>
              <w:bottom w:val="single" w:sz="8" w:space="0" w:color="000000"/>
            </w:tcBorders>
            <w:tcMar>
              <w:top w:w="20" w:type="dxa"/>
              <w:left w:w="180" w:type="dxa"/>
              <w:bottom w:w="20" w:type="dxa"/>
              <w:right w:w="0" w:type="dxa"/>
            </w:tcMar>
            <w:hideMark/>
          </w:tcPr>
          <w:p w14:paraId="75773F5E" w14:textId="77777777" w:rsidR="008710EC" w:rsidRPr="008710EC" w:rsidRDefault="008710EC" w:rsidP="008710EC">
            <w:pPr>
              <w:spacing w:line="240" w:lineRule="auto"/>
              <w:jc w:val="both"/>
              <w:rPr>
                <w:rFonts w:ascii="Times New Roman" w:hAnsi="Times New Roman" w:cs="Times New Roman"/>
                <w:bCs/>
                <w:lang w:val="en-PH"/>
              </w:rPr>
            </w:pPr>
            <w:r w:rsidRPr="008710EC">
              <w:rPr>
                <w:rFonts w:ascii="Times New Roman" w:hAnsi="Times New Roman" w:cs="Times New Roman"/>
                <w:bCs/>
                <w:lang w:val="en-PH"/>
              </w:rPr>
              <w:t>100.0</w:t>
            </w:r>
          </w:p>
        </w:tc>
      </w:tr>
    </w:tbl>
    <w:p w14:paraId="635F09DF" w14:textId="77777777" w:rsidR="008710EC" w:rsidRDefault="008710EC" w:rsidP="000C2967">
      <w:pPr>
        <w:spacing w:line="240" w:lineRule="auto"/>
        <w:jc w:val="both"/>
        <w:rPr>
          <w:rFonts w:ascii="Times New Roman" w:hAnsi="Times New Roman" w:cs="Times New Roman"/>
          <w:b/>
          <w:bCs/>
        </w:rPr>
      </w:pPr>
    </w:p>
    <w:p w14:paraId="638E9C95" w14:textId="77777777" w:rsidR="008710EC" w:rsidRPr="008710EC" w:rsidRDefault="008710EC" w:rsidP="008710EC">
      <w:pPr>
        <w:spacing w:line="240" w:lineRule="auto"/>
        <w:ind w:firstLine="720"/>
        <w:jc w:val="both"/>
        <w:rPr>
          <w:rFonts w:ascii="Times New Roman" w:hAnsi="Times New Roman" w:cs="Times New Roman"/>
        </w:rPr>
      </w:pPr>
      <w:r w:rsidRPr="008710EC">
        <w:rPr>
          <w:rFonts w:ascii="Times New Roman" w:hAnsi="Times New Roman" w:cs="Times New Roman"/>
        </w:rPr>
        <w:t>The results in Table 1 shows that the majority of respondents belong to the 20–29 years old age group (72.8%), followed by those aged 30–39 years (13.6%) and 50 years old and above (11.7%), while only a small proportion belongs to the 40–49 years old group (1.9%). This indicates that most respondents are relatively young and are likely in the early stages of their professional careers.</w:t>
      </w:r>
    </w:p>
    <w:p w14:paraId="7119F278" w14:textId="77777777" w:rsidR="008710EC" w:rsidRPr="008710EC" w:rsidRDefault="008710EC" w:rsidP="008710EC">
      <w:pPr>
        <w:spacing w:line="240" w:lineRule="auto"/>
        <w:ind w:firstLine="720"/>
        <w:jc w:val="both"/>
        <w:rPr>
          <w:rFonts w:ascii="Times New Roman" w:hAnsi="Times New Roman" w:cs="Times New Roman"/>
        </w:rPr>
      </w:pPr>
      <w:r w:rsidRPr="008710EC">
        <w:rPr>
          <w:rFonts w:ascii="Times New Roman" w:hAnsi="Times New Roman" w:cs="Times New Roman"/>
        </w:rPr>
        <w:t>The age distribution suggests that the study population is predominantly composed of younger professionals, with limited representation from older age groups, particularly those aged 40–49 years. This implies that most participants are at the beginning of their professional practice.</w:t>
      </w:r>
    </w:p>
    <w:p w14:paraId="564729E1" w14:textId="0B77C67B" w:rsidR="003A695F" w:rsidRPr="000C2967" w:rsidRDefault="008710EC" w:rsidP="008710EC">
      <w:pPr>
        <w:spacing w:line="240" w:lineRule="auto"/>
        <w:ind w:firstLine="720"/>
        <w:jc w:val="both"/>
        <w:rPr>
          <w:rFonts w:ascii="Times New Roman" w:hAnsi="Times New Roman" w:cs="Times New Roman"/>
        </w:rPr>
      </w:pPr>
      <w:r w:rsidRPr="008710EC">
        <w:rPr>
          <w:rFonts w:ascii="Times New Roman" w:hAnsi="Times New Roman" w:cs="Times New Roman"/>
        </w:rPr>
        <w:t>These findings are consistent with broader demographic trends in professional research, which show higher participation rates among younger adults, particularly those in their 20s and 30s. According to Wagner et al. (2018), younger professionals are more likely to participate in surveys due to higher digital literacy and greater familiarity with technology-based data collection methods. Similarly, Bosch et al. (2018) noted that younger individuals tend to engage more in computer-mediated communication, thereby facilitating their participation in research activities. Furthermore, the 20–29 age group represents a critical stage in workforce entry, when individuals are establishing their professional roles and responsibilities (Johnson &amp; Monserud, 2010). As such, the dominance of younger respondents in this study reflects the current composition of the healthcare workforce, where early-career professionals constitute a significant proportion (Fisher College of Business, 2018).</w:t>
      </w:r>
    </w:p>
    <w:p w14:paraId="29D87952" w14:textId="77777777" w:rsidR="008710EC" w:rsidRDefault="008710EC" w:rsidP="008710EC">
      <w:pPr>
        <w:spacing w:line="240" w:lineRule="auto"/>
        <w:jc w:val="both"/>
        <w:rPr>
          <w:rFonts w:ascii="Times New Roman" w:hAnsi="Times New Roman" w:cs="Times New Roman"/>
          <w:b/>
          <w:bCs/>
          <w:lang w:val="en-PH"/>
        </w:rPr>
      </w:pPr>
    </w:p>
    <w:p w14:paraId="12F07C52" w14:textId="77777777" w:rsidR="001A343B" w:rsidRDefault="001A343B" w:rsidP="008710EC">
      <w:pPr>
        <w:spacing w:line="240" w:lineRule="auto"/>
        <w:jc w:val="both"/>
        <w:rPr>
          <w:rFonts w:ascii="Times New Roman" w:hAnsi="Times New Roman" w:cs="Times New Roman"/>
          <w:b/>
          <w:bCs/>
          <w:lang w:val="en-PH"/>
        </w:rPr>
      </w:pPr>
    </w:p>
    <w:p w14:paraId="2EDE1854" w14:textId="77777777" w:rsidR="001A343B" w:rsidRDefault="001A343B" w:rsidP="008710EC">
      <w:pPr>
        <w:spacing w:line="240" w:lineRule="auto"/>
        <w:jc w:val="both"/>
        <w:rPr>
          <w:rFonts w:ascii="Times New Roman" w:hAnsi="Times New Roman" w:cs="Times New Roman"/>
          <w:b/>
          <w:bCs/>
          <w:lang w:val="en-PH"/>
        </w:rPr>
      </w:pPr>
    </w:p>
    <w:p w14:paraId="6409C8A8" w14:textId="5A3D378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bCs/>
          <w:lang w:val="en-PH"/>
        </w:rPr>
        <w:lastRenderedPageBreak/>
        <w:t>Table 2.</w:t>
      </w:r>
      <w:r>
        <w:rPr>
          <w:rFonts w:ascii="Times New Roman" w:hAnsi="Times New Roman" w:cs="Times New Roman"/>
          <w:lang w:val="en-PH"/>
        </w:rPr>
        <w:t xml:space="preserve"> </w:t>
      </w:r>
      <w:r w:rsidRPr="008710EC">
        <w:rPr>
          <w:rFonts w:ascii="Times New Roman" w:hAnsi="Times New Roman" w:cs="Times New Roman"/>
          <w:b/>
          <w:i/>
          <w:iCs/>
          <w:lang w:val="en-PH"/>
        </w:rPr>
        <w:t>Profile of the Respondents in terms of Years of Professional Experience</w:t>
      </w:r>
    </w:p>
    <w:tbl>
      <w:tblPr>
        <w:tblW w:w="0" w:type="auto"/>
        <w:tblCellMar>
          <w:top w:w="15" w:type="dxa"/>
          <w:left w:w="15" w:type="dxa"/>
          <w:bottom w:w="15" w:type="dxa"/>
          <w:right w:w="15" w:type="dxa"/>
        </w:tblCellMar>
        <w:tblLook w:val="04A0" w:firstRow="1" w:lastRow="0" w:firstColumn="1" w:lastColumn="0" w:noHBand="0" w:noVBand="1"/>
      </w:tblPr>
      <w:tblGrid>
        <w:gridCol w:w="3399"/>
        <w:gridCol w:w="310"/>
        <w:gridCol w:w="1078"/>
        <w:gridCol w:w="371"/>
        <w:gridCol w:w="908"/>
        <w:gridCol w:w="234"/>
      </w:tblGrid>
      <w:tr w:rsidR="008710EC" w:rsidRPr="008710EC" w14:paraId="1ABBB997" w14:textId="77777777" w:rsidTr="008710EC">
        <w:trPr>
          <w:trHeight w:val="390"/>
        </w:trPr>
        <w:tc>
          <w:tcPr>
            <w:tcW w:w="0" w:type="auto"/>
            <w:gridSpan w:val="2"/>
            <w:tcBorders>
              <w:top w:val="single" w:sz="8" w:space="0" w:color="000000"/>
              <w:bottom w:val="single" w:sz="8" w:space="0" w:color="000000"/>
            </w:tcBorders>
            <w:tcMar>
              <w:top w:w="40" w:type="dxa"/>
              <w:left w:w="180" w:type="dxa"/>
              <w:bottom w:w="40" w:type="dxa"/>
              <w:right w:w="180" w:type="dxa"/>
            </w:tcMar>
            <w:hideMark/>
          </w:tcPr>
          <w:p w14:paraId="6663CAD1"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Years of Professional Experience</w:t>
            </w:r>
          </w:p>
        </w:tc>
        <w:tc>
          <w:tcPr>
            <w:tcW w:w="0" w:type="auto"/>
            <w:gridSpan w:val="2"/>
            <w:tcBorders>
              <w:top w:val="single" w:sz="8" w:space="0" w:color="000000"/>
              <w:bottom w:val="single" w:sz="8" w:space="0" w:color="000000"/>
            </w:tcBorders>
            <w:tcMar>
              <w:top w:w="40" w:type="dxa"/>
              <w:left w:w="180" w:type="dxa"/>
              <w:bottom w:w="40" w:type="dxa"/>
              <w:right w:w="180" w:type="dxa"/>
            </w:tcMar>
            <w:hideMark/>
          </w:tcPr>
          <w:p w14:paraId="1D68A273"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Frequency</w:t>
            </w:r>
          </w:p>
        </w:tc>
        <w:tc>
          <w:tcPr>
            <w:tcW w:w="0" w:type="auto"/>
            <w:gridSpan w:val="2"/>
            <w:tcBorders>
              <w:top w:val="single" w:sz="8" w:space="0" w:color="000000"/>
              <w:bottom w:val="single" w:sz="8" w:space="0" w:color="000000"/>
            </w:tcBorders>
            <w:tcMar>
              <w:top w:w="40" w:type="dxa"/>
              <w:left w:w="180" w:type="dxa"/>
              <w:bottom w:w="40" w:type="dxa"/>
              <w:right w:w="180" w:type="dxa"/>
            </w:tcMar>
            <w:hideMark/>
          </w:tcPr>
          <w:p w14:paraId="522CC62E"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Percent</w:t>
            </w:r>
          </w:p>
        </w:tc>
      </w:tr>
      <w:tr w:rsidR="008710EC" w:rsidRPr="008710EC" w14:paraId="55BC6097" w14:textId="77777777" w:rsidTr="00E30757">
        <w:trPr>
          <w:trHeight w:val="270"/>
        </w:trPr>
        <w:tc>
          <w:tcPr>
            <w:tcW w:w="0" w:type="auto"/>
            <w:tcBorders>
              <w:top w:val="single" w:sz="8" w:space="0" w:color="000000"/>
            </w:tcBorders>
            <w:tcMar>
              <w:top w:w="160" w:type="dxa"/>
              <w:left w:w="180" w:type="dxa"/>
              <w:bottom w:w="20" w:type="dxa"/>
              <w:right w:w="0" w:type="dxa"/>
            </w:tcMar>
            <w:hideMark/>
          </w:tcPr>
          <w:p w14:paraId="2ECB9865"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1-3 years</w:t>
            </w:r>
          </w:p>
        </w:tc>
        <w:tc>
          <w:tcPr>
            <w:tcW w:w="0" w:type="auto"/>
            <w:tcBorders>
              <w:top w:val="single" w:sz="8" w:space="0" w:color="000000"/>
            </w:tcBorders>
            <w:tcMar>
              <w:top w:w="160" w:type="dxa"/>
              <w:left w:w="0" w:type="dxa"/>
              <w:bottom w:w="20" w:type="dxa"/>
              <w:right w:w="180" w:type="dxa"/>
            </w:tcMar>
            <w:hideMark/>
          </w:tcPr>
          <w:p w14:paraId="53A2198E" w14:textId="77777777" w:rsidR="008710EC" w:rsidRPr="008710EC" w:rsidRDefault="008710EC" w:rsidP="008710EC">
            <w:pPr>
              <w:spacing w:line="240" w:lineRule="auto"/>
              <w:jc w:val="both"/>
              <w:rPr>
                <w:rFonts w:ascii="Times New Roman" w:hAnsi="Times New Roman" w:cs="Times New Roman"/>
                <w:lang w:val="en-PH"/>
              </w:rPr>
            </w:pPr>
          </w:p>
        </w:tc>
        <w:tc>
          <w:tcPr>
            <w:tcW w:w="0" w:type="auto"/>
            <w:tcBorders>
              <w:top w:val="single" w:sz="8" w:space="0" w:color="000000"/>
            </w:tcBorders>
            <w:tcMar>
              <w:top w:w="160" w:type="dxa"/>
              <w:left w:w="180" w:type="dxa"/>
              <w:bottom w:w="20" w:type="dxa"/>
              <w:right w:w="0" w:type="dxa"/>
            </w:tcMar>
            <w:hideMark/>
          </w:tcPr>
          <w:p w14:paraId="0CBB45A4"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54</w:t>
            </w:r>
          </w:p>
        </w:tc>
        <w:tc>
          <w:tcPr>
            <w:tcW w:w="0" w:type="auto"/>
            <w:tcBorders>
              <w:top w:val="single" w:sz="8" w:space="0" w:color="000000"/>
            </w:tcBorders>
            <w:tcMar>
              <w:top w:w="160" w:type="dxa"/>
              <w:left w:w="0" w:type="dxa"/>
              <w:bottom w:w="20" w:type="dxa"/>
              <w:right w:w="180" w:type="dxa"/>
            </w:tcMar>
            <w:hideMark/>
          </w:tcPr>
          <w:p w14:paraId="076B4B05" w14:textId="77777777" w:rsidR="008710EC" w:rsidRPr="008710EC" w:rsidRDefault="008710EC" w:rsidP="008710EC">
            <w:pPr>
              <w:spacing w:line="240" w:lineRule="auto"/>
              <w:jc w:val="both"/>
              <w:rPr>
                <w:rFonts w:ascii="Times New Roman" w:hAnsi="Times New Roman" w:cs="Times New Roman"/>
                <w:lang w:val="en-PH"/>
              </w:rPr>
            </w:pPr>
          </w:p>
        </w:tc>
        <w:tc>
          <w:tcPr>
            <w:tcW w:w="0" w:type="auto"/>
            <w:tcBorders>
              <w:top w:val="single" w:sz="8" w:space="0" w:color="000000"/>
            </w:tcBorders>
            <w:tcMar>
              <w:top w:w="160" w:type="dxa"/>
              <w:left w:w="180" w:type="dxa"/>
              <w:bottom w:w="20" w:type="dxa"/>
              <w:right w:w="0" w:type="dxa"/>
            </w:tcMar>
            <w:hideMark/>
          </w:tcPr>
          <w:p w14:paraId="3A29B943"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52.4</w:t>
            </w:r>
          </w:p>
        </w:tc>
        <w:tc>
          <w:tcPr>
            <w:tcW w:w="0" w:type="auto"/>
            <w:tcBorders>
              <w:top w:val="single" w:sz="8" w:space="0" w:color="000000"/>
            </w:tcBorders>
            <w:tcMar>
              <w:top w:w="160" w:type="dxa"/>
              <w:left w:w="0" w:type="dxa"/>
              <w:bottom w:w="20" w:type="dxa"/>
              <w:right w:w="180" w:type="dxa"/>
            </w:tcMar>
            <w:hideMark/>
          </w:tcPr>
          <w:p w14:paraId="6DB50CE3" w14:textId="77777777" w:rsidR="008710EC" w:rsidRPr="008710EC" w:rsidRDefault="008710EC" w:rsidP="008710EC">
            <w:pPr>
              <w:spacing w:line="240" w:lineRule="auto"/>
              <w:jc w:val="both"/>
              <w:rPr>
                <w:rFonts w:ascii="Times New Roman" w:hAnsi="Times New Roman" w:cs="Times New Roman"/>
                <w:lang w:val="en-PH"/>
              </w:rPr>
            </w:pPr>
          </w:p>
        </w:tc>
      </w:tr>
      <w:tr w:rsidR="008710EC" w:rsidRPr="008710EC" w14:paraId="67D2B3F7" w14:textId="77777777" w:rsidTr="00E30757">
        <w:trPr>
          <w:trHeight w:val="241"/>
        </w:trPr>
        <w:tc>
          <w:tcPr>
            <w:tcW w:w="0" w:type="auto"/>
            <w:tcMar>
              <w:top w:w="20" w:type="dxa"/>
              <w:left w:w="180" w:type="dxa"/>
              <w:bottom w:w="20" w:type="dxa"/>
              <w:right w:w="0" w:type="dxa"/>
            </w:tcMar>
            <w:hideMark/>
          </w:tcPr>
          <w:p w14:paraId="36D27213"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4-6 years</w:t>
            </w:r>
          </w:p>
        </w:tc>
        <w:tc>
          <w:tcPr>
            <w:tcW w:w="0" w:type="auto"/>
            <w:tcMar>
              <w:top w:w="20" w:type="dxa"/>
              <w:left w:w="0" w:type="dxa"/>
              <w:bottom w:w="20" w:type="dxa"/>
              <w:right w:w="180" w:type="dxa"/>
            </w:tcMar>
            <w:hideMark/>
          </w:tcPr>
          <w:p w14:paraId="426F07FD"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38923A85"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18</w:t>
            </w:r>
          </w:p>
        </w:tc>
        <w:tc>
          <w:tcPr>
            <w:tcW w:w="0" w:type="auto"/>
            <w:tcMar>
              <w:top w:w="20" w:type="dxa"/>
              <w:left w:w="0" w:type="dxa"/>
              <w:bottom w:w="20" w:type="dxa"/>
              <w:right w:w="180" w:type="dxa"/>
            </w:tcMar>
            <w:hideMark/>
          </w:tcPr>
          <w:p w14:paraId="5CDBD057"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77D47324"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17.5</w:t>
            </w:r>
          </w:p>
        </w:tc>
        <w:tc>
          <w:tcPr>
            <w:tcW w:w="0" w:type="auto"/>
            <w:tcMar>
              <w:top w:w="20" w:type="dxa"/>
              <w:left w:w="0" w:type="dxa"/>
              <w:bottom w:w="20" w:type="dxa"/>
              <w:right w:w="180" w:type="dxa"/>
            </w:tcMar>
            <w:hideMark/>
          </w:tcPr>
          <w:p w14:paraId="2C522E9B" w14:textId="77777777" w:rsidR="008710EC" w:rsidRPr="008710EC" w:rsidRDefault="008710EC" w:rsidP="008710EC">
            <w:pPr>
              <w:spacing w:line="240" w:lineRule="auto"/>
              <w:jc w:val="both"/>
              <w:rPr>
                <w:rFonts w:ascii="Times New Roman" w:hAnsi="Times New Roman" w:cs="Times New Roman"/>
                <w:lang w:val="en-PH"/>
              </w:rPr>
            </w:pPr>
          </w:p>
        </w:tc>
      </w:tr>
      <w:tr w:rsidR="008710EC" w:rsidRPr="008710EC" w14:paraId="49824B07" w14:textId="77777777" w:rsidTr="00E30757">
        <w:trPr>
          <w:trHeight w:val="223"/>
        </w:trPr>
        <w:tc>
          <w:tcPr>
            <w:tcW w:w="0" w:type="auto"/>
            <w:tcMar>
              <w:top w:w="20" w:type="dxa"/>
              <w:left w:w="180" w:type="dxa"/>
              <w:bottom w:w="20" w:type="dxa"/>
              <w:right w:w="0" w:type="dxa"/>
            </w:tcMar>
            <w:hideMark/>
          </w:tcPr>
          <w:p w14:paraId="194F0BC2"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7-10 years</w:t>
            </w:r>
          </w:p>
        </w:tc>
        <w:tc>
          <w:tcPr>
            <w:tcW w:w="0" w:type="auto"/>
            <w:tcMar>
              <w:top w:w="20" w:type="dxa"/>
              <w:left w:w="0" w:type="dxa"/>
              <w:bottom w:w="20" w:type="dxa"/>
              <w:right w:w="180" w:type="dxa"/>
            </w:tcMar>
            <w:hideMark/>
          </w:tcPr>
          <w:p w14:paraId="0882E314"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204E2253"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10</w:t>
            </w:r>
          </w:p>
        </w:tc>
        <w:tc>
          <w:tcPr>
            <w:tcW w:w="0" w:type="auto"/>
            <w:tcMar>
              <w:top w:w="20" w:type="dxa"/>
              <w:left w:w="0" w:type="dxa"/>
              <w:bottom w:w="20" w:type="dxa"/>
              <w:right w:w="180" w:type="dxa"/>
            </w:tcMar>
            <w:hideMark/>
          </w:tcPr>
          <w:p w14:paraId="70879C7F"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1D8BA5E1"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9.7</w:t>
            </w:r>
          </w:p>
        </w:tc>
        <w:tc>
          <w:tcPr>
            <w:tcW w:w="0" w:type="auto"/>
            <w:tcMar>
              <w:top w:w="20" w:type="dxa"/>
              <w:left w:w="0" w:type="dxa"/>
              <w:bottom w:w="20" w:type="dxa"/>
              <w:right w:w="180" w:type="dxa"/>
            </w:tcMar>
            <w:hideMark/>
          </w:tcPr>
          <w:p w14:paraId="11677864" w14:textId="77777777" w:rsidR="008710EC" w:rsidRPr="008710EC" w:rsidRDefault="008710EC" w:rsidP="008710EC">
            <w:pPr>
              <w:spacing w:line="240" w:lineRule="auto"/>
              <w:jc w:val="both"/>
              <w:rPr>
                <w:rFonts w:ascii="Times New Roman" w:hAnsi="Times New Roman" w:cs="Times New Roman"/>
                <w:lang w:val="en-PH"/>
              </w:rPr>
            </w:pPr>
          </w:p>
        </w:tc>
      </w:tr>
      <w:tr w:rsidR="008710EC" w:rsidRPr="008710EC" w14:paraId="72F782C7" w14:textId="77777777" w:rsidTr="008710EC">
        <w:trPr>
          <w:trHeight w:val="315"/>
        </w:trPr>
        <w:tc>
          <w:tcPr>
            <w:tcW w:w="0" w:type="auto"/>
            <w:tcMar>
              <w:top w:w="20" w:type="dxa"/>
              <w:left w:w="180" w:type="dxa"/>
              <w:bottom w:w="20" w:type="dxa"/>
              <w:right w:w="0" w:type="dxa"/>
            </w:tcMar>
            <w:hideMark/>
          </w:tcPr>
          <w:p w14:paraId="268515F3"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More than 10 years</w:t>
            </w:r>
          </w:p>
        </w:tc>
        <w:tc>
          <w:tcPr>
            <w:tcW w:w="0" w:type="auto"/>
            <w:tcMar>
              <w:top w:w="20" w:type="dxa"/>
              <w:left w:w="0" w:type="dxa"/>
              <w:bottom w:w="20" w:type="dxa"/>
              <w:right w:w="180" w:type="dxa"/>
            </w:tcMar>
            <w:hideMark/>
          </w:tcPr>
          <w:p w14:paraId="5AA7CCEA"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726D0B57"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16</w:t>
            </w:r>
          </w:p>
        </w:tc>
        <w:tc>
          <w:tcPr>
            <w:tcW w:w="0" w:type="auto"/>
            <w:tcMar>
              <w:top w:w="20" w:type="dxa"/>
              <w:left w:w="0" w:type="dxa"/>
              <w:bottom w:w="20" w:type="dxa"/>
              <w:right w:w="180" w:type="dxa"/>
            </w:tcMar>
            <w:hideMark/>
          </w:tcPr>
          <w:p w14:paraId="5C58FCBE"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5CE4F3D7"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15.5</w:t>
            </w:r>
          </w:p>
        </w:tc>
        <w:tc>
          <w:tcPr>
            <w:tcW w:w="0" w:type="auto"/>
            <w:tcMar>
              <w:top w:w="20" w:type="dxa"/>
              <w:left w:w="0" w:type="dxa"/>
              <w:bottom w:w="20" w:type="dxa"/>
              <w:right w:w="180" w:type="dxa"/>
            </w:tcMar>
            <w:hideMark/>
          </w:tcPr>
          <w:p w14:paraId="566B71BF" w14:textId="77777777" w:rsidR="008710EC" w:rsidRPr="008710EC" w:rsidRDefault="008710EC" w:rsidP="008710EC">
            <w:pPr>
              <w:spacing w:line="240" w:lineRule="auto"/>
              <w:jc w:val="both"/>
              <w:rPr>
                <w:rFonts w:ascii="Times New Roman" w:hAnsi="Times New Roman" w:cs="Times New Roman"/>
                <w:lang w:val="en-PH"/>
              </w:rPr>
            </w:pPr>
          </w:p>
        </w:tc>
      </w:tr>
      <w:tr w:rsidR="008710EC" w:rsidRPr="008710EC" w14:paraId="14D903B4" w14:textId="77777777" w:rsidTr="008710EC">
        <w:trPr>
          <w:trHeight w:val="315"/>
        </w:trPr>
        <w:tc>
          <w:tcPr>
            <w:tcW w:w="0" w:type="auto"/>
            <w:tcMar>
              <w:top w:w="20" w:type="dxa"/>
              <w:left w:w="180" w:type="dxa"/>
              <w:bottom w:w="20" w:type="dxa"/>
              <w:right w:w="0" w:type="dxa"/>
            </w:tcMar>
            <w:hideMark/>
          </w:tcPr>
          <w:p w14:paraId="1C60F6B2"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less than 1 year</w:t>
            </w:r>
          </w:p>
        </w:tc>
        <w:tc>
          <w:tcPr>
            <w:tcW w:w="0" w:type="auto"/>
            <w:tcMar>
              <w:top w:w="20" w:type="dxa"/>
              <w:left w:w="0" w:type="dxa"/>
              <w:bottom w:w="20" w:type="dxa"/>
              <w:right w:w="180" w:type="dxa"/>
            </w:tcMar>
            <w:hideMark/>
          </w:tcPr>
          <w:p w14:paraId="4EE4BB71"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37F7C168"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5</w:t>
            </w:r>
          </w:p>
        </w:tc>
        <w:tc>
          <w:tcPr>
            <w:tcW w:w="0" w:type="auto"/>
            <w:tcMar>
              <w:top w:w="20" w:type="dxa"/>
              <w:left w:w="0" w:type="dxa"/>
              <w:bottom w:w="20" w:type="dxa"/>
              <w:right w:w="180" w:type="dxa"/>
            </w:tcMar>
            <w:hideMark/>
          </w:tcPr>
          <w:p w14:paraId="36C38714" w14:textId="77777777" w:rsidR="008710EC" w:rsidRPr="008710EC" w:rsidRDefault="008710EC" w:rsidP="008710EC">
            <w:pPr>
              <w:spacing w:line="240" w:lineRule="auto"/>
              <w:jc w:val="both"/>
              <w:rPr>
                <w:rFonts w:ascii="Times New Roman" w:hAnsi="Times New Roman" w:cs="Times New Roman"/>
                <w:lang w:val="en-PH"/>
              </w:rPr>
            </w:pPr>
          </w:p>
        </w:tc>
        <w:tc>
          <w:tcPr>
            <w:tcW w:w="0" w:type="auto"/>
            <w:tcMar>
              <w:top w:w="20" w:type="dxa"/>
              <w:left w:w="180" w:type="dxa"/>
              <w:bottom w:w="20" w:type="dxa"/>
              <w:right w:w="0" w:type="dxa"/>
            </w:tcMar>
            <w:hideMark/>
          </w:tcPr>
          <w:p w14:paraId="0621CB02"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4.9</w:t>
            </w:r>
          </w:p>
        </w:tc>
        <w:tc>
          <w:tcPr>
            <w:tcW w:w="0" w:type="auto"/>
            <w:tcMar>
              <w:top w:w="20" w:type="dxa"/>
              <w:left w:w="0" w:type="dxa"/>
              <w:bottom w:w="20" w:type="dxa"/>
              <w:right w:w="180" w:type="dxa"/>
            </w:tcMar>
            <w:hideMark/>
          </w:tcPr>
          <w:p w14:paraId="5975BCCE" w14:textId="77777777" w:rsidR="008710EC" w:rsidRPr="008710EC" w:rsidRDefault="008710EC" w:rsidP="008710EC">
            <w:pPr>
              <w:spacing w:line="240" w:lineRule="auto"/>
              <w:jc w:val="both"/>
              <w:rPr>
                <w:rFonts w:ascii="Times New Roman" w:hAnsi="Times New Roman" w:cs="Times New Roman"/>
                <w:lang w:val="en-PH"/>
              </w:rPr>
            </w:pPr>
          </w:p>
        </w:tc>
      </w:tr>
      <w:tr w:rsidR="008710EC" w:rsidRPr="008710EC" w14:paraId="43E32A99" w14:textId="77777777" w:rsidTr="008710EC">
        <w:trPr>
          <w:trHeight w:val="465"/>
        </w:trPr>
        <w:tc>
          <w:tcPr>
            <w:tcW w:w="0" w:type="auto"/>
            <w:tcBorders>
              <w:bottom w:val="single" w:sz="8" w:space="0" w:color="000000"/>
            </w:tcBorders>
            <w:tcMar>
              <w:top w:w="20" w:type="dxa"/>
              <w:left w:w="180" w:type="dxa"/>
              <w:bottom w:w="20" w:type="dxa"/>
              <w:right w:w="0" w:type="dxa"/>
            </w:tcMar>
            <w:hideMark/>
          </w:tcPr>
          <w:p w14:paraId="646FD433"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Total</w:t>
            </w:r>
          </w:p>
        </w:tc>
        <w:tc>
          <w:tcPr>
            <w:tcW w:w="0" w:type="auto"/>
            <w:tcBorders>
              <w:bottom w:val="single" w:sz="8" w:space="0" w:color="000000"/>
            </w:tcBorders>
            <w:tcMar>
              <w:top w:w="20" w:type="dxa"/>
              <w:left w:w="0" w:type="dxa"/>
              <w:bottom w:w="20" w:type="dxa"/>
              <w:right w:w="180" w:type="dxa"/>
            </w:tcMar>
            <w:hideMark/>
          </w:tcPr>
          <w:p w14:paraId="312C9121" w14:textId="77777777" w:rsidR="008710EC" w:rsidRPr="008710EC" w:rsidRDefault="008710EC" w:rsidP="008710EC">
            <w:pPr>
              <w:spacing w:line="240" w:lineRule="auto"/>
              <w:jc w:val="both"/>
              <w:rPr>
                <w:rFonts w:ascii="Times New Roman" w:hAnsi="Times New Roman" w:cs="Times New Roman"/>
                <w:lang w:val="en-PH"/>
              </w:rPr>
            </w:pPr>
          </w:p>
        </w:tc>
        <w:tc>
          <w:tcPr>
            <w:tcW w:w="0" w:type="auto"/>
            <w:tcBorders>
              <w:bottom w:val="single" w:sz="8" w:space="0" w:color="000000"/>
            </w:tcBorders>
            <w:tcMar>
              <w:top w:w="20" w:type="dxa"/>
              <w:left w:w="180" w:type="dxa"/>
              <w:bottom w:w="20" w:type="dxa"/>
              <w:right w:w="0" w:type="dxa"/>
            </w:tcMar>
            <w:hideMark/>
          </w:tcPr>
          <w:p w14:paraId="15C86859"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103</w:t>
            </w:r>
          </w:p>
        </w:tc>
        <w:tc>
          <w:tcPr>
            <w:tcW w:w="0" w:type="auto"/>
            <w:tcBorders>
              <w:bottom w:val="single" w:sz="8" w:space="0" w:color="000000"/>
            </w:tcBorders>
            <w:tcMar>
              <w:top w:w="20" w:type="dxa"/>
              <w:left w:w="0" w:type="dxa"/>
              <w:bottom w:w="20" w:type="dxa"/>
              <w:right w:w="180" w:type="dxa"/>
            </w:tcMar>
            <w:hideMark/>
          </w:tcPr>
          <w:p w14:paraId="4457CB24" w14:textId="77777777" w:rsidR="008710EC" w:rsidRPr="008710EC" w:rsidRDefault="008710EC" w:rsidP="008710EC">
            <w:pPr>
              <w:spacing w:line="240" w:lineRule="auto"/>
              <w:jc w:val="both"/>
              <w:rPr>
                <w:rFonts w:ascii="Times New Roman" w:hAnsi="Times New Roman" w:cs="Times New Roman"/>
                <w:lang w:val="en-PH"/>
              </w:rPr>
            </w:pPr>
          </w:p>
        </w:tc>
        <w:tc>
          <w:tcPr>
            <w:tcW w:w="0" w:type="auto"/>
            <w:tcBorders>
              <w:bottom w:val="single" w:sz="8" w:space="0" w:color="000000"/>
            </w:tcBorders>
            <w:tcMar>
              <w:top w:w="20" w:type="dxa"/>
              <w:left w:w="180" w:type="dxa"/>
              <w:bottom w:w="20" w:type="dxa"/>
              <w:right w:w="0" w:type="dxa"/>
            </w:tcMar>
            <w:hideMark/>
          </w:tcPr>
          <w:p w14:paraId="7718EF61"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100.0</w:t>
            </w:r>
          </w:p>
        </w:tc>
        <w:tc>
          <w:tcPr>
            <w:tcW w:w="0" w:type="auto"/>
            <w:tcMar>
              <w:top w:w="20" w:type="dxa"/>
              <w:left w:w="0" w:type="dxa"/>
              <w:bottom w:w="20" w:type="dxa"/>
              <w:right w:w="180" w:type="dxa"/>
            </w:tcMar>
            <w:hideMark/>
          </w:tcPr>
          <w:p w14:paraId="12A44B23" w14:textId="77777777" w:rsidR="008710EC" w:rsidRPr="008710EC" w:rsidRDefault="008710EC" w:rsidP="008710EC">
            <w:pPr>
              <w:spacing w:line="240" w:lineRule="auto"/>
              <w:jc w:val="both"/>
              <w:rPr>
                <w:rFonts w:ascii="Times New Roman" w:hAnsi="Times New Roman" w:cs="Times New Roman"/>
                <w:lang w:val="en-PH"/>
              </w:rPr>
            </w:pPr>
          </w:p>
        </w:tc>
      </w:tr>
    </w:tbl>
    <w:p w14:paraId="0758AF50" w14:textId="77777777" w:rsidR="003A695F" w:rsidRPr="000C2967" w:rsidRDefault="003A695F" w:rsidP="000C2967">
      <w:pPr>
        <w:spacing w:line="240" w:lineRule="auto"/>
        <w:rPr>
          <w:rFonts w:ascii="Times New Roman" w:hAnsi="Times New Roman" w:cs="Times New Roman"/>
        </w:rPr>
      </w:pPr>
    </w:p>
    <w:p w14:paraId="63A607FF"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Table 2 unveils that in terms of professional experience, most of the respondents had 1–3 years of experience (52.4%), followed by those with 4–6 years (17.5%), more than 10 years (15.5%), 7–10 years (9.7%), and less than 1 year (4.9%).</w:t>
      </w:r>
    </w:p>
    <w:p w14:paraId="738DA06B"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The results indicate that the majority of respondents were early-career pharmacists, with more than half having 1–3 years of professional experience. This suggests that the study population is largely composed of practitioners in the initial stage of their pharmacy practice.</w:t>
      </w:r>
    </w:p>
    <w:p w14:paraId="1B502076"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This finding is consistent with healthcare workforce studies showing that newly licensed professionals constitute a significant proportion of active practitioners (Parial et al., 2024). Early-career pharmacists typically rely on foundational academic training and early workplace experience as they transition into independent practice. Experience has been identified as a key factor in the development of clinical judgment and professional confidence in healthcare settings (Stark et al., 2021). Furthermore, workforce studies indicate that younger, less experienced professionals dominate many healthcare service settings due to recent workforce expansion and turnover (Felipe-Dimog et al., 2021).</w:t>
      </w:r>
    </w:p>
    <w:p w14:paraId="6BF9FE72"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Further, the results indicate a workforce with relatively limited professional experience, suggesting a need for continuous professional development and experiential learning opportunities for pharmacists.</w:t>
      </w:r>
    </w:p>
    <w:p w14:paraId="2DAEB42E" w14:textId="77777777" w:rsidR="00B30C01" w:rsidRDefault="00B30C01" w:rsidP="008710EC">
      <w:pPr>
        <w:spacing w:line="240" w:lineRule="auto"/>
        <w:jc w:val="both"/>
        <w:rPr>
          <w:rFonts w:ascii="Times New Roman" w:hAnsi="Times New Roman" w:cs="Times New Roman"/>
          <w:b/>
          <w:bCs/>
          <w:lang w:val="en-PH"/>
        </w:rPr>
      </w:pPr>
    </w:p>
    <w:p w14:paraId="52BE6324" w14:textId="303A3B9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bCs/>
          <w:lang w:val="en-PH"/>
        </w:rPr>
        <w:t>Table 3.</w:t>
      </w:r>
      <w:r w:rsidRPr="008710EC">
        <w:rPr>
          <w:rFonts w:ascii="Times New Roman" w:hAnsi="Times New Roman" w:cs="Times New Roman"/>
          <w:b/>
          <w:lang w:val="en-PH"/>
        </w:rPr>
        <w:t xml:space="preserve"> </w:t>
      </w:r>
      <w:r w:rsidRPr="008710EC">
        <w:rPr>
          <w:rFonts w:ascii="Times New Roman" w:hAnsi="Times New Roman" w:cs="Times New Roman"/>
          <w:b/>
          <w:i/>
          <w:iCs/>
          <w:lang w:val="en-PH"/>
        </w:rPr>
        <w:t>Profile of the Respondents in terms of Practice Setting</w:t>
      </w:r>
    </w:p>
    <w:tbl>
      <w:tblPr>
        <w:tblW w:w="0" w:type="auto"/>
        <w:tblCellMar>
          <w:top w:w="15" w:type="dxa"/>
          <w:left w:w="15" w:type="dxa"/>
          <w:bottom w:w="15" w:type="dxa"/>
          <w:right w:w="15" w:type="dxa"/>
        </w:tblCellMar>
        <w:tblLook w:val="04A0" w:firstRow="1" w:lastRow="0" w:firstColumn="1" w:lastColumn="0" w:noHBand="0" w:noVBand="1"/>
      </w:tblPr>
      <w:tblGrid>
        <w:gridCol w:w="2367"/>
        <w:gridCol w:w="1289"/>
        <w:gridCol w:w="982"/>
      </w:tblGrid>
      <w:tr w:rsidR="008710EC" w:rsidRPr="008710EC" w14:paraId="476FEC95" w14:textId="77777777" w:rsidTr="008710EC">
        <w:trPr>
          <w:trHeight w:val="300"/>
        </w:trPr>
        <w:tc>
          <w:tcPr>
            <w:tcW w:w="0" w:type="auto"/>
            <w:tcBorders>
              <w:top w:val="single" w:sz="8" w:space="0" w:color="000000"/>
              <w:bottom w:val="single" w:sz="8" w:space="0" w:color="000000"/>
            </w:tcBorders>
            <w:tcMar>
              <w:top w:w="0" w:type="dxa"/>
              <w:left w:w="100" w:type="dxa"/>
              <w:bottom w:w="0" w:type="dxa"/>
              <w:right w:w="100" w:type="dxa"/>
            </w:tcMar>
            <w:hideMark/>
          </w:tcPr>
          <w:p w14:paraId="6CEE45F3"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Facility Type</w:t>
            </w:r>
          </w:p>
        </w:tc>
        <w:tc>
          <w:tcPr>
            <w:tcW w:w="0" w:type="auto"/>
            <w:tcBorders>
              <w:top w:val="single" w:sz="8" w:space="0" w:color="000000"/>
              <w:bottom w:val="single" w:sz="8" w:space="0" w:color="000000"/>
            </w:tcBorders>
            <w:tcMar>
              <w:top w:w="0" w:type="dxa"/>
              <w:left w:w="100" w:type="dxa"/>
              <w:bottom w:w="0" w:type="dxa"/>
              <w:right w:w="100" w:type="dxa"/>
            </w:tcMar>
            <w:hideMark/>
          </w:tcPr>
          <w:p w14:paraId="0BFE6E5F"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Frequency</w:t>
            </w:r>
          </w:p>
        </w:tc>
        <w:tc>
          <w:tcPr>
            <w:tcW w:w="0" w:type="auto"/>
            <w:tcBorders>
              <w:top w:val="single" w:sz="8" w:space="0" w:color="000000"/>
              <w:bottom w:val="single" w:sz="8" w:space="0" w:color="000000"/>
            </w:tcBorders>
            <w:tcMar>
              <w:top w:w="0" w:type="dxa"/>
              <w:left w:w="100" w:type="dxa"/>
              <w:bottom w:w="0" w:type="dxa"/>
              <w:right w:w="100" w:type="dxa"/>
            </w:tcMar>
            <w:hideMark/>
          </w:tcPr>
          <w:p w14:paraId="3ADCE5FD" w14:textId="77777777" w:rsidR="008710EC" w:rsidRPr="008710EC" w:rsidRDefault="008710EC" w:rsidP="008710EC">
            <w:pPr>
              <w:spacing w:line="240" w:lineRule="auto"/>
              <w:jc w:val="both"/>
              <w:rPr>
                <w:rFonts w:ascii="Times New Roman" w:hAnsi="Times New Roman" w:cs="Times New Roman"/>
                <w:b/>
                <w:lang w:val="en-PH"/>
              </w:rPr>
            </w:pPr>
            <w:r w:rsidRPr="008710EC">
              <w:rPr>
                <w:rFonts w:ascii="Times New Roman" w:hAnsi="Times New Roman" w:cs="Times New Roman"/>
                <w:b/>
                <w:lang w:val="en-PH"/>
              </w:rPr>
              <w:t>Percent</w:t>
            </w:r>
          </w:p>
        </w:tc>
      </w:tr>
      <w:tr w:rsidR="008710EC" w:rsidRPr="008710EC" w14:paraId="23B8AC4E" w14:textId="77777777" w:rsidTr="008710EC">
        <w:trPr>
          <w:trHeight w:val="285"/>
        </w:trPr>
        <w:tc>
          <w:tcPr>
            <w:tcW w:w="0" w:type="auto"/>
            <w:tcBorders>
              <w:top w:val="single" w:sz="8" w:space="0" w:color="000000"/>
            </w:tcBorders>
            <w:tcMar>
              <w:top w:w="0" w:type="dxa"/>
              <w:left w:w="100" w:type="dxa"/>
              <w:bottom w:w="0" w:type="dxa"/>
              <w:right w:w="100" w:type="dxa"/>
            </w:tcMar>
            <w:hideMark/>
          </w:tcPr>
          <w:p w14:paraId="2BD3E985"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Community Pharmacy</w:t>
            </w:r>
          </w:p>
        </w:tc>
        <w:tc>
          <w:tcPr>
            <w:tcW w:w="0" w:type="auto"/>
            <w:tcBorders>
              <w:top w:val="single" w:sz="8" w:space="0" w:color="000000"/>
            </w:tcBorders>
            <w:tcMar>
              <w:top w:w="0" w:type="dxa"/>
              <w:left w:w="100" w:type="dxa"/>
              <w:bottom w:w="0" w:type="dxa"/>
              <w:right w:w="100" w:type="dxa"/>
            </w:tcMar>
            <w:hideMark/>
          </w:tcPr>
          <w:p w14:paraId="7BB2618A"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88</w:t>
            </w:r>
          </w:p>
        </w:tc>
        <w:tc>
          <w:tcPr>
            <w:tcW w:w="0" w:type="auto"/>
            <w:tcBorders>
              <w:top w:val="single" w:sz="8" w:space="0" w:color="000000"/>
            </w:tcBorders>
            <w:tcMar>
              <w:top w:w="0" w:type="dxa"/>
              <w:left w:w="100" w:type="dxa"/>
              <w:bottom w:w="0" w:type="dxa"/>
              <w:right w:w="100" w:type="dxa"/>
            </w:tcMar>
            <w:hideMark/>
          </w:tcPr>
          <w:p w14:paraId="0554DD41"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85.4</w:t>
            </w:r>
          </w:p>
        </w:tc>
      </w:tr>
      <w:tr w:rsidR="008710EC" w:rsidRPr="008710EC" w14:paraId="4FCB9073" w14:textId="77777777" w:rsidTr="008710EC">
        <w:trPr>
          <w:trHeight w:val="285"/>
        </w:trPr>
        <w:tc>
          <w:tcPr>
            <w:tcW w:w="0" w:type="auto"/>
            <w:tcMar>
              <w:top w:w="0" w:type="dxa"/>
              <w:left w:w="100" w:type="dxa"/>
              <w:bottom w:w="0" w:type="dxa"/>
              <w:right w:w="100" w:type="dxa"/>
            </w:tcMar>
            <w:hideMark/>
          </w:tcPr>
          <w:p w14:paraId="7EB6EDD2"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RHO/CHO</w:t>
            </w:r>
          </w:p>
        </w:tc>
        <w:tc>
          <w:tcPr>
            <w:tcW w:w="0" w:type="auto"/>
            <w:tcMar>
              <w:top w:w="0" w:type="dxa"/>
              <w:left w:w="100" w:type="dxa"/>
              <w:bottom w:w="0" w:type="dxa"/>
              <w:right w:w="100" w:type="dxa"/>
            </w:tcMar>
            <w:hideMark/>
          </w:tcPr>
          <w:p w14:paraId="4ACE880D"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15</w:t>
            </w:r>
          </w:p>
        </w:tc>
        <w:tc>
          <w:tcPr>
            <w:tcW w:w="0" w:type="auto"/>
            <w:tcMar>
              <w:top w:w="0" w:type="dxa"/>
              <w:left w:w="100" w:type="dxa"/>
              <w:bottom w:w="0" w:type="dxa"/>
              <w:right w:w="100" w:type="dxa"/>
            </w:tcMar>
            <w:hideMark/>
          </w:tcPr>
          <w:p w14:paraId="704630D0"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14.6</w:t>
            </w:r>
          </w:p>
        </w:tc>
      </w:tr>
      <w:tr w:rsidR="008710EC" w:rsidRPr="008710EC" w14:paraId="02DB4D00" w14:textId="77777777" w:rsidTr="008710EC">
        <w:trPr>
          <w:trHeight w:val="285"/>
        </w:trPr>
        <w:tc>
          <w:tcPr>
            <w:tcW w:w="0" w:type="auto"/>
            <w:tcBorders>
              <w:bottom w:val="single" w:sz="8" w:space="0" w:color="000000"/>
            </w:tcBorders>
            <w:tcMar>
              <w:top w:w="0" w:type="dxa"/>
              <w:left w:w="100" w:type="dxa"/>
              <w:bottom w:w="0" w:type="dxa"/>
              <w:right w:w="100" w:type="dxa"/>
            </w:tcMar>
            <w:hideMark/>
          </w:tcPr>
          <w:p w14:paraId="4F717367"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Total</w:t>
            </w:r>
          </w:p>
        </w:tc>
        <w:tc>
          <w:tcPr>
            <w:tcW w:w="0" w:type="auto"/>
            <w:tcBorders>
              <w:bottom w:val="single" w:sz="8" w:space="0" w:color="000000"/>
            </w:tcBorders>
            <w:tcMar>
              <w:top w:w="0" w:type="dxa"/>
              <w:left w:w="100" w:type="dxa"/>
              <w:bottom w:w="0" w:type="dxa"/>
              <w:right w:w="100" w:type="dxa"/>
            </w:tcMar>
            <w:hideMark/>
          </w:tcPr>
          <w:p w14:paraId="4E651846"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103</w:t>
            </w:r>
          </w:p>
        </w:tc>
        <w:tc>
          <w:tcPr>
            <w:tcW w:w="0" w:type="auto"/>
            <w:tcBorders>
              <w:bottom w:val="single" w:sz="8" w:space="0" w:color="000000"/>
            </w:tcBorders>
            <w:tcMar>
              <w:top w:w="0" w:type="dxa"/>
              <w:left w:w="100" w:type="dxa"/>
              <w:bottom w:w="0" w:type="dxa"/>
              <w:right w:w="100" w:type="dxa"/>
            </w:tcMar>
            <w:hideMark/>
          </w:tcPr>
          <w:p w14:paraId="176117D0" w14:textId="77777777" w:rsidR="008710EC" w:rsidRPr="008710EC" w:rsidRDefault="008710EC" w:rsidP="008710EC">
            <w:pPr>
              <w:spacing w:line="240" w:lineRule="auto"/>
              <w:jc w:val="both"/>
              <w:rPr>
                <w:rFonts w:ascii="Times New Roman" w:hAnsi="Times New Roman" w:cs="Times New Roman"/>
                <w:lang w:val="en-PH"/>
              </w:rPr>
            </w:pPr>
            <w:r w:rsidRPr="008710EC">
              <w:rPr>
                <w:rFonts w:ascii="Times New Roman" w:hAnsi="Times New Roman" w:cs="Times New Roman"/>
                <w:lang w:val="en-PH"/>
              </w:rPr>
              <w:t>100.0</w:t>
            </w:r>
          </w:p>
        </w:tc>
      </w:tr>
    </w:tbl>
    <w:p w14:paraId="6A61304B" w14:textId="77777777" w:rsidR="003A695F" w:rsidRPr="000C2967" w:rsidRDefault="003A695F" w:rsidP="000C2967">
      <w:pPr>
        <w:spacing w:line="240" w:lineRule="auto"/>
        <w:jc w:val="both"/>
        <w:rPr>
          <w:rFonts w:ascii="Times New Roman" w:hAnsi="Times New Roman" w:cs="Times New Roman"/>
        </w:rPr>
      </w:pPr>
    </w:p>
    <w:p w14:paraId="37A716E0" w14:textId="77777777" w:rsidR="008710EC" w:rsidRPr="008710EC" w:rsidRDefault="008710EC" w:rsidP="008710EC">
      <w:pPr>
        <w:spacing w:line="240" w:lineRule="auto"/>
        <w:ind w:firstLine="720"/>
        <w:jc w:val="both"/>
        <w:rPr>
          <w:rFonts w:ascii="Times New Roman" w:hAnsi="Times New Roman" w:cs="Times New Roman"/>
          <w:lang w:val="en-PH" w:eastAsia="en-PH"/>
        </w:rPr>
      </w:pPr>
      <w:r w:rsidRPr="008710EC">
        <w:rPr>
          <w:rFonts w:ascii="Times New Roman" w:hAnsi="Times New Roman" w:cs="Times New Roman"/>
          <w:lang w:val="en-PH" w:eastAsia="en-PH"/>
        </w:rPr>
        <w:t>The results of table 3 shows that most respondents were from community pharmacy settin85.4%), while a smaller proportion came from Rural Health Unit/City Health Office (RHU/CHO) settings (14.6%). This indicates that the study population is predominantly composed of community-based pharmacists, with limited representation from public health facilities.</w:t>
      </w:r>
    </w:p>
    <w:p w14:paraId="2025568F" w14:textId="77777777" w:rsidR="008710EC" w:rsidRPr="008710EC" w:rsidRDefault="008710EC" w:rsidP="008710EC">
      <w:pPr>
        <w:spacing w:line="240" w:lineRule="auto"/>
        <w:ind w:firstLine="720"/>
        <w:jc w:val="both"/>
        <w:rPr>
          <w:rFonts w:ascii="Times New Roman" w:hAnsi="Times New Roman" w:cs="Times New Roman"/>
          <w:lang w:val="en-PH" w:eastAsia="en-PH"/>
        </w:rPr>
      </w:pPr>
      <w:r w:rsidRPr="008710EC">
        <w:rPr>
          <w:rFonts w:ascii="Times New Roman" w:hAnsi="Times New Roman" w:cs="Times New Roman"/>
          <w:lang w:val="en-PH" w:eastAsia="en-PH"/>
        </w:rPr>
        <w:t xml:space="preserve">This distribution reflects the structure of pharmacy practice in the Philippines, where community pharmacies are more widely distributed and more accessible compared to government health units (Parial et al., 2024). Community pharmacists are also more frequently engaged in direct patient interaction due to the nature of their daily responsibilities, which typically include dispensing medications and providing patient counseling </w:t>
      </w:r>
      <w:r w:rsidRPr="008710EC">
        <w:rPr>
          <w:rFonts w:ascii="Times New Roman" w:hAnsi="Times New Roman" w:cs="Times New Roman"/>
          <w:lang w:val="en-PH" w:eastAsia="en-PH"/>
        </w:rPr>
        <w:lastRenderedPageBreak/>
        <w:t>services (Stark et al., 2021). As such, the dominance of community pharmacy respondents suggests that the study's findings better reflect community-based pharmaceutical practice.</w:t>
      </w:r>
    </w:p>
    <w:p w14:paraId="537674DB" w14:textId="77777777" w:rsidR="008710EC" w:rsidRDefault="008710EC" w:rsidP="008710EC">
      <w:pPr>
        <w:spacing w:line="240" w:lineRule="auto"/>
        <w:ind w:firstLine="720"/>
        <w:jc w:val="both"/>
        <w:rPr>
          <w:rFonts w:ascii="Times New Roman" w:hAnsi="Times New Roman" w:cs="Times New Roman"/>
          <w:lang w:val="en-PH" w:eastAsia="en-PH"/>
        </w:rPr>
      </w:pPr>
      <w:r w:rsidRPr="008710EC">
        <w:rPr>
          <w:rFonts w:ascii="Times New Roman" w:hAnsi="Times New Roman" w:cs="Times New Roman"/>
          <w:lang w:val="en-PH" w:eastAsia="en-PH"/>
        </w:rPr>
        <w:t>Overall, the results highlight the predominance of community pharmacists in the study population, indicating that most respondents are engaged in community pharmacy services. This underscores the role of community pharmacies as a primary point of access for medications and health information, particularly in maternal care services (Felipe-Dimog et al., 2021).</w:t>
      </w:r>
    </w:p>
    <w:p w14:paraId="70B31840" w14:textId="77777777" w:rsidR="008710EC" w:rsidRDefault="008710EC" w:rsidP="008710EC">
      <w:pPr>
        <w:spacing w:line="240" w:lineRule="auto"/>
        <w:jc w:val="both"/>
        <w:rPr>
          <w:rFonts w:ascii="Times New Roman" w:hAnsi="Times New Roman" w:cs="Times New Roman"/>
          <w:b/>
          <w:bCs/>
          <w:lang w:val="en-PH" w:eastAsia="en-PH"/>
        </w:rPr>
      </w:pPr>
    </w:p>
    <w:p w14:paraId="25E45000" w14:textId="6FADCB5F" w:rsidR="008710EC" w:rsidRPr="008710EC" w:rsidRDefault="008710EC" w:rsidP="008710EC">
      <w:pPr>
        <w:spacing w:line="240" w:lineRule="auto"/>
        <w:jc w:val="both"/>
        <w:rPr>
          <w:rFonts w:ascii="Times New Roman" w:hAnsi="Times New Roman" w:cs="Times New Roman"/>
          <w:b/>
          <w:lang w:val="en-PH" w:eastAsia="en-PH"/>
        </w:rPr>
      </w:pPr>
      <w:r w:rsidRPr="008710EC">
        <w:rPr>
          <w:rFonts w:ascii="Times New Roman" w:hAnsi="Times New Roman" w:cs="Times New Roman"/>
          <w:b/>
          <w:bCs/>
          <w:lang w:val="en-PH" w:eastAsia="en-PH"/>
        </w:rPr>
        <w:t>Table 4</w:t>
      </w:r>
      <w:r w:rsidRPr="008710EC">
        <w:rPr>
          <w:rFonts w:ascii="Times New Roman" w:hAnsi="Times New Roman" w:cs="Times New Roman"/>
          <w:b/>
          <w:lang w:val="en-PH" w:eastAsia="en-PH"/>
        </w:rPr>
        <w:t xml:space="preserve">. </w:t>
      </w:r>
      <w:r w:rsidRPr="008710EC">
        <w:rPr>
          <w:rFonts w:ascii="Times New Roman" w:hAnsi="Times New Roman" w:cs="Times New Roman"/>
          <w:b/>
          <w:i/>
          <w:iCs/>
          <w:lang w:val="en-PH" w:eastAsia="en-PH"/>
        </w:rPr>
        <w:t>Level of Knowledge in the Recommended Micronutrient Use in Pregnancy</w:t>
      </w:r>
    </w:p>
    <w:tbl>
      <w:tblPr>
        <w:tblW w:w="0" w:type="auto"/>
        <w:tblCellMar>
          <w:top w:w="15" w:type="dxa"/>
          <w:left w:w="15" w:type="dxa"/>
          <w:bottom w:w="15" w:type="dxa"/>
          <w:right w:w="15" w:type="dxa"/>
        </w:tblCellMar>
        <w:tblLook w:val="04A0" w:firstRow="1" w:lastRow="0" w:firstColumn="1" w:lastColumn="0" w:noHBand="0" w:noVBand="1"/>
      </w:tblPr>
      <w:tblGrid>
        <w:gridCol w:w="2807"/>
        <w:gridCol w:w="847"/>
        <w:gridCol w:w="800"/>
        <w:gridCol w:w="1723"/>
      </w:tblGrid>
      <w:tr w:rsidR="008710EC" w:rsidRPr="008710EC" w14:paraId="04344981" w14:textId="77777777" w:rsidTr="008710EC">
        <w:trPr>
          <w:trHeight w:val="520"/>
        </w:trPr>
        <w:tc>
          <w:tcPr>
            <w:tcW w:w="0" w:type="auto"/>
            <w:tcBorders>
              <w:top w:val="single" w:sz="8" w:space="0" w:color="000000"/>
              <w:bottom w:val="single" w:sz="8" w:space="0" w:color="000000"/>
            </w:tcBorders>
            <w:tcMar>
              <w:top w:w="0" w:type="dxa"/>
              <w:left w:w="100" w:type="dxa"/>
              <w:bottom w:w="0" w:type="dxa"/>
              <w:right w:w="100" w:type="dxa"/>
            </w:tcMar>
            <w:hideMark/>
          </w:tcPr>
          <w:p w14:paraId="50E30E04" w14:textId="795FF8CA" w:rsidR="008710EC" w:rsidRPr="008710EC" w:rsidRDefault="008710EC" w:rsidP="008710EC">
            <w:pPr>
              <w:spacing w:line="240" w:lineRule="auto"/>
              <w:jc w:val="both"/>
              <w:rPr>
                <w:rFonts w:ascii="Times New Roman" w:hAnsi="Times New Roman" w:cs="Times New Roman"/>
                <w:b/>
                <w:lang w:val="en-PH" w:eastAsia="en-PH"/>
              </w:rPr>
            </w:pPr>
            <w:r w:rsidRPr="008710EC">
              <w:rPr>
                <w:rFonts w:ascii="Times New Roman" w:hAnsi="Times New Roman" w:cs="Times New Roman"/>
                <w:b/>
                <w:lang w:val="en-PH" w:eastAsia="en-PH"/>
              </w:rPr>
              <w:t> Level of Knowledge</w:t>
            </w:r>
          </w:p>
        </w:tc>
        <w:tc>
          <w:tcPr>
            <w:tcW w:w="0" w:type="auto"/>
            <w:tcBorders>
              <w:top w:val="single" w:sz="8" w:space="0" w:color="000000"/>
              <w:bottom w:val="single" w:sz="8" w:space="0" w:color="000000"/>
            </w:tcBorders>
            <w:tcMar>
              <w:top w:w="0" w:type="dxa"/>
              <w:left w:w="100" w:type="dxa"/>
              <w:bottom w:w="0" w:type="dxa"/>
              <w:right w:w="100" w:type="dxa"/>
            </w:tcMar>
            <w:hideMark/>
          </w:tcPr>
          <w:p w14:paraId="06A291A7" w14:textId="18362BB8" w:rsidR="008710EC" w:rsidRPr="008710EC" w:rsidRDefault="008710EC" w:rsidP="008710EC">
            <w:pPr>
              <w:spacing w:line="240" w:lineRule="auto"/>
              <w:jc w:val="both"/>
              <w:rPr>
                <w:rFonts w:ascii="Times New Roman" w:hAnsi="Times New Roman" w:cs="Times New Roman"/>
                <w:b/>
                <w:lang w:val="en-PH" w:eastAsia="en-PH"/>
              </w:rPr>
            </w:pPr>
            <w:r w:rsidRPr="008710EC">
              <w:rPr>
                <w:rFonts w:ascii="Times New Roman" w:hAnsi="Times New Roman" w:cs="Times New Roman"/>
                <w:b/>
                <w:lang w:val="en-PH" w:eastAsia="en-PH"/>
              </w:rPr>
              <w:t> Mean</w:t>
            </w:r>
          </w:p>
        </w:tc>
        <w:tc>
          <w:tcPr>
            <w:tcW w:w="0" w:type="auto"/>
            <w:tcBorders>
              <w:top w:val="single" w:sz="8" w:space="0" w:color="000000"/>
              <w:bottom w:val="single" w:sz="8" w:space="0" w:color="000000"/>
            </w:tcBorders>
            <w:tcMar>
              <w:top w:w="0" w:type="dxa"/>
              <w:left w:w="100" w:type="dxa"/>
              <w:bottom w:w="0" w:type="dxa"/>
              <w:right w:w="100" w:type="dxa"/>
            </w:tcMar>
            <w:hideMark/>
          </w:tcPr>
          <w:p w14:paraId="785387CC" w14:textId="71380131" w:rsidR="008710EC" w:rsidRPr="008710EC" w:rsidRDefault="008710EC" w:rsidP="008710EC">
            <w:pPr>
              <w:spacing w:line="240" w:lineRule="auto"/>
              <w:jc w:val="both"/>
              <w:rPr>
                <w:rFonts w:ascii="Times New Roman" w:hAnsi="Times New Roman" w:cs="Times New Roman"/>
                <w:b/>
                <w:lang w:val="en-PH" w:eastAsia="en-PH"/>
              </w:rPr>
            </w:pPr>
            <w:r w:rsidRPr="008710EC">
              <w:rPr>
                <w:rFonts w:ascii="Times New Roman" w:hAnsi="Times New Roman" w:cs="Times New Roman"/>
                <w:b/>
                <w:lang w:val="en-PH" w:eastAsia="en-PH"/>
              </w:rPr>
              <w:t> SD</w:t>
            </w:r>
          </w:p>
        </w:tc>
        <w:tc>
          <w:tcPr>
            <w:tcW w:w="0" w:type="auto"/>
            <w:tcBorders>
              <w:top w:val="single" w:sz="8" w:space="0" w:color="000000"/>
              <w:bottom w:val="single" w:sz="8" w:space="0" w:color="000000"/>
            </w:tcBorders>
            <w:tcMar>
              <w:top w:w="0" w:type="dxa"/>
              <w:left w:w="100" w:type="dxa"/>
              <w:bottom w:w="0" w:type="dxa"/>
              <w:right w:w="100" w:type="dxa"/>
            </w:tcMar>
            <w:hideMark/>
          </w:tcPr>
          <w:p w14:paraId="4ADC65A5" w14:textId="0C929C5B" w:rsidR="008710EC" w:rsidRPr="008710EC" w:rsidRDefault="008710EC" w:rsidP="008710EC">
            <w:pPr>
              <w:spacing w:line="240" w:lineRule="auto"/>
              <w:jc w:val="both"/>
              <w:rPr>
                <w:rFonts w:ascii="Times New Roman" w:hAnsi="Times New Roman" w:cs="Times New Roman"/>
                <w:b/>
                <w:lang w:val="en-PH" w:eastAsia="en-PH"/>
              </w:rPr>
            </w:pPr>
            <w:r w:rsidRPr="008710EC">
              <w:rPr>
                <w:rFonts w:ascii="Times New Roman" w:hAnsi="Times New Roman" w:cs="Times New Roman"/>
                <w:b/>
                <w:lang w:val="en-PH" w:eastAsia="en-PH"/>
              </w:rPr>
              <w:t> Interpretation</w:t>
            </w:r>
          </w:p>
        </w:tc>
      </w:tr>
      <w:tr w:rsidR="008710EC" w:rsidRPr="008710EC" w14:paraId="1BBF9640" w14:textId="77777777" w:rsidTr="00E30757">
        <w:trPr>
          <w:trHeight w:val="196"/>
        </w:trPr>
        <w:tc>
          <w:tcPr>
            <w:tcW w:w="0" w:type="auto"/>
            <w:tcBorders>
              <w:top w:val="single" w:sz="8" w:space="0" w:color="000000"/>
            </w:tcBorders>
            <w:tcMar>
              <w:top w:w="0" w:type="dxa"/>
              <w:left w:w="100" w:type="dxa"/>
              <w:bottom w:w="0" w:type="dxa"/>
              <w:right w:w="100" w:type="dxa"/>
            </w:tcMar>
            <w:hideMark/>
          </w:tcPr>
          <w:p w14:paraId="16324505" w14:textId="5A3B294C"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Benefits of Micronutrients</w:t>
            </w:r>
          </w:p>
        </w:tc>
        <w:tc>
          <w:tcPr>
            <w:tcW w:w="0" w:type="auto"/>
            <w:tcBorders>
              <w:top w:val="single" w:sz="8" w:space="0" w:color="000000"/>
            </w:tcBorders>
            <w:tcMar>
              <w:top w:w="0" w:type="dxa"/>
              <w:left w:w="100" w:type="dxa"/>
              <w:bottom w:w="0" w:type="dxa"/>
              <w:right w:w="100" w:type="dxa"/>
            </w:tcMar>
            <w:hideMark/>
          </w:tcPr>
          <w:p w14:paraId="7541EE39" w14:textId="2AAC26CC"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9.563</w:t>
            </w:r>
          </w:p>
        </w:tc>
        <w:tc>
          <w:tcPr>
            <w:tcW w:w="0" w:type="auto"/>
            <w:tcBorders>
              <w:top w:val="single" w:sz="8" w:space="0" w:color="000000"/>
            </w:tcBorders>
            <w:tcMar>
              <w:top w:w="0" w:type="dxa"/>
              <w:left w:w="100" w:type="dxa"/>
              <w:bottom w:w="0" w:type="dxa"/>
              <w:right w:w="100" w:type="dxa"/>
            </w:tcMar>
            <w:hideMark/>
          </w:tcPr>
          <w:p w14:paraId="72D38994" w14:textId="29591FF3"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0.723</w:t>
            </w:r>
          </w:p>
        </w:tc>
        <w:tc>
          <w:tcPr>
            <w:tcW w:w="0" w:type="auto"/>
            <w:tcBorders>
              <w:top w:val="single" w:sz="8" w:space="0" w:color="000000"/>
            </w:tcBorders>
            <w:tcMar>
              <w:top w:w="0" w:type="dxa"/>
              <w:left w:w="100" w:type="dxa"/>
              <w:bottom w:w="0" w:type="dxa"/>
              <w:right w:w="100" w:type="dxa"/>
            </w:tcMar>
            <w:hideMark/>
          </w:tcPr>
          <w:p w14:paraId="3BA09D4E" w14:textId="5B2B7DD3"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High</w:t>
            </w:r>
          </w:p>
        </w:tc>
      </w:tr>
      <w:tr w:rsidR="008710EC" w:rsidRPr="008710EC" w14:paraId="71EEA923" w14:textId="77777777" w:rsidTr="00E30757">
        <w:trPr>
          <w:trHeight w:val="252"/>
        </w:trPr>
        <w:tc>
          <w:tcPr>
            <w:tcW w:w="0" w:type="auto"/>
            <w:tcBorders>
              <w:bottom w:val="single" w:sz="8" w:space="0" w:color="000000"/>
            </w:tcBorders>
            <w:tcMar>
              <w:top w:w="0" w:type="dxa"/>
              <w:left w:w="100" w:type="dxa"/>
              <w:bottom w:w="0" w:type="dxa"/>
              <w:right w:w="100" w:type="dxa"/>
            </w:tcMar>
            <w:hideMark/>
          </w:tcPr>
          <w:p w14:paraId="67C149B9" w14:textId="2E86EB9C"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Risks of Micronutrients</w:t>
            </w:r>
          </w:p>
        </w:tc>
        <w:tc>
          <w:tcPr>
            <w:tcW w:w="0" w:type="auto"/>
            <w:tcBorders>
              <w:bottom w:val="single" w:sz="8" w:space="0" w:color="000000"/>
            </w:tcBorders>
            <w:tcMar>
              <w:top w:w="0" w:type="dxa"/>
              <w:left w:w="100" w:type="dxa"/>
              <w:bottom w:w="0" w:type="dxa"/>
              <w:right w:w="100" w:type="dxa"/>
            </w:tcMar>
            <w:hideMark/>
          </w:tcPr>
          <w:p w14:paraId="1FD50F91" w14:textId="6D648705"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9.485</w:t>
            </w:r>
          </w:p>
        </w:tc>
        <w:tc>
          <w:tcPr>
            <w:tcW w:w="0" w:type="auto"/>
            <w:tcBorders>
              <w:bottom w:val="single" w:sz="8" w:space="0" w:color="000000"/>
            </w:tcBorders>
            <w:tcMar>
              <w:top w:w="0" w:type="dxa"/>
              <w:left w:w="100" w:type="dxa"/>
              <w:bottom w:w="0" w:type="dxa"/>
              <w:right w:w="100" w:type="dxa"/>
            </w:tcMar>
            <w:hideMark/>
          </w:tcPr>
          <w:p w14:paraId="11D0BDFA" w14:textId="449CC267"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0.765</w:t>
            </w:r>
          </w:p>
        </w:tc>
        <w:tc>
          <w:tcPr>
            <w:tcW w:w="0" w:type="auto"/>
            <w:tcBorders>
              <w:bottom w:val="single" w:sz="8" w:space="0" w:color="000000"/>
            </w:tcBorders>
            <w:tcMar>
              <w:top w:w="0" w:type="dxa"/>
              <w:left w:w="100" w:type="dxa"/>
              <w:bottom w:w="0" w:type="dxa"/>
              <w:right w:w="100" w:type="dxa"/>
            </w:tcMar>
            <w:hideMark/>
          </w:tcPr>
          <w:p w14:paraId="0A3A1971" w14:textId="4CDABF5C" w:rsidR="008710EC" w:rsidRPr="008710EC" w:rsidRDefault="00E30757" w:rsidP="008710EC">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8710EC" w:rsidRPr="008710EC">
              <w:rPr>
                <w:rFonts w:ascii="Times New Roman" w:hAnsi="Times New Roman" w:cs="Times New Roman"/>
                <w:lang w:val="en-PH" w:eastAsia="en-PH"/>
              </w:rPr>
              <w:t>High</w:t>
            </w:r>
          </w:p>
        </w:tc>
      </w:tr>
    </w:tbl>
    <w:p w14:paraId="107D778B" w14:textId="77777777" w:rsidR="003A695F" w:rsidRPr="000C2967" w:rsidRDefault="003A695F" w:rsidP="000C2967">
      <w:pPr>
        <w:spacing w:line="240" w:lineRule="auto"/>
        <w:jc w:val="both"/>
        <w:rPr>
          <w:rFonts w:ascii="Times New Roman" w:hAnsi="Times New Roman" w:cs="Times New Roman"/>
          <w:b/>
          <w:bCs/>
        </w:rPr>
      </w:pPr>
    </w:p>
    <w:p w14:paraId="2123E54D"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Table 4 shows that respondents demonstrated a very high level of knowledge regarding both the benefits and risks of micronutrient use during pregnancy. In the benefits component, respondents obtained an overall mean score of 9.563 out of 10, indicating near-perfect performance on knowledge-based items. Similarly, the risks component had an overall mean score of 9.485, indicating a very high level of knowledge. These results indicate that the respondents possess strong and well-balanced knowledge of micronutrient use during pregnancy.</w:t>
      </w:r>
    </w:p>
    <w:p w14:paraId="79207A22"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The consistently high scores across both components suggest that respondents have a comprehensive understanding of micronutrient supplementation, including both its therapeutic benefits and potential risks. Minor variations in a few items indicate slight differences in depth of understanding for specific concepts, but these do not significantly affect the overall interpretation. In addition, the results across demographic variables show that high levels of knowledge are generally consistent across age, years of experience, and practice setting.</w:t>
      </w:r>
    </w:p>
    <w:p w14:paraId="6DFA6F46" w14:textId="77777777" w:rsidR="008710EC" w:rsidRPr="008710EC" w:rsidRDefault="008710EC" w:rsidP="008710EC">
      <w:pPr>
        <w:spacing w:line="240" w:lineRule="auto"/>
        <w:ind w:firstLine="720"/>
        <w:jc w:val="both"/>
        <w:rPr>
          <w:rFonts w:ascii="Times New Roman" w:hAnsi="Times New Roman" w:cs="Times New Roman"/>
          <w:lang w:val="en-PH"/>
        </w:rPr>
      </w:pPr>
      <w:r w:rsidRPr="008710EC">
        <w:rPr>
          <w:rFonts w:ascii="Times New Roman" w:hAnsi="Times New Roman" w:cs="Times New Roman"/>
          <w:lang w:val="en-PH"/>
        </w:rPr>
        <w:t>These findings are consistent with studies highlighting the importance of standardized pharmaceutical education and continuing professional development in strengthening maternal health knowledge among healthcare providers. High knowledge levels reflect an understanding of the risk–benefit principle in clinical practice, which guides safe and effective decision-making in patient care (Gabbay &amp; Le May, 2004). Similarly, Zamanakou et al. (2020) emphasized that healthcare professionals play a critical role in prenatal education, as their knowledge directly influences the quality of counseling provided to pregnant women. However, slight variations in specific knowledge areas align with previous findings that practitioners may demonstrate a stronger understanding of general concepts than of more complex or technical aspects, such as dosage limits or nutrient interactions (Abebe et al., 2019).</w:t>
      </w:r>
    </w:p>
    <w:p w14:paraId="224321F4" w14:textId="77777777" w:rsidR="00B30C01" w:rsidRDefault="00B30C01" w:rsidP="008710EC">
      <w:pPr>
        <w:spacing w:line="240" w:lineRule="auto"/>
        <w:jc w:val="both"/>
        <w:rPr>
          <w:rFonts w:ascii="Times New Roman" w:hAnsi="Times New Roman" w:cs="Times New Roman"/>
          <w:b/>
          <w:bCs/>
          <w:lang w:val="en-PH"/>
        </w:rPr>
      </w:pPr>
    </w:p>
    <w:p w14:paraId="4ADB07D1" w14:textId="789CC9A7" w:rsidR="008710EC" w:rsidRPr="008710EC" w:rsidRDefault="008710EC" w:rsidP="0049134C">
      <w:pPr>
        <w:spacing w:after="0" w:line="240" w:lineRule="auto"/>
        <w:jc w:val="both"/>
        <w:rPr>
          <w:rFonts w:ascii="Times New Roman" w:hAnsi="Times New Roman" w:cs="Times New Roman"/>
          <w:b/>
          <w:lang w:val="en-PH"/>
        </w:rPr>
      </w:pPr>
      <w:r w:rsidRPr="008710EC">
        <w:rPr>
          <w:rFonts w:ascii="Times New Roman" w:hAnsi="Times New Roman" w:cs="Times New Roman"/>
          <w:b/>
          <w:bCs/>
          <w:lang w:val="en-PH"/>
        </w:rPr>
        <w:t>Table 5.</w:t>
      </w:r>
      <w:r>
        <w:rPr>
          <w:rFonts w:ascii="Times New Roman" w:hAnsi="Times New Roman" w:cs="Times New Roman"/>
          <w:lang w:val="en-PH"/>
        </w:rPr>
        <w:t xml:space="preserve"> </w:t>
      </w:r>
      <w:r w:rsidRPr="008710EC">
        <w:rPr>
          <w:rFonts w:ascii="Times New Roman" w:hAnsi="Times New Roman" w:cs="Times New Roman"/>
          <w:b/>
          <w:i/>
          <w:iCs/>
          <w:lang w:val="en-PH"/>
        </w:rPr>
        <w:t>Level of Knowledge in the recommended micronutrient use in pregnancy in terms of Benefits of Micronutrients</w:t>
      </w:r>
    </w:p>
    <w:tbl>
      <w:tblPr>
        <w:tblW w:w="0" w:type="auto"/>
        <w:tblCellMar>
          <w:top w:w="15" w:type="dxa"/>
          <w:left w:w="15" w:type="dxa"/>
          <w:bottom w:w="15" w:type="dxa"/>
          <w:right w:w="15" w:type="dxa"/>
        </w:tblCellMar>
        <w:tblLook w:val="04A0" w:firstRow="1" w:lastRow="0" w:firstColumn="1" w:lastColumn="0" w:noHBand="0" w:noVBand="1"/>
      </w:tblPr>
      <w:tblGrid>
        <w:gridCol w:w="7972"/>
        <w:gridCol w:w="847"/>
        <w:gridCol w:w="800"/>
      </w:tblGrid>
      <w:tr w:rsidR="008710EC" w:rsidRPr="008710EC" w14:paraId="4E205870" w14:textId="77777777" w:rsidTr="0049134C">
        <w:trPr>
          <w:trHeight w:val="331"/>
        </w:trPr>
        <w:tc>
          <w:tcPr>
            <w:tcW w:w="0" w:type="auto"/>
            <w:tcBorders>
              <w:top w:val="single" w:sz="8" w:space="0" w:color="000000"/>
              <w:bottom w:val="single" w:sz="8" w:space="0" w:color="000000"/>
            </w:tcBorders>
            <w:tcMar>
              <w:top w:w="0" w:type="dxa"/>
              <w:left w:w="100" w:type="dxa"/>
              <w:bottom w:w="0" w:type="dxa"/>
              <w:right w:w="100" w:type="dxa"/>
            </w:tcMar>
            <w:hideMark/>
          </w:tcPr>
          <w:p w14:paraId="39A4A6EE" w14:textId="1E346968" w:rsidR="008710EC" w:rsidRPr="008710EC"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8710EC" w:rsidRPr="008710EC">
              <w:rPr>
                <w:rFonts w:ascii="Times New Roman" w:hAnsi="Times New Roman" w:cs="Times New Roman"/>
                <w:b/>
                <w:lang w:val="en-PH"/>
              </w:rPr>
              <w:t>Benefits of Micronutrients</w:t>
            </w:r>
          </w:p>
        </w:tc>
        <w:tc>
          <w:tcPr>
            <w:tcW w:w="0" w:type="auto"/>
            <w:tcBorders>
              <w:top w:val="single" w:sz="8" w:space="0" w:color="000000"/>
              <w:bottom w:val="single" w:sz="8" w:space="0" w:color="000000"/>
            </w:tcBorders>
            <w:tcMar>
              <w:top w:w="0" w:type="dxa"/>
              <w:left w:w="100" w:type="dxa"/>
              <w:bottom w:w="0" w:type="dxa"/>
              <w:right w:w="100" w:type="dxa"/>
            </w:tcMar>
            <w:hideMark/>
          </w:tcPr>
          <w:p w14:paraId="59F6A7B6" w14:textId="5BBC6B69" w:rsidR="008710EC" w:rsidRPr="008710EC"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8710EC" w:rsidRPr="008710EC">
              <w:rPr>
                <w:rFonts w:ascii="Times New Roman" w:hAnsi="Times New Roman" w:cs="Times New Roman"/>
                <w:b/>
                <w:lang w:val="en-PH"/>
              </w:rPr>
              <w:t>Mean</w:t>
            </w:r>
          </w:p>
        </w:tc>
        <w:tc>
          <w:tcPr>
            <w:tcW w:w="0" w:type="auto"/>
            <w:tcBorders>
              <w:top w:val="single" w:sz="8" w:space="0" w:color="000000"/>
              <w:bottom w:val="single" w:sz="8" w:space="0" w:color="000000"/>
            </w:tcBorders>
            <w:tcMar>
              <w:top w:w="0" w:type="dxa"/>
              <w:left w:w="100" w:type="dxa"/>
              <w:bottom w:w="0" w:type="dxa"/>
              <w:right w:w="100" w:type="dxa"/>
            </w:tcMar>
            <w:hideMark/>
          </w:tcPr>
          <w:p w14:paraId="46693B9A" w14:textId="66717090" w:rsidR="008710EC" w:rsidRPr="008710EC"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8710EC" w:rsidRPr="008710EC">
              <w:rPr>
                <w:rFonts w:ascii="Times New Roman" w:hAnsi="Times New Roman" w:cs="Times New Roman"/>
                <w:b/>
                <w:lang w:val="en-PH"/>
              </w:rPr>
              <w:t>SD</w:t>
            </w:r>
          </w:p>
        </w:tc>
      </w:tr>
      <w:tr w:rsidR="008710EC" w:rsidRPr="008710EC" w14:paraId="532CA35A" w14:textId="77777777" w:rsidTr="001A343B">
        <w:trPr>
          <w:trHeight w:val="31"/>
        </w:trPr>
        <w:tc>
          <w:tcPr>
            <w:tcW w:w="0" w:type="auto"/>
            <w:tcBorders>
              <w:top w:val="single" w:sz="8" w:space="0" w:color="000000"/>
            </w:tcBorders>
            <w:tcMar>
              <w:top w:w="0" w:type="dxa"/>
              <w:left w:w="100" w:type="dxa"/>
              <w:bottom w:w="0" w:type="dxa"/>
              <w:right w:w="100" w:type="dxa"/>
            </w:tcMar>
            <w:hideMark/>
          </w:tcPr>
          <w:p w14:paraId="3CC0CE08" w14:textId="3CC88FC2" w:rsidR="008710EC" w:rsidRPr="008710EC"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1.    Folic acid supplementation during early pregnancy helps prevent</w:t>
            </w:r>
          </w:p>
        </w:tc>
        <w:tc>
          <w:tcPr>
            <w:tcW w:w="0" w:type="auto"/>
            <w:tcBorders>
              <w:top w:val="single" w:sz="8" w:space="0" w:color="000000"/>
            </w:tcBorders>
            <w:tcMar>
              <w:top w:w="0" w:type="dxa"/>
              <w:left w:w="100" w:type="dxa"/>
              <w:bottom w:w="0" w:type="dxa"/>
              <w:right w:w="100" w:type="dxa"/>
            </w:tcMar>
            <w:hideMark/>
          </w:tcPr>
          <w:p w14:paraId="43442265" w14:textId="60BF3109"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0.981</w:t>
            </w:r>
          </w:p>
        </w:tc>
        <w:tc>
          <w:tcPr>
            <w:tcW w:w="0" w:type="auto"/>
            <w:tcBorders>
              <w:top w:val="single" w:sz="8" w:space="0" w:color="000000"/>
            </w:tcBorders>
            <w:tcMar>
              <w:top w:w="0" w:type="dxa"/>
              <w:left w:w="100" w:type="dxa"/>
              <w:bottom w:w="0" w:type="dxa"/>
              <w:right w:w="100" w:type="dxa"/>
            </w:tcMar>
            <w:hideMark/>
          </w:tcPr>
          <w:p w14:paraId="1618DEEB" w14:textId="21C91C49"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0.139</w:t>
            </w:r>
          </w:p>
        </w:tc>
      </w:tr>
      <w:tr w:rsidR="008710EC" w:rsidRPr="008710EC" w14:paraId="06EADE38" w14:textId="77777777" w:rsidTr="001A343B">
        <w:trPr>
          <w:trHeight w:val="144"/>
        </w:trPr>
        <w:tc>
          <w:tcPr>
            <w:tcW w:w="0" w:type="auto"/>
            <w:tcMar>
              <w:top w:w="0" w:type="dxa"/>
              <w:left w:w="100" w:type="dxa"/>
              <w:bottom w:w="0" w:type="dxa"/>
              <w:right w:w="100" w:type="dxa"/>
            </w:tcMar>
            <w:hideMark/>
          </w:tcPr>
          <w:p w14:paraId="3F99A73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2.    Iron supplementation during pregnancy is mainly recommended to</w:t>
            </w:r>
          </w:p>
        </w:tc>
        <w:tc>
          <w:tcPr>
            <w:tcW w:w="0" w:type="auto"/>
            <w:tcMar>
              <w:top w:w="0" w:type="dxa"/>
              <w:left w:w="100" w:type="dxa"/>
              <w:bottom w:w="0" w:type="dxa"/>
              <w:right w:w="100" w:type="dxa"/>
            </w:tcMar>
            <w:hideMark/>
          </w:tcPr>
          <w:p w14:paraId="3ACDAB00" w14:textId="3B4ED338"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1.000</w:t>
            </w:r>
          </w:p>
        </w:tc>
        <w:tc>
          <w:tcPr>
            <w:tcW w:w="0" w:type="auto"/>
            <w:tcMar>
              <w:top w:w="0" w:type="dxa"/>
              <w:left w:w="100" w:type="dxa"/>
              <w:bottom w:w="0" w:type="dxa"/>
              <w:right w:w="100" w:type="dxa"/>
            </w:tcMar>
            <w:hideMark/>
          </w:tcPr>
          <w:p w14:paraId="6E9FE396" w14:textId="5A09D5BF"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0.000</w:t>
            </w:r>
          </w:p>
        </w:tc>
      </w:tr>
      <w:tr w:rsidR="008710EC" w:rsidRPr="008710EC" w14:paraId="1336BDE5" w14:textId="77777777" w:rsidTr="001A343B">
        <w:trPr>
          <w:trHeight w:val="135"/>
        </w:trPr>
        <w:tc>
          <w:tcPr>
            <w:tcW w:w="0" w:type="auto"/>
            <w:tcMar>
              <w:top w:w="0" w:type="dxa"/>
              <w:left w:w="100" w:type="dxa"/>
              <w:bottom w:w="0" w:type="dxa"/>
              <w:right w:w="100" w:type="dxa"/>
            </w:tcMar>
            <w:hideMark/>
          </w:tcPr>
          <w:p w14:paraId="070A0FE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3.    Calcium intake during pregnancy is important because it</w:t>
            </w:r>
          </w:p>
        </w:tc>
        <w:tc>
          <w:tcPr>
            <w:tcW w:w="0" w:type="auto"/>
            <w:tcMar>
              <w:top w:w="0" w:type="dxa"/>
              <w:left w:w="100" w:type="dxa"/>
              <w:bottom w:w="0" w:type="dxa"/>
              <w:right w:w="100" w:type="dxa"/>
            </w:tcMar>
            <w:hideMark/>
          </w:tcPr>
          <w:p w14:paraId="54999306" w14:textId="0CB11700"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0.971</w:t>
            </w:r>
          </w:p>
        </w:tc>
        <w:tc>
          <w:tcPr>
            <w:tcW w:w="0" w:type="auto"/>
            <w:tcMar>
              <w:top w:w="0" w:type="dxa"/>
              <w:left w:w="100" w:type="dxa"/>
              <w:bottom w:w="0" w:type="dxa"/>
              <w:right w:w="100" w:type="dxa"/>
            </w:tcMar>
            <w:hideMark/>
          </w:tcPr>
          <w:p w14:paraId="748AFDC7" w14:textId="00CC178C" w:rsidR="008710EC" w:rsidRPr="008710EC" w:rsidRDefault="001A343B"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8710EC" w:rsidRPr="008710EC">
              <w:rPr>
                <w:rFonts w:ascii="Times New Roman" w:hAnsi="Times New Roman" w:cs="Times New Roman"/>
                <w:lang w:val="en-PH"/>
              </w:rPr>
              <w:t>0.169</w:t>
            </w:r>
          </w:p>
        </w:tc>
      </w:tr>
      <w:tr w:rsidR="008710EC" w:rsidRPr="008710EC" w14:paraId="443AB678" w14:textId="77777777" w:rsidTr="001A343B">
        <w:trPr>
          <w:trHeight w:val="51"/>
        </w:trPr>
        <w:tc>
          <w:tcPr>
            <w:tcW w:w="0" w:type="auto"/>
            <w:tcMar>
              <w:top w:w="0" w:type="dxa"/>
              <w:left w:w="100" w:type="dxa"/>
              <w:bottom w:w="0" w:type="dxa"/>
              <w:right w:w="100" w:type="dxa"/>
            </w:tcMar>
            <w:hideMark/>
          </w:tcPr>
          <w:p w14:paraId="361FC4B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4.    Vitamin D during pregnancy helps in</w:t>
            </w:r>
          </w:p>
        </w:tc>
        <w:tc>
          <w:tcPr>
            <w:tcW w:w="0" w:type="auto"/>
            <w:tcMar>
              <w:top w:w="0" w:type="dxa"/>
              <w:left w:w="100" w:type="dxa"/>
              <w:bottom w:w="0" w:type="dxa"/>
              <w:right w:w="100" w:type="dxa"/>
            </w:tcMar>
            <w:hideMark/>
          </w:tcPr>
          <w:p w14:paraId="7BCBA2F5"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0.932</w:t>
            </w:r>
          </w:p>
        </w:tc>
        <w:tc>
          <w:tcPr>
            <w:tcW w:w="0" w:type="auto"/>
            <w:tcMar>
              <w:top w:w="0" w:type="dxa"/>
              <w:left w:w="100" w:type="dxa"/>
              <w:bottom w:w="0" w:type="dxa"/>
              <w:right w:w="100" w:type="dxa"/>
            </w:tcMar>
            <w:hideMark/>
          </w:tcPr>
          <w:p w14:paraId="4E378D76"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0.243</w:t>
            </w:r>
          </w:p>
        </w:tc>
      </w:tr>
      <w:tr w:rsidR="008710EC" w:rsidRPr="008710EC" w14:paraId="1F1E151F" w14:textId="77777777" w:rsidTr="001A343B">
        <w:trPr>
          <w:trHeight w:val="51"/>
        </w:trPr>
        <w:tc>
          <w:tcPr>
            <w:tcW w:w="0" w:type="auto"/>
            <w:tcMar>
              <w:top w:w="0" w:type="dxa"/>
              <w:left w:w="100" w:type="dxa"/>
              <w:bottom w:w="0" w:type="dxa"/>
              <w:right w:w="100" w:type="dxa"/>
            </w:tcMar>
            <w:hideMark/>
          </w:tcPr>
          <w:p w14:paraId="1B76E1D4"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5.    Adequate iodine intake during pregnancy supports</w:t>
            </w:r>
          </w:p>
        </w:tc>
        <w:tc>
          <w:tcPr>
            <w:tcW w:w="0" w:type="auto"/>
            <w:tcMar>
              <w:top w:w="0" w:type="dxa"/>
              <w:left w:w="100" w:type="dxa"/>
              <w:bottom w:w="0" w:type="dxa"/>
              <w:right w:w="100" w:type="dxa"/>
            </w:tcMar>
            <w:hideMark/>
          </w:tcPr>
          <w:p w14:paraId="3AC23963"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0.854</w:t>
            </w:r>
          </w:p>
        </w:tc>
        <w:tc>
          <w:tcPr>
            <w:tcW w:w="0" w:type="auto"/>
            <w:tcMar>
              <w:top w:w="0" w:type="dxa"/>
              <w:left w:w="100" w:type="dxa"/>
              <w:bottom w:w="0" w:type="dxa"/>
              <w:right w:w="100" w:type="dxa"/>
            </w:tcMar>
            <w:hideMark/>
          </w:tcPr>
          <w:p w14:paraId="48206DB8"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0.354</w:t>
            </w:r>
          </w:p>
        </w:tc>
      </w:tr>
      <w:tr w:rsidR="008710EC" w:rsidRPr="008710EC" w14:paraId="66EDA994" w14:textId="77777777" w:rsidTr="001A343B">
        <w:trPr>
          <w:trHeight w:val="51"/>
        </w:trPr>
        <w:tc>
          <w:tcPr>
            <w:tcW w:w="0" w:type="auto"/>
            <w:tcMar>
              <w:top w:w="0" w:type="dxa"/>
              <w:left w:w="100" w:type="dxa"/>
              <w:bottom w:w="0" w:type="dxa"/>
              <w:right w:w="100" w:type="dxa"/>
            </w:tcMar>
            <w:hideMark/>
          </w:tcPr>
          <w:p w14:paraId="601D019A"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6.    Multiple micronutrient supplementation during pregnancy primarily helps to</w:t>
            </w:r>
          </w:p>
        </w:tc>
        <w:tc>
          <w:tcPr>
            <w:tcW w:w="0" w:type="auto"/>
            <w:tcMar>
              <w:top w:w="0" w:type="dxa"/>
              <w:left w:w="100" w:type="dxa"/>
              <w:bottom w:w="0" w:type="dxa"/>
              <w:right w:w="100" w:type="dxa"/>
            </w:tcMar>
            <w:hideMark/>
          </w:tcPr>
          <w:p w14:paraId="53D36BC0"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0.961</w:t>
            </w:r>
          </w:p>
        </w:tc>
        <w:tc>
          <w:tcPr>
            <w:tcW w:w="0" w:type="auto"/>
            <w:tcMar>
              <w:top w:w="0" w:type="dxa"/>
              <w:left w:w="100" w:type="dxa"/>
              <w:bottom w:w="0" w:type="dxa"/>
              <w:right w:w="100" w:type="dxa"/>
            </w:tcMar>
            <w:hideMark/>
          </w:tcPr>
          <w:p w14:paraId="70D999C9"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0.194</w:t>
            </w:r>
          </w:p>
        </w:tc>
      </w:tr>
      <w:tr w:rsidR="008710EC" w:rsidRPr="008710EC" w14:paraId="1D9C3A0A" w14:textId="77777777" w:rsidTr="001A343B">
        <w:trPr>
          <w:trHeight w:val="108"/>
        </w:trPr>
        <w:tc>
          <w:tcPr>
            <w:tcW w:w="0" w:type="auto"/>
            <w:tcMar>
              <w:top w:w="0" w:type="dxa"/>
              <w:left w:w="100" w:type="dxa"/>
              <w:bottom w:w="0" w:type="dxa"/>
              <w:right w:w="100" w:type="dxa"/>
            </w:tcMar>
            <w:hideMark/>
          </w:tcPr>
          <w:p w14:paraId="468F92D1"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7.    Vitamin C intake during pregnancy is important because it</w:t>
            </w:r>
          </w:p>
        </w:tc>
        <w:tc>
          <w:tcPr>
            <w:tcW w:w="0" w:type="auto"/>
            <w:tcMar>
              <w:top w:w="0" w:type="dxa"/>
              <w:left w:w="100" w:type="dxa"/>
              <w:bottom w:w="0" w:type="dxa"/>
              <w:right w:w="100" w:type="dxa"/>
            </w:tcMar>
            <w:hideMark/>
          </w:tcPr>
          <w:p w14:paraId="0D004607"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0.961</w:t>
            </w:r>
          </w:p>
        </w:tc>
        <w:tc>
          <w:tcPr>
            <w:tcW w:w="0" w:type="auto"/>
            <w:tcMar>
              <w:top w:w="0" w:type="dxa"/>
              <w:left w:w="100" w:type="dxa"/>
              <w:bottom w:w="0" w:type="dxa"/>
              <w:right w:w="100" w:type="dxa"/>
            </w:tcMar>
            <w:hideMark/>
          </w:tcPr>
          <w:p w14:paraId="5E8B35C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0.194</w:t>
            </w:r>
          </w:p>
        </w:tc>
      </w:tr>
      <w:tr w:rsidR="008710EC" w:rsidRPr="008710EC" w14:paraId="0FF269FB" w14:textId="77777777" w:rsidTr="001A343B">
        <w:trPr>
          <w:trHeight w:val="51"/>
        </w:trPr>
        <w:tc>
          <w:tcPr>
            <w:tcW w:w="0" w:type="auto"/>
            <w:tcMar>
              <w:top w:w="0" w:type="dxa"/>
              <w:left w:w="100" w:type="dxa"/>
              <w:bottom w:w="0" w:type="dxa"/>
              <w:right w:w="100" w:type="dxa"/>
            </w:tcMar>
            <w:hideMark/>
          </w:tcPr>
          <w:p w14:paraId="0D6B646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8.    Adequate micronutrient intake during pregnancy helps reduce the risk of</w:t>
            </w:r>
          </w:p>
        </w:tc>
        <w:tc>
          <w:tcPr>
            <w:tcW w:w="0" w:type="auto"/>
            <w:tcMar>
              <w:top w:w="0" w:type="dxa"/>
              <w:left w:w="100" w:type="dxa"/>
              <w:bottom w:w="0" w:type="dxa"/>
              <w:right w:w="100" w:type="dxa"/>
            </w:tcMar>
            <w:hideMark/>
          </w:tcPr>
          <w:p w14:paraId="6BF89EC8"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0.990</w:t>
            </w:r>
          </w:p>
        </w:tc>
        <w:tc>
          <w:tcPr>
            <w:tcW w:w="0" w:type="auto"/>
            <w:tcMar>
              <w:top w:w="0" w:type="dxa"/>
              <w:left w:w="100" w:type="dxa"/>
              <w:bottom w:w="0" w:type="dxa"/>
              <w:right w:w="100" w:type="dxa"/>
            </w:tcMar>
            <w:hideMark/>
          </w:tcPr>
          <w:p w14:paraId="3BF06228"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0.99</w:t>
            </w:r>
          </w:p>
        </w:tc>
      </w:tr>
      <w:tr w:rsidR="008710EC" w:rsidRPr="008710EC" w14:paraId="2E49ADEE" w14:textId="77777777" w:rsidTr="001A343B">
        <w:trPr>
          <w:trHeight w:val="51"/>
        </w:trPr>
        <w:tc>
          <w:tcPr>
            <w:tcW w:w="0" w:type="auto"/>
            <w:tcMar>
              <w:top w:w="0" w:type="dxa"/>
              <w:left w:w="100" w:type="dxa"/>
              <w:bottom w:w="0" w:type="dxa"/>
              <w:right w:w="100" w:type="dxa"/>
            </w:tcMar>
            <w:hideMark/>
          </w:tcPr>
          <w:p w14:paraId="61D886AB"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9.    Proper micronutrient supplementation contributes to</w:t>
            </w:r>
          </w:p>
        </w:tc>
        <w:tc>
          <w:tcPr>
            <w:tcW w:w="0" w:type="auto"/>
            <w:tcMar>
              <w:top w:w="0" w:type="dxa"/>
              <w:left w:w="100" w:type="dxa"/>
              <w:bottom w:w="0" w:type="dxa"/>
              <w:right w:w="100" w:type="dxa"/>
            </w:tcMar>
            <w:hideMark/>
          </w:tcPr>
          <w:p w14:paraId="4AB328B6"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1.000</w:t>
            </w:r>
          </w:p>
        </w:tc>
        <w:tc>
          <w:tcPr>
            <w:tcW w:w="0" w:type="auto"/>
            <w:tcMar>
              <w:top w:w="0" w:type="dxa"/>
              <w:left w:w="100" w:type="dxa"/>
              <w:bottom w:w="0" w:type="dxa"/>
              <w:right w:w="100" w:type="dxa"/>
            </w:tcMar>
            <w:hideMark/>
          </w:tcPr>
          <w:p w14:paraId="562D98BF"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0.000</w:t>
            </w:r>
          </w:p>
        </w:tc>
      </w:tr>
      <w:tr w:rsidR="008710EC" w:rsidRPr="008710EC" w14:paraId="216750D1" w14:textId="77777777" w:rsidTr="001A343B">
        <w:trPr>
          <w:trHeight w:val="51"/>
        </w:trPr>
        <w:tc>
          <w:tcPr>
            <w:tcW w:w="0" w:type="auto"/>
            <w:tcMar>
              <w:top w:w="0" w:type="dxa"/>
              <w:left w:w="100" w:type="dxa"/>
              <w:bottom w:w="0" w:type="dxa"/>
              <w:right w:w="100" w:type="dxa"/>
            </w:tcMar>
            <w:hideMark/>
          </w:tcPr>
          <w:p w14:paraId="5BA2556E"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10. Prenatal micronutrient supplementation is recommended to</w:t>
            </w:r>
          </w:p>
        </w:tc>
        <w:tc>
          <w:tcPr>
            <w:tcW w:w="0" w:type="auto"/>
            <w:tcMar>
              <w:top w:w="0" w:type="dxa"/>
              <w:left w:w="100" w:type="dxa"/>
              <w:bottom w:w="0" w:type="dxa"/>
              <w:right w:w="100" w:type="dxa"/>
            </w:tcMar>
            <w:hideMark/>
          </w:tcPr>
          <w:p w14:paraId="7DB45238"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0.913</w:t>
            </w:r>
          </w:p>
        </w:tc>
        <w:tc>
          <w:tcPr>
            <w:tcW w:w="0" w:type="auto"/>
            <w:tcMar>
              <w:top w:w="0" w:type="dxa"/>
              <w:left w:w="100" w:type="dxa"/>
              <w:bottom w:w="0" w:type="dxa"/>
              <w:right w:w="100" w:type="dxa"/>
            </w:tcMar>
            <w:hideMark/>
          </w:tcPr>
          <w:p w14:paraId="09C338D1"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0.284</w:t>
            </w:r>
          </w:p>
        </w:tc>
      </w:tr>
      <w:tr w:rsidR="008710EC" w:rsidRPr="008710EC" w14:paraId="2B1EAACC" w14:textId="77777777" w:rsidTr="001A343B">
        <w:trPr>
          <w:trHeight w:val="51"/>
        </w:trPr>
        <w:tc>
          <w:tcPr>
            <w:tcW w:w="0" w:type="auto"/>
            <w:tcBorders>
              <w:bottom w:val="single" w:sz="8" w:space="0" w:color="000000"/>
            </w:tcBorders>
            <w:tcMar>
              <w:top w:w="0" w:type="dxa"/>
              <w:left w:w="100" w:type="dxa"/>
              <w:bottom w:w="0" w:type="dxa"/>
              <w:right w:w="100" w:type="dxa"/>
            </w:tcMar>
            <w:hideMark/>
          </w:tcPr>
          <w:p w14:paraId="13941FD2"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 xml:space="preserve">Total </w:t>
            </w:r>
            <w:r w:rsidRPr="008710EC">
              <w:rPr>
                <w:rFonts w:ascii="Times New Roman" w:hAnsi="Times New Roman" w:cs="Times New Roman"/>
                <w:lang w:val="en-PH"/>
              </w:rPr>
              <w:tab/>
            </w:r>
          </w:p>
        </w:tc>
        <w:tc>
          <w:tcPr>
            <w:tcW w:w="0" w:type="auto"/>
            <w:tcBorders>
              <w:bottom w:val="single" w:sz="8" w:space="0" w:color="000000"/>
            </w:tcBorders>
            <w:tcMar>
              <w:top w:w="0" w:type="dxa"/>
              <w:left w:w="100" w:type="dxa"/>
              <w:bottom w:w="0" w:type="dxa"/>
              <w:right w:w="100" w:type="dxa"/>
            </w:tcMar>
            <w:hideMark/>
          </w:tcPr>
          <w:p w14:paraId="3495701D"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9.563</w:t>
            </w:r>
          </w:p>
        </w:tc>
        <w:tc>
          <w:tcPr>
            <w:tcW w:w="0" w:type="auto"/>
            <w:tcBorders>
              <w:bottom w:val="single" w:sz="8" w:space="0" w:color="000000"/>
            </w:tcBorders>
            <w:tcMar>
              <w:top w:w="0" w:type="dxa"/>
              <w:left w:w="100" w:type="dxa"/>
              <w:bottom w:w="0" w:type="dxa"/>
              <w:right w:w="100" w:type="dxa"/>
            </w:tcMar>
            <w:hideMark/>
          </w:tcPr>
          <w:p w14:paraId="63FAE48C" w14:textId="77777777" w:rsidR="008710EC" w:rsidRPr="008710EC" w:rsidRDefault="008710EC" w:rsidP="0049134C">
            <w:pPr>
              <w:spacing w:after="0" w:line="240" w:lineRule="auto"/>
              <w:jc w:val="both"/>
              <w:rPr>
                <w:rFonts w:ascii="Times New Roman" w:hAnsi="Times New Roman" w:cs="Times New Roman"/>
                <w:lang w:val="en-PH"/>
              </w:rPr>
            </w:pPr>
            <w:r w:rsidRPr="008710EC">
              <w:rPr>
                <w:rFonts w:ascii="Times New Roman" w:hAnsi="Times New Roman" w:cs="Times New Roman"/>
                <w:lang w:val="en-PH"/>
              </w:rPr>
              <w:t>0.723</w:t>
            </w:r>
          </w:p>
        </w:tc>
      </w:tr>
    </w:tbl>
    <w:p w14:paraId="22FB2E01" w14:textId="77777777" w:rsidR="003A695F" w:rsidRPr="000C2967" w:rsidRDefault="003A695F" w:rsidP="0049134C">
      <w:pPr>
        <w:spacing w:after="0" w:line="240" w:lineRule="auto"/>
        <w:jc w:val="both"/>
        <w:rPr>
          <w:rFonts w:ascii="Times New Roman" w:hAnsi="Times New Roman" w:cs="Times New Roman"/>
          <w:b/>
          <w:bCs/>
        </w:rPr>
      </w:pPr>
    </w:p>
    <w:p w14:paraId="154057A7" w14:textId="77777777" w:rsidR="008710EC" w:rsidRPr="008710EC" w:rsidRDefault="008710EC" w:rsidP="0049134C">
      <w:pPr>
        <w:spacing w:after="0" w:line="240" w:lineRule="auto"/>
        <w:ind w:firstLine="720"/>
        <w:jc w:val="both"/>
        <w:rPr>
          <w:rFonts w:ascii="Times New Roman" w:hAnsi="Times New Roman" w:cs="Times New Roman"/>
          <w:lang w:val="en-PH"/>
        </w:rPr>
      </w:pPr>
      <w:r w:rsidRPr="008710EC">
        <w:rPr>
          <w:rFonts w:ascii="Times New Roman" w:hAnsi="Times New Roman" w:cs="Times New Roman"/>
          <w:lang w:val="en-PH"/>
        </w:rPr>
        <w:t>Table 5 presents the respondents’ level of knowledge regarding the benefits of recommended micronutrients during pregnancy. The findings revealed an overall mean score of 9.563, interpreted as Very High Knowledge, indicating that the respondents were highly knowledgeable about the positive effects of micronutrient supplementation among first- and second-trimester pregnant women. Most of the items obtained mean scores close to 1.00, suggesting that respondents were able to correctly identify the essential benefits of micronutrients such as folic acid, iron, calcium, and vitamin D in supporting maternal health and fetal development.</w:t>
      </w:r>
    </w:p>
    <w:p w14:paraId="606F62DB" w14:textId="77777777" w:rsidR="008710EC" w:rsidRPr="008710EC" w:rsidRDefault="008710EC" w:rsidP="0049134C">
      <w:pPr>
        <w:spacing w:after="0" w:line="240" w:lineRule="auto"/>
        <w:ind w:firstLine="720"/>
        <w:jc w:val="both"/>
        <w:rPr>
          <w:rFonts w:ascii="Times New Roman" w:hAnsi="Times New Roman" w:cs="Times New Roman"/>
          <w:lang w:val="en-PH"/>
        </w:rPr>
      </w:pPr>
      <w:r w:rsidRPr="008710EC">
        <w:rPr>
          <w:rFonts w:ascii="Times New Roman" w:hAnsi="Times New Roman" w:cs="Times New Roman"/>
          <w:lang w:val="en-PH"/>
        </w:rPr>
        <w:t>This finding suggests that pharmacists are well-informed about the role of micronutrients in preventing maternal anemia, supporting fetal brain and neural tube development, strengthening maternal bone health, and reducing pregnancy-related complications. Their strong knowledge may be attributed to formal pharmacy education, clinical exposure, and access to updated healthcare information regarding maternal nutrition.</w:t>
      </w:r>
    </w:p>
    <w:p w14:paraId="2C304673" w14:textId="77777777" w:rsidR="008710EC" w:rsidRPr="008710EC" w:rsidRDefault="008710EC" w:rsidP="0049134C">
      <w:pPr>
        <w:spacing w:after="0" w:line="240" w:lineRule="auto"/>
        <w:ind w:firstLine="720"/>
        <w:jc w:val="both"/>
        <w:rPr>
          <w:rFonts w:ascii="Times New Roman" w:hAnsi="Times New Roman" w:cs="Times New Roman"/>
          <w:lang w:val="en-PH"/>
        </w:rPr>
      </w:pPr>
      <w:r w:rsidRPr="008710EC">
        <w:rPr>
          <w:rFonts w:ascii="Times New Roman" w:hAnsi="Times New Roman" w:cs="Times New Roman"/>
          <w:lang w:val="en-PH"/>
        </w:rPr>
        <w:t>The consistently high scores across respondents also imply that knowledge on micronutrient benefits is generally uniform regardless of demographic factors such as age, years of experience, and practice setting. This supports the idea that pharmacists possess a strong foundational understanding of prenatal nutritional needs, allowing them to provide appropriate recommendations to pregnant women.</w:t>
      </w:r>
    </w:p>
    <w:p w14:paraId="530B69EA" w14:textId="77777777" w:rsidR="008710EC" w:rsidRPr="008710EC" w:rsidRDefault="008710EC" w:rsidP="0049134C">
      <w:pPr>
        <w:spacing w:after="0" w:line="240" w:lineRule="auto"/>
        <w:ind w:firstLine="720"/>
        <w:jc w:val="both"/>
        <w:rPr>
          <w:rFonts w:ascii="Times New Roman" w:hAnsi="Times New Roman" w:cs="Times New Roman"/>
          <w:lang w:val="en-PH"/>
        </w:rPr>
      </w:pPr>
      <w:r w:rsidRPr="008710EC">
        <w:rPr>
          <w:rFonts w:ascii="Times New Roman" w:hAnsi="Times New Roman" w:cs="Times New Roman"/>
          <w:lang w:val="en-PH"/>
        </w:rPr>
        <w:t>However, slight decreases in some specific items may indicate minor knowledge gaps in certain micronutrient-related concepts. These areas may still require reinforcement through continuous professional development seminars and updated maternal health training programs.</w:t>
      </w:r>
    </w:p>
    <w:p w14:paraId="77EB226D" w14:textId="77777777" w:rsidR="008710EC" w:rsidRPr="00397AE4" w:rsidRDefault="008710EC" w:rsidP="0049134C">
      <w:pPr>
        <w:spacing w:after="0" w:line="240" w:lineRule="auto"/>
        <w:ind w:firstLine="720"/>
        <w:jc w:val="both"/>
        <w:rPr>
          <w:rFonts w:ascii="Times New Roman" w:hAnsi="Times New Roman" w:cs="Times New Roman"/>
          <w:b/>
          <w:lang w:val="en-PH"/>
        </w:rPr>
      </w:pPr>
      <w:r w:rsidRPr="008710EC">
        <w:rPr>
          <w:rFonts w:ascii="Times New Roman" w:hAnsi="Times New Roman" w:cs="Times New Roman"/>
          <w:lang w:val="en-PH"/>
        </w:rPr>
        <w:t xml:space="preserve">The findings support the study of Zamanakou et al. (2020), which emphasized that healthcare providers’ knowledge on prenatal nutrition significantly influences the quality of maternal healthcare counseling. Similarly, World Health Organization (2020) highlighted that proper healthcare provider knowledge is essential in ensuring safe and </w:t>
      </w:r>
      <w:r w:rsidRPr="00397AE4">
        <w:rPr>
          <w:rFonts w:ascii="Times New Roman" w:hAnsi="Times New Roman" w:cs="Times New Roman"/>
          <w:lang w:val="en-PH"/>
        </w:rPr>
        <w:t>effective micronutrient use during pregnancy.</w:t>
      </w:r>
    </w:p>
    <w:p w14:paraId="047A4DEF" w14:textId="77777777" w:rsidR="00B30C01" w:rsidRDefault="00B30C01" w:rsidP="0049134C">
      <w:pPr>
        <w:spacing w:after="0" w:line="240" w:lineRule="auto"/>
        <w:jc w:val="both"/>
        <w:rPr>
          <w:rFonts w:ascii="Times New Roman" w:hAnsi="Times New Roman" w:cs="Times New Roman"/>
          <w:b/>
          <w:bCs/>
          <w:lang w:val="en-PH"/>
        </w:rPr>
      </w:pPr>
    </w:p>
    <w:p w14:paraId="19580D62" w14:textId="77777777" w:rsidR="001A343B" w:rsidRDefault="001A343B" w:rsidP="0049134C">
      <w:pPr>
        <w:spacing w:after="0" w:line="240" w:lineRule="auto"/>
        <w:jc w:val="both"/>
        <w:rPr>
          <w:rFonts w:ascii="Times New Roman" w:hAnsi="Times New Roman" w:cs="Times New Roman"/>
          <w:b/>
          <w:bCs/>
          <w:lang w:val="en-PH"/>
        </w:rPr>
      </w:pPr>
    </w:p>
    <w:p w14:paraId="1D12D767" w14:textId="7497A1CB" w:rsidR="00397AE4" w:rsidRPr="00397AE4" w:rsidRDefault="00397AE4" w:rsidP="0049134C">
      <w:pPr>
        <w:spacing w:after="0" w:line="240" w:lineRule="auto"/>
        <w:jc w:val="both"/>
        <w:rPr>
          <w:rFonts w:ascii="Times New Roman" w:hAnsi="Times New Roman" w:cs="Times New Roman"/>
          <w:b/>
          <w:lang w:val="en-PH"/>
        </w:rPr>
      </w:pPr>
      <w:r w:rsidRPr="00397AE4">
        <w:rPr>
          <w:rFonts w:ascii="Times New Roman" w:hAnsi="Times New Roman" w:cs="Times New Roman"/>
          <w:b/>
          <w:bCs/>
          <w:lang w:val="en-PH"/>
        </w:rPr>
        <w:t>Table 6.</w:t>
      </w:r>
      <w:r w:rsidRPr="00397AE4">
        <w:rPr>
          <w:rFonts w:ascii="Times New Roman" w:hAnsi="Times New Roman" w:cs="Times New Roman"/>
          <w:b/>
          <w:lang w:val="en-PH"/>
        </w:rPr>
        <w:t xml:space="preserve"> </w:t>
      </w:r>
      <w:r w:rsidRPr="00397AE4">
        <w:rPr>
          <w:rFonts w:ascii="Times New Roman" w:hAnsi="Times New Roman" w:cs="Times New Roman"/>
          <w:b/>
          <w:i/>
          <w:iCs/>
          <w:lang w:val="en-PH"/>
        </w:rPr>
        <w:t>Level of Knowledge in the recommended micronutrient use in pregnancy in terms of</w:t>
      </w:r>
    </w:p>
    <w:p w14:paraId="76DE4456" w14:textId="77777777" w:rsidR="00397AE4" w:rsidRPr="00397AE4" w:rsidRDefault="00397AE4" w:rsidP="0049134C">
      <w:pPr>
        <w:spacing w:after="0" w:line="240" w:lineRule="auto"/>
        <w:jc w:val="both"/>
        <w:rPr>
          <w:rFonts w:ascii="Times New Roman" w:hAnsi="Times New Roman" w:cs="Times New Roman"/>
          <w:b/>
          <w:lang w:val="en-PH"/>
        </w:rPr>
      </w:pPr>
      <w:r w:rsidRPr="00397AE4">
        <w:rPr>
          <w:rFonts w:ascii="Times New Roman" w:hAnsi="Times New Roman" w:cs="Times New Roman"/>
          <w:b/>
          <w:i/>
          <w:iCs/>
          <w:lang w:val="en-PH"/>
        </w:rPr>
        <w:t>Risks of Micronutrients</w:t>
      </w:r>
    </w:p>
    <w:tbl>
      <w:tblPr>
        <w:tblW w:w="0" w:type="auto"/>
        <w:tblCellMar>
          <w:top w:w="15" w:type="dxa"/>
          <w:left w:w="15" w:type="dxa"/>
          <w:bottom w:w="15" w:type="dxa"/>
          <w:right w:w="15" w:type="dxa"/>
        </w:tblCellMar>
        <w:tblLook w:val="04A0" w:firstRow="1" w:lastRow="0" w:firstColumn="1" w:lastColumn="0" w:noHBand="0" w:noVBand="1"/>
      </w:tblPr>
      <w:tblGrid>
        <w:gridCol w:w="7846"/>
        <w:gridCol w:w="847"/>
        <w:gridCol w:w="800"/>
      </w:tblGrid>
      <w:tr w:rsidR="00397AE4" w:rsidRPr="00397AE4" w14:paraId="0CA763BA" w14:textId="77777777" w:rsidTr="0049134C">
        <w:trPr>
          <w:trHeight w:val="331"/>
        </w:trPr>
        <w:tc>
          <w:tcPr>
            <w:tcW w:w="0" w:type="auto"/>
            <w:tcBorders>
              <w:top w:val="single" w:sz="8" w:space="0" w:color="000000"/>
              <w:bottom w:val="single" w:sz="8" w:space="0" w:color="000000"/>
            </w:tcBorders>
            <w:tcMar>
              <w:top w:w="0" w:type="dxa"/>
              <w:left w:w="100" w:type="dxa"/>
              <w:bottom w:w="0" w:type="dxa"/>
              <w:right w:w="100" w:type="dxa"/>
            </w:tcMar>
            <w:hideMark/>
          </w:tcPr>
          <w:p w14:paraId="7087C945" w14:textId="28F820DA" w:rsidR="00397AE4" w:rsidRPr="00397AE4"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Risks of Micronutrients</w:t>
            </w:r>
          </w:p>
        </w:tc>
        <w:tc>
          <w:tcPr>
            <w:tcW w:w="0" w:type="auto"/>
            <w:tcBorders>
              <w:top w:val="single" w:sz="8" w:space="0" w:color="000000"/>
              <w:bottom w:val="single" w:sz="8" w:space="0" w:color="000000"/>
            </w:tcBorders>
            <w:tcMar>
              <w:top w:w="0" w:type="dxa"/>
              <w:left w:w="100" w:type="dxa"/>
              <w:bottom w:w="0" w:type="dxa"/>
              <w:right w:w="100" w:type="dxa"/>
            </w:tcMar>
            <w:hideMark/>
          </w:tcPr>
          <w:p w14:paraId="77D45389" w14:textId="52110B2F" w:rsidR="00397AE4" w:rsidRPr="00397AE4"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Mean</w:t>
            </w:r>
          </w:p>
        </w:tc>
        <w:tc>
          <w:tcPr>
            <w:tcW w:w="0" w:type="auto"/>
            <w:tcBorders>
              <w:top w:val="single" w:sz="8" w:space="0" w:color="000000"/>
              <w:bottom w:val="single" w:sz="8" w:space="0" w:color="000000"/>
            </w:tcBorders>
            <w:tcMar>
              <w:top w:w="0" w:type="dxa"/>
              <w:left w:w="100" w:type="dxa"/>
              <w:bottom w:w="0" w:type="dxa"/>
              <w:right w:w="100" w:type="dxa"/>
            </w:tcMar>
            <w:hideMark/>
          </w:tcPr>
          <w:p w14:paraId="334F84D3" w14:textId="72E6E88E" w:rsidR="00397AE4" w:rsidRPr="00397AE4" w:rsidRDefault="0049134C" w:rsidP="0049134C">
            <w:pPr>
              <w:spacing w:after="0"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SD</w:t>
            </w:r>
          </w:p>
        </w:tc>
      </w:tr>
      <w:tr w:rsidR="00397AE4" w:rsidRPr="00397AE4" w14:paraId="2CFCEDBD" w14:textId="77777777" w:rsidTr="00E30757">
        <w:trPr>
          <w:trHeight w:val="241"/>
        </w:trPr>
        <w:tc>
          <w:tcPr>
            <w:tcW w:w="0" w:type="auto"/>
            <w:tcBorders>
              <w:top w:val="single" w:sz="8" w:space="0" w:color="000000"/>
            </w:tcBorders>
            <w:tcMar>
              <w:top w:w="0" w:type="dxa"/>
              <w:left w:w="100" w:type="dxa"/>
              <w:bottom w:w="0" w:type="dxa"/>
              <w:right w:w="100" w:type="dxa"/>
            </w:tcMar>
            <w:hideMark/>
          </w:tcPr>
          <w:p w14:paraId="62355C98"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1.    Iron deficiency during pregnancy may lead to</w:t>
            </w:r>
          </w:p>
        </w:tc>
        <w:tc>
          <w:tcPr>
            <w:tcW w:w="0" w:type="auto"/>
            <w:tcBorders>
              <w:top w:val="single" w:sz="8" w:space="0" w:color="000000"/>
            </w:tcBorders>
            <w:tcMar>
              <w:top w:w="0" w:type="dxa"/>
              <w:left w:w="100" w:type="dxa"/>
              <w:bottom w:w="0" w:type="dxa"/>
              <w:right w:w="100" w:type="dxa"/>
            </w:tcMar>
            <w:hideMark/>
          </w:tcPr>
          <w:p w14:paraId="68E82564" w14:textId="6C51A369"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1.000</w:t>
            </w:r>
          </w:p>
        </w:tc>
        <w:tc>
          <w:tcPr>
            <w:tcW w:w="0" w:type="auto"/>
            <w:tcBorders>
              <w:top w:val="single" w:sz="8" w:space="0" w:color="000000"/>
            </w:tcBorders>
            <w:tcMar>
              <w:top w:w="0" w:type="dxa"/>
              <w:left w:w="100" w:type="dxa"/>
              <w:bottom w:w="0" w:type="dxa"/>
              <w:right w:w="100" w:type="dxa"/>
            </w:tcMar>
            <w:hideMark/>
          </w:tcPr>
          <w:p w14:paraId="754D2E7A" w14:textId="12F6DA79"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0.000</w:t>
            </w:r>
          </w:p>
        </w:tc>
      </w:tr>
      <w:tr w:rsidR="00397AE4" w:rsidRPr="00397AE4" w14:paraId="2271227B" w14:textId="77777777" w:rsidTr="00E30757">
        <w:trPr>
          <w:trHeight w:val="63"/>
        </w:trPr>
        <w:tc>
          <w:tcPr>
            <w:tcW w:w="0" w:type="auto"/>
            <w:tcMar>
              <w:top w:w="0" w:type="dxa"/>
              <w:left w:w="100" w:type="dxa"/>
              <w:bottom w:w="0" w:type="dxa"/>
              <w:right w:w="100" w:type="dxa"/>
            </w:tcMar>
            <w:hideMark/>
          </w:tcPr>
          <w:p w14:paraId="76C18A72"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2.    Failure to take folic acid during the first trimester increases the risk of</w:t>
            </w:r>
          </w:p>
        </w:tc>
        <w:tc>
          <w:tcPr>
            <w:tcW w:w="0" w:type="auto"/>
            <w:tcMar>
              <w:top w:w="0" w:type="dxa"/>
              <w:left w:w="100" w:type="dxa"/>
              <w:bottom w:w="0" w:type="dxa"/>
              <w:right w:w="100" w:type="dxa"/>
            </w:tcMar>
            <w:hideMark/>
          </w:tcPr>
          <w:p w14:paraId="7F9DA175" w14:textId="03C2EE0A"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1.000</w:t>
            </w:r>
          </w:p>
        </w:tc>
        <w:tc>
          <w:tcPr>
            <w:tcW w:w="0" w:type="auto"/>
            <w:tcMar>
              <w:top w:w="0" w:type="dxa"/>
              <w:left w:w="100" w:type="dxa"/>
              <w:bottom w:w="0" w:type="dxa"/>
              <w:right w:w="100" w:type="dxa"/>
            </w:tcMar>
            <w:hideMark/>
          </w:tcPr>
          <w:p w14:paraId="2E12CDE2" w14:textId="6832B9E4"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0.000</w:t>
            </w:r>
          </w:p>
        </w:tc>
      </w:tr>
      <w:tr w:rsidR="00397AE4" w:rsidRPr="00397AE4" w14:paraId="160511E4" w14:textId="77777777" w:rsidTr="00E30757">
        <w:trPr>
          <w:trHeight w:val="51"/>
        </w:trPr>
        <w:tc>
          <w:tcPr>
            <w:tcW w:w="0" w:type="auto"/>
            <w:tcMar>
              <w:top w:w="0" w:type="dxa"/>
              <w:left w:w="100" w:type="dxa"/>
              <w:bottom w:w="0" w:type="dxa"/>
              <w:right w:w="100" w:type="dxa"/>
            </w:tcMar>
            <w:hideMark/>
          </w:tcPr>
          <w:p w14:paraId="078F1234"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3.    A severe deficiency in Zinc during pregnancy is associated with</w:t>
            </w:r>
          </w:p>
        </w:tc>
        <w:tc>
          <w:tcPr>
            <w:tcW w:w="0" w:type="auto"/>
            <w:tcMar>
              <w:top w:w="0" w:type="dxa"/>
              <w:left w:w="100" w:type="dxa"/>
              <w:bottom w:w="0" w:type="dxa"/>
              <w:right w:w="100" w:type="dxa"/>
            </w:tcMar>
            <w:hideMark/>
          </w:tcPr>
          <w:p w14:paraId="78CBDC3B" w14:textId="0F7E26E9"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0.796</w:t>
            </w:r>
          </w:p>
        </w:tc>
        <w:tc>
          <w:tcPr>
            <w:tcW w:w="0" w:type="auto"/>
            <w:tcMar>
              <w:top w:w="0" w:type="dxa"/>
              <w:left w:w="100" w:type="dxa"/>
              <w:bottom w:w="0" w:type="dxa"/>
              <w:right w:w="100" w:type="dxa"/>
            </w:tcMar>
            <w:hideMark/>
          </w:tcPr>
          <w:p w14:paraId="2F34C20C" w14:textId="75A76E5D" w:rsidR="00397AE4" w:rsidRPr="00397AE4" w:rsidRDefault="00E30757" w:rsidP="0049134C">
            <w:pPr>
              <w:spacing w:after="0" w:line="240" w:lineRule="auto"/>
              <w:jc w:val="both"/>
              <w:rPr>
                <w:rFonts w:ascii="Times New Roman" w:hAnsi="Times New Roman" w:cs="Times New Roman"/>
                <w:lang w:val="en-PH"/>
              </w:rPr>
            </w:pPr>
            <w:r>
              <w:rPr>
                <w:rFonts w:ascii="Times New Roman" w:hAnsi="Times New Roman" w:cs="Times New Roman"/>
                <w:lang w:val="en-PH"/>
              </w:rPr>
              <w:t> </w:t>
            </w:r>
            <w:r w:rsidR="00397AE4" w:rsidRPr="00397AE4">
              <w:rPr>
                <w:rFonts w:ascii="Times New Roman" w:hAnsi="Times New Roman" w:cs="Times New Roman"/>
                <w:lang w:val="en-PH"/>
              </w:rPr>
              <w:t>0.405</w:t>
            </w:r>
          </w:p>
        </w:tc>
      </w:tr>
      <w:tr w:rsidR="00397AE4" w:rsidRPr="00397AE4" w14:paraId="20576DDC" w14:textId="77777777" w:rsidTr="00E30757">
        <w:trPr>
          <w:trHeight w:val="51"/>
        </w:trPr>
        <w:tc>
          <w:tcPr>
            <w:tcW w:w="0" w:type="auto"/>
            <w:tcMar>
              <w:top w:w="0" w:type="dxa"/>
              <w:left w:w="100" w:type="dxa"/>
              <w:bottom w:w="0" w:type="dxa"/>
              <w:right w:w="100" w:type="dxa"/>
            </w:tcMar>
            <w:hideMark/>
          </w:tcPr>
          <w:p w14:paraId="037CBCF0" w14:textId="0D10F97B" w:rsidR="00397AE4" w:rsidRPr="00E30757" w:rsidRDefault="00397AE4" w:rsidP="00E30757">
            <w:pPr>
              <w:spacing w:after="0" w:line="240" w:lineRule="auto"/>
              <w:jc w:val="both"/>
              <w:rPr>
                <w:rFonts w:ascii="Times New Roman" w:hAnsi="Times New Roman" w:cs="Times New Roman"/>
                <w:lang w:val="en-PH"/>
              </w:rPr>
            </w:pPr>
            <w:r w:rsidRPr="00397AE4">
              <w:rPr>
                <w:rFonts w:ascii="Times New Roman" w:hAnsi="Times New Roman" w:cs="Times New Roman"/>
                <w:lang w:val="en-PH"/>
              </w:rPr>
              <w:t>4.    Calcium taken together with iron supplements may</w:t>
            </w:r>
          </w:p>
        </w:tc>
        <w:tc>
          <w:tcPr>
            <w:tcW w:w="0" w:type="auto"/>
            <w:tcMar>
              <w:top w:w="0" w:type="dxa"/>
              <w:left w:w="100" w:type="dxa"/>
              <w:bottom w:w="0" w:type="dxa"/>
              <w:right w:w="100" w:type="dxa"/>
            </w:tcMar>
            <w:hideMark/>
          </w:tcPr>
          <w:p w14:paraId="27247ACD"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0.932</w:t>
            </w:r>
          </w:p>
        </w:tc>
        <w:tc>
          <w:tcPr>
            <w:tcW w:w="0" w:type="auto"/>
            <w:tcMar>
              <w:top w:w="0" w:type="dxa"/>
              <w:left w:w="100" w:type="dxa"/>
              <w:bottom w:w="0" w:type="dxa"/>
              <w:right w:w="100" w:type="dxa"/>
            </w:tcMar>
            <w:hideMark/>
          </w:tcPr>
          <w:p w14:paraId="3D87DDDE"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0.243</w:t>
            </w:r>
          </w:p>
        </w:tc>
      </w:tr>
      <w:tr w:rsidR="00397AE4" w:rsidRPr="00397AE4" w14:paraId="4BDA991D" w14:textId="77777777" w:rsidTr="00E30757">
        <w:trPr>
          <w:trHeight w:val="51"/>
        </w:trPr>
        <w:tc>
          <w:tcPr>
            <w:tcW w:w="0" w:type="auto"/>
            <w:tcMar>
              <w:top w:w="0" w:type="dxa"/>
              <w:left w:w="100" w:type="dxa"/>
              <w:bottom w:w="0" w:type="dxa"/>
              <w:right w:w="100" w:type="dxa"/>
            </w:tcMar>
            <w:hideMark/>
          </w:tcPr>
          <w:p w14:paraId="551E4D17"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5.    Incorrect micronutrient supplementation during pregnancy may result in</w:t>
            </w:r>
          </w:p>
        </w:tc>
        <w:tc>
          <w:tcPr>
            <w:tcW w:w="0" w:type="auto"/>
            <w:tcMar>
              <w:top w:w="0" w:type="dxa"/>
              <w:left w:w="100" w:type="dxa"/>
              <w:bottom w:w="0" w:type="dxa"/>
              <w:right w:w="100" w:type="dxa"/>
            </w:tcMar>
            <w:hideMark/>
          </w:tcPr>
          <w:p w14:paraId="06803FBB"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1.000</w:t>
            </w:r>
          </w:p>
        </w:tc>
        <w:tc>
          <w:tcPr>
            <w:tcW w:w="0" w:type="auto"/>
            <w:tcMar>
              <w:top w:w="0" w:type="dxa"/>
              <w:left w:w="100" w:type="dxa"/>
              <w:bottom w:w="0" w:type="dxa"/>
              <w:right w:w="100" w:type="dxa"/>
            </w:tcMar>
            <w:hideMark/>
          </w:tcPr>
          <w:p w14:paraId="01198A48"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0.000</w:t>
            </w:r>
          </w:p>
        </w:tc>
      </w:tr>
      <w:tr w:rsidR="00397AE4" w:rsidRPr="00397AE4" w14:paraId="20B6E820" w14:textId="77777777" w:rsidTr="00E30757">
        <w:trPr>
          <w:trHeight w:val="51"/>
        </w:trPr>
        <w:tc>
          <w:tcPr>
            <w:tcW w:w="0" w:type="auto"/>
            <w:tcMar>
              <w:top w:w="0" w:type="dxa"/>
              <w:left w:w="100" w:type="dxa"/>
              <w:bottom w:w="0" w:type="dxa"/>
              <w:right w:w="100" w:type="dxa"/>
            </w:tcMar>
            <w:hideMark/>
          </w:tcPr>
          <w:p w14:paraId="1C30C6C7"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6.    Excessive intake of vitamin A during pregnancy may cause</w:t>
            </w:r>
          </w:p>
        </w:tc>
        <w:tc>
          <w:tcPr>
            <w:tcW w:w="0" w:type="auto"/>
            <w:tcMar>
              <w:top w:w="0" w:type="dxa"/>
              <w:left w:w="100" w:type="dxa"/>
              <w:bottom w:w="0" w:type="dxa"/>
              <w:right w:w="100" w:type="dxa"/>
            </w:tcMar>
            <w:hideMark/>
          </w:tcPr>
          <w:p w14:paraId="16468C0C"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0.913</w:t>
            </w:r>
          </w:p>
        </w:tc>
        <w:tc>
          <w:tcPr>
            <w:tcW w:w="0" w:type="auto"/>
            <w:tcMar>
              <w:top w:w="0" w:type="dxa"/>
              <w:left w:w="100" w:type="dxa"/>
              <w:bottom w:w="0" w:type="dxa"/>
              <w:right w:w="100" w:type="dxa"/>
            </w:tcMar>
            <w:hideMark/>
          </w:tcPr>
          <w:p w14:paraId="2B777457"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0.284</w:t>
            </w:r>
          </w:p>
        </w:tc>
      </w:tr>
      <w:tr w:rsidR="00397AE4" w:rsidRPr="00397AE4" w14:paraId="7E609886" w14:textId="77777777" w:rsidTr="00E30757">
        <w:trPr>
          <w:trHeight w:val="51"/>
        </w:trPr>
        <w:tc>
          <w:tcPr>
            <w:tcW w:w="0" w:type="auto"/>
            <w:tcMar>
              <w:top w:w="0" w:type="dxa"/>
              <w:left w:w="100" w:type="dxa"/>
              <w:bottom w:w="0" w:type="dxa"/>
              <w:right w:w="100" w:type="dxa"/>
            </w:tcMar>
            <w:hideMark/>
          </w:tcPr>
          <w:p w14:paraId="23F3E825"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7.    Taking micronutrient supplements without proper guidance may</w:t>
            </w:r>
          </w:p>
        </w:tc>
        <w:tc>
          <w:tcPr>
            <w:tcW w:w="0" w:type="auto"/>
            <w:tcMar>
              <w:top w:w="0" w:type="dxa"/>
              <w:left w:w="100" w:type="dxa"/>
              <w:bottom w:w="0" w:type="dxa"/>
              <w:right w:w="100" w:type="dxa"/>
            </w:tcMar>
            <w:hideMark/>
          </w:tcPr>
          <w:p w14:paraId="5F1DA915"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0.990</w:t>
            </w:r>
          </w:p>
        </w:tc>
        <w:tc>
          <w:tcPr>
            <w:tcW w:w="0" w:type="auto"/>
            <w:tcMar>
              <w:top w:w="0" w:type="dxa"/>
              <w:left w:w="100" w:type="dxa"/>
              <w:bottom w:w="0" w:type="dxa"/>
              <w:right w:w="100" w:type="dxa"/>
            </w:tcMar>
            <w:hideMark/>
          </w:tcPr>
          <w:p w14:paraId="0FEC7C13"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0.099</w:t>
            </w:r>
          </w:p>
        </w:tc>
      </w:tr>
      <w:tr w:rsidR="00397AE4" w:rsidRPr="00397AE4" w14:paraId="0C616BA1" w14:textId="77777777" w:rsidTr="00E30757">
        <w:trPr>
          <w:trHeight w:val="51"/>
        </w:trPr>
        <w:tc>
          <w:tcPr>
            <w:tcW w:w="0" w:type="auto"/>
            <w:tcMar>
              <w:top w:w="0" w:type="dxa"/>
              <w:left w:w="100" w:type="dxa"/>
              <w:bottom w:w="0" w:type="dxa"/>
              <w:right w:w="100" w:type="dxa"/>
            </w:tcMar>
            <w:hideMark/>
          </w:tcPr>
          <w:p w14:paraId="5AC852A6"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8.    Improper iron supplementation may commonly cause</w:t>
            </w:r>
          </w:p>
        </w:tc>
        <w:tc>
          <w:tcPr>
            <w:tcW w:w="0" w:type="auto"/>
            <w:tcMar>
              <w:top w:w="0" w:type="dxa"/>
              <w:left w:w="100" w:type="dxa"/>
              <w:bottom w:w="0" w:type="dxa"/>
              <w:right w:w="100" w:type="dxa"/>
            </w:tcMar>
            <w:hideMark/>
          </w:tcPr>
          <w:p w14:paraId="5217A1D1"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0.951</w:t>
            </w:r>
          </w:p>
        </w:tc>
        <w:tc>
          <w:tcPr>
            <w:tcW w:w="0" w:type="auto"/>
            <w:tcMar>
              <w:top w:w="0" w:type="dxa"/>
              <w:left w:w="100" w:type="dxa"/>
              <w:bottom w:w="0" w:type="dxa"/>
              <w:right w:w="100" w:type="dxa"/>
            </w:tcMar>
            <w:hideMark/>
          </w:tcPr>
          <w:p w14:paraId="6FA79DE6"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0.216</w:t>
            </w:r>
          </w:p>
        </w:tc>
      </w:tr>
      <w:tr w:rsidR="00397AE4" w:rsidRPr="00397AE4" w14:paraId="561B8D4D" w14:textId="77777777" w:rsidTr="00E30757">
        <w:trPr>
          <w:trHeight w:val="51"/>
        </w:trPr>
        <w:tc>
          <w:tcPr>
            <w:tcW w:w="0" w:type="auto"/>
            <w:tcMar>
              <w:top w:w="0" w:type="dxa"/>
              <w:left w:w="100" w:type="dxa"/>
              <w:bottom w:w="0" w:type="dxa"/>
              <w:right w:w="100" w:type="dxa"/>
            </w:tcMar>
            <w:hideMark/>
          </w:tcPr>
          <w:p w14:paraId="106AC8B2"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9.    Combining multiple supplements without professional advice may result in</w:t>
            </w:r>
          </w:p>
        </w:tc>
        <w:tc>
          <w:tcPr>
            <w:tcW w:w="0" w:type="auto"/>
            <w:tcMar>
              <w:top w:w="0" w:type="dxa"/>
              <w:left w:w="100" w:type="dxa"/>
              <w:bottom w:w="0" w:type="dxa"/>
              <w:right w:w="100" w:type="dxa"/>
            </w:tcMar>
            <w:hideMark/>
          </w:tcPr>
          <w:p w14:paraId="6BA219E5"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0.990</w:t>
            </w:r>
          </w:p>
        </w:tc>
        <w:tc>
          <w:tcPr>
            <w:tcW w:w="0" w:type="auto"/>
            <w:tcMar>
              <w:top w:w="0" w:type="dxa"/>
              <w:left w:w="100" w:type="dxa"/>
              <w:bottom w:w="0" w:type="dxa"/>
              <w:right w:w="100" w:type="dxa"/>
            </w:tcMar>
            <w:hideMark/>
          </w:tcPr>
          <w:p w14:paraId="44C8601A"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0.099</w:t>
            </w:r>
          </w:p>
        </w:tc>
      </w:tr>
      <w:tr w:rsidR="00397AE4" w:rsidRPr="00397AE4" w14:paraId="38D0AF9C" w14:textId="77777777" w:rsidTr="00E30757">
        <w:trPr>
          <w:trHeight w:val="51"/>
        </w:trPr>
        <w:tc>
          <w:tcPr>
            <w:tcW w:w="0" w:type="auto"/>
            <w:tcMar>
              <w:top w:w="0" w:type="dxa"/>
              <w:left w:w="100" w:type="dxa"/>
              <w:bottom w:w="0" w:type="dxa"/>
              <w:right w:w="100" w:type="dxa"/>
            </w:tcMar>
            <w:hideMark/>
          </w:tcPr>
          <w:p w14:paraId="7A08A43A"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10. Lack of counseling on micronutrient use may increase the risk of</w:t>
            </w:r>
          </w:p>
        </w:tc>
        <w:tc>
          <w:tcPr>
            <w:tcW w:w="0" w:type="auto"/>
            <w:tcMar>
              <w:top w:w="0" w:type="dxa"/>
              <w:left w:w="100" w:type="dxa"/>
              <w:bottom w:w="0" w:type="dxa"/>
              <w:right w:w="100" w:type="dxa"/>
            </w:tcMar>
            <w:hideMark/>
          </w:tcPr>
          <w:p w14:paraId="38913C6F"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0.990</w:t>
            </w:r>
          </w:p>
        </w:tc>
        <w:tc>
          <w:tcPr>
            <w:tcW w:w="0" w:type="auto"/>
            <w:tcMar>
              <w:top w:w="0" w:type="dxa"/>
              <w:left w:w="100" w:type="dxa"/>
              <w:bottom w:w="0" w:type="dxa"/>
              <w:right w:w="100" w:type="dxa"/>
            </w:tcMar>
            <w:hideMark/>
          </w:tcPr>
          <w:p w14:paraId="36C82F70"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0.099</w:t>
            </w:r>
          </w:p>
        </w:tc>
      </w:tr>
      <w:tr w:rsidR="00397AE4" w:rsidRPr="00397AE4" w14:paraId="0C7F5CC4" w14:textId="77777777" w:rsidTr="00E30757">
        <w:trPr>
          <w:trHeight w:val="51"/>
        </w:trPr>
        <w:tc>
          <w:tcPr>
            <w:tcW w:w="0" w:type="auto"/>
            <w:tcBorders>
              <w:bottom w:val="single" w:sz="8" w:space="0" w:color="000000"/>
            </w:tcBorders>
            <w:tcMar>
              <w:top w:w="0" w:type="dxa"/>
              <w:left w:w="100" w:type="dxa"/>
              <w:bottom w:w="0" w:type="dxa"/>
              <w:right w:w="100" w:type="dxa"/>
            </w:tcMar>
            <w:hideMark/>
          </w:tcPr>
          <w:p w14:paraId="38EDB7EF"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 xml:space="preserve">Total </w:t>
            </w:r>
            <w:r w:rsidRPr="00397AE4">
              <w:rPr>
                <w:rFonts w:ascii="Times New Roman" w:hAnsi="Times New Roman" w:cs="Times New Roman"/>
                <w:lang w:val="en-PH"/>
              </w:rPr>
              <w:tab/>
            </w:r>
          </w:p>
        </w:tc>
        <w:tc>
          <w:tcPr>
            <w:tcW w:w="0" w:type="auto"/>
            <w:tcBorders>
              <w:bottom w:val="single" w:sz="8" w:space="0" w:color="000000"/>
            </w:tcBorders>
            <w:tcMar>
              <w:top w:w="0" w:type="dxa"/>
              <w:left w:w="100" w:type="dxa"/>
              <w:bottom w:w="0" w:type="dxa"/>
              <w:right w:w="100" w:type="dxa"/>
            </w:tcMar>
            <w:hideMark/>
          </w:tcPr>
          <w:p w14:paraId="12B61183"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9.485</w:t>
            </w:r>
          </w:p>
        </w:tc>
        <w:tc>
          <w:tcPr>
            <w:tcW w:w="0" w:type="auto"/>
            <w:tcBorders>
              <w:bottom w:val="single" w:sz="8" w:space="0" w:color="000000"/>
            </w:tcBorders>
            <w:tcMar>
              <w:top w:w="0" w:type="dxa"/>
              <w:left w:w="100" w:type="dxa"/>
              <w:bottom w:w="0" w:type="dxa"/>
              <w:right w:w="100" w:type="dxa"/>
            </w:tcMar>
            <w:hideMark/>
          </w:tcPr>
          <w:p w14:paraId="6DCA7F37" w14:textId="77777777" w:rsidR="00397AE4" w:rsidRPr="00397AE4" w:rsidRDefault="00397AE4" w:rsidP="0049134C">
            <w:pPr>
              <w:spacing w:after="0" w:line="240" w:lineRule="auto"/>
              <w:jc w:val="both"/>
              <w:rPr>
                <w:rFonts w:ascii="Times New Roman" w:hAnsi="Times New Roman" w:cs="Times New Roman"/>
                <w:lang w:val="en-PH"/>
              </w:rPr>
            </w:pPr>
            <w:r w:rsidRPr="00397AE4">
              <w:rPr>
                <w:rFonts w:ascii="Times New Roman" w:hAnsi="Times New Roman" w:cs="Times New Roman"/>
                <w:lang w:val="en-PH"/>
              </w:rPr>
              <w:t>0.765</w:t>
            </w:r>
          </w:p>
        </w:tc>
      </w:tr>
    </w:tbl>
    <w:p w14:paraId="7826E63F" w14:textId="77777777" w:rsidR="00397AE4" w:rsidRDefault="00397AE4" w:rsidP="0049134C">
      <w:pPr>
        <w:spacing w:after="0" w:line="240" w:lineRule="auto"/>
        <w:ind w:firstLine="720"/>
        <w:jc w:val="both"/>
        <w:rPr>
          <w:rFonts w:ascii="Times New Roman" w:hAnsi="Times New Roman" w:cs="Times New Roman"/>
          <w:lang w:eastAsia="en-PH"/>
        </w:rPr>
      </w:pPr>
    </w:p>
    <w:p w14:paraId="262D688C" w14:textId="77777777" w:rsidR="00397AE4" w:rsidRPr="00397AE4" w:rsidRDefault="00397AE4" w:rsidP="00397AE4">
      <w:pPr>
        <w:spacing w:line="240" w:lineRule="auto"/>
        <w:ind w:firstLine="720"/>
        <w:jc w:val="both"/>
        <w:rPr>
          <w:rFonts w:ascii="Times New Roman" w:hAnsi="Times New Roman" w:cs="Times New Roman"/>
          <w:lang w:val="en-PH" w:eastAsia="en-PH"/>
        </w:rPr>
      </w:pPr>
      <w:r w:rsidRPr="00397AE4">
        <w:rPr>
          <w:rFonts w:ascii="Times New Roman" w:hAnsi="Times New Roman" w:cs="Times New Roman"/>
          <w:lang w:val="en-PH" w:eastAsia="en-PH"/>
        </w:rPr>
        <w:t>As shown in Table 6, the respondents had an overall mean score of 9.485, indicating Very High Knowledge regarding the risks associated with micronutrient use during pregnancy. This indicates that respondents have a strong understanding of potential risks, contraindications, and improper use of micronutrient supplementation.</w:t>
      </w:r>
    </w:p>
    <w:p w14:paraId="37108A1E" w14:textId="77777777" w:rsidR="00397AE4" w:rsidRPr="00397AE4" w:rsidRDefault="00397AE4" w:rsidP="00397AE4">
      <w:pPr>
        <w:spacing w:line="240" w:lineRule="auto"/>
        <w:ind w:firstLine="720"/>
        <w:jc w:val="both"/>
        <w:rPr>
          <w:rFonts w:ascii="Times New Roman" w:hAnsi="Times New Roman" w:cs="Times New Roman"/>
          <w:lang w:val="en-PH" w:eastAsia="en-PH"/>
        </w:rPr>
      </w:pPr>
      <w:r w:rsidRPr="00397AE4">
        <w:rPr>
          <w:rFonts w:ascii="Times New Roman" w:hAnsi="Times New Roman" w:cs="Times New Roman"/>
          <w:lang w:val="en-PH" w:eastAsia="en-PH"/>
        </w:rPr>
        <w:t>The results suggest that pharmacists are knowledgeable about both the benefits and risks of micronutrient use, including the importance of proper dosage and adherence to recommended supplementation guidelines. Minor variations in some items indicate that a few respondents may require further clarification on more complex or emerging risk-related concepts.</w:t>
      </w:r>
    </w:p>
    <w:p w14:paraId="2C51B187" w14:textId="77777777" w:rsidR="001A343B" w:rsidRDefault="00397AE4" w:rsidP="001A343B">
      <w:pPr>
        <w:spacing w:line="240" w:lineRule="auto"/>
        <w:ind w:firstLine="720"/>
        <w:jc w:val="both"/>
        <w:rPr>
          <w:rFonts w:ascii="Times New Roman" w:hAnsi="Times New Roman" w:cs="Times New Roman"/>
          <w:lang w:val="en-PH" w:eastAsia="en-PH"/>
        </w:rPr>
      </w:pPr>
      <w:r w:rsidRPr="00397AE4">
        <w:rPr>
          <w:rFonts w:ascii="Times New Roman" w:hAnsi="Times New Roman" w:cs="Times New Roman"/>
          <w:lang w:val="en-PH" w:eastAsia="en-PH"/>
        </w:rPr>
        <w:t>These findings are consistent with Aidoo (2024), who emphasized that healthcare providers must possess adequate knowledge of both benefits and risks to ensure accurate counseling. Similarly, Tsegaye (2024) found that higher provider knowledge is associated with improved adherence to iron-folic acid supplementation among pregnant women, highlighting the importance of pharma</w:t>
      </w:r>
      <w:r w:rsidR="001A343B">
        <w:rPr>
          <w:rFonts w:ascii="Times New Roman" w:hAnsi="Times New Roman" w:cs="Times New Roman"/>
          <w:lang w:val="en-PH" w:eastAsia="en-PH"/>
        </w:rPr>
        <w:t>cist education in maternal care.</w:t>
      </w:r>
    </w:p>
    <w:p w14:paraId="7688CB89" w14:textId="5514658D" w:rsidR="00397AE4" w:rsidRPr="00397AE4" w:rsidRDefault="00397AE4" w:rsidP="001A343B">
      <w:pPr>
        <w:spacing w:line="240" w:lineRule="auto"/>
        <w:jc w:val="both"/>
        <w:rPr>
          <w:rFonts w:ascii="Times New Roman" w:hAnsi="Times New Roman" w:cs="Times New Roman"/>
          <w:lang w:val="en-PH" w:eastAsia="en-PH"/>
        </w:rPr>
      </w:pPr>
      <w:r w:rsidRPr="00397AE4">
        <w:rPr>
          <w:rFonts w:ascii="Times New Roman" w:hAnsi="Times New Roman" w:cs="Times New Roman"/>
          <w:b/>
          <w:bCs/>
          <w:lang w:val="en-PH" w:eastAsia="en-PH"/>
        </w:rPr>
        <w:lastRenderedPageBreak/>
        <w:t>Level of Practice in the Recommended Micronutrient Use in Pregnancy</w:t>
      </w:r>
    </w:p>
    <w:p w14:paraId="78F54878" w14:textId="77777777" w:rsidR="00397AE4" w:rsidRPr="00397AE4" w:rsidRDefault="00397AE4" w:rsidP="00397AE4">
      <w:pPr>
        <w:spacing w:line="240" w:lineRule="auto"/>
        <w:ind w:firstLine="720"/>
        <w:jc w:val="both"/>
        <w:rPr>
          <w:rFonts w:ascii="Times New Roman" w:hAnsi="Times New Roman" w:cs="Times New Roman"/>
          <w:lang w:val="en-PH" w:eastAsia="en-PH"/>
        </w:rPr>
      </w:pPr>
      <w:r w:rsidRPr="00397AE4">
        <w:rPr>
          <w:rFonts w:ascii="Times New Roman" w:hAnsi="Times New Roman" w:cs="Times New Roman"/>
          <w:lang w:val="en-PH" w:eastAsia="en-PH"/>
        </w:rPr>
        <w:t>This section presents the level of practice of public health and community pharmacists in the recommended use of micronutrients during pregnancy. It specifically examines their clinical decision-making and evidence-based consultation practices, as well as their patient counseling practices regarding the risks and benefits of micronutrient supplementation. The discussion provides an overview of how pharmacists apply their knowledge in actual practice settings when guiding pregnant women on safe and appropriate micronutrient use. </w:t>
      </w:r>
    </w:p>
    <w:p w14:paraId="541639BE" w14:textId="114A2F50" w:rsidR="00397AE4" w:rsidRPr="00397AE4" w:rsidRDefault="00397AE4" w:rsidP="00397AE4">
      <w:pPr>
        <w:spacing w:line="240" w:lineRule="auto"/>
        <w:jc w:val="both"/>
        <w:rPr>
          <w:rFonts w:ascii="Times New Roman" w:hAnsi="Times New Roman" w:cs="Times New Roman"/>
          <w:b/>
          <w:lang w:val="en-PH" w:eastAsia="en-PH"/>
        </w:rPr>
      </w:pPr>
      <w:r w:rsidRPr="00397AE4">
        <w:rPr>
          <w:rFonts w:ascii="Times New Roman" w:hAnsi="Times New Roman" w:cs="Times New Roman"/>
          <w:b/>
          <w:bCs/>
          <w:lang w:val="en-PH" w:eastAsia="en-PH"/>
        </w:rPr>
        <w:t>Table 7</w:t>
      </w:r>
      <w:r w:rsidRPr="00397AE4">
        <w:rPr>
          <w:rFonts w:ascii="Times New Roman" w:hAnsi="Times New Roman" w:cs="Times New Roman"/>
          <w:lang w:val="en-PH" w:eastAsia="en-PH"/>
        </w:rPr>
        <w:t>.</w:t>
      </w:r>
      <w:r>
        <w:rPr>
          <w:rFonts w:ascii="Times New Roman" w:hAnsi="Times New Roman" w:cs="Times New Roman"/>
          <w:lang w:val="en-PH" w:eastAsia="en-PH"/>
        </w:rPr>
        <w:t xml:space="preserve"> </w:t>
      </w:r>
      <w:r w:rsidRPr="00397AE4">
        <w:rPr>
          <w:rFonts w:ascii="Times New Roman" w:hAnsi="Times New Roman" w:cs="Times New Roman"/>
          <w:b/>
          <w:i/>
          <w:iCs/>
          <w:lang w:val="en-PH" w:eastAsia="en-PH"/>
        </w:rPr>
        <w:t>Level of Counseling Practice in the Recommended Micronutrient Use in Pregnancy</w:t>
      </w:r>
    </w:p>
    <w:tbl>
      <w:tblPr>
        <w:tblW w:w="0" w:type="auto"/>
        <w:tblCellMar>
          <w:top w:w="15" w:type="dxa"/>
          <w:left w:w="15" w:type="dxa"/>
          <w:bottom w:w="15" w:type="dxa"/>
          <w:right w:w="15" w:type="dxa"/>
        </w:tblCellMar>
        <w:tblLook w:val="04A0" w:firstRow="1" w:lastRow="0" w:firstColumn="1" w:lastColumn="0" w:noHBand="0" w:noVBand="1"/>
      </w:tblPr>
      <w:tblGrid>
        <w:gridCol w:w="6892"/>
        <w:gridCol w:w="847"/>
        <w:gridCol w:w="800"/>
        <w:gridCol w:w="1723"/>
      </w:tblGrid>
      <w:tr w:rsidR="00397AE4" w:rsidRPr="00397AE4" w14:paraId="4C4E2C48" w14:textId="77777777" w:rsidTr="00E30757">
        <w:trPr>
          <w:trHeight w:val="358"/>
        </w:trPr>
        <w:tc>
          <w:tcPr>
            <w:tcW w:w="0" w:type="auto"/>
            <w:tcBorders>
              <w:top w:val="single" w:sz="8" w:space="0" w:color="000000"/>
              <w:bottom w:val="single" w:sz="8" w:space="0" w:color="000000"/>
            </w:tcBorders>
            <w:tcMar>
              <w:top w:w="0" w:type="dxa"/>
              <w:left w:w="100" w:type="dxa"/>
              <w:bottom w:w="0" w:type="dxa"/>
              <w:right w:w="100" w:type="dxa"/>
            </w:tcMar>
            <w:hideMark/>
          </w:tcPr>
          <w:p w14:paraId="12516A7D" w14:textId="38977609" w:rsidR="00397AE4" w:rsidRPr="00397AE4" w:rsidRDefault="0049134C" w:rsidP="00397AE4">
            <w:pPr>
              <w:spacing w:line="240" w:lineRule="auto"/>
              <w:jc w:val="both"/>
              <w:rPr>
                <w:rFonts w:ascii="Times New Roman" w:hAnsi="Times New Roman" w:cs="Times New Roman"/>
                <w:b/>
                <w:lang w:val="en-PH" w:eastAsia="en-PH"/>
              </w:rPr>
            </w:pPr>
            <w:r>
              <w:rPr>
                <w:rFonts w:ascii="Times New Roman" w:hAnsi="Times New Roman" w:cs="Times New Roman"/>
                <w:b/>
                <w:lang w:val="en-PH" w:eastAsia="en-PH"/>
              </w:rPr>
              <w:t> </w:t>
            </w:r>
            <w:r w:rsidR="00397AE4" w:rsidRPr="00397AE4">
              <w:rPr>
                <w:rFonts w:ascii="Times New Roman" w:hAnsi="Times New Roman" w:cs="Times New Roman"/>
                <w:b/>
                <w:lang w:val="en-PH" w:eastAsia="en-PH"/>
              </w:rPr>
              <w:t>Level of Practice</w:t>
            </w:r>
          </w:p>
        </w:tc>
        <w:tc>
          <w:tcPr>
            <w:tcW w:w="0" w:type="auto"/>
            <w:tcBorders>
              <w:top w:val="single" w:sz="8" w:space="0" w:color="000000"/>
              <w:bottom w:val="single" w:sz="8" w:space="0" w:color="000000"/>
            </w:tcBorders>
            <w:tcMar>
              <w:top w:w="0" w:type="dxa"/>
              <w:left w:w="100" w:type="dxa"/>
              <w:bottom w:w="0" w:type="dxa"/>
              <w:right w:w="100" w:type="dxa"/>
            </w:tcMar>
            <w:hideMark/>
          </w:tcPr>
          <w:p w14:paraId="366EDFDB" w14:textId="25980F8A" w:rsidR="00397AE4" w:rsidRPr="00397AE4" w:rsidRDefault="0049134C" w:rsidP="00397AE4">
            <w:pPr>
              <w:spacing w:line="240" w:lineRule="auto"/>
              <w:jc w:val="both"/>
              <w:rPr>
                <w:rFonts w:ascii="Times New Roman" w:hAnsi="Times New Roman" w:cs="Times New Roman"/>
                <w:b/>
                <w:lang w:val="en-PH" w:eastAsia="en-PH"/>
              </w:rPr>
            </w:pPr>
            <w:r>
              <w:rPr>
                <w:rFonts w:ascii="Times New Roman" w:hAnsi="Times New Roman" w:cs="Times New Roman"/>
                <w:b/>
                <w:lang w:val="en-PH" w:eastAsia="en-PH"/>
              </w:rPr>
              <w:t> </w:t>
            </w:r>
            <w:r w:rsidR="00397AE4" w:rsidRPr="00397AE4">
              <w:rPr>
                <w:rFonts w:ascii="Times New Roman" w:hAnsi="Times New Roman" w:cs="Times New Roman"/>
                <w:b/>
                <w:lang w:val="en-PH" w:eastAsia="en-PH"/>
              </w:rPr>
              <w:t>Mean</w:t>
            </w:r>
          </w:p>
        </w:tc>
        <w:tc>
          <w:tcPr>
            <w:tcW w:w="0" w:type="auto"/>
            <w:tcBorders>
              <w:top w:val="single" w:sz="8" w:space="0" w:color="000000"/>
              <w:bottom w:val="single" w:sz="8" w:space="0" w:color="000000"/>
            </w:tcBorders>
            <w:tcMar>
              <w:top w:w="0" w:type="dxa"/>
              <w:left w:w="100" w:type="dxa"/>
              <w:bottom w:w="0" w:type="dxa"/>
              <w:right w:w="100" w:type="dxa"/>
            </w:tcMar>
            <w:hideMark/>
          </w:tcPr>
          <w:p w14:paraId="3BDF040E" w14:textId="7A706207" w:rsidR="00397AE4" w:rsidRPr="00397AE4" w:rsidRDefault="00E30757" w:rsidP="00397AE4">
            <w:pPr>
              <w:spacing w:line="240" w:lineRule="auto"/>
              <w:jc w:val="both"/>
              <w:rPr>
                <w:rFonts w:ascii="Times New Roman" w:hAnsi="Times New Roman" w:cs="Times New Roman"/>
                <w:b/>
                <w:lang w:val="en-PH" w:eastAsia="en-PH"/>
              </w:rPr>
            </w:pPr>
            <w:r>
              <w:rPr>
                <w:rFonts w:ascii="Times New Roman" w:hAnsi="Times New Roman" w:cs="Times New Roman"/>
                <w:b/>
                <w:lang w:val="en-PH" w:eastAsia="en-PH"/>
              </w:rPr>
              <w:t> S</w:t>
            </w:r>
            <w:r w:rsidR="00397AE4" w:rsidRPr="00397AE4">
              <w:rPr>
                <w:rFonts w:ascii="Times New Roman" w:hAnsi="Times New Roman" w:cs="Times New Roman"/>
                <w:b/>
                <w:lang w:val="en-PH" w:eastAsia="en-PH"/>
              </w:rPr>
              <w:t>D</w:t>
            </w:r>
          </w:p>
        </w:tc>
        <w:tc>
          <w:tcPr>
            <w:tcW w:w="0" w:type="auto"/>
            <w:tcBorders>
              <w:top w:val="single" w:sz="8" w:space="0" w:color="000000"/>
              <w:bottom w:val="single" w:sz="8" w:space="0" w:color="000000"/>
            </w:tcBorders>
            <w:tcMar>
              <w:top w:w="0" w:type="dxa"/>
              <w:left w:w="100" w:type="dxa"/>
              <w:bottom w:w="0" w:type="dxa"/>
              <w:right w:w="100" w:type="dxa"/>
            </w:tcMar>
            <w:hideMark/>
          </w:tcPr>
          <w:p w14:paraId="487F0777" w14:textId="446D9344" w:rsidR="00397AE4" w:rsidRPr="00397AE4" w:rsidRDefault="00E30757" w:rsidP="00397AE4">
            <w:pPr>
              <w:spacing w:line="240" w:lineRule="auto"/>
              <w:jc w:val="both"/>
              <w:rPr>
                <w:rFonts w:ascii="Times New Roman" w:hAnsi="Times New Roman" w:cs="Times New Roman"/>
                <w:b/>
                <w:lang w:val="en-PH" w:eastAsia="en-PH"/>
              </w:rPr>
            </w:pPr>
            <w:r>
              <w:rPr>
                <w:rFonts w:ascii="Times New Roman" w:hAnsi="Times New Roman" w:cs="Times New Roman"/>
                <w:b/>
                <w:lang w:val="en-PH" w:eastAsia="en-PH"/>
              </w:rPr>
              <w:t> </w:t>
            </w:r>
            <w:r w:rsidR="00397AE4" w:rsidRPr="00397AE4">
              <w:rPr>
                <w:rFonts w:ascii="Times New Roman" w:hAnsi="Times New Roman" w:cs="Times New Roman"/>
                <w:b/>
                <w:lang w:val="en-PH" w:eastAsia="en-PH"/>
              </w:rPr>
              <w:t>Interpretation</w:t>
            </w:r>
          </w:p>
        </w:tc>
      </w:tr>
      <w:tr w:rsidR="00397AE4" w:rsidRPr="00397AE4" w14:paraId="628DA8AD" w14:textId="77777777" w:rsidTr="00E30757">
        <w:trPr>
          <w:trHeight w:val="358"/>
        </w:trPr>
        <w:tc>
          <w:tcPr>
            <w:tcW w:w="0" w:type="auto"/>
            <w:tcBorders>
              <w:top w:val="single" w:sz="8" w:space="0" w:color="000000"/>
            </w:tcBorders>
            <w:tcMar>
              <w:top w:w="0" w:type="dxa"/>
              <w:left w:w="100" w:type="dxa"/>
              <w:bottom w:w="0" w:type="dxa"/>
              <w:right w:w="100" w:type="dxa"/>
            </w:tcMar>
            <w:hideMark/>
          </w:tcPr>
          <w:p w14:paraId="6AF1531F" w14:textId="22715984"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Clinical Decision-Making and Evidence-based consultation practice</w:t>
            </w:r>
          </w:p>
        </w:tc>
        <w:tc>
          <w:tcPr>
            <w:tcW w:w="0" w:type="auto"/>
            <w:tcBorders>
              <w:top w:val="single" w:sz="8" w:space="0" w:color="000000"/>
            </w:tcBorders>
            <w:tcMar>
              <w:top w:w="0" w:type="dxa"/>
              <w:left w:w="100" w:type="dxa"/>
              <w:bottom w:w="0" w:type="dxa"/>
              <w:right w:w="100" w:type="dxa"/>
            </w:tcMar>
            <w:hideMark/>
          </w:tcPr>
          <w:p w14:paraId="637222A5" w14:textId="7183E0C3"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3.641</w:t>
            </w:r>
          </w:p>
        </w:tc>
        <w:tc>
          <w:tcPr>
            <w:tcW w:w="0" w:type="auto"/>
            <w:tcBorders>
              <w:top w:val="single" w:sz="8" w:space="0" w:color="000000"/>
            </w:tcBorders>
            <w:tcMar>
              <w:top w:w="0" w:type="dxa"/>
              <w:left w:w="100" w:type="dxa"/>
              <w:bottom w:w="0" w:type="dxa"/>
              <w:right w:w="100" w:type="dxa"/>
            </w:tcMar>
            <w:hideMark/>
          </w:tcPr>
          <w:p w14:paraId="16C06939" w14:textId="6B528170"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0.490</w:t>
            </w:r>
          </w:p>
        </w:tc>
        <w:tc>
          <w:tcPr>
            <w:tcW w:w="0" w:type="auto"/>
            <w:tcBorders>
              <w:top w:val="single" w:sz="8" w:space="0" w:color="000000"/>
            </w:tcBorders>
            <w:tcMar>
              <w:top w:w="0" w:type="dxa"/>
              <w:left w:w="100" w:type="dxa"/>
              <w:bottom w:w="0" w:type="dxa"/>
              <w:right w:w="100" w:type="dxa"/>
            </w:tcMar>
            <w:hideMark/>
          </w:tcPr>
          <w:p w14:paraId="22278E5F" w14:textId="4A3C8A07"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High</w:t>
            </w:r>
          </w:p>
        </w:tc>
      </w:tr>
      <w:tr w:rsidR="00397AE4" w:rsidRPr="00397AE4" w14:paraId="47A538FB" w14:textId="77777777" w:rsidTr="00E30757">
        <w:trPr>
          <w:trHeight w:val="477"/>
        </w:trPr>
        <w:tc>
          <w:tcPr>
            <w:tcW w:w="0" w:type="auto"/>
            <w:tcBorders>
              <w:bottom w:val="single" w:sz="8" w:space="0" w:color="000000"/>
            </w:tcBorders>
            <w:tcMar>
              <w:top w:w="0" w:type="dxa"/>
              <w:left w:w="100" w:type="dxa"/>
              <w:bottom w:w="0" w:type="dxa"/>
              <w:right w:w="100" w:type="dxa"/>
            </w:tcMar>
            <w:hideMark/>
          </w:tcPr>
          <w:p w14:paraId="0CFB0CE6" w14:textId="27D07326"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Patient counseling practice on risks and benefits of micronutrient use</w:t>
            </w:r>
          </w:p>
        </w:tc>
        <w:tc>
          <w:tcPr>
            <w:tcW w:w="0" w:type="auto"/>
            <w:tcBorders>
              <w:bottom w:val="single" w:sz="8" w:space="0" w:color="000000"/>
            </w:tcBorders>
            <w:tcMar>
              <w:top w:w="0" w:type="dxa"/>
              <w:left w:w="100" w:type="dxa"/>
              <w:bottom w:w="0" w:type="dxa"/>
              <w:right w:w="100" w:type="dxa"/>
            </w:tcMar>
            <w:hideMark/>
          </w:tcPr>
          <w:p w14:paraId="48AFCDE9" w14:textId="02DE45FC"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3.531</w:t>
            </w:r>
          </w:p>
        </w:tc>
        <w:tc>
          <w:tcPr>
            <w:tcW w:w="0" w:type="auto"/>
            <w:tcBorders>
              <w:bottom w:val="single" w:sz="8" w:space="0" w:color="000000"/>
            </w:tcBorders>
            <w:tcMar>
              <w:top w:w="0" w:type="dxa"/>
              <w:left w:w="100" w:type="dxa"/>
              <w:bottom w:w="0" w:type="dxa"/>
              <w:right w:w="100" w:type="dxa"/>
            </w:tcMar>
            <w:hideMark/>
          </w:tcPr>
          <w:p w14:paraId="085886D4" w14:textId="242F8B79"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0.604</w:t>
            </w:r>
          </w:p>
        </w:tc>
        <w:tc>
          <w:tcPr>
            <w:tcW w:w="0" w:type="auto"/>
            <w:tcBorders>
              <w:bottom w:val="single" w:sz="8" w:space="0" w:color="000000"/>
            </w:tcBorders>
            <w:tcMar>
              <w:top w:w="0" w:type="dxa"/>
              <w:left w:w="100" w:type="dxa"/>
              <w:bottom w:w="0" w:type="dxa"/>
              <w:right w:w="100" w:type="dxa"/>
            </w:tcMar>
            <w:hideMark/>
          </w:tcPr>
          <w:p w14:paraId="1B8B3CB9" w14:textId="4F0659E7" w:rsidR="00397AE4" w:rsidRPr="00397AE4" w:rsidRDefault="00E30757" w:rsidP="00397AE4">
            <w:pPr>
              <w:spacing w:line="240" w:lineRule="auto"/>
              <w:jc w:val="both"/>
              <w:rPr>
                <w:rFonts w:ascii="Times New Roman" w:hAnsi="Times New Roman" w:cs="Times New Roman"/>
                <w:lang w:val="en-PH" w:eastAsia="en-PH"/>
              </w:rPr>
            </w:pPr>
            <w:r>
              <w:rPr>
                <w:rFonts w:ascii="Times New Roman" w:hAnsi="Times New Roman" w:cs="Times New Roman"/>
                <w:lang w:val="en-PH" w:eastAsia="en-PH"/>
              </w:rPr>
              <w:t> </w:t>
            </w:r>
            <w:r w:rsidR="00397AE4" w:rsidRPr="00397AE4">
              <w:rPr>
                <w:rFonts w:ascii="Times New Roman" w:hAnsi="Times New Roman" w:cs="Times New Roman"/>
                <w:lang w:val="en-PH" w:eastAsia="en-PH"/>
              </w:rPr>
              <w:t>High</w:t>
            </w:r>
          </w:p>
        </w:tc>
      </w:tr>
    </w:tbl>
    <w:p w14:paraId="420277E4" w14:textId="77777777" w:rsidR="003A695F" w:rsidRPr="000C2967" w:rsidRDefault="003A695F" w:rsidP="000C2967">
      <w:pPr>
        <w:spacing w:line="240" w:lineRule="auto"/>
        <w:jc w:val="both"/>
        <w:rPr>
          <w:rFonts w:ascii="Times New Roman" w:hAnsi="Times New Roman" w:cs="Times New Roman"/>
        </w:rPr>
      </w:pPr>
    </w:p>
    <w:p w14:paraId="78633BE0"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Table 7 shows that respondents demonstrated a high level of practice in both clinical decision-making with evidence-based consultation and patient counseling on the risks and benefits of micronutrient use. Clinical decision-making and evidence-based consultation obtained mean scores of 3.709 (SD = 0.372) and 3.639 (SD = 0.446), respectively, both interpreted as High Practice. The relatively low standard deviation values indicate consistency in respondents’ answers across both domains.</w:t>
      </w:r>
    </w:p>
    <w:p w14:paraId="11FCFBC9"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Among the two domains, clinical decision-making and evidence-based consultation had slightly higher mean scores than patient counseling practice. This suggests that respondents may demonstrate greater consistency in applying evidence-based clinical decisions compared to patient counseling activities. Nevertheless, the findings indicate that respondents possess strong competencies in both aspects of professional practice.</w:t>
      </w:r>
    </w:p>
    <w:p w14:paraId="315407CA"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These findings support the Evidence-Based Practice (EBP) model proposed by David Sackett and colleagues (1996), which emphasizes integrating clinical expertise and research evidence to improve patient care outcomes. The higher score in clinical decision-making suggests strong adherence to established maternal nutrition guidelines and evidence-based recommendations. Studies have shown that healthcare providers prioritize evidence-based consultation to ensure safe and effective prenatal supplementation practices, particularly regarding folic acid and iron intake during pregnancy (Milman, 2012). Furthermore, Bastos et al. (2019) emphasized that effective patient counseling improves adherence to micronutrient supplementation among pregnant women. Overall, the findings suggest that respondents are capable of integrating evidence-based knowledge into clinical practice while maintaining effective patient counseling practices.</w:t>
      </w:r>
    </w:p>
    <w:p w14:paraId="7FBBABF1" w14:textId="77777777" w:rsidR="00397AE4" w:rsidRPr="00397AE4" w:rsidRDefault="00397AE4" w:rsidP="00397AE4">
      <w:pPr>
        <w:spacing w:line="240" w:lineRule="auto"/>
        <w:jc w:val="both"/>
        <w:rPr>
          <w:rFonts w:ascii="Times New Roman" w:hAnsi="Times New Roman" w:cs="Times New Roman"/>
          <w:lang w:val="en-PH"/>
        </w:rPr>
      </w:pPr>
    </w:p>
    <w:p w14:paraId="32B3CC30" w14:textId="39716BA9"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b/>
          <w:bCs/>
          <w:lang w:val="en-PH"/>
        </w:rPr>
        <w:t>Significance Difference in Knowledge and Practice in terms of Age, Years of Practice and Practice Setting</w:t>
      </w:r>
    </w:p>
    <w:p w14:paraId="21237673" w14:textId="0A88C671" w:rsidR="0049134C" w:rsidRDefault="00397AE4" w:rsidP="001A343B">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This section presents an analysis of significant differences in the knowledge and counseling practices of public health and community pharmacists regarding recommended micronutrient use during pregnancy, grouped by age, years of professional experience, and practice setting. The findings determine whether demographic characteristics influence the respondents’ level of knowledge and professional practices.</w:t>
      </w:r>
    </w:p>
    <w:p w14:paraId="3C3185F6" w14:textId="77777777" w:rsidR="001A343B" w:rsidRPr="001A343B" w:rsidRDefault="001A343B" w:rsidP="001A343B">
      <w:pPr>
        <w:spacing w:line="240" w:lineRule="auto"/>
        <w:ind w:firstLine="720"/>
        <w:jc w:val="both"/>
        <w:rPr>
          <w:rFonts w:ascii="Times New Roman" w:hAnsi="Times New Roman" w:cs="Times New Roman"/>
          <w:lang w:val="en-PH"/>
        </w:rPr>
      </w:pPr>
    </w:p>
    <w:p w14:paraId="0E64CE0E" w14:textId="084D6334" w:rsidR="00397AE4" w:rsidRPr="00397AE4" w:rsidRDefault="00397AE4" w:rsidP="00397AE4">
      <w:pPr>
        <w:spacing w:line="240" w:lineRule="auto"/>
        <w:jc w:val="both"/>
        <w:rPr>
          <w:rFonts w:ascii="Times New Roman" w:hAnsi="Times New Roman" w:cs="Times New Roman"/>
          <w:b/>
          <w:lang w:val="en-PH"/>
        </w:rPr>
      </w:pPr>
      <w:r w:rsidRPr="00397AE4">
        <w:rPr>
          <w:rFonts w:ascii="Times New Roman" w:hAnsi="Times New Roman" w:cs="Times New Roman"/>
          <w:b/>
          <w:bCs/>
          <w:lang w:val="en-PH"/>
        </w:rPr>
        <w:t>Table 8</w:t>
      </w:r>
      <w:r w:rsidRPr="00397AE4">
        <w:rPr>
          <w:rFonts w:ascii="Times New Roman" w:hAnsi="Times New Roman" w:cs="Times New Roman"/>
          <w:lang w:val="en-PH"/>
        </w:rPr>
        <w:t>.</w:t>
      </w:r>
      <w:r>
        <w:rPr>
          <w:rFonts w:ascii="Times New Roman" w:hAnsi="Times New Roman" w:cs="Times New Roman"/>
          <w:lang w:val="en-PH"/>
        </w:rPr>
        <w:t xml:space="preserve"> </w:t>
      </w:r>
      <w:r w:rsidRPr="00397AE4">
        <w:rPr>
          <w:rFonts w:ascii="Times New Roman" w:hAnsi="Times New Roman" w:cs="Times New Roman"/>
          <w:b/>
          <w:i/>
          <w:iCs/>
          <w:lang w:val="en-PH"/>
        </w:rPr>
        <w:t>Significance difference in Knowledge and Practice in terms of Age, Years of Practice and Practice Setting</w:t>
      </w:r>
    </w:p>
    <w:tbl>
      <w:tblPr>
        <w:tblW w:w="0" w:type="auto"/>
        <w:tblCellMar>
          <w:top w:w="15" w:type="dxa"/>
          <w:left w:w="15" w:type="dxa"/>
          <w:bottom w:w="15" w:type="dxa"/>
          <w:right w:w="15" w:type="dxa"/>
        </w:tblCellMar>
        <w:tblLook w:val="04A0" w:firstRow="1" w:lastRow="0" w:firstColumn="1" w:lastColumn="0" w:noHBand="0" w:noVBand="1"/>
      </w:tblPr>
      <w:tblGrid>
        <w:gridCol w:w="2481"/>
        <w:gridCol w:w="2294"/>
        <w:gridCol w:w="1974"/>
        <w:gridCol w:w="1021"/>
        <w:gridCol w:w="1723"/>
      </w:tblGrid>
      <w:tr w:rsidR="00397AE4" w:rsidRPr="00397AE4" w14:paraId="0E08D537" w14:textId="77777777" w:rsidTr="0049134C">
        <w:trPr>
          <w:trHeight w:val="439"/>
        </w:trPr>
        <w:tc>
          <w:tcPr>
            <w:tcW w:w="0" w:type="auto"/>
            <w:tcBorders>
              <w:top w:val="single" w:sz="8" w:space="0" w:color="000000"/>
              <w:bottom w:val="single" w:sz="8" w:space="0" w:color="000000"/>
            </w:tcBorders>
            <w:tcMar>
              <w:top w:w="0" w:type="dxa"/>
              <w:left w:w="100" w:type="dxa"/>
              <w:bottom w:w="0" w:type="dxa"/>
              <w:right w:w="100" w:type="dxa"/>
            </w:tcMar>
            <w:hideMark/>
          </w:tcPr>
          <w:p w14:paraId="0B3494F0" w14:textId="6883E0E2" w:rsidR="00397AE4" w:rsidRPr="00397AE4" w:rsidRDefault="0049134C" w:rsidP="00397AE4">
            <w:pPr>
              <w:spacing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Independent Variable</w:t>
            </w:r>
          </w:p>
        </w:tc>
        <w:tc>
          <w:tcPr>
            <w:tcW w:w="0" w:type="auto"/>
            <w:tcBorders>
              <w:top w:val="single" w:sz="8" w:space="0" w:color="000000"/>
              <w:bottom w:val="single" w:sz="8" w:space="0" w:color="000000"/>
            </w:tcBorders>
            <w:tcMar>
              <w:top w:w="0" w:type="dxa"/>
              <w:left w:w="100" w:type="dxa"/>
              <w:bottom w:w="0" w:type="dxa"/>
              <w:right w:w="100" w:type="dxa"/>
            </w:tcMar>
            <w:hideMark/>
          </w:tcPr>
          <w:p w14:paraId="40DB2791" w14:textId="26572667" w:rsidR="00397AE4" w:rsidRPr="00397AE4" w:rsidRDefault="0049134C" w:rsidP="00397AE4">
            <w:pPr>
              <w:spacing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Dependent Variable</w:t>
            </w:r>
          </w:p>
        </w:tc>
        <w:tc>
          <w:tcPr>
            <w:tcW w:w="0" w:type="auto"/>
            <w:tcBorders>
              <w:top w:val="single" w:sz="8" w:space="0" w:color="000000"/>
              <w:bottom w:val="single" w:sz="8" w:space="0" w:color="000000"/>
            </w:tcBorders>
            <w:tcMar>
              <w:top w:w="0" w:type="dxa"/>
              <w:left w:w="100" w:type="dxa"/>
              <w:bottom w:w="0" w:type="dxa"/>
              <w:right w:w="100" w:type="dxa"/>
            </w:tcMar>
            <w:hideMark/>
          </w:tcPr>
          <w:p w14:paraId="66B09D37" w14:textId="78691142" w:rsidR="00397AE4" w:rsidRPr="00397AE4" w:rsidRDefault="0049134C" w:rsidP="00397AE4">
            <w:pPr>
              <w:spacing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F-value/ H-value</w:t>
            </w:r>
          </w:p>
        </w:tc>
        <w:tc>
          <w:tcPr>
            <w:tcW w:w="0" w:type="auto"/>
            <w:tcBorders>
              <w:top w:val="single" w:sz="8" w:space="0" w:color="000000"/>
              <w:bottom w:val="single" w:sz="8" w:space="0" w:color="000000"/>
            </w:tcBorders>
            <w:tcMar>
              <w:top w:w="0" w:type="dxa"/>
              <w:left w:w="100" w:type="dxa"/>
              <w:bottom w:w="0" w:type="dxa"/>
              <w:right w:w="100" w:type="dxa"/>
            </w:tcMar>
            <w:hideMark/>
          </w:tcPr>
          <w:p w14:paraId="3B2A2615" w14:textId="71C81AFE" w:rsidR="00397AE4" w:rsidRPr="00397AE4" w:rsidRDefault="0049134C" w:rsidP="00397AE4">
            <w:pPr>
              <w:spacing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p-value</w:t>
            </w:r>
          </w:p>
        </w:tc>
        <w:tc>
          <w:tcPr>
            <w:tcW w:w="0" w:type="auto"/>
            <w:tcBorders>
              <w:top w:val="single" w:sz="8" w:space="0" w:color="000000"/>
              <w:bottom w:val="single" w:sz="8" w:space="0" w:color="000000"/>
            </w:tcBorders>
            <w:tcMar>
              <w:top w:w="0" w:type="dxa"/>
              <w:left w:w="100" w:type="dxa"/>
              <w:bottom w:w="0" w:type="dxa"/>
              <w:right w:w="100" w:type="dxa"/>
            </w:tcMar>
            <w:hideMark/>
          </w:tcPr>
          <w:p w14:paraId="3A9555C9" w14:textId="24C07298" w:rsidR="00397AE4" w:rsidRPr="00397AE4" w:rsidRDefault="0049134C" w:rsidP="00397AE4">
            <w:pPr>
              <w:spacing w:line="240" w:lineRule="auto"/>
              <w:jc w:val="both"/>
              <w:rPr>
                <w:rFonts w:ascii="Times New Roman" w:hAnsi="Times New Roman" w:cs="Times New Roman"/>
                <w:b/>
                <w:lang w:val="en-PH"/>
              </w:rPr>
            </w:pPr>
            <w:r>
              <w:rPr>
                <w:rFonts w:ascii="Times New Roman" w:hAnsi="Times New Roman" w:cs="Times New Roman"/>
                <w:b/>
                <w:lang w:val="en-PH"/>
              </w:rPr>
              <w:t> </w:t>
            </w:r>
            <w:r w:rsidR="00397AE4" w:rsidRPr="00397AE4">
              <w:rPr>
                <w:rFonts w:ascii="Times New Roman" w:hAnsi="Times New Roman" w:cs="Times New Roman"/>
                <w:b/>
                <w:lang w:val="en-PH"/>
              </w:rPr>
              <w:t>Interpretation</w:t>
            </w:r>
          </w:p>
        </w:tc>
      </w:tr>
      <w:tr w:rsidR="00397AE4" w:rsidRPr="00397AE4" w14:paraId="3469C078" w14:textId="77777777" w:rsidTr="004C1802">
        <w:trPr>
          <w:trHeight w:val="304"/>
        </w:trPr>
        <w:tc>
          <w:tcPr>
            <w:tcW w:w="0" w:type="auto"/>
            <w:vMerge w:val="restart"/>
            <w:tcBorders>
              <w:top w:val="single" w:sz="8" w:space="0" w:color="000000"/>
            </w:tcBorders>
            <w:tcMar>
              <w:top w:w="0" w:type="dxa"/>
              <w:left w:w="100" w:type="dxa"/>
              <w:bottom w:w="0" w:type="dxa"/>
              <w:right w:w="100" w:type="dxa"/>
            </w:tcMar>
            <w:hideMark/>
          </w:tcPr>
          <w:p w14:paraId="05B56164" w14:textId="7B77CA03"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 Age</w:t>
            </w:r>
          </w:p>
          <w:p w14:paraId="1A65F054"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 </w:t>
            </w:r>
          </w:p>
        </w:tc>
        <w:tc>
          <w:tcPr>
            <w:tcW w:w="0" w:type="auto"/>
            <w:tcBorders>
              <w:top w:val="single" w:sz="8" w:space="0" w:color="000000"/>
            </w:tcBorders>
            <w:tcMar>
              <w:top w:w="0" w:type="dxa"/>
              <w:left w:w="100" w:type="dxa"/>
              <w:bottom w:w="0" w:type="dxa"/>
              <w:right w:w="100" w:type="dxa"/>
            </w:tcMar>
            <w:hideMark/>
          </w:tcPr>
          <w:p w14:paraId="53C1866E"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Knowledge</w:t>
            </w:r>
          </w:p>
        </w:tc>
        <w:tc>
          <w:tcPr>
            <w:tcW w:w="0" w:type="auto"/>
            <w:tcBorders>
              <w:top w:val="single" w:sz="8" w:space="0" w:color="000000"/>
            </w:tcBorders>
            <w:tcMar>
              <w:top w:w="0" w:type="dxa"/>
              <w:left w:w="100" w:type="dxa"/>
              <w:bottom w:w="0" w:type="dxa"/>
              <w:right w:w="100" w:type="dxa"/>
            </w:tcMar>
            <w:hideMark/>
          </w:tcPr>
          <w:p w14:paraId="424F017A"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4.270</w:t>
            </w:r>
          </w:p>
        </w:tc>
        <w:tc>
          <w:tcPr>
            <w:tcW w:w="0" w:type="auto"/>
            <w:tcBorders>
              <w:top w:val="single" w:sz="8" w:space="0" w:color="000000"/>
            </w:tcBorders>
            <w:tcMar>
              <w:top w:w="0" w:type="dxa"/>
              <w:left w:w="100" w:type="dxa"/>
              <w:bottom w:w="0" w:type="dxa"/>
              <w:right w:w="100" w:type="dxa"/>
            </w:tcMar>
            <w:hideMark/>
          </w:tcPr>
          <w:p w14:paraId="6BF88527"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0.007</w:t>
            </w:r>
          </w:p>
        </w:tc>
        <w:tc>
          <w:tcPr>
            <w:tcW w:w="0" w:type="auto"/>
            <w:tcBorders>
              <w:top w:val="single" w:sz="8" w:space="0" w:color="000000"/>
            </w:tcBorders>
            <w:tcMar>
              <w:top w:w="0" w:type="dxa"/>
              <w:left w:w="100" w:type="dxa"/>
              <w:bottom w:w="0" w:type="dxa"/>
              <w:right w:w="100" w:type="dxa"/>
            </w:tcMar>
            <w:hideMark/>
          </w:tcPr>
          <w:p w14:paraId="38190F39"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Significant</w:t>
            </w:r>
          </w:p>
        </w:tc>
      </w:tr>
      <w:tr w:rsidR="00397AE4" w:rsidRPr="00397AE4" w14:paraId="43821DA4" w14:textId="77777777" w:rsidTr="00397AE4">
        <w:trPr>
          <w:trHeight w:val="585"/>
        </w:trPr>
        <w:tc>
          <w:tcPr>
            <w:tcW w:w="0" w:type="auto"/>
            <w:vMerge/>
            <w:tcBorders>
              <w:top w:val="single" w:sz="8" w:space="0" w:color="000000"/>
            </w:tcBorders>
            <w:vAlign w:val="center"/>
            <w:hideMark/>
          </w:tcPr>
          <w:p w14:paraId="58098F5D" w14:textId="77777777" w:rsidR="00397AE4" w:rsidRPr="00397AE4" w:rsidRDefault="00397AE4" w:rsidP="00397AE4">
            <w:pPr>
              <w:spacing w:line="240" w:lineRule="auto"/>
              <w:jc w:val="both"/>
              <w:rPr>
                <w:rFonts w:ascii="Times New Roman" w:hAnsi="Times New Roman" w:cs="Times New Roman"/>
                <w:lang w:val="en-PH"/>
              </w:rPr>
            </w:pPr>
          </w:p>
        </w:tc>
        <w:tc>
          <w:tcPr>
            <w:tcW w:w="0" w:type="auto"/>
            <w:tcMar>
              <w:top w:w="0" w:type="dxa"/>
              <w:left w:w="100" w:type="dxa"/>
              <w:bottom w:w="0" w:type="dxa"/>
              <w:right w:w="100" w:type="dxa"/>
            </w:tcMar>
            <w:hideMark/>
          </w:tcPr>
          <w:p w14:paraId="01CDBF7A"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Practice</w:t>
            </w:r>
          </w:p>
        </w:tc>
        <w:tc>
          <w:tcPr>
            <w:tcW w:w="0" w:type="auto"/>
            <w:tcMar>
              <w:top w:w="0" w:type="dxa"/>
              <w:left w:w="100" w:type="dxa"/>
              <w:bottom w:w="0" w:type="dxa"/>
              <w:right w:w="100" w:type="dxa"/>
            </w:tcMar>
            <w:hideMark/>
          </w:tcPr>
          <w:p w14:paraId="4D3752E2"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1.807</w:t>
            </w:r>
          </w:p>
        </w:tc>
        <w:tc>
          <w:tcPr>
            <w:tcW w:w="0" w:type="auto"/>
            <w:tcMar>
              <w:top w:w="0" w:type="dxa"/>
              <w:left w:w="100" w:type="dxa"/>
              <w:bottom w:w="0" w:type="dxa"/>
              <w:right w:w="100" w:type="dxa"/>
            </w:tcMar>
            <w:hideMark/>
          </w:tcPr>
          <w:p w14:paraId="5E737E58"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0.151</w:t>
            </w:r>
          </w:p>
        </w:tc>
        <w:tc>
          <w:tcPr>
            <w:tcW w:w="0" w:type="auto"/>
            <w:tcMar>
              <w:top w:w="0" w:type="dxa"/>
              <w:left w:w="100" w:type="dxa"/>
              <w:bottom w:w="0" w:type="dxa"/>
              <w:right w:w="100" w:type="dxa"/>
            </w:tcMar>
            <w:hideMark/>
          </w:tcPr>
          <w:p w14:paraId="0FC2E970"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Not Significant</w:t>
            </w:r>
          </w:p>
        </w:tc>
      </w:tr>
      <w:tr w:rsidR="00397AE4" w:rsidRPr="00397AE4" w14:paraId="64356527" w14:textId="77777777" w:rsidTr="004C1802">
        <w:trPr>
          <w:trHeight w:val="81"/>
        </w:trPr>
        <w:tc>
          <w:tcPr>
            <w:tcW w:w="0" w:type="auto"/>
            <w:vMerge w:val="restart"/>
            <w:tcMar>
              <w:top w:w="0" w:type="dxa"/>
              <w:left w:w="100" w:type="dxa"/>
              <w:bottom w:w="0" w:type="dxa"/>
              <w:right w:w="100" w:type="dxa"/>
            </w:tcMar>
            <w:hideMark/>
          </w:tcPr>
          <w:p w14:paraId="043BF80B" w14:textId="375EC0C3"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lastRenderedPageBreak/>
              <w:t>Years of Practice</w:t>
            </w:r>
          </w:p>
        </w:tc>
        <w:tc>
          <w:tcPr>
            <w:tcW w:w="0" w:type="auto"/>
            <w:tcMar>
              <w:top w:w="0" w:type="dxa"/>
              <w:left w:w="100" w:type="dxa"/>
              <w:bottom w:w="0" w:type="dxa"/>
              <w:right w:w="100" w:type="dxa"/>
            </w:tcMar>
            <w:hideMark/>
          </w:tcPr>
          <w:p w14:paraId="0BA77D64"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Knowledge</w:t>
            </w:r>
          </w:p>
        </w:tc>
        <w:tc>
          <w:tcPr>
            <w:tcW w:w="0" w:type="auto"/>
            <w:tcMar>
              <w:top w:w="0" w:type="dxa"/>
              <w:left w:w="100" w:type="dxa"/>
              <w:bottom w:w="0" w:type="dxa"/>
              <w:right w:w="100" w:type="dxa"/>
            </w:tcMar>
            <w:hideMark/>
          </w:tcPr>
          <w:p w14:paraId="33820C11"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2.152</w:t>
            </w:r>
          </w:p>
        </w:tc>
        <w:tc>
          <w:tcPr>
            <w:tcW w:w="0" w:type="auto"/>
            <w:tcMar>
              <w:top w:w="0" w:type="dxa"/>
              <w:left w:w="100" w:type="dxa"/>
              <w:bottom w:w="0" w:type="dxa"/>
              <w:right w:w="100" w:type="dxa"/>
            </w:tcMar>
            <w:hideMark/>
          </w:tcPr>
          <w:p w14:paraId="1F15BE7F"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0.080</w:t>
            </w:r>
          </w:p>
        </w:tc>
        <w:tc>
          <w:tcPr>
            <w:tcW w:w="0" w:type="auto"/>
            <w:tcMar>
              <w:top w:w="0" w:type="dxa"/>
              <w:left w:w="100" w:type="dxa"/>
              <w:bottom w:w="0" w:type="dxa"/>
              <w:right w:w="100" w:type="dxa"/>
            </w:tcMar>
            <w:hideMark/>
          </w:tcPr>
          <w:p w14:paraId="2039CB35"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Not Significant</w:t>
            </w:r>
          </w:p>
        </w:tc>
      </w:tr>
      <w:tr w:rsidR="00397AE4" w:rsidRPr="00397AE4" w14:paraId="4CC2F871" w14:textId="77777777" w:rsidTr="004C1802">
        <w:trPr>
          <w:trHeight w:val="264"/>
        </w:trPr>
        <w:tc>
          <w:tcPr>
            <w:tcW w:w="0" w:type="auto"/>
            <w:vMerge/>
            <w:vAlign w:val="center"/>
            <w:hideMark/>
          </w:tcPr>
          <w:p w14:paraId="6F766C25" w14:textId="77777777" w:rsidR="00397AE4" w:rsidRPr="00397AE4" w:rsidRDefault="00397AE4" w:rsidP="00397AE4">
            <w:pPr>
              <w:spacing w:line="240" w:lineRule="auto"/>
              <w:jc w:val="both"/>
              <w:rPr>
                <w:rFonts w:ascii="Times New Roman" w:hAnsi="Times New Roman" w:cs="Times New Roman"/>
                <w:lang w:val="en-PH"/>
              </w:rPr>
            </w:pPr>
          </w:p>
        </w:tc>
        <w:tc>
          <w:tcPr>
            <w:tcW w:w="0" w:type="auto"/>
            <w:tcMar>
              <w:top w:w="0" w:type="dxa"/>
              <w:left w:w="100" w:type="dxa"/>
              <w:bottom w:w="0" w:type="dxa"/>
              <w:right w:w="100" w:type="dxa"/>
            </w:tcMar>
            <w:hideMark/>
          </w:tcPr>
          <w:p w14:paraId="2D1FC59F"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Practice</w:t>
            </w:r>
          </w:p>
        </w:tc>
        <w:tc>
          <w:tcPr>
            <w:tcW w:w="0" w:type="auto"/>
            <w:tcMar>
              <w:top w:w="0" w:type="dxa"/>
              <w:left w:w="100" w:type="dxa"/>
              <w:bottom w:w="0" w:type="dxa"/>
              <w:right w:w="100" w:type="dxa"/>
            </w:tcMar>
            <w:hideMark/>
          </w:tcPr>
          <w:p w14:paraId="36ED3A1B"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2.986</w:t>
            </w:r>
          </w:p>
        </w:tc>
        <w:tc>
          <w:tcPr>
            <w:tcW w:w="0" w:type="auto"/>
            <w:tcMar>
              <w:top w:w="0" w:type="dxa"/>
              <w:left w:w="100" w:type="dxa"/>
              <w:bottom w:w="0" w:type="dxa"/>
              <w:right w:w="100" w:type="dxa"/>
            </w:tcMar>
            <w:hideMark/>
          </w:tcPr>
          <w:p w14:paraId="45DAF360"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0.023</w:t>
            </w:r>
          </w:p>
        </w:tc>
        <w:tc>
          <w:tcPr>
            <w:tcW w:w="0" w:type="auto"/>
            <w:tcMar>
              <w:top w:w="0" w:type="dxa"/>
              <w:left w:w="100" w:type="dxa"/>
              <w:bottom w:w="0" w:type="dxa"/>
              <w:right w:w="100" w:type="dxa"/>
            </w:tcMar>
            <w:hideMark/>
          </w:tcPr>
          <w:p w14:paraId="7BB79458"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Significant</w:t>
            </w:r>
          </w:p>
        </w:tc>
      </w:tr>
      <w:tr w:rsidR="00397AE4" w:rsidRPr="00397AE4" w14:paraId="55B98E46" w14:textId="77777777" w:rsidTr="004C1802">
        <w:trPr>
          <w:trHeight w:val="270"/>
        </w:trPr>
        <w:tc>
          <w:tcPr>
            <w:tcW w:w="0" w:type="auto"/>
            <w:vMerge w:val="restart"/>
            <w:tcBorders>
              <w:bottom w:val="single" w:sz="8" w:space="0" w:color="000000"/>
            </w:tcBorders>
            <w:tcMar>
              <w:top w:w="0" w:type="dxa"/>
              <w:left w:w="100" w:type="dxa"/>
              <w:bottom w:w="0" w:type="dxa"/>
              <w:right w:w="100" w:type="dxa"/>
            </w:tcMar>
            <w:hideMark/>
          </w:tcPr>
          <w:p w14:paraId="31003C2B" w14:textId="4D48C343"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 Practice Setting</w:t>
            </w:r>
          </w:p>
        </w:tc>
        <w:tc>
          <w:tcPr>
            <w:tcW w:w="0" w:type="auto"/>
            <w:tcMar>
              <w:top w:w="0" w:type="dxa"/>
              <w:left w:w="100" w:type="dxa"/>
              <w:bottom w:w="0" w:type="dxa"/>
              <w:right w:w="100" w:type="dxa"/>
            </w:tcMar>
            <w:hideMark/>
          </w:tcPr>
          <w:p w14:paraId="71110E64"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Knowledge</w:t>
            </w:r>
          </w:p>
        </w:tc>
        <w:tc>
          <w:tcPr>
            <w:tcW w:w="0" w:type="auto"/>
            <w:tcMar>
              <w:top w:w="0" w:type="dxa"/>
              <w:left w:w="100" w:type="dxa"/>
              <w:bottom w:w="0" w:type="dxa"/>
              <w:right w:w="100" w:type="dxa"/>
            </w:tcMar>
            <w:hideMark/>
          </w:tcPr>
          <w:p w14:paraId="36620B30"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0.102</w:t>
            </w:r>
          </w:p>
        </w:tc>
        <w:tc>
          <w:tcPr>
            <w:tcW w:w="0" w:type="auto"/>
            <w:tcMar>
              <w:top w:w="0" w:type="dxa"/>
              <w:left w:w="100" w:type="dxa"/>
              <w:bottom w:w="0" w:type="dxa"/>
              <w:right w:w="100" w:type="dxa"/>
            </w:tcMar>
            <w:hideMark/>
          </w:tcPr>
          <w:p w14:paraId="6A5409D3"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0.750</w:t>
            </w:r>
          </w:p>
        </w:tc>
        <w:tc>
          <w:tcPr>
            <w:tcW w:w="0" w:type="auto"/>
            <w:tcMar>
              <w:top w:w="0" w:type="dxa"/>
              <w:left w:w="100" w:type="dxa"/>
              <w:bottom w:w="0" w:type="dxa"/>
              <w:right w:w="100" w:type="dxa"/>
            </w:tcMar>
            <w:hideMark/>
          </w:tcPr>
          <w:p w14:paraId="3509D83E"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Not Significant</w:t>
            </w:r>
          </w:p>
        </w:tc>
      </w:tr>
      <w:tr w:rsidR="00397AE4" w:rsidRPr="00397AE4" w14:paraId="4F12C04A" w14:textId="77777777" w:rsidTr="004C1802">
        <w:trPr>
          <w:trHeight w:val="430"/>
        </w:trPr>
        <w:tc>
          <w:tcPr>
            <w:tcW w:w="0" w:type="auto"/>
            <w:vMerge/>
            <w:tcBorders>
              <w:bottom w:val="single" w:sz="8" w:space="0" w:color="000000"/>
            </w:tcBorders>
            <w:vAlign w:val="center"/>
            <w:hideMark/>
          </w:tcPr>
          <w:p w14:paraId="4A9405C5" w14:textId="77777777" w:rsidR="00397AE4" w:rsidRPr="00397AE4" w:rsidRDefault="00397AE4" w:rsidP="00397AE4">
            <w:pPr>
              <w:spacing w:line="240" w:lineRule="auto"/>
              <w:jc w:val="both"/>
              <w:rPr>
                <w:rFonts w:ascii="Times New Roman" w:hAnsi="Times New Roman" w:cs="Times New Roman"/>
                <w:lang w:val="en-PH"/>
              </w:rPr>
            </w:pPr>
          </w:p>
        </w:tc>
        <w:tc>
          <w:tcPr>
            <w:tcW w:w="0" w:type="auto"/>
            <w:tcBorders>
              <w:bottom w:val="single" w:sz="8" w:space="0" w:color="000000"/>
            </w:tcBorders>
            <w:tcMar>
              <w:top w:w="0" w:type="dxa"/>
              <w:left w:w="100" w:type="dxa"/>
              <w:bottom w:w="0" w:type="dxa"/>
              <w:right w:w="100" w:type="dxa"/>
            </w:tcMar>
            <w:hideMark/>
          </w:tcPr>
          <w:p w14:paraId="2BAE3773"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Practice</w:t>
            </w:r>
          </w:p>
        </w:tc>
        <w:tc>
          <w:tcPr>
            <w:tcW w:w="0" w:type="auto"/>
            <w:tcBorders>
              <w:bottom w:val="single" w:sz="8" w:space="0" w:color="000000"/>
            </w:tcBorders>
            <w:tcMar>
              <w:top w:w="0" w:type="dxa"/>
              <w:left w:w="100" w:type="dxa"/>
              <w:bottom w:w="0" w:type="dxa"/>
              <w:right w:w="100" w:type="dxa"/>
            </w:tcMar>
            <w:hideMark/>
          </w:tcPr>
          <w:p w14:paraId="55920B4C"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0.031</w:t>
            </w:r>
          </w:p>
        </w:tc>
        <w:tc>
          <w:tcPr>
            <w:tcW w:w="0" w:type="auto"/>
            <w:tcBorders>
              <w:bottom w:val="single" w:sz="8" w:space="0" w:color="000000"/>
            </w:tcBorders>
            <w:tcMar>
              <w:top w:w="0" w:type="dxa"/>
              <w:left w:w="100" w:type="dxa"/>
              <w:bottom w:w="0" w:type="dxa"/>
              <w:right w:w="100" w:type="dxa"/>
            </w:tcMar>
            <w:hideMark/>
          </w:tcPr>
          <w:p w14:paraId="5EC83840"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0.860</w:t>
            </w:r>
          </w:p>
        </w:tc>
        <w:tc>
          <w:tcPr>
            <w:tcW w:w="0" w:type="auto"/>
            <w:tcBorders>
              <w:bottom w:val="single" w:sz="8" w:space="0" w:color="000000"/>
            </w:tcBorders>
            <w:tcMar>
              <w:top w:w="0" w:type="dxa"/>
              <w:left w:w="100" w:type="dxa"/>
              <w:bottom w:w="0" w:type="dxa"/>
              <w:right w:w="100" w:type="dxa"/>
            </w:tcMar>
            <w:hideMark/>
          </w:tcPr>
          <w:p w14:paraId="4222E0B1" w14:textId="77777777" w:rsidR="00397AE4" w:rsidRPr="00397AE4" w:rsidRDefault="00397AE4" w:rsidP="00397AE4">
            <w:pPr>
              <w:spacing w:line="240" w:lineRule="auto"/>
              <w:jc w:val="both"/>
              <w:rPr>
                <w:rFonts w:ascii="Times New Roman" w:hAnsi="Times New Roman" w:cs="Times New Roman"/>
                <w:lang w:val="en-PH"/>
              </w:rPr>
            </w:pPr>
            <w:r w:rsidRPr="00397AE4">
              <w:rPr>
                <w:rFonts w:ascii="Times New Roman" w:hAnsi="Times New Roman" w:cs="Times New Roman"/>
                <w:lang w:val="en-PH"/>
              </w:rPr>
              <w:t>Not Significant</w:t>
            </w:r>
          </w:p>
        </w:tc>
      </w:tr>
    </w:tbl>
    <w:p w14:paraId="7FD17C5C" w14:textId="77777777" w:rsidR="003A695F" w:rsidRPr="000C2967" w:rsidRDefault="003A695F" w:rsidP="000C2967">
      <w:pPr>
        <w:spacing w:line="240" w:lineRule="auto"/>
        <w:jc w:val="both"/>
        <w:rPr>
          <w:rFonts w:ascii="Times New Roman" w:hAnsi="Times New Roman" w:cs="Times New Roman"/>
        </w:rPr>
      </w:pPr>
    </w:p>
    <w:p w14:paraId="1F716F8C"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Table 8 presents significant differences in knowledge and counseling practices among public health and community pharmacists regarding micronutrient use during pregnancy, grouped by age, years of professional experience, and practice setting.</w:t>
      </w:r>
    </w:p>
    <w:p w14:paraId="5DD10E5F"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The results revealed no significant differences in practice level when respondents were grouped by age (p = .151) or practice setting (p = .860), as both p-values were greater than 0.05. However, a significant difference was found when respondents were grouped by years of professional experience (p = .023), indicating that practice level varies with professional service length.</w:t>
      </w:r>
    </w:p>
    <w:p w14:paraId="38213B6A"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Based on these findings, the null hypothesis (H₀) is rejected. This decision is made because at least one of the tested grouping variables, specifically years of professional experience, showed a statistically significant difference at the 0.05 level. This means that the results do not support the assumption of no significant differences across all grouping variables.</w:t>
      </w:r>
    </w:p>
    <w:p w14:paraId="6DF1105F"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These results suggest that professional experience plays a key role in shaping pharmacists’ practice levels, likely due to accumulated exposure and clinical experience over time. In contrast, the non-significant findings for age and practice setting imply that standardized education, training, and institutional protocols may contribute to relatively uniform practice levels across different demographic groups.</w:t>
      </w:r>
    </w:p>
    <w:p w14:paraId="540DF58F"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The findings support Patricia Benner’s Novice-to-Expert Theory, which proposes that professional competence develops through experience and progression over time (Benner, 1984). Similarly, research in healthcare practice indicates that years of experience are more strongly associated with improved clinical judgment and practice performance than age or workplace setting alone (McHugh &amp; Lake, 2010).</w:t>
      </w:r>
    </w:p>
    <w:p w14:paraId="5E51F964" w14:textId="3B5A8C34" w:rsidR="003A695F" w:rsidRPr="000C2967" w:rsidRDefault="003A695F" w:rsidP="00397AE4">
      <w:pPr>
        <w:spacing w:line="240" w:lineRule="auto"/>
        <w:jc w:val="both"/>
        <w:rPr>
          <w:rFonts w:ascii="Times New Roman" w:hAnsi="Times New Roman" w:cs="Times New Roman"/>
        </w:rPr>
      </w:pPr>
    </w:p>
    <w:p w14:paraId="5D775698" w14:textId="1BC1787D" w:rsidR="003A695F" w:rsidRPr="000C2967" w:rsidRDefault="003A695F" w:rsidP="000C2967">
      <w:pPr>
        <w:tabs>
          <w:tab w:val="left" w:pos="1640"/>
        </w:tabs>
        <w:spacing w:line="240" w:lineRule="auto"/>
        <w:rPr>
          <w:rFonts w:ascii="Times New Roman" w:hAnsi="Times New Roman" w:cs="Times New Roman"/>
          <w:b/>
          <w:bCs/>
        </w:rPr>
      </w:pPr>
      <w:r w:rsidRPr="000C2967">
        <w:rPr>
          <w:rFonts w:ascii="Times New Roman" w:hAnsi="Times New Roman" w:cs="Times New Roman"/>
          <w:b/>
          <w:bCs/>
        </w:rPr>
        <w:t>Summary of the Findings</w:t>
      </w:r>
    </w:p>
    <w:p w14:paraId="264B1165"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This study generally aimed to determine the knowledge and counseling practices of public health and community pharmacists regarding micronutrient use among first- and second-trimester pregnant women in South Cotabato. Specifically, it sought to describe the respondents’ demographic profile in terms of age, years of professional experience, and practice setting; determine their level of knowledge regarding the benefits and risks of micronutrient use during pregnancy; and assess their counseling practices in terms of clinical decision-making with evidence-based consultation and patient counseling on the risks and benefits of micronutrient use. It also examined whether there were significant differences in knowledge and counseling practices across age, years of professional experience, and practice setting. The study utilized a quantitative cross-sectional research design and involved 103 licensed pharmacists working in Rural Health Unit (RHU) pharmacies and selected community pharmacies in South Cotabato.</w:t>
      </w:r>
    </w:p>
    <w:p w14:paraId="28E70B09"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The results showed that the majority of respondents were young professionals, with most belonging to the 20–29 age group (72.8%), followed by 30–39 years (13.6%), 50 years and above (11.7%), and a small proportion from 40–49 years (1.9%), indicating a predominantly early-career workforce. In terms of professional experience, most respondents had 1–3 years of experience (52.4%), followed by 4–6 years (17.5%), more than 10 years (15.5%), 7–10 years (9.7%), and less than 1 year (4.9%), confirming that the sample is largely composed of early-stage practitioners. Regarding practice setting, the majority were from community pharmacies (85.4%), while a smaller proportion were from Rural Health Unit/City Health Office settings (14.6%), indicating a strong dominance of community-based pharmacists. Overall, the findings suggest that respondents are mainly young, early-career pharmacists working in community pharmacy settings, reflecting the general structure and distribution of the pharmacy workforce in the Philippines.</w:t>
      </w:r>
    </w:p>
    <w:p w14:paraId="429F2CB7"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lastRenderedPageBreak/>
        <w:t>In terms of knowledge, respondents demonstrated a very high level of understanding of both the benefits and risks of micronutrient use during pregnancy, indicating well-balanced, comprehensive knowledge across key areas. Similarly, the level of practice was generally high in both clinical decision-making with evidence-based consultation and patient counseling on micronutrient use. Inferential analysis revealed no significant differences in knowledge or practice across age and practice-setting groups. In contrast, years of professional experience were significantly associated with practice levels, indicating that experience influences practice levels among pharmacists. Overall, the results suggest that respondents possess strong knowledge and practice competencies, with professional experience emerging as the key differentiating factor in their practice performance.</w:t>
      </w:r>
    </w:p>
    <w:p w14:paraId="6F833727" w14:textId="77777777" w:rsidR="00397AE4" w:rsidRPr="00397AE4" w:rsidRDefault="00397AE4" w:rsidP="00397AE4">
      <w:pPr>
        <w:spacing w:line="240" w:lineRule="auto"/>
        <w:ind w:firstLine="720"/>
        <w:jc w:val="both"/>
        <w:rPr>
          <w:rFonts w:ascii="Times New Roman" w:hAnsi="Times New Roman" w:cs="Times New Roman"/>
          <w:lang w:val="en-PH"/>
        </w:rPr>
      </w:pPr>
      <w:r w:rsidRPr="00397AE4">
        <w:rPr>
          <w:rFonts w:ascii="Times New Roman" w:hAnsi="Times New Roman" w:cs="Times New Roman"/>
          <w:lang w:val="en-PH"/>
        </w:rPr>
        <w:t>In terms of counseling practice, respondents demonstrated a high level of both clinical decision-making with evidence-based consultation and patient counseling regarding the risks and benefits of micronutrient use during pregnancy. Clinical decision-making and evidence-based consultation obtained mean scores of 3.709 (SD = 0.372) and 3.639 (SD = 0.446), respectively, both interpreted as high practice, with low standard deviation values indicating consistency among participants. The slightly higher mean in clinical decision-making suggests greater consistency in applying evidence-based clinical judgment compared to patient counseling; however, both domains reflect strong professional competence. Overall, the findings indicate that pharmacists demonstrate well-developed, consistent counseling practices, particularly in integrating evidence-based decision-making and patient education into maternal micronutrient use.</w:t>
      </w:r>
    </w:p>
    <w:p w14:paraId="6472897F" w14:textId="630C7774" w:rsidR="00397AE4" w:rsidRPr="00B30C01" w:rsidRDefault="00397AE4" w:rsidP="00B30C01">
      <w:pPr>
        <w:spacing w:line="240" w:lineRule="auto"/>
        <w:ind w:firstLine="720"/>
        <w:jc w:val="both"/>
        <w:rPr>
          <w:rFonts w:ascii="Times New Roman" w:hAnsi="Times New Roman" w:cs="Times New Roman"/>
        </w:rPr>
      </w:pPr>
      <w:r w:rsidRPr="00397AE4">
        <w:rPr>
          <w:rFonts w:ascii="Times New Roman" w:hAnsi="Times New Roman" w:cs="Times New Roman"/>
          <w:lang w:val="en-PH"/>
        </w:rPr>
        <w:t>The findings revealed no significant differences in knowledge and counseling practices between public health and community pharmacists, regardless of age (</w:t>
      </w:r>
      <w:r w:rsidRPr="00397AE4">
        <w:rPr>
          <w:rFonts w:ascii="Times New Roman" w:hAnsi="Times New Roman" w:cs="Times New Roman"/>
          <w:i/>
          <w:iCs/>
          <w:lang w:val="en-PH"/>
        </w:rPr>
        <w:t>p</w:t>
      </w:r>
      <w:r w:rsidRPr="00397AE4">
        <w:rPr>
          <w:rFonts w:ascii="Times New Roman" w:hAnsi="Times New Roman" w:cs="Times New Roman"/>
          <w:lang w:val="en-PH"/>
        </w:rPr>
        <w:t xml:space="preserve"> = .151) or practice setting (</w:t>
      </w:r>
      <w:r w:rsidRPr="00397AE4">
        <w:rPr>
          <w:rFonts w:ascii="Times New Roman" w:hAnsi="Times New Roman" w:cs="Times New Roman"/>
          <w:i/>
          <w:iCs/>
          <w:lang w:val="en-PH"/>
        </w:rPr>
        <w:t>p</w:t>
      </w:r>
      <w:r w:rsidRPr="00397AE4">
        <w:rPr>
          <w:rFonts w:ascii="Times New Roman" w:hAnsi="Times New Roman" w:cs="Times New Roman"/>
          <w:lang w:val="en-PH"/>
        </w:rPr>
        <w:t xml:space="preserve"> = .860), indicating that these variables do not influence practice levels. However, a significant difference was found based on years of professional experience (</w:t>
      </w:r>
      <w:r w:rsidRPr="00397AE4">
        <w:rPr>
          <w:rFonts w:ascii="Times New Roman" w:hAnsi="Times New Roman" w:cs="Times New Roman"/>
          <w:i/>
          <w:iCs/>
          <w:lang w:val="en-PH"/>
        </w:rPr>
        <w:t>p</w:t>
      </w:r>
      <w:r w:rsidRPr="00397AE4">
        <w:rPr>
          <w:rFonts w:ascii="Times New Roman" w:hAnsi="Times New Roman" w:cs="Times New Roman"/>
          <w:lang w:val="en-PH"/>
        </w:rPr>
        <w:t xml:space="preserve"> = .023), suggesting that practice levels vary depending on length of professional service. Based on these results, the null hypothesis was rejected, as at least one grouping variable showed a statistically significant difference. Overall, the findings indicate that professional experience plays a key role in influencing pharmacists’ practice levels. In contrast, age and practice setting do not significantly affect knowledge and counseling practices, supporting the idea that competence develops through accumulated experience over time.</w:t>
      </w:r>
    </w:p>
    <w:p w14:paraId="78EAD39D" w14:textId="77777777" w:rsidR="003A695F" w:rsidRPr="000C2967" w:rsidRDefault="003A695F" w:rsidP="000C2967">
      <w:pPr>
        <w:spacing w:line="240" w:lineRule="auto"/>
        <w:jc w:val="both"/>
        <w:rPr>
          <w:rFonts w:ascii="Times New Roman" w:hAnsi="Times New Roman" w:cs="Times New Roman"/>
          <w:b/>
          <w:bCs/>
        </w:rPr>
      </w:pPr>
      <w:r w:rsidRPr="000C2967">
        <w:rPr>
          <w:rFonts w:ascii="Times New Roman" w:hAnsi="Times New Roman" w:cs="Times New Roman"/>
          <w:b/>
          <w:bCs/>
        </w:rPr>
        <w:t>Conclusion</w:t>
      </w:r>
    </w:p>
    <w:p w14:paraId="02E93045" w14:textId="77777777" w:rsidR="00397AE4" w:rsidRPr="00397AE4" w:rsidRDefault="00397AE4" w:rsidP="00397AE4">
      <w:pPr>
        <w:spacing w:line="240" w:lineRule="auto"/>
        <w:ind w:firstLine="720"/>
        <w:jc w:val="both"/>
        <w:rPr>
          <w:rFonts w:ascii="Times New Roman" w:hAnsi="Times New Roman" w:cs="Times New Roman"/>
        </w:rPr>
      </w:pPr>
      <w:r w:rsidRPr="00397AE4">
        <w:rPr>
          <w:rFonts w:ascii="Times New Roman" w:hAnsi="Times New Roman" w:cs="Times New Roman"/>
        </w:rPr>
        <w:t>This study shows that public health and community pharmacists in South Cotabato are predominantly young, early-career professionals working primarily in community pharmacy settings, with most having limited professional experience. Despite this, they demonstrated a very high level of knowledge regarding both the benefits and risks of micronutrient supplementation during pregnancy, indicating a strong, well-balanced understanding of maternal supplementation. In addition, the pharmacists demonstrated a high level of counseling practice in clinical decision-making, with evidence-based consultation and patient counseling, showing consistency and competence in applying professional guidelines in actual practice.</w:t>
      </w:r>
    </w:p>
    <w:p w14:paraId="7FA0C9FB" w14:textId="46ED8B53" w:rsidR="003A695F" w:rsidRPr="000C2967" w:rsidRDefault="00397AE4" w:rsidP="00397AE4">
      <w:pPr>
        <w:spacing w:line="240" w:lineRule="auto"/>
        <w:ind w:firstLine="720"/>
        <w:jc w:val="both"/>
        <w:rPr>
          <w:rFonts w:ascii="Times New Roman" w:hAnsi="Times New Roman" w:cs="Times New Roman"/>
        </w:rPr>
      </w:pPr>
      <w:r w:rsidRPr="00397AE4">
        <w:rPr>
          <w:rFonts w:ascii="Times New Roman" w:hAnsi="Times New Roman" w:cs="Times New Roman"/>
        </w:rPr>
        <w:t>Furthermore, the study revealed that knowledge and counseling practices did not differ significantly by age or practice setting, suggesting that these factors do not influence pharmacists’ performance in this area. However, a significant difference was found in relation to years of professional experience, indicating that length of service plays an important role in shaping counseling practices. Overall, the study indicates that while pharmacists generally possess strong knowledge and counseling competencies regarding micronutrient use during pregnancy, professional experience remains a key factor influencing the quality of their practice.</w:t>
      </w:r>
    </w:p>
    <w:p w14:paraId="5671925A" w14:textId="77777777" w:rsidR="003A695F" w:rsidRPr="000C2967" w:rsidRDefault="003A695F" w:rsidP="000C2967">
      <w:pPr>
        <w:spacing w:line="240" w:lineRule="auto"/>
        <w:jc w:val="both"/>
        <w:rPr>
          <w:rFonts w:ascii="Times New Roman" w:hAnsi="Times New Roman" w:cs="Times New Roman"/>
          <w:b/>
          <w:bCs/>
        </w:rPr>
      </w:pPr>
      <w:r w:rsidRPr="000C2967">
        <w:rPr>
          <w:rFonts w:ascii="Times New Roman" w:hAnsi="Times New Roman" w:cs="Times New Roman"/>
          <w:b/>
          <w:bCs/>
        </w:rPr>
        <w:t>Recommendation</w:t>
      </w:r>
    </w:p>
    <w:p w14:paraId="1531B27E" w14:textId="77777777" w:rsidR="00397AE4" w:rsidRPr="00397AE4" w:rsidRDefault="00397AE4" w:rsidP="00397AE4">
      <w:pPr>
        <w:spacing w:line="240" w:lineRule="auto"/>
        <w:ind w:firstLine="720"/>
        <w:jc w:val="both"/>
        <w:rPr>
          <w:rFonts w:ascii="Times New Roman" w:hAnsi="Times New Roman" w:cs="Times New Roman"/>
          <w:lang w:val="en-PH" w:eastAsia="en-PH"/>
        </w:rPr>
      </w:pPr>
      <w:r w:rsidRPr="00397AE4">
        <w:rPr>
          <w:rFonts w:ascii="Times New Roman" w:hAnsi="Times New Roman" w:cs="Times New Roman"/>
          <w:lang w:val="en-PH" w:eastAsia="en-PH"/>
        </w:rPr>
        <w:t>Based on the summary and conclusion, the following are hereby recommended:</w:t>
      </w:r>
    </w:p>
    <w:p w14:paraId="2E9936C9" w14:textId="77777777" w:rsidR="00397AE4" w:rsidRPr="00397AE4" w:rsidRDefault="00397AE4" w:rsidP="00397AE4">
      <w:pPr>
        <w:numPr>
          <w:ilvl w:val="0"/>
          <w:numId w:val="3"/>
        </w:numPr>
        <w:spacing w:line="240" w:lineRule="auto"/>
        <w:jc w:val="both"/>
        <w:rPr>
          <w:rFonts w:ascii="Times New Roman" w:hAnsi="Times New Roman" w:cs="Times New Roman"/>
          <w:b/>
          <w:bCs/>
          <w:lang w:val="en-PH" w:eastAsia="en-PH"/>
        </w:rPr>
      </w:pPr>
      <w:r w:rsidRPr="00397AE4">
        <w:rPr>
          <w:rFonts w:ascii="Times New Roman" w:hAnsi="Times New Roman" w:cs="Times New Roman"/>
          <w:lang w:val="en-PH" w:eastAsia="en-PH"/>
        </w:rPr>
        <w:t>It is recommended that health facilities such as RHU/CHO and Community Pharmacies</w:t>
      </w:r>
      <w:r w:rsidRPr="00397AE4">
        <w:rPr>
          <w:rFonts w:ascii="Times New Roman" w:hAnsi="Times New Roman" w:cs="Times New Roman"/>
          <w:b/>
          <w:bCs/>
          <w:lang w:val="en-PH" w:eastAsia="en-PH"/>
        </w:rPr>
        <w:t xml:space="preserve"> </w:t>
      </w:r>
      <w:r w:rsidRPr="00397AE4">
        <w:rPr>
          <w:rFonts w:ascii="Times New Roman" w:hAnsi="Times New Roman" w:cs="Times New Roman"/>
          <w:lang w:val="en-PH" w:eastAsia="en-PH"/>
        </w:rPr>
        <w:t>strengthen structured mentorship programs where more experienced pharmacists guide early-career pharmacists, particularly in applying clinical decision-making and patient counseling on micronutrient use during pregnancy. This will help reduce variability in practice linked to years of professional experience and promote more consistent service delivery.</w:t>
      </w:r>
    </w:p>
    <w:p w14:paraId="46D77A89" w14:textId="77777777" w:rsidR="00397AE4" w:rsidRPr="00397AE4" w:rsidRDefault="00397AE4" w:rsidP="00397AE4">
      <w:pPr>
        <w:numPr>
          <w:ilvl w:val="0"/>
          <w:numId w:val="3"/>
        </w:numPr>
        <w:spacing w:line="240" w:lineRule="auto"/>
        <w:jc w:val="both"/>
        <w:rPr>
          <w:rFonts w:ascii="Times New Roman" w:hAnsi="Times New Roman" w:cs="Times New Roman"/>
          <w:lang w:val="en-PH" w:eastAsia="en-PH"/>
        </w:rPr>
      </w:pPr>
      <w:r w:rsidRPr="00397AE4">
        <w:rPr>
          <w:rFonts w:ascii="Times New Roman" w:hAnsi="Times New Roman" w:cs="Times New Roman"/>
          <w:lang w:val="en-PH" w:eastAsia="en-PH"/>
        </w:rPr>
        <w:t xml:space="preserve">Pharmacy regulatory bodies and professional organizations are encouraged to design targeted CPD programs that focus not only on knowledge reinforcement but more importantly on advanced counseling </w:t>
      </w:r>
      <w:r w:rsidRPr="00397AE4">
        <w:rPr>
          <w:rFonts w:ascii="Times New Roman" w:hAnsi="Times New Roman" w:cs="Times New Roman"/>
          <w:lang w:val="en-PH" w:eastAsia="en-PH"/>
        </w:rPr>
        <w:lastRenderedPageBreak/>
        <w:t>skills, communication strategies, and practical case-based learning in maternal health and micronutrient counseling. This ensures that knowledge is translated into effective patient-centered counseling practice.</w:t>
      </w:r>
    </w:p>
    <w:p w14:paraId="5384B87A" w14:textId="77777777" w:rsidR="00397AE4" w:rsidRPr="00397AE4" w:rsidRDefault="00397AE4" w:rsidP="00397AE4">
      <w:pPr>
        <w:numPr>
          <w:ilvl w:val="0"/>
          <w:numId w:val="3"/>
        </w:numPr>
        <w:spacing w:line="240" w:lineRule="auto"/>
        <w:jc w:val="both"/>
        <w:rPr>
          <w:rFonts w:ascii="Times New Roman" w:hAnsi="Times New Roman" w:cs="Times New Roman"/>
          <w:lang w:val="en-PH" w:eastAsia="en-PH"/>
        </w:rPr>
      </w:pPr>
      <w:r w:rsidRPr="00397AE4">
        <w:rPr>
          <w:rFonts w:ascii="Times New Roman" w:hAnsi="Times New Roman" w:cs="Times New Roman"/>
          <w:lang w:val="en-PH" w:eastAsia="en-PH"/>
        </w:rPr>
        <w:t>Early-career pharmacists are encouraged to actively engage in experiential learning opportunities such as clinical exposure, preceptorships, and case discussions to strengthen their counseling confidence and clinical judgment. Since experience was found to significantly influence practice, deliberate skill-building during early practice years is essential.</w:t>
      </w:r>
    </w:p>
    <w:p w14:paraId="25A610F1" w14:textId="77777777" w:rsidR="00397AE4" w:rsidRPr="00397AE4" w:rsidRDefault="00397AE4" w:rsidP="00397AE4">
      <w:pPr>
        <w:numPr>
          <w:ilvl w:val="0"/>
          <w:numId w:val="3"/>
        </w:numPr>
        <w:spacing w:line="240" w:lineRule="auto"/>
        <w:jc w:val="both"/>
        <w:rPr>
          <w:rFonts w:ascii="Times New Roman" w:hAnsi="Times New Roman" w:cs="Times New Roman"/>
          <w:lang w:val="en-PH" w:eastAsia="en-PH"/>
        </w:rPr>
      </w:pPr>
      <w:r w:rsidRPr="00397AE4">
        <w:rPr>
          <w:rFonts w:ascii="Times New Roman" w:hAnsi="Times New Roman" w:cs="Times New Roman"/>
          <w:lang w:val="en-PH" w:eastAsia="en-PH"/>
        </w:rPr>
        <w:t>Pharmacy education programs are encouraged to further strengthen maternal health and nutrition-related counseling components through simulation-based training, role-playing, and case-based learning to better prepare graduates for real-world counseling responsibilities in both community and public health settings.</w:t>
      </w:r>
    </w:p>
    <w:p w14:paraId="37BB43B6" w14:textId="75D498EB" w:rsidR="000C2967" w:rsidRDefault="00397AE4" w:rsidP="00397AE4">
      <w:pPr>
        <w:numPr>
          <w:ilvl w:val="0"/>
          <w:numId w:val="3"/>
        </w:numPr>
        <w:spacing w:line="240" w:lineRule="auto"/>
        <w:jc w:val="both"/>
        <w:rPr>
          <w:rFonts w:ascii="Times New Roman" w:hAnsi="Times New Roman" w:cs="Times New Roman"/>
          <w:lang w:val="en-PH" w:eastAsia="en-PH"/>
        </w:rPr>
      </w:pPr>
      <w:r w:rsidRPr="00397AE4">
        <w:rPr>
          <w:rFonts w:ascii="Times New Roman" w:hAnsi="Times New Roman" w:cs="Times New Roman"/>
          <w:lang w:val="en-PH" w:eastAsia="en-PH"/>
        </w:rPr>
        <w:t>Future studies may explore intervention-based research focusing on counseling enhancement programs, as well as qualitative studies that examine barriers experienced by early-career pharmacists in delivering effective micronutrient counseling. Expanding the study to other provinces may also improve generalizability.</w:t>
      </w:r>
    </w:p>
    <w:p w14:paraId="77FB5F16" w14:textId="77777777" w:rsidR="00B30C01" w:rsidRPr="00B30C01" w:rsidRDefault="00B30C01" w:rsidP="00B30C01">
      <w:pPr>
        <w:spacing w:line="240" w:lineRule="auto"/>
        <w:ind w:left="720"/>
        <w:jc w:val="both"/>
        <w:rPr>
          <w:rFonts w:ascii="Times New Roman" w:hAnsi="Times New Roman" w:cs="Times New Roman"/>
          <w:lang w:val="en-PH" w:eastAsia="en-PH"/>
        </w:rPr>
      </w:pPr>
    </w:p>
    <w:p w14:paraId="7E32F78D" w14:textId="45F4F2AB" w:rsidR="00CB36BF" w:rsidRPr="000C2967" w:rsidRDefault="00CB36BF" w:rsidP="000C2967">
      <w:pPr>
        <w:pStyle w:val="Heading1"/>
        <w:spacing w:before="120" w:after="120" w:line="240" w:lineRule="auto"/>
        <w:jc w:val="both"/>
        <w:rPr>
          <w:rFonts w:ascii="Times New Roman" w:hAnsi="Times New Roman" w:cs="Times New Roman"/>
          <w:b/>
          <w:bCs/>
          <w:color w:val="auto"/>
          <w:sz w:val="24"/>
          <w:szCs w:val="24"/>
        </w:rPr>
      </w:pPr>
      <w:r w:rsidRPr="000C2967">
        <w:rPr>
          <w:rFonts w:ascii="Times New Roman" w:hAnsi="Times New Roman" w:cs="Times New Roman"/>
          <w:b/>
          <w:bCs/>
          <w:color w:val="auto"/>
          <w:sz w:val="24"/>
          <w:szCs w:val="24"/>
        </w:rPr>
        <w:t>ACKNOWLEDGEDMENT</w:t>
      </w:r>
    </w:p>
    <w:p w14:paraId="09D8240B" w14:textId="77777777" w:rsidR="00397AE4" w:rsidRDefault="00397AE4" w:rsidP="00397AE4">
      <w:pPr>
        <w:pStyle w:val="Heading1"/>
        <w:spacing w:before="120" w:after="120" w:line="240" w:lineRule="auto"/>
        <w:jc w:val="both"/>
        <w:rPr>
          <w:rFonts w:ascii="Times New Roman" w:eastAsiaTheme="minorHAnsi" w:hAnsi="Times New Roman" w:cs="Times New Roman"/>
          <w:color w:val="auto"/>
          <w:sz w:val="24"/>
          <w:szCs w:val="24"/>
          <w:lang w:val="en-PH"/>
        </w:rPr>
      </w:pPr>
      <w:r w:rsidRPr="00397AE4">
        <w:rPr>
          <w:rFonts w:ascii="Times New Roman" w:eastAsiaTheme="minorHAnsi" w:hAnsi="Times New Roman" w:cs="Times New Roman"/>
          <w:color w:val="auto"/>
          <w:sz w:val="24"/>
          <w:szCs w:val="24"/>
          <w:lang w:val="en-PH"/>
        </w:rPr>
        <w:t>The researchers wish to express their profound gratitude and sincere appreciation to the following individuals whose invaluable support and guidance contributed to the successful completion of this study:</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the Almighty God, for His unwavering guidance, boundless love, and for being the ultimate source of strength and inspiration throughout this academic journey.</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Erwin M. Faller, RPh, MSPharm, PhD, MMPH, FRIPHARM, their research adviser, for his profound wisdom, steadfast support, and invaluable mentorship. His guidance provided the researchers with the foundation necessary to accomplish this work with excellence.</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Cynthia Claire F. Guinto, RPh, ClinPharm, the researchers' group adviser, for her invaluable assistance and for generously dedicating her time and expertise to help the researchers achieve their objectives.</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the expert validators, Mershen B. Gania, RPh, ClinPharm, MSc; Cherry-Ann Faith M. Baruis, RPh, MSPharm; and Rishyl B. Anoche, RM, MHA, for their time, expertise, and careful evaluation of our research instruments. Their constructive feedback greatly contributed to ensuring the validity and reliability of the data collection process.</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Apple Jane Siroy, RPh, MSPharm, for her commendable dedication and unwavering perseverance despite numerous challenges. Her commitment was instrumental in achieving the goals of this study.</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Jefferson Chanco, RPh, for the insightful advice and innovative ideas he generously shared, especially during the moments when the researchers needed guidance the most.</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the distinguished panel members, for their rigorous evaluation, valuable expertise, and meaningful recommendations. The researchers are deeply grateful for their guidance in identifying areas for improvement and for upholding the standards of academic excellence and integrity.</w:t>
      </w:r>
      <w:r>
        <w:rPr>
          <w:rFonts w:ascii="Times New Roman" w:eastAsiaTheme="minorHAnsi" w:hAnsi="Times New Roman" w:cs="Times New Roman"/>
          <w:color w:val="auto"/>
          <w:sz w:val="24"/>
          <w:szCs w:val="24"/>
          <w:lang w:val="en-PH"/>
        </w:rPr>
        <w:t xml:space="preserve"> </w:t>
      </w:r>
      <w:r w:rsidRPr="00397AE4">
        <w:rPr>
          <w:rFonts w:ascii="Times New Roman" w:eastAsiaTheme="minorHAnsi" w:hAnsi="Times New Roman" w:cs="Times New Roman"/>
          <w:color w:val="auto"/>
          <w:sz w:val="24"/>
          <w:szCs w:val="24"/>
          <w:lang w:val="en-PH"/>
        </w:rPr>
        <w:t>To the researchers’ families, friends, and classmates, whose unwavering love, encouragement, understanding, and moral support gave the researchers the strength and motivation to persevere throughout this endeavor.</w:t>
      </w:r>
    </w:p>
    <w:p w14:paraId="017BC89B" w14:textId="77777777" w:rsidR="00B30C01" w:rsidRDefault="00B30C01" w:rsidP="00397AE4">
      <w:pPr>
        <w:pStyle w:val="Heading1"/>
        <w:spacing w:before="120" w:after="120" w:line="240" w:lineRule="auto"/>
        <w:jc w:val="both"/>
        <w:rPr>
          <w:rFonts w:ascii="Times New Roman" w:hAnsi="Times New Roman" w:cs="Times New Roman"/>
          <w:b/>
          <w:bCs/>
          <w:color w:val="auto"/>
          <w:sz w:val="24"/>
          <w:szCs w:val="24"/>
        </w:rPr>
      </w:pPr>
    </w:p>
    <w:p w14:paraId="2B683C70" w14:textId="77777777" w:rsidR="00B30C01" w:rsidRDefault="00B30C01" w:rsidP="00397AE4">
      <w:pPr>
        <w:pStyle w:val="Heading1"/>
        <w:spacing w:before="120" w:after="120" w:line="240" w:lineRule="auto"/>
        <w:jc w:val="both"/>
        <w:rPr>
          <w:rFonts w:ascii="Times New Roman" w:hAnsi="Times New Roman" w:cs="Times New Roman"/>
          <w:b/>
          <w:bCs/>
          <w:color w:val="auto"/>
          <w:sz w:val="24"/>
          <w:szCs w:val="24"/>
        </w:rPr>
      </w:pPr>
    </w:p>
    <w:p w14:paraId="58E36D67" w14:textId="77777777" w:rsidR="00B30C01" w:rsidRDefault="00B30C01" w:rsidP="00B30C01"/>
    <w:p w14:paraId="27E8E4A8" w14:textId="77777777" w:rsidR="00B30C01" w:rsidRDefault="00B30C01" w:rsidP="00B30C01"/>
    <w:p w14:paraId="52ED0EF3" w14:textId="77777777" w:rsidR="001A343B" w:rsidRDefault="001A343B" w:rsidP="00B30C01"/>
    <w:p w14:paraId="6B635F49" w14:textId="77777777" w:rsidR="001A343B" w:rsidRDefault="001A343B" w:rsidP="00B30C01"/>
    <w:p w14:paraId="5E4B59A5" w14:textId="77777777" w:rsidR="001A343B" w:rsidRDefault="001A343B" w:rsidP="00B30C01"/>
    <w:p w14:paraId="3D8DCBC7" w14:textId="77777777" w:rsidR="004C1802" w:rsidRPr="00B30C01" w:rsidRDefault="004C1802" w:rsidP="00B30C01"/>
    <w:p w14:paraId="31B8F293" w14:textId="43EB5DA9" w:rsidR="00580A7A" w:rsidRPr="00397AE4" w:rsidRDefault="00580A7A" w:rsidP="00397AE4">
      <w:pPr>
        <w:pStyle w:val="Heading1"/>
        <w:spacing w:before="120" w:after="120" w:line="240" w:lineRule="auto"/>
        <w:jc w:val="both"/>
        <w:rPr>
          <w:rFonts w:ascii="Times New Roman" w:eastAsiaTheme="minorHAnsi" w:hAnsi="Times New Roman" w:cs="Times New Roman"/>
          <w:color w:val="auto"/>
          <w:sz w:val="24"/>
          <w:szCs w:val="24"/>
          <w:lang w:val="en-PH"/>
        </w:rPr>
      </w:pPr>
      <w:r w:rsidRPr="000C2967">
        <w:rPr>
          <w:rFonts w:ascii="Times New Roman" w:hAnsi="Times New Roman" w:cs="Times New Roman"/>
          <w:b/>
          <w:bCs/>
          <w:color w:val="auto"/>
          <w:sz w:val="24"/>
          <w:szCs w:val="24"/>
        </w:rPr>
        <w:lastRenderedPageBreak/>
        <w:t>REFERENCES</w:t>
      </w:r>
    </w:p>
    <w:p w14:paraId="66577B3A"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Abebe, F., Kidanemariam, Y. T., Tsegaw, M., Birhanu, Z., Abdi, A., Chitekwe, S., ... &amp; Dawd, A. M. (2025). Acceptance of multiple micronutrient supplementations (MMS) and iron and folic acid supplement utilisation among pregnant and lactating women in the rural part of Ethiopia, 2022: a cross-sectional study. BMJ open, 15(1), e081359.</w:t>
      </w:r>
    </w:p>
    <w:p w14:paraId="451F3CC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Abebe, Z., Kassaw, M., &amp; Shewangizaw, M. (2019). Knowledge, attitude, and practice of healthcare providers toward prenatal micronutrient supplementation. Journal of Nutrition and Metabolism, 2019, 1–8. https://doi.org/10.1155/2019/6724653 </w:t>
      </w:r>
    </w:p>
    <w:p w14:paraId="5A6AAC6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Aidoo, E. M. (2024). Community based healthcare interventions and their role in reducing maternal and infant mortality among minorities. International Journal of Research Publication and Reviews, 5(8), 4620-36.</w:t>
      </w:r>
    </w:p>
    <w:p w14:paraId="4964C1A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Agarwal, S., Glenton, C., Tamrat, T., Henschke, N., Maayan, N., Fønhus, M. S., ... &amp; Lewin, S. (2021). Decision‐support tools via mobile devices to improve quality of care in primary healthcare settings. Cochrane Database of Systematic Reviews, (7).</w:t>
      </w:r>
    </w:p>
    <w:p w14:paraId="39664CDB"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Agbi, F. A., Lulin, Z., &amp; Asamoah, E. O. (2023). Quality of communication between healthcare providers and pregnant women: impact on maternal satisfaction, health outcomes, and shared decision-making. UJOG, 2(1), 3-10.</w:t>
      </w:r>
    </w:p>
    <w:p w14:paraId="249F4CF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Ahmed, F. (2022). Micronutrients and Pregnancy. Nutrients, 14(3), 585. https://doi.org/10.3390/nu14030585 </w:t>
      </w:r>
    </w:p>
    <w:p w14:paraId="0E579C2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Alberta Health Services. (2024). Nutrition guideline: Pregnancy. https://www.albertahealthservices.ca/nutrition/Page11115.aspx</w:t>
      </w:r>
    </w:p>
    <w:p w14:paraId="520E85D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Alomi, Y. A., Al-Najjar, A. H., Alanazi, G. T., Almadany, M. H., &amp; Almasoudi, A. H. (2022). Research Policy on Cross-Sectional Studies in Pharmacy Practice. International Journal of Pharmacology &amp; Clinical Sciences, 11(2), 31–35.</w:t>
      </w:r>
    </w:p>
    <w:p w14:paraId="12327F9A"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Baird, B. N., &amp; Mollen, D. (2023). The internship, practicum, and field placement handbook: A guide for the helping professions. Routledge.</w:t>
      </w:r>
    </w:p>
    <w:p w14:paraId="3655E44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Bastos, S., Duperrex, O., &amp; Richard, J. P. (2019). The impact of counseling on adherence to micronutrient supplementation during pregnancy. Maternal &amp; Child Nutrition, 15(2), e12711. </w:t>
      </w:r>
    </w:p>
    <w:p w14:paraId="18234D84"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Bell, L. V., Hogan, E. A., Fitzgerald, S. F., Saunders, E. R., Gerwing, A. M. A., &amp; Rash, J. A. (2022). Barriers and facilitators of healthcare provider uptake of clinical practice guideline recommendations for the management of common mental health concerns: A qualitative evidence synthesis. Canadian Psychology/Psychologie canadienne, 63(2), 179.</w:t>
      </w:r>
    </w:p>
    <w:p w14:paraId="1D616CA4"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Benner, P. (1984). From novice to expert: Excellence and power in clinical nursing practice. Addison-Wesley Publishing Company </w:t>
      </w:r>
    </w:p>
    <w:p w14:paraId="3D917F15"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Bhatia, N. (2025). Strengthening healthcare synergy: exploring the collaborative relationship between community pharmacists and nurses. Frontiers of Nursing, 12(2).</w:t>
      </w:r>
    </w:p>
    <w:p w14:paraId="11C5289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Boateng, G. O., Neilands, T. B., Frongillo, E. A., Melgar-Quiñonez, H. R., &amp; Young, S. L. (2018). Best practices for developing and validating scales for health, social, and behavioral research: A primer. Frontiers in Public Health, 6, 149. </w:t>
      </w:r>
    </w:p>
    <w:p w14:paraId="53B3DCA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Bosch, O. J., Revilla, M., &amp; Paura, E. (2018). Do Millennials differ in terms of survey participation? International Journal of Market Research, 61(4), 359–365. </w:t>
      </w:r>
    </w:p>
    <w:p w14:paraId="36252021"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Bogdańska-Chomczyk, E., Majewski, M. K., &amp; Kozłowska, A. (2025). ADHD in Adulthood: Clinical Presentation, Comorbidities, and Treatment Perspectives. International Journal of Molecular Sciences, 26(22), 11020.</w:t>
      </w:r>
    </w:p>
    <w:p w14:paraId="494E589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Brown, B., &amp; Wright, C. (2020). Safety and efficacy of supplements in pregnancy. Nutrition Reviews, 78(10), 813-826.</w:t>
      </w:r>
    </w:p>
    <w:p w14:paraId="5DA8B6EC"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Brown, K. H., Tessema, M., McDonald, C. M., Agbemafle, I., Woldeyohannes, M., Fereja, M., ... &amp; Martinez, H. (2024). Protocol for a community-based, household-randomised, dose–response trial to assess the acceptability, nutritional effects and safety of double-fortified salt containing iodine and folic acid compared with iodised salt among non-pregnant Ethiopian women of reproductive age (dfs-iofa). BMJ open, 14(10), e084494.</w:t>
      </w:r>
    </w:p>
    <w:p w14:paraId="2C7E6C6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Brubaker, K. E. (2025). ASSESSING CONSUMPTION HABITS AND MOTIVATION FOR VITAMIN AND MINERAL SUPPLEMENT INTAKE IN COLLEGE-AGED INDIVIDUALS (Master's thesis, Kent State University).</w:t>
      </w:r>
    </w:p>
    <w:p w14:paraId="091272A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lastRenderedPageBreak/>
        <w:t>Burgess, J., Kim, H. M., Porath, B. R., Van, T., Osatuke, K., Boden, M., ... &amp; Zivin, K. (2024). The Importance of Autonomy and Performance Goals in Perceived Workload Among Behavioral Health Providers. Psychiatric Services, 75(8), 748-755.</w:t>
      </w:r>
    </w:p>
    <w:p w14:paraId="23C46CF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Creswell, J. W., &amp; Creswell, J. D. (2022). Research design: Qualitative, quantitative, and mixed methods approaches (6th ed.). SAGE Publications. Setia, M. S. (2016). Methodology series module 3: Cross-sectional studies. Indian Journal of Dermatology, 61(3), 261–264. https://doi.org/10.4103/0019-5154.182410</w:t>
      </w:r>
    </w:p>
    <w:p w14:paraId="41944D51"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Creta, A. M., &amp; Gross, A. H. (2020, June). Components of an effective professional development strategy: the professional practice model, peer feedback, mentorship, sponsorship, and succession planning. In Seminars in oncology nursing (Vol. 36, No. 3, p. 151024). WB Saunders.</w:t>
      </w:r>
    </w:p>
    <w:p w14:paraId="7166E84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Community pharmacists’ attitudes, barriers, knowledge and counseling practice regarding preconception, pregnancy, and lactation. (2019). Research in Social and Administrative Pharmacy, 15(4), 472–478.</w:t>
      </w:r>
    </w:p>
    <w:p w14:paraId="13E8D89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DiMatteo, M. R., Martin, L. R., &amp; Haskard-Zolnierek, K. B. (2025). Health behavior change and treatment adherence: Evidence-based guidelines for improving healthcare. Oxford University Press.</w:t>
      </w:r>
    </w:p>
    <w:p w14:paraId="66C8C2C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Elhady, G. W., Ibrahim, S. K., Abbas, E. S., Tawfik, A. M., Hussein, S. E., &amp; Salem, M. R. (2023). Barriers to adequate nutrition care for child malnutrition in a low-resource setting: Perspectives of health care providers. Frontiers in Public Health, 11, 1064837.</w:t>
      </w:r>
    </w:p>
    <w:p w14:paraId="3EE574E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Erbe, K. (2023). Exploring Prenatal Nutrition Counseling Using a Human Factors Approach (Doctoral dissertation, University of Illinois at Chicago).</w:t>
      </w:r>
    </w:p>
    <w:p w14:paraId="03C1D01B"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Essien, S. K., Chireh, B., &amp; Essien, J. K. (2024). Knowledge about unintended pregnancy shortly after childbirth: An issue of ineffective counseling or adherence?. Women's Health, 20, 17455057241255655.</w:t>
      </w:r>
    </w:p>
    <w:p w14:paraId="3D5952A8"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Fields, A. M., Linich, K., Thompson, C. M., Saunders, M., Gonzales, S. K., &amp; Limberg, D. (2023). A systematic review of training strategies to prepare counselors for integrated primary and behavioral healthcare. Counseling Outcome Research and Evaluation, 14(1), 1-14.</w:t>
      </w:r>
    </w:p>
    <w:p w14:paraId="26C4CF6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Farahani, I., Farahani, S., Deters, M. A., Schwender, H., &amp; Laeer, S. (2021). Training Pharmacy Students in Self-Medication Counseling Using an Objective Structured Clinical Examination–Based Approach. Journal of Medical Education and Curricular Development, 8, 23821205211016484.</w:t>
      </w:r>
    </w:p>
    <w:p w14:paraId="67544F45"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Felipe-Dimog, E., Liang, F.-W., Tipton Silao, C. L., &amp; Wang, H.-H. (2021). Promotional     Strategies to Increase Iron–Folic Acid Supplementation Compliance among Pregnant Women in the Philippines. Philippine Journal of Science, 150(3). https://doi.org/10.56899/150.03.11</w:t>
      </w:r>
    </w:p>
    <w:p w14:paraId="2871E92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Fisher College of Business. (2018, February 27). Are Today's Young Workers Different from Their Parents? Lead Read Today. https://fisher.osu.edu/blogs/leadreadtoday/blog/are-todays-young-workers-different-from-their-parents </w:t>
      </w:r>
    </w:p>
    <w:p w14:paraId="350A43E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Flory, O. O. (2024). The Influence of Participative Leadership Style on Organizational Performance: A Case Study of The Central Corridor Transit Transport Facilitation Agency in Tanzania. Pan-African Journal of Business Management, 8(2), 143-161.</w:t>
      </w:r>
    </w:p>
    <w:p w14:paraId="65DBBA6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Gabbay, J., &amp; Le May, A. (2004). Evidence based guidelines or collectively cooked up mindlines? Ethnographic study of knowledge management in primary care. BMJ, 329(7473), 1013.</w:t>
      </w:r>
    </w:p>
    <w:p w14:paraId="3989DD53"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Gebrie, A., &amp; Mekuria, A. (2024). Effect of nutrition education during pregnancy on iron-folic acid supplementation compliance and anemia in low- and middle-income countries: A systematic review and meta-analysis. Public Health Nutrition. Advance online publication. https://doi.org/10.1017/S1368980024001916</w:t>
      </w:r>
    </w:p>
    <w:p w14:paraId="78FC9AE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Gianantonio, K. E. (2021). Primary Care: Dietary Supplement Use Among Patients and Implementation of Patient Supplement Education. Kent State University.</w:t>
      </w:r>
    </w:p>
    <w:p w14:paraId="0DD09E3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Green, A. (2023). Mothers’ experiences of team-based antenatal care in rural British Columbia (Doctoral dissertation, University of Northern British Columbia).</w:t>
      </w:r>
    </w:p>
    <w:p w14:paraId="175354B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Harper, J. W. (2020). Leadership styles and counselor satisfaction among substance abuse professionals in Florida. Southeastern University.</w:t>
      </w:r>
    </w:p>
    <w:p w14:paraId="72E5C00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Hentrich, A. E., Brueggmann, D., Deuster, E., Kämpf, A. K., Jennewein, L., Schaarschmidt, W., ... &amp; Hoock, S. C. (2025). Knowledge, awareness and recommendation on micronutrition during pregnancy—a survey of healthcare providers. Archives of Gynecology and Obstetrics, 312(4), 1155-1161.</w:t>
      </w:r>
    </w:p>
    <w:p w14:paraId="7305AF2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Hick, J. L., Hanfling, D., Wynia, M. K., &amp; Pavia, A. T. (2020). Duty to plan: health care, crisis standards of care, and novel coronavirus SARS-CoV-2. Nam Perspectives, 2020, 10-31478.</w:t>
      </w:r>
    </w:p>
    <w:p w14:paraId="3C1E465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lastRenderedPageBreak/>
        <w:t>Hoang, M. A., Kroeun, H., Klemm, R., Gupta, A. S., Rem, N., Meng, S., ... &amp; de-Graffenried, M. J. (2024). Adherence and acceptability of multiple micronutrient supplementation during pregnancy: Study protocol for a cluster-randomized non-inferiority trial in Cambodia. Trials, 25(1), 289.</w:t>
      </w:r>
    </w:p>
    <w:p w14:paraId="707C335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Jafari, A., Alami, A., Charoghchian, E., Delshad Noghabi, A., &amp; Nejatian, M. (2021). The impact of effective communication skills training on the status of marital burnout among married women. BMC women's health, 21(1), 231.</w:t>
      </w:r>
    </w:p>
    <w:p w14:paraId="67CB81DA"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Jones, N., Teague, G. B., Wolf, J., &amp; Rosen, C. (2020). Organizational climate and support among peer specialists working in peer-run, hybrid and conventional mental health settings. Administration and Policy in Mental Health and Mental Health Services Research, 47(1), 150-167.</w:t>
      </w:r>
    </w:p>
    <w:p w14:paraId="054166D5"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Johnson, M. K., &amp; Monserud, M. A. (2010). Judgments About Work and the Features of Young Adults’ Jobs. Work and Occupations, 37(2), 194–224. </w:t>
      </w:r>
    </w:p>
    <w:p w14:paraId="3912BCAA"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Kiguba, R., Mwebaza, N., Ssenyonga, R., Ndagije, H. B., Nambasa, V., Katureebe, C., ... &amp; Pirmohamed, M. (2022). Effectiveness of the Med Safety mobile application in improving adverse drug reaction reporting by healthcare professionals in Uganda: a protocol for a pragmatic cluster-randomised controlled trial. BMJ open, 12(7), e061725.</w:t>
      </w:r>
    </w:p>
    <w:p w14:paraId="1EDCA3F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Kim, M. K., Arsenault, C., Atuyambe, L. M., Macwan’gi, M., &amp; Kruk, M. E. (2020). Determinants of healthcare providers’ confidence in their clinical skills to deliver quality obstetric and newborn care in Uganda and Zambia. BMC health services research, 20(1), 539.</w:t>
      </w:r>
    </w:p>
    <w:p w14:paraId="118A3AC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Klemm, G. C., Birhanu, Z., Ortolano, S. E., Kebede, Y., Martin, S. L., Mamo, G., &amp; Dickin, K. L. (2020). Integrating calcium into antenatal iron-folic acid supplementation in Ethiopia: women’s experiences, perceptions of acceptability, and strategies to support calcium supplement adherence. Global Health: Science and Practice, 8(3), 413-430.</w:t>
      </w:r>
    </w:p>
    <w:p w14:paraId="7EFCCEA8"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Knowledge and practice of community pharmacists regarding the safety of drugs during pregnancy: a cross-sectional study from a developing country. (2023). BMC Pregnancy and Childbirth. [PMC].</w:t>
      </w:r>
    </w:p>
    <w:p w14:paraId="43910D5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Koni, A. A., Qashoa, H., Zyoud, S. H., et al. (2024). Knowledge and practice of community pharmacists regarding the safety of drugs during pregnancy: A cross-sectional study from a developing country. BMC Pregnancy and Childbirth, 24, Article 189. https://doi.org/10.1186/s12884-024-06393-3 </w:t>
      </w:r>
    </w:p>
    <w:p w14:paraId="2EB9F52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Kow, C. S., Teoh, E. L., Liew, Y. J., &amp; Hasan, S. S. (2025). Impact of pharmacist-led interventions on pregnancy-related health outcomes: A systematic review. Discover Public Health, 22(546). https://doi.org/10.1007/s11524-025-00123-x </w:t>
      </w:r>
    </w:p>
    <w:p w14:paraId="2EFEF9F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Levinson, L. M. (2023). Nurses' Work Environment, Attitudes, Empathy, Empowerment, and Caring Behaviors Toward Pregnant Women Using Opioids. The Catholic University of America.</w:t>
      </w:r>
    </w:p>
    <w:p w14:paraId="06C84AE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Milman, N. (2012). Oral iron supplementation in pregnancy: Is it necessary? Journal of Pregnancy, 2012, 1–11. https://doi.org/10.1155/2012/965450 </w:t>
      </w:r>
    </w:p>
    <w:p w14:paraId="4CEF49E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MDPI. (2026). Optimisation of micronutrient supplementation during pregnancy: Interactions between bioactive compounds, their impact on health, and regulatory considerations. Biomedicines, 16(4). https://www.mdpi.com/2218-273X/16/4/540 </w:t>
      </w:r>
    </w:p>
    <w:p w14:paraId="12F2FAA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McHugh, M. D., &amp; Lake, E. T. (2010). Understanding clinical expertise: Nurse education, experience, and the hospital context. Research in Nursing &amp; Health, 33(4), 276–287.</w:t>
      </w:r>
    </w:p>
    <w:p w14:paraId="0E86F3C6"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Micronutrient Facts.(2025,March10). Nutrition. https://www.cdc.gov/nutrition/features/micronutrient-facts.html</w:t>
      </w:r>
    </w:p>
    <w:p w14:paraId="6A42A641"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Mida, L. A. (2020). Knowledge, attitude and practice of physicians regarding periconceptional folic acid (Doctoral dissertation, Université d'Ottawa/University of Ottawa).</w:t>
      </w:r>
    </w:p>
    <w:p w14:paraId="19F0F5B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Nan, Y., Zhang, J., Nisar, A., Huo, L., Yang, L., Yin, J., ... &amp; Li, X. (2020). Professional support during the postpartum period: primiparous mothers’ views on professional services and their expectations, and barriers to utilizing professional help. BMC pregnancy and childbirth, 20(1), 402.</w:t>
      </w:r>
    </w:p>
    <w:p w14:paraId="4C0F28C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Ngo, E., Truong, M. B. T., &amp; Nordeng, H. (2020). Use of decision support tools to empower pregnant women: systematic review. Journal of Medical Internet Research, 22(9), e19436.</w:t>
      </w:r>
    </w:p>
    <w:p w14:paraId="7C9B1B3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Obonyo, K. O., Kaindi, D. W. M., Ngala, S., &amp; Kogi-Makau, W. (2024). Maternal Nutrition Knowledge and Mothers' Ability to Utilize Mobile Phone Application for Health Information Sharing at Kenyatta National Hospital, Nairobi City, Kenya. African Journal of Food, Agriculture, Nutrition and Development, 24(7), 23981-23997.</w:t>
      </w:r>
    </w:p>
    <w:p w14:paraId="657052D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lastRenderedPageBreak/>
        <w:t>Parial, L. L. B., Leyva, E. W. A., Siongco, K. L. L., Dones, L. B. P., Bernal, A. B. S., Lupisan, J. A. C., ... &amp; Bonito, S. R. (2024). Staffing and workload in primary care facilities of selected geographically isolated and disadvantaged communities in the Philippines. Acta Medica Philippina, 58(12), 21.</w:t>
      </w:r>
    </w:p>
    <w:p w14:paraId="2127DD8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PMC. (2024). Nutritional supplements in pregnancy: Recommendations based on current evidence. PubMed Central. https://pmc.ncbi.nlm.nih.gov/articles/PMC10926555/ </w:t>
      </w:r>
    </w:p>
    <w:p w14:paraId="116B27F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PMC. (2025). Maternal perspectives on Multiple Micronutrient Supplementation (MMS): A cross-sectional study of knowledge, attitudes, and acceptance. PubMed Central. https://pmc.ncbi.nlm.nih.gov/articles/PMC12153016/ </w:t>
      </w:r>
    </w:p>
    <w:p w14:paraId="56E8FBFB"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Republic of the Philippines. (1991). Local Government Code of 1991 (Republic Act No. 7160). https://www.officialgazette.gov.ph/1991/10/10/republic-act-no-7160/</w:t>
      </w:r>
    </w:p>
    <w:p w14:paraId="4317B07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Riang’a, R. M., Nangulu, A. K., &amp; Broerse, J. E. (2020). Implementation fidelity of nutritional counselling, iron and folic acid supplementation guidelines and associated challenges in rural Uasin Gishu County Kenya. BMC nutrition, 6(1), 78.</w:t>
      </w:r>
    </w:p>
    <w:p w14:paraId="7ED893DF"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Rahmawati, D., Sari, N. P., &amp; Utami, S. (2023). Relationship between knowledge level and the incidence of anemia among pregnant women. Journal of Health Science and Prevention, 7(2). https://doi.org/10.29080/jhsp.v7i2.890 </w:t>
      </w:r>
    </w:p>
    <w:p w14:paraId="55ADD463"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Rhodes, E. C., Zahid, M., Abuwala, N., Damio, G., LaPlant, H. W., Crummett, C., ... &amp; Pérez-Escamilla, R. (2024). Experiences of breastfeeding peer counseling among women with low incomes in the US: a qualitative evaluation. BMC Pregnancy and Childbirth, 24(1), 120.</w:t>
      </w:r>
    </w:p>
    <w:p w14:paraId="08B9B5E8"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Rodrigues, C. F. (2021). Communicative trust in therapeutic encounters: users’ experiences in public healthcare facilities and community pharmacies in Maputo, Mozambique. Social Science &amp; Medicine, 291, 114512.</w:t>
      </w:r>
    </w:p>
    <w:p w14:paraId="578433E3"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Sackett, D. L., Rosenberg, W. M., Gray, J. A., Haynes, R. B., &amp; Richardson, W. S. (1996). Evidence based medicine: What it is and what it isn't. BMJ, 312(7023), 71–72. https://doi.org/10.1136/bmj.312.7023.71 </w:t>
      </w:r>
    </w:p>
    <w:p w14:paraId="05C7648F"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Sanghvi, T. G., Nguyen, P. H., Forissier, T., Ghosh, S., Zafimanjaka, M., Walissa, T., ... &amp; Kim, S. (2023). Comprehensive approach for improving adherence to prenatal iron and folic acid supplements based on intervention studies in Bangladesh, Burkina Faso, Ethiopia, and India. Food and Nutrition Bulletin, 44(3), 183-194.</w:t>
      </w:r>
    </w:p>
    <w:p w14:paraId="4D69744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Schuler, B. R., Shipe, S. L., Uhl, A., Smith, S., Majeed, L., O’Reilly, N., ... &amp; Collins, B. N. (2025). Bridging Gaps: Provider Perspectives on Integrating Systems for Health Equity. International Journal of Environmental Research and Public Health, 22(4), 550.</w:t>
      </w:r>
    </w:p>
    <w:p w14:paraId="619F8A35"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Scott, P. A., Quotah, O. F., Dalrymple, K. V., White, S. L., Poston, L., Farebrother, J., Lakhani, S., Alter, M., Blair, M., Weinman, J., &amp; Flynn, A. C. (2021). Community Pharmacist-Led Interventions to Improve Preconception and Pregnancy Health: A Systematic Review. Pharmacy, 9(4), 171</w:t>
      </w:r>
    </w:p>
    <w:p w14:paraId="4086041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Shapiro, C. J., Watson MacDonell, K., &amp; Moran, M. (2021). Provider self-efficacy in delivering evidence-based psychosocial interventions: A scoping review. Implementation Research and Practice, 2, 2633489520988258.</w:t>
      </w:r>
    </w:p>
    <w:p w14:paraId="7057FBAF"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Shine, J. M. (2022). Examining the influence of religious attitudes, acceptance of change, and cultural mistrust on the utilization of therapy for African American male college students utilizing therapy.</w:t>
      </w:r>
    </w:p>
    <w:p w14:paraId="7A5F6926"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Silla III, C. G. (2023). Strategies to Improve Hospital Patient Satisfaction to Increase Performance-Based Reimbursements (Doctoral dissertation, Walden University).</w:t>
      </w:r>
    </w:p>
    <w:p w14:paraId="3951CB52"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Solomon, Y., Sema, A., &amp; Menberu, T. (2021). Adherence and associated factors to iron and folic acid supplementation among pregnant women attending antenatal care in public hospitals of Dire Dawa, eastern Ethiopia. European Journal of Midwifery, 5, 1-7. https://doi.org/10.18332/ejm/138595 </w:t>
      </w:r>
    </w:p>
    <w:p w14:paraId="11F1CDA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Stark, C. M., Garner, C. D., Garg, A., &amp; Bégin, F. (2021). Building capacity of health professionals in low-and middle-income countries through online continuing professional development in nutrition. Journal of Continuing Education in the Health Professions, 41(1), 63-69.</w:t>
      </w:r>
    </w:p>
    <w:p w14:paraId="046B306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Szilagyi, A. (2021). Stress and burnout for helping professionals. Counselors navigating the COVID pandemic. Journal of Educational Sciences &amp; Psychology, 11(2), 128-134.</w:t>
      </w:r>
    </w:p>
    <w:p w14:paraId="1F2B88E7"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Tesfa, A., Nakidde, C., Akter, K., Khatun, F., Mwandira, K., Lemma, S., ... &amp; QCN Evaluation Group. (2023). Individual, organizational and system circumstances, and the functioning of a multi-country implementation-focused network for maternal, newborn and child health: Bangladesh, Ethiopia, Malawi, and Uganda. PLOS Global Public Health, 3(7), e0002115.</w:t>
      </w:r>
    </w:p>
    <w:p w14:paraId="642FB7F8"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lastRenderedPageBreak/>
        <w:t>Tsegaye, A. (2024). Adherence to Iron-Folic Acid Supplementation and Associated Factors Among Pregnant Women Attending Antenatal Clinic In Shashemene town Health Facility, Southeast Ethiopia, 2024; Facility based cross-sectional Study.</w:t>
      </w:r>
    </w:p>
    <w:p w14:paraId="15B18BD3"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UNICEF. (2024). Multiple Micronutrient Supplementation (MMS): Program guidance to protect the nutrition of women. https://www.unicef.org/reports/mms-program-guidance-2024</w:t>
      </w:r>
    </w:p>
    <w:p w14:paraId="574DD240"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Verma, A., Nguyen, T., Purty, A., Pradhan, N., Husan, A., Zambrano, P., ... &amp; Forissier, T. (2024). Changing maternal and child nutrition practices through integrating social and behavior change interventions in community-based self-help and support groups: literature review from Bangladesh, India, and Vietnam. Frontiers in Nutrition, 11, 1464822.</w:t>
      </w:r>
    </w:p>
    <w:p w14:paraId="5F87CEB8"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Wable Grandner, G., Rasmussen, K. M., Dickin, K. L., Menon, P., Yeh, T., &amp; Hoddinott, J. (2022). Storytelling for persuasion: Insights from community health workers on how they engage family members to improve adoption of recommended maternal nutrition and breastfeeding behaviours in rural Bangladesh. Maternal &amp; Child Nutrition, 18(4), e13408.</w:t>
      </w:r>
    </w:p>
    <w:p w14:paraId="78125124"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Wagner, M., Kuppler, M., Rietz, C., &amp; Kaspar, R. (2018). Non-response in surveys of very old people. European Journal of Ageing, 16(2), 249–258 </w:t>
      </w:r>
    </w:p>
    <w:p w14:paraId="71BFCC49"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Wittich, C. M., Chutka, D. S., Mauck, K. F., Berger, R. A., Litin, S. C., &amp; Beckman,</w:t>
      </w:r>
    </w:p>
    <w:p w14:paraId="660CF03F"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T. J. (2012). Perspective. Academic Medicine, 87(5), 582–585. https://doi.org/10.1097/acm.0b013e31824d4d5f</w:t>
      </w:r>
    </w:p>
    <w:p w14:paraId="1969981A"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World Health Organization. (2020). WHO antenatal care recommendations for a positive pregnancy experience. Nutritional interventions update: Multiple micronutrient supplements during pregnancy. World Health Organization.</w:t>
      </w:r>
    </w:p>
    <w:p w14:paraId="02FCD08D"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 xml:space="preserve">World Health Organization. (2020). WHO Recommendations on Antenatal Care for a Positive Pregnancy Experience. * Context: Highlighted in your text as emphasizing that proper healthcare provider knowledge is essential for safe and effective micronutrient use. </w:t>
      </w:r>
    </w:p>
    <w:p w14:paraId="37D9600E" w14:textId="77777777" w:rsidR="00397AE4" w:rsidRPr="00397AE4"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Zamanakou, L., Karakosta, A., &amp; Theodorou, M. (2020). Health professionals’ knowledge and attitudes toward nutritional supplements during pregnancy. International Journal of Environmental Research and Public Health, 17(18), 6542.</w:t>
      </w:r>
    </w:p>
    <w:p w14:paraId="6D5F1671" w14:textId="2946C0B9" w:rsidR="003C7E69" w:rsidRPr="000C2967" w:rsidRDefault="00397AE4" w:rsidP="00397AE4">
      <w:pPr>
        <w:pStyle w:val="BodyText"/>
        <w:numPr>
          <w:ilvl w:val="0"/>
          <w:numId w:val="1"/>
        </w:numPr>
        <w:spacing w:after="0" w:line="240" w:lineRule="auto"/>
        <w:jc w:val="both"/>
        <w:rPr>
          <w:rFonts w:ascii="Times New Roman" w:hAnsi="Times New Roman" w:cs="Times New Roman"/>
        </w:rPr>
      </w:pPr>
      <w:r w:rsidRPr="00397AE4">
        <w:rPr>
          <w:rFonts w:ascii="Times New Roman" w:hAnsi="Times New Roman" w:cs="Times New Roman"/>
        </w:rPr>
        <w:t>Zamanakou, M., et al. (2020). Knowledge and attitudes of healthcare professionals regarding prenatal nutrition counseling. * Context: This study is frequently cited in maternal health research to show how provider knowledge significantly influences the quality of counseling provided to pregnant women.</w:t>
      </w:r>
    </w:p>
    <w:sectPr w:rsidR="003C7E69" w:rsidRPr="000C2967" w:rsidSect="001E758A">
      <w:headerReference w:type="default" r:id="rId9"/>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8C1EB" w14:textId="77777777" w:rsidR="00887221" w:rsidRPr="0005501C" w:rsidRDefault="00887221" w:rsidP="006049AD">
      <w:pPr>
        <w:spacing w:after="0" w:line="240" w:lineRule="auto"/>
      </w:pPr>
      <w:r w:rsidRPr="0005501C">
        <w:separator/>
      </w:r>
    </w:p>
  </w:endnote>
  <w:endnote w:type="continuationSeparator" w:id="0">
    <w:p w14:paraId="71E26205" w14:textId="77777777" w:rsidR="00887221" w:rsidRPr="0005501C" w:rsidRDefault="00887221" w:rsidP="006049AD">
      <w:pPr>
        <w:spacing w:after="0" w:line="240" w:lineRule="auto"/>
      </w:pPr>
      <w:r w:rsidRPr="00055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F20BB" w14:textId="77777777" w:rsidR="00887221" w:rsidRPr="0005501C" w:rsidRDefault="00887221" w:rsidP="006049AD">
      <w:pPr>
        <w:spacing w:after="0" w:line="240" w:lineRule="auto"/>
      </w:pPr>
      <w:r w:rsidRPr="0005501C">
        <w:separator/>
      </w:r>
    </w:p>
  </w:footnote>
  <w:footnote w:type="continuationSeparator" w:id="0">
    <w:p w14:paraId="388EBA78" w14:textId="77777777" w:rsidR="00887221" w:rsidRPr="0005501C" w:rsidRDefault="00887221" w:rsidP="006049AD">
      <w:pPr>
        <w:spacing w:after="0" w:line="240" w:lineRule="auto"/>
      </w:pPr>
      <w:r w:rsidRPr="0005501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B3CD" w14:textId="77777777" w:rsidR="00271381" w:rsidRPr="0005501C" w:rsidRDefault="00271381">
    <w:pPr>
      <w:pStyle w:val="Header"/>
    </w:pPr>
  </w:p>
  <w:p w14:paraId="123480B7" w14:textId="77777777" w:rsidR="00271381" w:rsidRPr="0005501C" w:rsidRDefault="00271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193"/>
    <w:multiLevelType w:val="multilevel"/>
    <w:tmpl w:val="0E94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E2077"/>
    <w:multiLevelType w:val="multilevel"/>
    <w:tmpl w:val="5440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F7696"/>
    <w:multiLevelType w:val="multilevel"/>
    <w:tmpl w:val="416C2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322A5"/>
    <w:multiLevelType w:val="hybridMultilevel"/>
    <w:tmpl w:val="5420EB1A"/>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87D8E"/>
    <w:multiLevelType w:val="multilevel"/>
    <w:tmpl w:val="058A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935777"/>
    <w:multiLevelType w:val="multilevel"/>
    <w:tmpl w:val="9746E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A127F2"/>
    <w:multiLevelType w:val="multilevel"/>
    <w:tmpl w:val="361C4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2D627E"/>
    <w:multiLevelType w:val="multilevel"/>
    <w:tmpl w:val="83AE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5A616E"/>
    <w:multiLevelType w:val="multilevel"/>
    <w:tmpl w:val="06DE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DF7A34"/>
    <w:multiLevelType w:val="multilevel"/>
    <w:tmpl w:val="F224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7"/>
  </w:num>
  <w:num w:numId="5">
    <w:abstractNumId w:val="8"/>
  </w:num>
  <w:num w:numId="6">
    <w:abstractNumId w:val="6"/>
    <w:lvlOverride w:ilvl="0">
      <w:lvl w:ilvl="0">
        <w:numFmt w:val="decimal"/>
        <w:lvlText w:val="%1."/>
        <w:lvlJc w:val="left"/>
      </w:lvl>
    </w:lvlOverride>
  </w:num>
  <w:num w:numId="7">
    <w:abstractNumId w:val="1"/>
  </w:num>
  <w:num w:numId="8">
    <w:abstractNumId w:val="2"/>
    <w:lvlOverride w:ilvl="0">
      <w:lvl w:ilvl="0">
        <w:numFmt w:val="decimal"/>
        <w:lvlText w:val="%1."/>
        <w:lvlJc w:val="left"/>
      </w:lvl>
    </w:lvlOverride>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D"/>
    <w:rsid w:val="0000345A"/>
    <w:rsid w:val="0000518C"/>
    <w:rsid w:val="000258BA"/>
    <w:rsid w:val="00030560"/>
    <w:rsid w:val="0005501C"/>
    <w:rsid w:val="000C2967"/>
    <w:rsid w:val="00114D64"/>
    <w:rsid w:val="001338F7"/>
    <w:rsid w:val="00165E44"/>
    <w:rsid w:val="00186336"/>
    <w:rsid w:val="001A343B"/>
    <w:rsid w:val="001C6C72"/>
    <w:rsid w:val="001E758A"/>
    <w:rsid w:val="001F1D2C"/>
    <w:rsid w:val="00210063"/>
    <w:rsid w:val="00223647"/>
    <w:rsid w:val="00223EA2"/>
    <w:rsid w:val="002250F3"/>
    <w:rsid w:val="002565A4"/>
    <w:rsid w:val="00271381"/>
    <w:rsid w:val="002A00E0"/>
    <w:rsid w:val="002A3DED"/>
    <w:rsid w:val="002C222B"/>
    <w:rsid w:val="00301AA2"/>
    <w:rsid w:val="00330BDF"/>
    <w:rsid w:val="003839B5"/>
    <w:rsid w:val="00397AE4"/>
    <w:rsid w:val="003A695F"/>
    <w:rsid w:val="003B6F2B"/>
    <w:rsid w:val="003C7E69"/>
    <w:rsid w:val="00425755"/>
    <w:rsid w:val="0049134C"/>
    <w:rsid w:val="004C1802"/>
    <w:rsid w:val="004D2446"/>
    <w:rsid w:val="004E536E"/>
    <w:rsid w:val="005111DD"/>
    <w:rsid w:val="005156A3"/>
    <w:rsid w:val="005538FE"/>
    <w:rsid w:val="00556619"/>
    <w:rsid w:val="00567B84"/>
    <w:rsid w:val="00575A40"/>
    <w:rsid w:val="00580A7A"/>
    <w:rsid w:val="005B2B6E"/>
    <w:rsid w:val="005B6F1B"/>
    <w:rsid w:val="005E0C44"/>
    <w:rsid w:val="005E1BCC"/>
    <w:rsid w:val="005E5735"/>
    <w:rsid w:val="006049AD"/>
    <w:rsid w:val="00621BA7"/>
    <w:rsid w:val="00643B28"/>
    <w:rsid w:val="00656584"/>
    <w:rsid w:val="00661D4A"/>
    <w:rsid w:val="007139EA"/>
    <w:rsid w:val="00774478"/>
    <w:rsid w:val="007749F3"/>
    <w:rsid w:val="007A264B"/>
    <w:rsid w:val="007C2BB4"/>
    <w:rsid w:val="007D1BC7"/>
    <w:rsid w:val="007F6E5C"/>
    <w:rsid w:val="008710EC"/>
    <w:rsid w:val="00872943"/>
    <w:rsid w:val="00887221"/>
    <w:rsid w:val="0088784B"/>
    <w:rsid w:val="008A08BA"/>
    <w:rsid w:val="008B31D0"/>
    <w:rsid w:val="008D10E8"/>
    <w:rsid w:val="008D3285"/>
    <w:rsid w:val="009013BB"/>
    <w:rsid w:val="00947AC1"/>
    <w:rsid w:val="009A4BD6"/>
    <w:rsid w:val="009C1792"/>
    <w:rsid w:val="009E47FC"/>
    <w:rsid w:val="00A71DEC"/>
    <w:rsid w:val="00AD262C"/>
    <w:rsid w:val="00AF4D19"/>
    <w:rsid w:val="00B057E6"/>
    <w:rsid w:val="00B11824"/>
    <w:rsid w:val="00B12382"/>
    <w:rsid w:val="00B25AC8"/>
    <w:rsid w:val="00B30C01"/>
    <w:rsid w:val="00B31FFE"/>
    <w:rsid w:val="00BD554A"/>
    <w:rsid w:val="00C15048"/>
    <w:rsid w:val="00C17104"/>
    <w:rsid w:val="00CB2DEA"/>
    <w:rsid w:val="00CB36BF"/>
    <w:rsid w:val="00CE4A17"/>
    <w:rsid w:val="00CE6BB9"/>
    <w:rsid w:val="00D52804"/>
    <w:rsid w:val="00D573F1"/>
    <w:rsid w:val="00D97EC7"/>
    <w:rsid w:val="00DD0915"/>
    <w:rsid w:val="00DD0F3D"/>
    <w:rsid w:val="00E13989"/>
    <w:rsid w:val="00E22EA8"/>
    <w:rsid w:val="00E30757"/>
    <w:rsid w:val="00E40D2E"/>
    <w:rsid w:val="00E516F5"/>
    <w:rsid w:val="00E561F0"/>
    <w:rsid w:val="00E61EAF"/>
    <w:rsid w:val="00EA0265"/>
    <w:rsid w:val="00EC6BC8"/>
    <w:rsid w:val="00EC734D"/>
    <w:rsid w:val="00EE1DD3"/>
    <w:rsid w:val="00F01F70"/>
    <w:rsid w:val="00F02289"/>
    <w:rsid w:val="00F455A1"/>
    <w:rsid w:val="00FA72F7"/>
    <w:rsid w:val="00FB6F4E"/>
    <w:rsid w:val="00FF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9C3C"/>
  <w15:chartTrackingRefBased/>
  <w15:docId w15:val="{D9C1617B-60CC-49D0-82BE-4CF4DA95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60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9AD"/>
    <w:rPr>
      <w:rFonts w:eastAsiaTheme="majorEastAsia" w:cstheme="majorBidi"/>
      <w:color w:val="272727" w:themeColor="text1" w:themeTint="D8"/>
    </w:rPr>
  </w:style>
  <w:style w:type="paragraph" w:styleId="Title">
    <w:name w:val="Title"/>
    <w:basedOn w:val="Normal"/>
    <w:next w:val="Normal"/>
    <w:link w:val="TitleChar"/>
    <w:uiPriority w:val="10"/>
    <w:qFormat/>
    <w:rsid w:val="0060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9AD"/>
    <w:pPr>
      <w:spacing w:before="160"/>
      <w:jc w:val="center"/>
    </w:pPr>
    <w:rPr>
      <w:i/>
      <w:iCs/>
      <w:color w:val="404040" w:themeColor="text1" w:themeTint="BF"/>
    </w:rPr>
  </w:style>
  <w:style w:type="character" w:customStyle="1" w:styleId="QuoteChar">
    <w:name w:val="Quote Char"/>
    <w:basedOn w:val="DefaultParagraphFont"/>
    <w:link w:val="Quote"/>
    <w:uiPriority w:val="29"/>
    <w:rsid w:val="006049AD"/>
    <w:rPr>
      <w:i/>
      <w:iCs/>
      <w:color w:val="404040" w:themeColor="text1" w:themeTint="BF"/>
    </w:rPr>
  </w:style>
  <w:style w:type="paragraph" w:styleId="ListParagraph">
    <w:name w:val="List Paragraph"/>
    <w:basedOn w:val="Normal"/>
    <w:uiPriority w:val="1"/>
    <w:qFormat/>
    <w:rsid w:val="006049AD"/>
    <w:pPr>
      <w:ind w:left="720"/>
      <w:contextualSpacing/>
    </w:pPr>
  </w:style>
  <w:style w:type="character" w:styleId="IntenseEmphasis">
    <w:name w:val="Intense Emphasis"/>
    <w:basedOn w:val="DefaultParagraphFont"/>
    <w:uiPriority w:val="21"/>
    <w:qFormat/>
    <w:rsid w:val="006049AD"/>
    <w:rPr>
      <w:i/>
      <w:iCs/>
      <w:color w:val="0F4761" w:themeColor="accent1" w:themeShade="BF"/>
    </w:rPr>
  </w:style>
  <w:style w:type="paragraph" w:styleId="IntenseQuote">
    <w:name w:val="Intense Quote"/>
    <w:basedOn w:val="Normal"/>
    <w:next w:val="Normal"/>
    <w:link w:val="IntenseQuoteChar"/>
    <w:uiPriority w:val="30"/>
    <w:qFormat/>
    <w:rsid w:val="0060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9AD"/>
    <w:rPr>
      <w:i/>
      <w:iCs/>
      <w:color w:val="0F4761" w:themeColor="accent1" w:themeShade="BF"/>
    </w:rPr>
  </w:style>
  <w:style w:type="character" w:styleId="IntenseReference">
    <w:name w:val="Intense Reference"/>
    <w:basedOn w:val="DefaultParagraphFont"/>
    <w:uiPriority w:val="32"/>
    <w:qFormat/>
    <w:rsid w:val="006049AD"/>
    <w:rPr>
      <w:b/>
      <w:bCs/>
      <w:smallCaps/>
      <w:color w:val="0F4761" w:themeColor="accent1" w:themeShade="BF"/>
      <w:spacing w:val="5"/>
    </w:rPr>
  </w:style>
  <w:style w:type="paragraph" w:styleId="Header">
    <w:name w:val="header"/>
    <w:basedOn w:val="Normal"/>
    <w:link w:val="HeaderChar"/>
    <w:uiPriority w:val="99"/>
    <w:unhideWhenUsed/>
    <w:rsid w:val="00604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AD"/>
  </w:style>
  <w:style w:type="paragraph" w:styleId="Footer">
    <w:name w:val="footer"/>
    <w:basedOn w:val="Normal"/>
    <w:link w:val="FooterChar"/>
    <w:uiPriority w:val="99"/>
    <w:unhideWhenUsed/>
    <w:rsid w:val="00604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AD"/>
  </w:style>
  <w:style w:type="paragraph" w:customStyle="1" w:styleId="FirstParagraph">
    <w:name w:val="First Paragraph"/>
    <w:basedOn w:val="BodyText"/>
    <w:next w:val="BodyText"/>
    <w:qFormat/>
    <w:rsid w:val="00E22EA8"/>
    <w:pPr>
      <w:spacing w:before="180" w:after="180" w:line="240" w:lineRule="auto"/>
    </w:pPr>
    <w:rPr>
      <w:kern w:val="0"/>
      <w14:ligatures w14:val="none"/>
    </w:rPr>
  </w:style>
  <w:style w:type="paragraph" w:styleId="BodyText">
    <w:name w:val="Body Text"/>
    <w:basedOn w:val="Normal"/>
    <w:link w:val="BodyTextChar"/>
    <w:uiPriority w:val="99"/>
    <w:unhideWhenUsed/>
    <w:rsid w:val="00E22EA8"/>
    <w:pPr>
      <w:spacing w:after="120"/>
    </w:pPr>
  </w:style>
  <w:style w:type="character" w:customStyle="1" w:styleId="BodyTextChar">
    <w:name w:val="Body Text Char"/>
    <w:basedOn w:val="DefaultParagraphFont"/>
    <w:link w:val="BodyText"/>
    <w:uiPriority w:val="99"/>
    <w:rsid w:val="00E22EA8"/>
  </w:style>
  <w:style w:type="paragraph" w:styleId="Revision">
    <w:name w:val="Revision"/>
    <w:hidden/>
    <w:uiPriority w:val="99"/>
    <w:semiHidden/>
    <w:rsid w:val="001C6C72"/>
    <w:pPr>
      <w:spacing w:after="0" w:line="240" w:lineRule="auto"/>
    </w:pPr>
  </w:style>
  <w:style w:type="character" w:styleId="Hyperlink">
    <w:name w:val="Hyperlink"/>
    <w:basedOn w:val="DefaultParagraphFont"/>
    <w:uiPriority w:val="99"/>
    <w:unhideWhenUsed/>
    <w:rsid w:val="00567B84"/>
    <w:rPr>
      <w:color w:val="467886" w:themeColor="hyperlink"/>
      <w:u w:val="single"/>
    </w:rPr>
  </w:style>
  <w:style w:type="character" w:customStyle="1" w:styleId="UnresolvedMention">
    <w:name w:val="Unresolved Mention"/>
    <w:basedOn w:val="DefaultParagraphFont"/>
    <w:uiPriority w:val="99"/>
    <w:semiHidden/>
    <w:unhideWhenUsed/>
    <w:rsid w:val="00567B84"/>
    <w:rPr>
      <w:color w:val="605E5C"/>
      <w:shd w:val="clear" w:color="auto" w:fill="E1DFDD"/>
    </w:rPr>
  </w:style>
  <w:style w:type="table" w:styleId="TableGrid">
    <w:name w:val="Table Grid"/>
    <w:basedOn w:val="TableNormal"/>
    <w:uiPriority w:val="39"/>
    <w:qFormat/>
    <w:rsid w:val="003A695F"/>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853">
      <w:bodyDiv w:val="1"/>
      <w:marLeft w:val="0"/>
      <w:marRight w:val="0"/>
      <w:marTop w:val="0"/>
      <w:marBottom w:val="0"/>
      <w:divBdr>
        <w:top w:val="none" w:sz="0" w:space="0" w:color="auto"/>
        <w:left w:val="none" w:sz="0" w:space="0" w:color="auto"/>
        <w:bottom w:val="none" w:sz="0" w:space="0" w:color="auto"/>
        <w:right w:val="none" w:sz="0" w:space="0" w:color="auto"/>
      </w:divBdr>
    </w:div>
    <w:div w:id="100036195">
      <w:bodyDiv w:val="1"/>
      <w:marLeft w:val="0"/>
      <w:marRight w:val="0"/>
      <w:marTop w:val="0"/>
      <w:marBottom w:val="0"/>
      <w:divBdr>
        <w:top w:val="none" w:sz="0" w:space="0" w:color="auto"/>
        <w:left w:val="none" w:sz="0" w:space="0" w:color="auto"/>
        <w:bottom w:val="none" w:sz="0" w:space="0" w:color="auto"/>
        <w:right w:val="none" w:sz="0" w:space="0" w:color="auto"/>
      </w:divBdr>
    </w:div>
    <w:div w:id="189418151">
      <w:bodyDiv w:val="1"/>
      <w:marLeft w:val="0"/>
      <w:marRight w:val="0"/>
      <w:marTop w:val="0"/>
      <w:marBottom w:val="0"/>
      <w:divBdr>
        <w:top w:val="none" w:sz="0" w:space="0" w:color="auto"/>
        <w:left w:val="none" w:sz="0" w:space="0" w:color="auto"/>
        <w:bottom w:val="none" w:sz="0" w:space="0" w:color="auto"/>
        <w:right w:val="none" w:sz="0" w:space="0" w:color="auto"/>
      </w:divBdr>
    </w:div>
    <w:div w:id="311762092">
      <w:bodyDiv w:val="1"/>
      <w:marLeft w:val="0"/>
      <w:marRight w:val="0"/>
      <w:marTop w:val="0"/>
      <w:marBottom w:val="0"/>
      <w:divBdr>
        <w:top w:val="none" w:sz="0" w:space="0" w:color="auto"/>
        <w:left w:val="none" w:sz="0" w:space="0" w:color="auto"/>
        <w:bottom w:val="none" w:sz="0" w:space="0" w:color="auto"/>
        <w:right w:val="none" w:sz="0" w:space="0" w:color="auto"/>
      </w:divBdr>
    </w:div>
    <w:div w:id="339309541">
      <w:bodyDiv w:val="1"/>
      <w:marLeft w:val="0"/>
      <w:marRight w:val="0"/>
      <w:marTop w:val="0"/>
      <w:marBottom w:val="0"/>
      <w:divBdr>
        <w:top w:val="none" w:sz="0" w:space="0" w:color="auto"/>
        <w:left w:val="none" w:sz="0" w:space="0" w:color="auto"/>
        <w:bottom w:val="none" w:sz="0" w:space="0" w:color="auto"/>
        <w:right w:val="none" w:sz="0" w:space="0" w:color="auto"/>
      </w:divBdr>
    </w:div>
    <w:div w:id="351147901">
      <w:bodyDiv w:val="1"/>
      <w:marLeft w:val="0"/>
      <w:marRight w:val="0"/>
      <w:marTop w:val="0"/>
      <w:marBottom w:val="0"/>
      <w:divBdr>
        <w:top w:val="none" w:sz="0" w:space="0" w:color="auto"/>
        <w:left w:val="none" w:sz="0" w:space="0" w:color="auto"/>
        <w:bottom w:val="none" w:sz="0" w:space="0" w:color="auto"/>
        <w:right w:val="none" w:sz="0" w:space="0" w:color="auto"/>
      </w:divBdr>
    </w:div>
    <w:div w:id="386994874">
      <w:bodyDiv w:val="1"/>
      <w:marLeft w:val="0"/>
      <w:marRight w:val="0"/>
      <w:marTop w:val="0"/>
      <w:marBottom w:val="0"/>
      <w:divBdr>
        <w:top w:val="none" w:sz="0" w:space="0" w:color="auto"/>
        <w:left w:val="none" w:sz="0" w:space="0" w:color="auto"/>
        <w:bottom w:val="none" w:sz="0" w:space="0" w:color="auto"/>
        <w:right w:val="none" w:sz="0" w:space="0" w:color="auto"/>
      </w:divBdr>
    </w:div>
    <w:div w:id="447703700">
      <w:bodyDiv w:val="1"/>
      <w:marLeft w:val="0"/>
      <w:marRight w:val="0"/>
      <w:marTop w:val="0"/>
      <w:marBottom w:val="0"/>
      <w:divBdr>
        <w:top w:val="none" w:sz="0" w:space="0" w:color="auto"/>
        <w:left w:val="none" w:sz="0" w:space="0" w:color="auto"/>
        <w:bottom w:val="none" w:sz="0" w:space="0" w:color="auto"/>
        <w:right w:val="none" w:sz="0" w:space="0" w:color="auto"/>
      </w:divBdr>
    </w:div>
    <w:div w:id="827286496">
      <w:bodyDiv w:val="1"/>
      <w:marLeft w:val="0"/>
      <w:marRight w:val="0"/>
      <w:marTop w:val="0"/>
      <w:marBottom w:val="0"/>
      <w:divBdr>
        <w:top w:val="none" w:sz="0" w:space="0" w:color="auto"/>
        <w:left w:val="none" w:sz="0" w:space="0" w:color="auto"/>
        <w:bottom w:val="none" w:sz="0" w:space="0" w:color="auto"/>
        <w:right w:val="none" w:sz="0" w:space="0" w:color="auto"/>
      </w:divBdr>
    </w:div>
    <w:div w:id="947733949">
      <w:bodyDiv w:val="1"/>
      <w:marLeft w:val="0"/>
      <w:marRight w:val="0"/>
      <w:marTop w:val="0"/>
      <w:marBottom w:val="0"/>
      <w:divBdr>
        <w:top w:val="none" w:sz="0" w:space="0" w:color="auto"/>
        <w:left w:val="none" w:sz="0" w:space="0" w:color="auto"/>
        <w:bottom w:val="none" w:sz="0" w:space="0" w:color="auto"/>
        <w:right w:val="none" w:sz="0" w:space="0" w:color="auto"/>
      </w:divBdr>
    </w:div>
    <w:div w:id="953287708">
      <w:bodyDiv w:val="1"/>
      <w:marLeft w:val="0"/>
      <w:marRight w:val="0"/>
      <w:marTop w:val="0"/>
      <w:marBottom w:val="0"/>
      <w:divBdr>
        <w:top w:val="none" w:sz="0" w:space="0" w:color="auto"/>
        <w:left w:val="none" w:sz="0" w:space="0" w:color="auto"/>
        <w:bottom w:val="none" w:sz="0" w:space="0" w:color="auto"/>
        <w:right w:val="none" w:sz="0" w:space="0" w:color="auto"/>
      </w:divBdr>
    </w:div>
    <w:div w:id="1032537126">
      <w:bodyDiv w:val="1"/>
      <w:marLeft w:val="0"/>
      <w:marRight w:val="0"/>
      <w:marTop w:val="0"/>
      <w:marBottom w:val="0"/>
      <w:divBdr>
        <w:top w:val="none" w:sz="0" w:space="0" w:color="auto"/>
        <w:left w:val="none" w:sz="0" w:space="0" w:color="auto"/>
        <w:bottom w:val="none" w:sz="0" w:space="0" w:color="auto"/>
        <w:right w:val="none" w:sz="0" w:space="0" w:color="auto"/>
      </w:divBdr>
    </w:div>
    <w:div w:id="1152525503">
      <w:bodyDiv w:val="1"/>
      <w:marLeft w:val="0"/>
      <w:marRight w:val="0"/>
      <w:marTop w:val="0"/>
      <w:marBottom w:val="0"/>
      <w:divBdr>
        <w:top w:val="none" w:sz="0" w:space="0" w:color="auto"/>
        <w:left w:val="none" w:sz="0" w:space="0" w:color="auto"/>
        <w:bottom w:val="none" w:sz="0" w:space="0" w:color="auto"/>
        <w:right w:val="none" w:sz="0" w:space="0" w:color="auto"/>
      </w:divBdr>
    </w:div>
    <w:div w:id="1224684994">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480537651">
      <w:bodyDiv w:val="1"/>
      <w:marLeft w:val="0"/>
      <w:marRight w:val="0"/>
      <w:marTop w:val="0"/>
      <w:marBottom w:val="0"/>
      <w:divBdr>
        <w:top w:val="none" w:sz="0" w:space="0" w:color="auto"/>
        <w:left w:val="none" w:sz="0" w:space="0" w:color="auto"/>
        <w:bottom w:val="none" w:sz="0" w:space="0" w:color="auto"/>
        <w:right w:val="none" w:sz="0" w:space="0" w:color="auto"/>
      </w:divBdr>
    </w:div>
    <w:div w:id="1513033506">
      <w:bodyDiv w:val="1"/>
      <w:marLeft w:val="0"/>
      <w:marRight w:val="0"/>
      <w:marTop w:val="0"/>
      <w:marBottom w:val="0"/>
      <w:divBdr>
        <w:top w:val="none" w:sz="0" w:space="0" w:color="auto"/>
        <w:left w:val="none" w:sz="0" w:space="0" w:color="auto"/>
        <w:bottom w:val="none" w:sz="0" w:space="0" w:color="auto"/>
        <w:right w:val="none" w:sz="0" w:space="0" w:color="auto"/>
      </w:divBdr>
    </w:div>
    <w:div w:id="1522553294">
      <w:bodyDiv w:val="1"/>
      <w:marLeft w:val="0"/>
      <w:marRight w:val="0"/>
      <w:marTop w:val="0"/>
      <w:marBottom w:val="0"/>
      <w:divBdr>
        <w:top w:val="none" w:sz="0" w:space="0" w:color="auto"/>
        <w:left w:val="none" w:sz="0" w:space="0" w:color="auto"/>
        <w:bottom w:val="none" w:sz="0" w:space="0" w:color="auto"/>
        <w:right w:val="none" w:sz="0" w:space="0" w:color="auto"/>
      </w:divBdr>
    </w:div>
    <w:div w:id="1571619691">
      <w:bodyDiv w:val="1"/>
      <w:marLeft w:val="0"/>
      <w:marRight w:val="0"/>
      <w:marTop w:val="0"/>
      <w:marBottom w:val="0"/>
      <w:divBdr>
        <w:top w:val="none" w:sz="0" w:space="0" w:color="auto"/>
        <w:left w:val="none" w:sz="0" w:space="0" w:color="auto"/>
        <w:bottom w:val="none" w:sz="0" w:space="0" w:color="auto"/>
        <w:right w:val="none" w:sz="0" w:space="0" w:color="auto"/>
      </w:divBdr>
    </w:div>
    <w:div w:id="1891844775">
      <w:bodyDiv w:val="1"/>
      <w:marLeft w:val="0"/>
      <w:marRight w:val="0"/>
      <w:marTop w:val="0"/>
      <w:marBottom w:val="0"/>
      <w:divBdr>
        <w:top w:val="none" w:sz="0" w:space="0" w:color="auto"/>
        <w:left w:val="none" w:sz="0" w:space="0" w:color="auto"/>
        <w:bottom w:val="none" w:sz="0" w:space="0" w:color="auto"/>
        <w:right w:val="none" w:sz="0" w:space="0" w:color="auto"/>
      </w:divBdr>
    </w:div>
    <w:div w:id="1910651482">
      <w:bodyDiv w:val="1"/>
      <w:marLeft w:val="0"/>
      <w:marRight w:val="0"/>
      <w:marTop w:val="0"/>
      <w:marBottom w:val="0"/>
      <w:divBdr>
        <w:top w:val="none" w:sz="0" w:space="0" w:color="auto"/>
        <w:left w:val="none" w:sz="0" w:space="0" w:color="auto"/>
        <w:bottom w:val="none" w:sz="0" w:space="0" w:color="auto"/>
        <w:right w:val="none" w:sz="0" w:space="0" w:color="auto"/>
      </w:divBdr>
    </w:div>
    <w:div w:id="2020958607">
      <w:bodyDiv w:val="1"/>
      <w:marLeft w:val="0"/>
      <w:marRight w:val="0"/>
      <w:marTop w:val="0"/>
      <w:marBottom w:val="0"/>
      <w:divBdr>
        <w:top w:val="none" w:sz="0" w:space="0" w:color="auto"/>
        <w:left w:val="none" w:sz="0" w:space="0" w:color="auto"/>
        <w:bottom w:val="none" w:sz="0" w:space="0" w:color="auto"/>
        <w:right w:val="none" w:sz="0" w:space="0" w:color="auto"/>
      </w:divBdr>
    </w:div>
    <w:div w:id="20328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ph_ms225@stalexiuscollege.edu.p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115BB-D7B6-41C4-B4F8-0C15FF97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9776</Words>
  <Characters>55725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anne dequilla</dc:creator>
  <cp:keywords/>
  <dc:description/>
  <cp:lastModifiedBy>hrdd-L&amp;D</cp:lastModifiedBy>
  <cp:revision>11</cp:revision>
  <dcterms:created xsi:type="dcterms:W3CDTF">2026-05-26T15:34:00Z</dcterms:created>
  <dcterms:modified xsi:type="dcterms:W3CDTF">2026-06-13T13:59:00Z</dcterms:modified>
</cp:coreProperties>
</file>