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CD21" w14:textId="77777777" w:rsidR="00BB263C" w:rsidRDefault="00000000" w:rsidP="00AF759D">
      <w:pPr>
        <w:pStyle w:val="Title"/>
        <w:pBdr>
          <w:bottom w:val="single" w:sz="8" w:space="31" w:color="4F81BD" w:themeColor="accent1"/>
        </w:pBdr>
        <w:spacing w:line="360" w:lineRule="auto"/>
        <w:jc w:val="center"/>
        <w:rPr>
          <w:rFonts w:ascii="Times New Roman" w:hAnsi="Times New Roman" w:cs="Times New Roman"/>
          <w:b/>
          <w:bCs/>
          <w:color w:val="auto"/>
          <w:sz w:val="28"/>
          <w:szCs w:val="28"/>
        </w:rPr>
      </w:pPr>
      <w:r w:rsidRPr="007D64EE">
        <w:rPr>
          <w:rFonts w:ascii="Times New Roman" w:hAnsi="Times New Roman" w:cs="Times New Roman"/>
          <w:b/>
          <w:bCs/>
          <w:color w:val="auto"/>
          <w:sz w:val="28"/>
          <w:szCs w:val="28"/>
        </w:rPr>
        <w:t>Comparative Study of CSR Livelihood Programs across Public and Private Sector Companies: An SEM Approach</w:t>
      </w:r>
    </w:p>
    <w:p w14:paraId="43617F0E" w14:textId="09F476E6" w:rsidR="00BB263C" w:rsidRPr="00BB263C" w:rsidRDefault="00BB263C" w:rsidP="00BB263C">
      <w:pPr>
        <w:pStyle w:val="Title"/>
        <w:pBdr>
          <w:bottom w:val="single" w:sz="8" w:space="31" w:color="4F81BD" w:themeColor="accent1"/>
        </w:pBdr>
        <w:spacing w:line="360" w:lineRule="auto"/>
        <w:jc w:val="center"/>
        <w:rPr>
          <w:rFonts w:ascii="Times New Roman" w:hAnsi="Times New Roman" w:cs="Times New Roman"/>
          <w:b/>
          <w:bCs/>
          <w:color w:val="auto"/>
          <w:sz w:val="24"/>
          <w:szCs w:val="24"/>
          <w:lang w:val="en-IN"/>
        </w:rPr>
      </w:pPr>
      <w:r w:rsidRPr="00BB263C">
        <w:rPr>
          <w:rFonts w:ascii="Times New Roman" w:hAnsi="Times New Roman" w:cs="Times New Roman"/>
          <w:b/>
          <w:bCs/>
          <w:color w:val="auto"/>
          <w:sz w:val="24"/>
          <w:szCs w:val="24"/>
          <w:lang w:val="en-IN"/>
        </w:rPr>
        <w:t/>
      </w:r>
    </w:p>
    <w:p w14:paraId="7D666E71" w14:textId="2A15C64C" w:rsidR="0067221F" w:rsidRPr="007D64EE" w:rsidRDefault="00BB263C" w:rsidP="0090386F">
      <w:pPr>
        <w:pStyle w:val="Title"/>
        <w:pBdr>
          <w:bottom w:val="single" w:sz="8" w:space="31" w:color="4F81BD" w:themeColor="accent1"/>
        </w:pBdr>
        <w:spacing w:line="360" w:lineRule="auto"/>
        <w:jc w:val="center"/>
        <w:rPr>
          <w:rFonts w:ascii="Times New Roman" w:hAnsi="Times New Roman" w:cs="Times New Roman"/>
          <w:b/>
          <w:bCs/>
          <w:color w:val="auto"/>
          <w:sz w:val="28"/>
          <w:szCs w:val="28"/>
        </w:rPr>
      </w:pPr>
      <w:r w:rsidRPr="00BB263C">
        <w:rPr>
          <w:rFonts w:ascii="Times New Roman" w:hAnsi="Times New Roman" w:cs="Times New Roman"/>
          <w:b/>
          <w:bCs/>
          <w:color w:val="auto"/>
          <w:sz w:val="24"/>
          <w:szCs w:val="24"/>
          <w:lang w:val="en-IN"/>
        </w:rPr>
        <w:t/>
      </w:r>
    </w:p>
    <w:p w14:paraId="5DA7EB65" w14:textId="77777777" w:rsidR="0067221F" w:rsidRPr="00B720FA" w:rsidRDefault="00000000" w:rsidP="007D64EE">
      <w:pPr>
        <w:pStyle w:val="Heading1"/>
        <w:spacing w:line="360" w:lineRule="auto"/>
        <w:rPr>
          <w:rFonts w:ascii="Times New Roman" w:hAnsi="Times New Roman" w:cs="Times New Roman"/>
          <w:color w:val="auto"/>
          <w:sz w:val="24"/>
          <w:szCs w:val="24"/>
        </w:rPr>
      </w:pPr>
      <w:r w:rsidRPr="00B720FA">
        <w:rPr>
          <w:rFonts w:ascii="Times New Roman" w:hAnsi="Times New Roman" w:cs="Times New Roman"/>
          <w:color w:val="auto"/>
          <w:sz w:val="24"/>
          <w:szCs w:val="24"/>
        </w:rPr>
        <w:t>Abstract</w:t>
      </w:r>
    </w:p>
    <w:p w14:paraId="605E1BE9" w14:textId="77777777" w:rsidR="00C255BA" w:rsidRPr="001355D7" w:rsidRDefault="00C255BA" w:rsidP="007D64EE">
      <w:p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 xml:space="preserve">This study aims to compare the CSR Livelihood Programs of Public and Private Sector Companies. This study is designed to compare the CSR Livelihood Program of Public and Private Sector Companies. This study aims to look into the effectiveness of Corporate Social Responsibility (CSR) livelihood programs of government and non-governmental organizations and how it influences the beneficiaries' socio-economic development. The research method is quantitative with the framework of SEM that aims to analyze the relationship between variables that are important in determining the outcomes of livelihoods. The study results show that the major constructs, which are latent, are CSR Program Design, Skill Development Initiatives, Resource Accessibility, Community Participation, Livelihood Improvement, and Beneficiary Satisfaction, where CSR Program Design, Skill Development Initiatives, Resource Accessibility, and Community Participation are independent variables and Livelihood Improvement and Beneficiary Satisfaction are dependent variables. Furthermore, the concept of the Sustainability of Livelihood is taken into account as a mediating variable to understand the long-term impacts. Structured questionnaires are used to gather primary data from beneficiaries of the selected CSR programs in both public and private sector companies. For statistical validity, a sample size of about 300-400 respondents is considered as valid. The hypothesized relationships and the structural paths between the two sectors are tested using the SEM model. The results will show striking differences in the implementation and impact of CSR livelihood approaches. It is hypothesized that the private sector companies will be more efficient and innovative in their delivery of the program, and the </w:t>
      </w:r>
      <w:r w:rsidRPr="001355D7">
        <w:rPr>
          <w:rFonts w:ascii="Times New Roman" w:hAnsi="Times New Roman" w:cs="Times New Roman"/>
          <w:sz w:val="24"/>
          <w:szCs w:val="24"/>
        </w:rPr>
        <w:lastRenderedPageBreak/>
        <w:t>public sector companies will have wider outreach and inclusivity. The study also seeks to establish the factors that have been critical in contributing to sustainable livelihood development. The research builds on existing literature by conducting a comparative study on SEM, which allows for insights for policy makers, business strategists, and development practitioners to improve the efficiency and sustainability of CSR.</w:t>
      </w:r>
    </w:p>
    <w:p w14:paraId="75F854D0" w14:textId="62632679" w:rsidR="0067221F" w:rsidRPr="00B720FA" w:rsidRDefault="00000000" w:rsidP="00B720FA">
      <w:pPr>
        <w:spacing w:line="360" w:lineRule="auto"/>
        <w:rPr>
          <w:rFonts w:ascii="Times New Roman" w:hAnsi="Times New Roman" w:cs="Times New Roman"/>
          <w:b/>
          <w:bCs/>
          <w:sz w:val="24"/>
          <w:szCs w:val="24"/>
        </w:rPr>
      </w:pPr>
      <w:r w:rsidRPr="00B720FA">
        <w:rPr>
          <w:rFonts w:ascii="Times New Roman" w:hAnsi="Times New Roman" w:cs="Times New Roman"/>
          <w:b/>
          <w:bCs/>
          <w:sz w:val="24"/>
          <w:szCs w:val="24"/>
        </w:rPr>
        <w:t>Keywords</w:t>
      </w:r>
    </w:p>
    <w:p w14:paraId="52DA9863" w14:textId="77777777" w:rsidR="0067221F" w:rsidRPr="001355D7" w:rsidRDefault="00000000" w:rsidP="007D64EE">
      <w:pPr>
        <w:spacing w:line="360" w:lineRule="auto"/>
        <w:rPr>
          <w:rFonts w:ascii="Times New Roman" w:hAnsi="Times New Roman" w:cs="Times New Roman"/>
          <w:sz w:val="24"/>
          <w:szCs w:val="24"/>
        </w:rPr>
      </w:pPr>
      <w:r w:rsidRPr="001355D7">
        <w:rPr>
          <w:rFonts w:ascii="Times New Roman" w:hAnsi="Times New Roman" w:cs="Times New Roman"/>
          <w:sz w:val="24"/>
          <w:szCs w:val="24"/>
        </w:rPr>
        <w:t>CSR, Livelihood Development, SEM, Public vs Private Sector</w:t>
      </w:r>
    </w:p>
    <w:p w14:paraId="2714EC4D" w14:textId="77777777" w:rsidR="0067221F" w:rsidRPr="00B720FA" w:rsidRDefault="00000000" w:rsidP="007D64EE">
      <w:pPr>
        <w:pStyle w:val="Heading1"/>
        <w:spacing w:line="360" w:lineRule="auto"/>
        <w:rPr>
          <w:rFonts w:ascii="Times New Roman" w:hAnsi="Times New Roman" w:cs="Times New Roman"/>
          <w:color w:val="auto"/>
          <w:sz w:val="24"/>
          <w:szCs w:val="24"/>
        </w:rPr>
      </w:pPr>
      <w:r w:rsidRPr="00B720FA">
        <w:rPr>
          <w:rFonts w:ascii="Times New Roman" w:hAnsi="Times New Roman" w:cs="Times New Roman"/>
          <w:color w:val="auto"/>
          <w:sz w:val="24"/>
          <w:szCs w:val="24"/>
        </w:rPr>
        <w:t>Introduction</w:t>
      </w:r>
    </w:p>
    <w:p w14:paraId="2404BD53" w14:textId="77777777" w:rsidR="00C255BA" w:rsidRPr="001355D7" w:rsidRDefault="00C255BA" w:rsidP="007D64EE">
      <w:p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 xml:space="preserve">Corporate Social Responsibility (CSR) is a crucial strategic approach that has emerged in the business world to help organisations contribute towards the development of a society beyond the economic goals of the organisation. CSR activities have increasingly been targeted at livelihood development programmes to improve the incomes of the marginalised people, their skills and their quality of life in recent years. Such activities are ongoing in both the public and private sectors, but they may be approached in different ways and implemented with varying methods and results, depending upon organizational structure, resources, and policy frameworks. While corporate social responsibility in public sector organizations is very similar to that in private sector organizations, the focus is more on inclusive growth and big outreach, with CSR initiatives closely resonating with Government development policies and social welfare policies. The private sector, on the other hand, generally have more innovative, outcome-focused, and efficiency-oriented approaches, thus using modern technologies and market solutions in their livelihood programs. These disparities require a systematic comparative analysis to comprehend which sector offers more sustainable and impactful results. The purpose of this study is to compare CSR livelihood program in public and private sector companies with the Structural Equation Modeling (SEM) approach. The research concentrates on analyzing the influence of CSR program design, skill-building programs, access to resources and community involvement on livelihood improvement and satisfaction of the beneficiaries. In addition, the study examines the mediating </w:t>
      </w:r>
      <w:r w:rsidRPr="001355D7">
        <w:rPr>
          <w:rFonts w:ascii="Times New Roman" w:hAnsi="Times New Roman" w:cs="Times New Roman"/>
          <w:sz w:val="24"/>
          <w:szCs w:val="24"/>
        </w:rPr>
        <w:lastRenderedPageBreak/>
        <w:t xml:space="preserve">contribution of sustainability in accounting for the successful outcome of programs over time. </w:t>
      </w:r>
    </w:p>
    <w:p w14:paraId="64DFD71E" w14:textId="77777777" w:rsidR="00C255BA" w:rsidRPr="001355D7" w:rsidRDefault="00C255BA" w:rsidP="007D64EE">
      <w:p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This research aims to bring together the above, and use a structured analytical approach to fill the literature gap on the effectiveness of CSR-driven livelihood interventions through empirical evidence. The results will assist the policy makers, corporate leaders and development practitioners in developing effective CSR initiatives for sustainable socio-economic development.</w:t>
      </w:r>
    </w:p>
    <w:p w14:paraId="4594750E" w14:textId="77777777" w:rsidR="0067221F" w:rsidRPr="00B720FA" w:rsidRDefault="00000000" w:rsidP="007D64EE">
      <w:pPr>
        <w:pStyle w:val="Heading1"/>
        <w:spacing w:line="360" w:lineRule="auto"/>
        <w:rPr>
          <w:rFonts w:ascii="Times New Roman" w:hAnsi="Times New Roman" w:cs="Times New Roman"/>
          <w:color w:val="auto"/>
          <w:sz w:val="24"/>
          <w:szCs w:val="24"/>
        </w:rPr>
      </w:pPr>
      <w:r w:rsidRPr="00B720FA">
        <w:rPr>
          <w:rFonts w:ascii="Times New Roman" w:hAnsi="Times New Roman" w:cs="Times New Roman"/>
          <w:color w:val="auto"/>
          <w:sz w:val="24"/>
          <w:szCs w:val="24"/>
        </w:rPr>
        <w:t>Objectives</w:t>
      </w:r>
    </w:p>
    <w:p w14:paraId="77B640E1" w14:textId="77777777" w:rsidR="00C255BA" w:rsidRPr="001355D7" w:rsidRDefault="00C255BA" w:rsidP="007D64EE">
      <w:pPr>
        <w:numPr>
          <w:ilvl w:val="0"/>
          <w:numId w:val="10"/>
        </w:numPr>
        <w:spacing w:after="160" w:line="360" w:lineRule="auto"/>
        <w:jc w:val="both"/>
        <w:rPr>
          <w:rFonts w:ascii="Times New Roman" w:hAnsi="Times New Roman" w:cs="Times New Roman"/>
          <w:sz w:val="24"/>
          <w:szCs w:val="24"/>
        </w:rPr>
      </w:pPr>
      <w:r w:rsidRPr="001355D7">
        <w:rPr>
          <w:rFonts w:ascii="Times New Roman" w:hAnsi="Times New Roman" w:cs="Times New Roman"/>
          <w:sz w:val="24"/>
          <w:szCs w:val="24"/>
        </w:rPr>
        <w:t xml:space="preserve">To examine the impact of CSR initiatives on livelihood development among beneficiaries. </w:t>
      </w:r>
    </w:p>
    <w:p w14:paraId="25E3EBCE" w14:textId="77777777" w:rsidR="00C255BA" w:rsidRPr="001355D7" w:rsidRDefault="00C255BA" w:rsidP="007D64EE">
      <w:pPr>
        <w:numPr>
          <w:ilvl w:val="0"/>
          <w:numId w:val="10"/>
        </w:numPr>
        <w:spacing w:after="160" w:line="360" w:lineRule="auto"/>
        <w:jc w:val="both"/>
        <w:rPr>
          <w:rFonts w:ascii="Times New Roman" w:hAnsi="Times New Roman" w:cs="Times New Roman"/>
          <w:sz w:val="24"/>
          <w:szCs w:val="24"/>
        </w:rPr>
      </w:pPr>
      <w:r w:rsidRPr="001355D7">
        <w:rPr>
          <w:rFonts w:ascii="Times New Roman" w:hAnsi="Times New Roman" w:cs="Times New Roman"/>
          <w:sz w:val="24"/>
          <w:szCs w:val="24"/>
        </w:rPr>
        <w:t xml:space="preserve">To analyze the role of skill development and community participation in promoting sustainable livelihoods. </w:t>
      </w:r>
    </w:p>
    <w:p w14:paraId="33D9FF40" w14:textId="77777777" w:rsidR="00C255BA" w:rsidRPr="001355D7" w:rsidRDefault="00C255BA" w:rsidP="007D64EE">
      <w:pPr>
        <w:numPr>
          <w:ilvl w:val="0"/>
          <w:numId w:val="10"/>
        </w:numPr>
        <w:spacing w:after="160" w:line="360" w:lineRule="auto"/>
        <w:jc w:val="both"/>
        <w:rPr>
          <w:rFonts w:ascii="Times New Roman" w:hAnsi="Times New Roman" w:cs="Times New Roman"/>
          <w:sz w:val="24"/>
          <w:szCs w:val="24"/>
        </w:rPr>
      </w:pPr>
      <w:r w:rsidRPr="001355D7">
        <w:rPr>
          <w:rFonts w:ascii="Times New Roman" w:hAnsi="Times New Roman" w:cs="Times New Roman"/>
          <w:sz w:val="24"/>
          <w:szCs w:val="24"/>
        </w:rPr>
        <w:t xml:space="preserve">To evaluate the relationship between sustainable livelihood and livelihood improvement. </w:t>
      </w:r>
    </w:p>
    <w:p w14:paraId="464D25C8" w14:textId="77777777" w:rsidR="001355D7" w:rsidRPr="001355D7" w:rsidRDefault="001355D7" w:rsidP="007D64EE">
      <w:pPr>
        <w:spacing w:line="360" w:lineRule="auto"/>
        <w:ind w:left="360"/>
        <w:jc w:val="both"/>
        <w:rPr>
          <w:rFonts w:ascii="Times New Roman" w:hAnsi="Times New Roman" w:cs="Times New Roman"/>
          <w:b/>
          <w:bCs/>
          <w:sz w:val="24"/>
          <w:szCs w:val="24"/>
        </w:rPr>
      </w:pPr>
      <w:r w:rsidRPr="001355D7">
        <w:rPr>
          <w:rFonts w:ascii="Times New Roman" w:hAnsi="Times New Roman" w:cs="Times New Roman"/>
          <w:b/>
          <w:bCs/>
          <w:sz w:val="24"/>
          <w:szCs w:val="24"/>
        </w:rPr>
        <w:t>Hypotheses</w:t>
      </w:r>
    </w:p>
    <w:p w14:paraId="18AF31AA" w14:textId="29D2B48C" w:rsidR="001355D7" w:rsidRPr="001355D7" w:rsidRDefault="001355D7" w:rsidP="007D64EE">
      <w:pPr>
        <w:pStyle w:val="ListParagraph"/>
        <w:numPr>
          <w:ilvl w:val="1"/>
          <w:numId w:val="10"/>
        </w:num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 xml:space="preserve">H1: </w:t>
      </w:r>
      <w:r>
        <w:rPr>
          <w:rFonts w:ascii="Times New Roman" w:hAnsi="Times New Roman" w:cs="Times New Roman"/>
          <w:sz w:val="24"/>
          <w:szCs w:val="24"/>
        </w:rPr>
        <w:t>There</w:t>
      </w:r>
      <w:r w:rsidRPr="001355D7">
        <w:rPr>
          <w:rFonts w:ascii="Times New Roman" w:hAnsi="Times New Roman" w:cs="Times New Roman"/>
          <w:sz w:val="24"/>
          <w:szCs w:val="24"/>
        </w:rPr>
        <w:t xml:space="preserve"> is a significant positive effect </w:t>
      </w:r>
      <w:r w:rsidR="007D302D">
        <w:rPr>
          <w:rFonts w:ascii="Times New Roman" w:hAnsi="Times New Roman" w:cs="Times New Roman"/>
          <w:sz w:val="24"/>
          <w:szCs w:val="24"/>
        </w:rPr>
        <w:t>of</w:t>
      </w:r>
      <w:r w:rsidRPr="001355D7">
        <w:rPr>
          <w:rFonts w:ascii="Times New Roman" w:hAnsi="Times New Roman" w:cs="Times New Roman"/>
          <w:sz w:val="24"/>
          <w:szCs w:val="24"/>
        </w:rPr>
        <w:t xml:space="preserve"> CSR Program Design and Sustainable Livelihood.</w:t>
      </w:r>
    </w:p>
    <w:p w14:paraId="14110F97" w14:textId="34C7DE35" w:rsidR="001355D7" w:rsidRPr="001355D7" w:rsidRDefault="001355D7" w:rsidP="007D64EE">
      <w:pPr>
        <w:pStyle w:val="ListParagraph"/>
        <w:numPr>
          <w:ilvl w:val="1"/>
          <w:numId w:val="10"/>
        </w:num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H</w:t>
      </w:r>
      <w:r w:rsidR="007D302D" w:rsidRPr="001355D7">
        <w:rPr>
          <w:rFonts w:ascii="Times New Roman" w:hAnsi="Times New Roman" w:cs="Times New Roman"/>
          <w:sz w:val="24"/>
          <w:szCs w:val="24"/>
        </w:rPr>
        <w:t>2: There</w:t>
      </w:r>
      <w:r w:rsidRPr="001355D7">
        <w:rPr>
          <w:rFonts w:ascii="Times New Roman" w:hAnsi="Times New Roman" w:cs="Times New Roman"/>
          <w:sz w:val="24"/>
          <w:szCs w:val="24"/>
        </w:rPr>
        <w:t xml:space="preserve"> is </w:t>
      </w:r>
      <w:r>
        <w:rPr>
          <w:rFonts w:ascii="Times New Roman" w:hAnsi="Times New Roman" w:cs="Times New Roman"/>
          <w:sz w:val="24"/>
          <w:szCs w:val="24"/>
        </w:rPr>
        <w:t xml:space="preserve">a </w:t>
      </w:r>
      <w:r w:rsidRPr="001355D7">
        <w:rPr>
          <w:rFonts w:ascii="Times New Roman" w:hAnsi="Times New Roman" w:cs="Times New Roman"/>
          <w:sz w:val="24"/>
          <w:szCs w:val="24"/>
        </w:rPr>
        <w:t>significant positive relationship between Skill Development and Sustainable Livelihood.</w:t>
      </w:r>
    </w:p>
    <w:p w14:paraId="6D8FDC9C" w14:textId="2BD41073" w:rsidR="001355D7" w:rsidRPr="001355D7" w:rsidRDefault="001355D7" w:rsidP="007D64EE">
      <w:pPr>
        <w:pStyle w:val="ListParagraph"/>
        <w:numPr>
          <w:ilvl w:val="1"/>
          <w:numId w:val="10"/>
        </w:num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H3: Community participation significantly influences Sustainable Livelihood.</w:t>
      </w:r>
    </w:p>
    <w:p w14:paraId="301BEA05" w14:textId="77777777" w:rsidR="0067221F" w:rsidRPr="001355D7" w:rsidRDefault="00000000" w:rsidP="007D64EE">
      <w:pPr>
        <w:pStyle w:val="Heading1"/>
        <w:spacing w:line="360" w:lineRule="auto"/>
        <w:rPr>
          <w:rFonts w:ascii="Times New Roman" w:hAnsi="Times New Roman" w:cs="Times New Roman"/>
          <w:color w:val="auto"/>
          <w:sz w:val="24"/>
          <w:szCs w:val="24"/>
        </w:rPr>
      </w:pPr>
      <w:r w:rsidRPr="001355D7">
        <w:rPr>
          <w:rFonts w:ascii="Times New Roman" w:hAnsi="Times New Roman" w:cs="Times New Roman"/>
          <w:color w:val="auto"/>
          <w:sz w:val="24"/>
          <w:szCs w:val="24"/>
        </w:rPr>
        <w:t>Methodology</w:t>
      </w:r>
    </w:p>
    <w:p w14:paraId="242BB4B7" w14:textId="25FA8CF1" w:rsidR="001355D7" w:rsidRDefault="00C255BA" w:rsidP="00A209E8">
      <w:p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 xml:space="preserve">The research method used for this study is quantitative research, which is conducted to study whether the CSR livelihood programs in public and private sector companies have been effective. The study has used primary data gathered from CSR </w:t>
      </w:r>
      <w:r w:rsidR="00A209E8" w:rsidRPr="001355D7">
        <w:rPr>
          <w:rFonts w:ascii="Times New Roman" w:hAnsi="Times New Roman" w:cs="Times New Roman"/>
          <w:sz w:val="24"/>
          <w:szCs w:val="24"/>
        </w:rPr>
        <w:t>beneficiaries. Data</w:t>
      </w:r>
      <w:r w:rsidRPr="001355D7">
        <w:rPr>
          <w:rFonts w:ascii="Times New Roman" w:hAnsi="Times New Roman" w:cs="Times New Roman"/>
          <w:sz w:val="24"/>
          <w:szCs w:val="24"/>
        </w:rPr>
        <w:t xml:space="preserve"> was collected using a structured questionnaire with multiple items on a 5-point Likert scale (Strongly Disagree to Strongly Agree). The questionnaire was developed to collect important constructs</w:t>
      </w:r>
      <w:r w:rsidR="00A209E8">
        <w:rPr>
          <w:rFonts w:ascii="Times New Roman" w:hAnsi="Times New Roman" w:cs="Times New Roman"/>
          <w:sz w:val="24"/>
          <w:szCs w:val="24"/>
        </w:rPr>
        <w:t>,</w:t>
      </w:r>
      <w:r w:rsidRPr="001355D7">
        <w:rPr>
          <w:rFonts w:ascii="Times New Roman" w:hAnsi="Times New Roman" w:cs="Times New Roman"/>
          <w:sz w:val="24"/>
          <w:szCs w:val="24"/>
        </w:rPr>
        <w:t xml:space="preserve"> including CSR Program Design, Skill Development, Community </w:t>
      </w:r>
      <w:r w:rsidRPr="001355D7">
        <w:rPr>
          <w:rFonts w:ascii="Times New Roman" w:hAnsi="Times New Roman" w:cs="Times New Roman"/>
          <w:sz w:val="24"/>
          <w:szCs w:val="24"/>
        </w:rPr>
        <w:lastRenderedPageBreak/>
        <w:t>Participation, Sustainable Livelihood, Livelihood Improvement</w:t>
      </w:r>
      <w:r w:rsidR="00A209E8">
        <w:rPr>
          <w:rFonts w:ascii="Times New Roman" w:hAnsi="Times New Roman" w:cs="Times New Roman"/>
          <w:sz w:val="24"/>
          <w:szCs w:val="24"/>
        </w:rPr>
        <w:t>,</w:t>
      </w:r>
      <w:r w:rsidRPr="001355D7">
        <w:rPr>
          <w:rFonts w:ascii="Times New Roman" w:hAnsi="Times New Roman" w:cs="Times New Roman"/>
          <w:sz w:val="24"/>
          <w:szCs w:val="24"/>
        </w:rPr>
        <w:t xml:space="preserve"> and Beneficiary Satisfaction.</w:t>
      </w:r>
      <w:r w:rsidR="00A209E8">
        <w:rPr>
          <w:rFonts w:ascii="Times New Roman" w:hAnsi="Times New Roman" w:cs="Times New Roman"/>
          <w:sz w:val="24"/>
          <w:szCs w:val="24"/>
        </w:rPr>
        <w:t xml:space="preserve"> </w:t>
      </w:r>
      <w:r w:rsidRPr="001355D7">
        <w:rPr>
          <w:rFonts w:ascii="Times New Roman" w:hAnsi="Times New Roman" w:cs="Times New Roman"/>
          <w:sz w:val="24"/>
          <w:szCs w:val="24"/>
        </w:rPr>
        <w:t xml:space="preserve">The study was conducted using a convenience sampling method and the number of respondents was about 300, which was appropriate for statistical analysis. The respondents were those who have </w:t>
      </w:r>
      <w:r w:rsidR="00A209E8" w:rsidRPr="001355D7">
        <w:rPr>
          <w:rFonts w:ascii="Times New Roman" w:hAnsi="Times New Roman" w:cs="Times New Roman"/>
          <w:sz w:val="24"/>
          <w:szCs w:val="24"/>
        </w:rPr>
        <w:t>availed themselves</w:t>
      </w:r>
      <w:r w:rsidRPr="001355D7">
        <w:rPr>
          <w:rFonts w:ascii="Times New Roman" w:hAnsi="Times New Roman" w:cs="Times New Roman"/>
          <w:sz w:val="24"/>
          <w:szCs w:val="24"/>
        </w:rPr>
        <w:t xml:space="preserve"> of the CSR livelihood programmes.</w:t>
      </w:r>
      <w:r w:rsidR="00A209E8">
        <w:rPr>
          <w:rFonts w:ascii="Times New Roman" w:hAnsi="Times New Roman" w:cs="Times New Roman"/>
          <w:sz w:val="24"/>
          <w:szCs w:val="24"/>
        </w:rPr>
        <w:t xml:space="preserve"> </w:t>
      </w:r>
      <w:r w:rsidRPr="001355D7">
        <w:rPr>
          <w:rFonts w:ascii="Times New Roman" w:hAnsi="Times New Roman" w:cs="Times New Roman"/>
          <w:sz w:val="24"/>
          <w:szCs w:val="24"/>
        </w:rPr>
        <w:t>Structural Equation Modeling (SEM) was employed in data analysis to check the relationship among variables and to test the hypotheses. The statistical techniques used in this study included SPSS (reliability and descriptive analysis) and AMOS/SmartPLS (model testing).</w:t>
      </w:r>
      <w:r w:rsidR="00B720FA">
        <w:rPr>
          <w:rFonts w:ascii="Times New Roman" w:hAnsi="Times New Roman" w:cs="Times New Roman"/>
          <w:sz w:val="24"/>
          <w:szCs w:val="24"/>
        </w:rPr>
        <w:t xml:space="preserve"> </w:t>
      </w:r>
      <w:r w:rsidRPr="001355D7">
        <w:rPr>
          <w:rFonts w:ascii="Times New Roman" w:hAnsi="Times New Roman" w:cs="Times New Roman"/>
          <w:sz w:val="24"/>
          <w:szCs w:val="24"/>
        </w:rPr>
        <w:t>Cronbach's α, composite reliability, and factor analysis technique were employed to test the reliability and validity of the constructs. Additionally, the model fit indices were checked to confirm the goodness-of-fit of the proposed model.</w:t>
      </w:r>
    </w:p>
    <w:p w14:paraId="5D28ABCE" w14:textId="6EB154C5" w:rsidR="007F5C29" w:rsidRPr="007F5C29" w:rsidRDefault="007F5C29" w:rsidP="00A209E8">
      <w:pPr>
        <w:spacing w:line="360" w:lineRule="auto"/>
        <w:jc w:val="both"/>
        <w:rPr>
          <w:rFonts w:ascii="Times New Roman" w:hAnsi="Times New Roman" w:cs="Times New Roman"/>
          <w:b/>
          <w:bCs/>
          <w:sz w:val="24"/>
          <w:szCs w:val="24"/>
        </w:rPr>
      </w:pPr>
      <w:r w:rsidRPr="007F5C29">
        <w:rPr>
          <w:rFonts w:ascii="Times New Roman" w:hAnsi="Times New Roman" w:cs="Times New Roman"/>
          <w:b/>
          <w:bCs/>
          <w:sz w:val="24"/>
          <w:szCs w:val="24"/>
        </w:rPr>
        <w:t>Constructs &amp; Variables Classification</w:t>
      </w:r>
    </w:p>
    <w:tbl>
      <w:tblPr>
        <w:tblStyle w:val="TableGrid"/>
        <w:tblW w:w="0" w:type="auto"/>
        <w:tblLook w:val="04A0" w:firstRow="1" w:lastRow="0" w:firstColumn="1" w:lastColumn="0" w:noHBand="0" w:noVBand="1"/>
      </w:tblPr>
      <w:tblGrid>
        <w:gridCol w:w="1403"/>
        <w:gridCol w:w="2584"/>
        <w:gridCol w:w="3153"/>
        <w:gridCol w:w="1716"/>
      </w:tblGrid>
      <w:tr w:rsidR="00E73898" w:rsidRPr="00E73898" w14:paraId="0755A295" w14:textId="77777777" w:rsidTr="00E73898">
        <w:tc>
          <w:tcPr>
            <w:tcW w:w="1403" w:type="dxa"/>
            <w:hideMark/>
          </w:tcPr>
          <w:p w14:paraId="2755EF75" w14:textId="77777777" w:rsidR="00E73898" w:rsidRPr="00E73898" w:rsidRDefault="00E73898" w:rsidP="00E73898">
            <w:pPr>
              <w:jc w:val="center"/>
              <w:rPr>
                <w:rFonts w:ascii="Times New Roman" w:hAnsi="Times New Roman" w:cs="Times New Roman"/>
                <w:b/>
                <w:bCs/>
                <w:sz w:val="24"/>
                <w:szCs w:val="24"/>
                <w:lang w:val="en-IN"/>
              </w:rPr>
            </w:pPr>
            <w:r w:rsidRPr="00E73898">
              <w:rPr>
                <w:rFonts w:ascii="Times New Roman" w:hAnsi="Times New Roman" w:cs="Times New Roman"/>
                <w:b/>
                <w:bCs/>
                <w:sz w:val="24"/>
                <w:szCs w:val="24"/>
                <w:lang w:val="en-IN"/>
              </w:rPr>
              <w:t>Construct Type</w:t>
            </w:r>
          </w:p>
        </w:tc>
        <w:tc>
          <w:tcPr>
            <w:tcW w:w="2584" w:type="dxa"/>
            <w:hideMark/>
          </w:tcPr>
          <w:p w14:paraId="26D01666" w14:textId="77777777" w:rsidR="00E73898" w:rsidRPr="00E73898" w:rsidRDefault="00E73898" w:rsidP="00E73898">
            <w:pPr>
              <w:jc w:val="center"/>
              <w:rPr>
                <w:rFonts w:ascii="Times New Roman" w:hAnsi="Times New Roman" w:cs="Times New Roman"/>
                <w:b/>
                <w:bCs/>
                <w:sz w:val="24"/>
                <w:szCs w:val="24"/>
                <w:lang w:val="en-IN"/>
              </w:rPr>
            </w:pPr>
            <w:r w:rsidRPr="00E73898">
              <w:rPr>
                <w:rFonts w:ascii="Times New Roman" w:hAnsi="Times New Roman" w:cs="Times New Roman"/>
                <w:b/>
                <w:bCs/>
                <w:sz w:val="24"/>
                <w:szCs w:val="24"/>
                <w:lang w:val="en-IN"/>
              </w:rPr>
              <w:t>Construct Name</w:t>
            </w:r>
          </w:p>
        </w:tc>
        <w:tc>
          <w:tcPr>
            <w:tcW w:w="0" w:type="auto"/>
            <w:hideMark/>
          </w:tcPr>
          <w:p w14:paraId="17F8180E" w14:textId="77777777" w:rsidR="00E73898" w:rsidRPr="00E73898" w:rsidRDefault="00E73898" w:rsidP="00E73898">
            <w:pPr>
              <w:jc w:val="center"/>
              <w:rPr>
                <w:rFonts w:ascii="Times New Roman" w:hAnsi="Times New Roman" w:cs="Times New Roman"/>
                <w:b/>
                <w:bCs/>
                <w:sz w:val="24"/>
                <w:szCs w:val="24"/>
                <w:lang w:val="en-IN"/>
              </w:rPr>
            </w:pPr>
            <w:r w:rsidRPr="00E73898">
              <w:rPr>
                <w:rFonts w:ascii="Times New Roman" w:hAnsi="Times New Roman" w:cs="Times New Roman"/>
                <w:b/>
                <w:bCs/>
                <w:sz w:val="24"/>
                <w:szCs w:val="24"/>
                <w:lang w:val="en-IN"/>
              </w:rPr>
              <w:t>Variables / Indicators</w:t>
            </w:r>
          </w:p>
        </w:tc>
        <w:tc>
          <w:tcPr>
            <w:tcW w:w="0" w:type="auto"/>
            <w:hideMark/>
          </w:tcPr>
          <w:p w14:paraId="23BF9220" w14:textId="77777777" w:rsidR="00E73898" w:rsidRPr="00E73898" w:rsidRDefault="00E73898" w:rsidP="00E73898">
            <w:pPr>
              <w:jc w:val="center"/>
              <w:rPr>
                <w:rFonts w:ascii="Times New Roman" w:hAnsi="Times New Roman" w:cs="Times New Roman"/>
                <w:b/>
                <w:bCs/>
                <w:sz w:val="24"/>
                <w:szCs w:val="24"/>
                <w:lang w:val="en-IN"/>
              </w:rPr>
            </w:pPr>
            <w:r w:rsidRPr="00E73898">
              <w:rPr>
                <w:rFonts w:ascii="Times New Roman" w:hAnsi="Times New Roman" w:cs="Times New Roman"/>
                <w:b/>
                <w:bCs/>
                <w:sz w:val="24"/>
                <w:szCs w:val="24"/>
                <w:lang w:val="en-IN"/>
              </w:rPr>
              <w:t>Measurement Scale</w:t>
            </w:r>
          </w:p>
        </w:tc>
      </w:tr>
      <w:tr w:rsidR="00E73898" w:rsidRPr="00E73898" w14:paraId="57FE4E8A" w14:textId="77777777" w:rsidTr="00E73898">
        <w:tc>
          <w:tcPr>
            <w:tcW w:w="1403" w:type="dxa"/>
            <w:hideMark/>
          </w:tcPr>
          <w:p w14:paraId="7B4AD025"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Independent Variable</w:t>
            </w:r>
          </w:p>
        </w:tc>
        <w:tc>
          <w:tcPr>
            <w:tcW w:w="2584" w:type="dxa"/>
            <w:hideMark/>
          </w:tcPr>
          <w:p w14:paraId="0020071E"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Corporate Social Responsibility (CSR)</w:t>
            </w:r>
          </w:p>
        </w:tc>
        <w:tc>
          <w:tcPr>
            <w:tcW w:w="0" w:type="auto"/>
            <w:hideMark/>
          </w:tcPr>
          <w:p w14:paraId="67BDBE1F" w14:textId="77777777" w:rsidR="00E73898" w:rsidRPr="00E73898" w:rsidRDefault="00E73898" w:rsidP="00E73898">
            <w:pPr>
              <w:rPr>
                <w:rFonts w:ascii="Times New Roman" w:hAnsi="Times New Roman" w:cs="Times New Roman"/>
                <w:sz w:val="24"/>
                <w:szCs w:val="24"/>
                <w:lang w:val="en-IN"/>
              </w:rPr>
            </w:pPr>
            <w:r w:rsidRPr="00E73898">
              <w:rPr>
                <w:rFonts w:ascii="Times New Roman" w:hAnsi="Times New Roman" w:cs="Times New Roman"/>
                <w:sz w:val="24"/>
                <w:szCs w:val="24"/>
                <w:lang w:val="en-IN"/>
              </w:rPr>
              <w:t>CSR1: Environmental initiativesCSR2: Ethical practicesCSR3: Community development</w:t>
            </w:r>
          </w:p>
        </w:tc>
        <w:tc>
          <w:tcPr>
            <w:tcW w:w="0" w:type="auto"/>
            <w:hideMark/>
          </w:tcPr>
          <w:p w14:paraId="75339C41" w14:textId="77777777" w:rsidR="00E73898" w:rsidRPr="00E73898" w:rsidRDefault="00E73898" w:rsidP="00E73898">
            <w:pPr>
              <w:rPr>
                <w:rFonts w:ascii="Times New Roman" w:hAnsi="Times New Roman" w:cs="Times New Roman"/>
                <w:sz w:val="24"/>
                <w:szCs w:val="24"/>
                <w:lang w:val="en-IN"/>
              </w:rPr>
            </w:pPr>
            <w:r w:rsidRPr="00E73898">
              <w:rPr>
                <w:rFonts w:ascii="Times New Roman" w:hAnsi="Times New Roman" w:cs="Times New Roman"/>
                <w:sz w:val="24"/>
                <w:szCs w:val="24"/>
                <w:lang w:val="en-IN"/>
              </w:rPr>
              <w:t>Likert Scale (1–5)</w:t>
            </w:r>
          </w:p>
        </w:tc>
      </w:tr>
      <w:tr w:rsidR="00E73898" w:rsidRPr="00E73898" w14:paraId="3BE3FCCA" w14:textId="77777777" w:rsidTr="00E73898">
        <w:tc>
          <w:tcPr>
            <w:tcW w:w="1403" w:type="dxa"/>
            <w:hideMark/>
          </w:tcPr>
          <w:p w14:paraId="5217F7BF"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Independent Variable</w:t>
            </w:r>
          </w:p>
        </w:tc>
        <w:tc>
          <w:tcPr>
            <w:tcW w:w="2584" w:type="dxa"/>
            <w:hideMark/>
          </w:tcPr>
          <w:p w14:paraId="7C883EA3"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Corporate Governance</w:t>
            </w:r>
          </w:p>
        </w:tc>
        <w:tc>
          <w:tcPr>
            <w:tcW w:w="0" w:type="auto"/>
            <w:hideMark/>
          </w:tcPr>
          <w:p w14:paraId="11D7F4C5" w14:textId="77777777" w:rsidR="00E73898" w:rsidRPr="00E73898" w:rsidRDefault="00E73898" w:rsidP="00E73898">
            <w:pPr>
              <w:rPr>
                <w:rFonts w:ascii="Times New Roman" w:hAnsi="Times New Roman" w:cs="Times New Roman"/>
                <w:sz w:val="24"/>
                <w:szCs w:val="24"/>
                <w:lang w:val="en-IN"/>
              </w:rPr>
            </w:pPr>
            <w:r w:rsidRPr="00E73898">
              <w:rPr>
                <w:rFonts w:ascii="Times New Roman" w:hAnsi="Times New Roman" w:cs="Times New Roman"/>
                <w:sz w:val="24"/>
                <w:szCs w:val="24"/>
                <w:lang w:val="en-IN"/>
              </w:rPr>
              <w:t>CG1: TransparencyCG2: AccountabilityCG3: Board effectiveness</w:t>
            </w:r>
          </w:p>
        </w:tc>
        <w:tc>
          <w:tcPr>
            <w:tcW w:w="0" w:type="auto"/>
            <w:hideMark/>
          </w:tcPr>
          <w:p w14:paraId="24D5DF4B" w14:textId="77777777" w:rsidR="00E73898" w:rsidRPr="00E73898" w:rsidRDefault="00E73898" w:rsidP="00E73898">
            <w:pPr>
              <w:rPr>
                <w:rFonts w:ascii="Times New Roman" w:hAnsi="Times New Roman" w:cs="Times New Roman"/>
                <w:sz w:val="24"/>
                <w:szCs w:val="24"/>
                <w:lang w:val="en-IN"/>
              </w:rPr>
            </w:pPr>
            <w:r w:rsidRPr="00E73898">
              <w:rPr>
                <w:rFonts w:ascii="Times New Roman" w:hAnsi="Times New Roman" w:cs="Times New Roman"/>
                <w:sz w:val="24"/>
                <w:szCs w:val="24"/>
                <w:lang w:val="en-IN"/>
              </w:rPr>
              <w:t>Likert Scale (1–5)</w:t>
            </w:r>
          </w:p>
        </w:tc>
      </w:tr>
      <w:tr w:rsidR="00E73898" w:rsidRPr="00E73898" w14:paraId="0F7412F5" w14:textId="77777777" w:rsidTr="00E73898">
        <w:tc>
          <w:tcPr>
            <w:tcW w:w="1403" w:type="dxa"/>
            <w:hideMark/>
          </w:tcPr>
          <w:p w14:paraId="3465A23B"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Mediating Variable</w:t>
            </w:r>
          </w:p>
        </w:tc>
        <w:tc>
          <w:tcPr>
            <w:tcW w:w="2584" w:type="dxa"/>
            <w:hideMark/>
          </w:tcPr>
          <w:p w14:paraId="3A0D8AE6"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Brand Image</w:t>
            </w:r>
          </w:p>
        </w:tc>
        <w:tc>
          <w:tcPr>
            <w:tcW w:w="0" w:type="auto"/>
            <w:hideMark/>
          </w:tcPr>
          <w:p w14:paraId="34966EC0" w14:textId="77777777" w:rsidR="00E73898" w:rsidRPr="00E73898" w:rsidRDefault="00E73898" w:rsidP="00E73898">
            <w:pPr>
              <w:rPr>
                <w:rFonts w:ascii="Times New Roman" w:hAnsi="Times New Roman" w:cs="Times New Roman"/>
                <w:sz w:val="24"/>
                <w:szCs w:val="24"/>
                <w:lang w:val="en-IN"/>
              </w:rPr>
            </w:pPr>
            <w:r w:rsidRPr="00E73898">
              <w:rPr>
                <w:rFonts w:ascii="Times New Roman" w:hAnsi="Times New Roman" w:cs="Times New Roman"/>
                <w:sz w:val="24"/>
                <w:szCs w:val="24"/>
                <w:lang w:val="en-IN"/>
              </w:rPr>
              <w:t>BI1: ReputationBI2: TrustworthinessBI3: Public perception</w:t>
            </w:r>
          </w:p>
        </w:tc>
        <w:tc>
          <w:tcPr>
            <w:tcW w:w="0" w:type="auto"/>
            <w:hideMark/>
          </w:tcPr>
          <w:p w14:paraId="0A238363" w14:textId="77777777" w:rsidR="00E73898" w:rsidRPr="00E73898" w:rsidRDefault="00E73898" w:rsidP="00E73898">
            <w:pPr>
              <w:rPr>
                <w:rFonts w:ascii="Times New Roman" w:hAnsi="Times New Roman" w:cs="Times New Roman"/>
                <w:sz w:val="24"/>
                <w:szCs w:val="24"/>
                <w:lang w:val="en-IN"/>
              </w:rPr>
            </w:pPr>
            <w:r w:rsidRPr="00E73898">
              <w:rPr>
                <w:rFonts w:ascii="Times New Roman" w:hAnsi="Times New Roman" w:cs="Times New Roman"/>
                <w:sz w:val="24"/>
                <w:szCs w:val="24"/>
                <w:lang w:val="en-IN"/>
              </w:rPr>
              <w:t>Likert Scale (1–5)</w:t>
            </w:r>
          </w:p>
        </w:tc>
      </w:tr>
      <w:tr w:rsidR="00E73898" w:rsidRPr="00E73898" w14:paraId="37DE585A" w14:textId="77777777" w:rsidTr="00E73898">
        <w:tc>
          <w:tcPr>
            <w:tcW w:w="1403" w:type="dxa"/>
            <w:hideMark/>
          </w:tcPr>
          <w:p w14:paraId="7307F800"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Dependent Variable</w:t>
            </w:r>
          </w:p>
        </w:tc>
        <w:tc>
          <w:tcPr>
            <w:tcW w:w="2584" w:type="dxa"/>
            <w:hideMark/>
          </w:tcPr>
          <w:p w14:paraId="13C1FE48"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Customer Loyalty</w:t>
            </w:r>
          </w:p>
        </w:tc>
        <w:tc>
          <w:tcPr>
            <w:tcW w:w="0" w:type="auto"/>
            <w:hideMark/>
          </w:tcPr>
          <w:p w14:paraId="1444C163" w14:textId="77777777" w:rsidR="00E73898" w:rsidRPr="00E73898" w:rsidRDefault="00E73898" w:rsidP="00E73898">
            <w:pPr>
              <w:rPr>
                <w:rFonts w:ascii="Times New Roman" w:hAnsi="Times New Roman" w:cs="Times New Roman"/>
                <w:sz w:val="24"/>
                <w:szCs w:val="24"/>
                <w:lang w:val="en-IN"/>
              </w:rPr>
            </w:pPr>
            <w:r w:rsidRPr="00E73898">
              <w:rPr>
                <w:rFonts w:ascii="Times New Roman" w:hAnsi="Times New Roman" w:cs="Times New Roman"/>
                <w:sz w:val="24"/>
                <w:szCs w:val="24"/>
                <w:lang w:val="en-IN"/>
              </w:rPr>
              <w:t>CL1: Repeat purchaseCL2: Customer retentionCL3: Recommendation</w:t>
            </w:r>
          </w:p>
        </w:tc>
        <w:tc>
          <w:tcPr>
            <w:tcW w:w="0" w:type="auto"/>
            <w:hideMark/>
          </w:tcPr>
          <w:p w14:paraId="2CBBB368" w14:textId="77777777" w:rsidR="00E73898" w:rsidRPr="00E73898" w:rsidRDefault="00E73898" w:rsidP="00E73898">
            <w:pPr>
              <w:rPr>
                <w:rFonts w:ascii="Times New Roman" w:hAnsi="Times New Roman" w:cs="Times New Roman"/>
                <w:sz w:val="24"/>
                <w:szCs w:val="24"/>
                <w:lang w:val="en-IN"/>
              </w:rPr>
            </w:pPr>
            <w:r w:rsidRPr="00E73898">
              <w:rPr>
                <w:rFonts w:ascii="Times New Roman" w:hAnsi="Times New Roman" w:cs="Times New Roman"/>
                <w:sz w:val="24"/>
                <w:szCs w:val="24"/>
                <w:lang w:val="en-IN"/>
              </w:rPr>
              <w:t>Likert Scale (1–5)</w:t>
            </w:r>
          </w:p>
        </w:tc>
      </w:tr>
      <w:tr w:rsidR="00E73898" w:rsidRPr="00E73898" w14:paraId="331CF401" w14:textId="77777777" w:rsidTr="00E73898">
        <w:tc>
          <w:tcPr>
            <w:tcW w:w="1403" w:type="dxa"/>
            <w:hideMark/>
          </w:tcPr>
          <w:p w14:paraId="67F037AE" w14:textId="6856A9BB"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 xml:space="preserve">Control Variable </w:t>
            </w:r>
          </w:p>
        </w:tc>
        <w:tc>
          <w:tcPr>
            <w:tcW w:w="2584" w:type="dxa"/>
            <w:hideMark/>
          </w:tcPr>
          <w:p w14:paraId="0594F6E4"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Demographics</w:t>
            </w:r>
          </w:p>
        </w:tc>
        <w:tc>
          <w:tcPr>
            <w:tcW w:w="0" w:type="auto"/>
            <w:hideMark/>
          </w:tcPr>
          <w:p w14:paraId="3ED032CA"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Age, Gender, Income, Education</w:t>
            </w:r>
          </w:p>
        </w:tc>
        <w:tc>
          <w:tcPr>
            <w:tcW w:w="0" w:type="auto"/>
            <w:hideMark/>
          </w:tcPr>
          <w:p w14:paraId="54393E6E" w14:textId="77777777" w:rsidR="00E73898" w:rsidRPr="00E73898" w:rsidRDefault="00E73898" w:rsidP="00E73898">
            <w:pPr>
              <w:jc w:val="both"/>
              <w:rPr>
                <w:rFonts w:ascii="Times New Roman" w:hAnsi="Times New Roman" w:cs="Times New Roman"/>
                <w:sz w:val="24"/>
                <w:szCs w:val="24"/>
                <w:lang w:val="en-IN"/>
              </w:rPr>
            </w:pPr>
            <w:r w:rsidRPr="00E73898">
              <w:rPr>
                <w:rFonts w:ascii="Times New Roman" w:hAnsi="Times New Roman" w:cs="Times New Roman"/>
                <w:sz w:val="24"/>
                <w:szCs w:val="24"/>
                <w:lang w:val="en-IN"/>
              </w:rPr>
              <w:t>Nominal / Ordinal</w:t>
            </w:r>
          </w:p>
        </w:tc>
      </w:tr>
    </w:tbl>
    <w:p w14:paraId="76DE32F9" w14:textId="1B063995" w:rsidR="007F5C29" w:rsidRPr="007F5C29" w:rsidRDefault="007F5C29" w:rsidP="007F5C29">
      <w:pPr>
        <w:spacing w:line="360" w:lineRule="auto"/>
        <w:jc w:val="center"/>
        <w:rPr>
          <w:rFonts w:ascii="Times New Roman" w:hAnsi="Times New Roman" w:cs="Times New Roman"/>
          <w:b/>
          <w:bCs/>
          <w:sz w:val="24"/>
          <w:szCs w:val="24"/>
        </w:rPr>
      </w:pPr>
      <w:r w:rsidRPr="007F5C29">
        <w:rPr>
          <w:rFonts w:ascii="Times New Roman" w:hAnsi="Times New Roman" w:cs="Times New Roman"/>
          <w:b/>
          <w:bCs/>
          <w:sz w:val="24"/>
          <w:szCs w:val="24"/>
        </w:rPr>
        <w:t>Table I- Constructs &amp; Variables Classification</w:t>
      </w:r>
    </w:p>
    <w:p w14:paraId="20B22D40" w14:textId="77777777" w:rsidR="001355D7" w:rsidRPr="001F47A2" w:rsidRDefault="001355D7" w:rsidP="001F47A2">
      <w:pPr>
        <w:spacing w:line="360" w:lineRule="auto"/>
        <w:jc w:val="both"/>
        <w:rPr>
          <w:rFonts w:ascii="Times New Roman" w:hAnsi="Times New Roman" w:cs="Times New Roman"/>
          <w:b/>
          <w:bCs/>
          <w:sz w:val="24"/>
          <w:szCs w:val="24"/>
        </w:rPr>
      </w:pPr>
      <w:r w:rsidRPr="001F47A2">
        <w:rPr>
          <w:rFonts w:ascii="Times New Roman" w:hAnsi="Times New Roman" w:cs="Times New Roman"/>
          <w:b/>
          <w:bCs/>
          <w:sz w:val="24"/>
          <w:szCs w:val="24"/>
        </w:rPr>
        <w:t>Reliability and validity analysis</w:t>
      </w:r>
    </w:p>
    <w:p w14:paraId="0E9E68B3" w14:textId="77777777" w:rsidR="001F47A2" w:rsidRPr="001F47A2" w:rsidRDefault="001F47A2" w:rsidP="001F47A2">
      <w:pPr>
        <w:pStyle w:val="Heading2"/>
        <w:jc w:val="both"/>
        <w:rPr>
          <w:rFonts w:ascii="Times New Roman" w:hAnsi="Times New Roman" w:cs="Times New Roman"/>
          <w:b w:val="0"/>
          <w:bCs w:val="0"/>
          <w:color w:val="auto"/>
          <w:sz w:val="24"/>
          <w:szCs w:val="24"/>
          <w:lang w:val="en-IN"/>
        </w:rPr>
      </w:pPr>
      <w:r w:rsidRPr="001F47A2">
        <w:rPr>
          <w:rFonts w:ascii="Times New Roman" w:hAnsi="Times New Roman" w:cs="Times New Roman"/>
          <w:b w:val="0"/>
          <w:bCs w:val="0"/>
          <w:color w:val="auto"/>
          <w:sz w:val="24"/>
          <w:szCs w:val="24"/>
          <w:lang w:val="en-IN"/>
        </w:rPr>
        <w:lastRenderedPageBreak/>
        <w:t>The reliability of the constructs was assessed using Cronbach’s alpha coefficient. All values were greater than 0.70, indicating good internal consistency. Confirmatory Factor Analysis (CFA) was conducted to evaluate the validity of the measurement model using Structural Equation Modeling (SEM).</w:t>
      </w:r>
    </w:p>
    <w:p w14:paraId="6E23626E" w14:textId="77777777" w:rsidR="001F47A2" w:rsidRPr="001F47A2" w:rsidRDefault="001F47A2" w:rsidP="001F47A2">
      <w:pPr>
        <w:pStyle w:val="Heading2"/>
        <w:jc w:val="both"/>
        <w:rPr>
          <w:rFonts w:ascii="Times New Roman" w:hAnsi="Times New Roman" w:cs="Times New Roman"/>
          <w:b w:val="0"/>
          <w:bCs w:val="0"/>
          <w:color w:val="auto"/>
          <w:sz w:val="24"/>
          <w:szCs w:val="24"/>
          <w:lang w:val="en-IN"/>
        </w:rPr>
      </w:pPr>
      <w:r w:rsidRPr="001F47A2">
        <w:rPr>
          <w:rFonts w:ascii="Times New Roman" w:hAnsi="Times New Roman" w:cs="Times New Roman"/>
          <w:b w:val="0"/>
          <w:bCs w:val="0"/>
          <w:color w:val="auto"/>
          <w:sz w:val="24"/>
          <w:szCs w:val="24"/>
          <w:lang w:val="en-IN"/>
        </w:rPr>
        <w:t>The Composite Reliability (CR) values exceeded 0.70, and the Average Variance Extracted (AVE) values were above 0.50, confirming convergent validity. Discriminant validity was assessed by comparing the square root of AVE with inter-construct correlations</w:t>
      </w:r>
    </w:p>
    <w:p w14:paraId="15BCD1D2" w14:textId="77777777" w:rsidR="00775F81" w:rsidRPr="001F47A2" w:rsidRDefault="00775F81" w:rsidP="00775F81">
      <w:pPr>
        <w:pStyle w:val="Heading2"/>
        <w:rPr>
          <w:rFonts w:ascii="Times New Roman" w:hAnsi="Times New Roman" w:cs="Times New Roman"/>
          <w:color w:val="auto"/>
          <w:sz w:val="24"/>
          <w:szCs w:val="24"/>
        </w:rPr>
      </w:pPr>
      <w:r w:rsidRPr="001F47A2">
        <w:rPr>
          <w:rFonts w:ascii="Times New Roman" w:hAnsi="Times New Roman" w:cs="Times New Roman"/>
          <w:color w:val="auto"/>
          <w:sz w:val="24"/>
          <w:szCs w:val="24"/>
        </w:rPr>
        <w:t>Reliability and Validity Analysis</w:t>
      </w:r>
    </w:p>
    <w:tbl>
      <w:tblPr>
        <w:tblStyle w:val="TableGrid"/>
        <w:tblW w:w="0" w:type="auto"/>
        <w:tblLook w:val="04A0" w:firstRow="1" w:lastRow="0" w:firstColumn="1" w:lastColumn="0" w:noHBand="0" w:noVBand="1"/>
      </w:tblPr>
      <w:tblGrid>
        <w:gridCol w:w="2160"/>
        <w:gridCol w:w="2160"/>
        <w:gridCol w:w="2160"/>
        <w:gridCol w:w="2160"/>
      </w:tblGrid>
      <w:tr w:rsidR="00775F81" w14:paraId="0C8A29D8" w14:textId="77777777" w:rsidTr="00956143">
        <w:tc>
          <w:tcPr>
            <w:tcW w:w="2160" w:type="dxa"/>
          </w:tcPr>
          <w:p w14:paraId="6F650048" w14:textId="77777777" w:rsidR="00775F81" w:rsidRPr="00775F81" w:rsidRDefault="00775F81" w:rsidP="00956143">
            <w:pPr>
              <w:rPr>
                <w:b/>
                <w:bCs/>
              </w:rPr>
            </w:pPr>
            <w:r w:rsidRPr="00775F81">
              <w:rPr>
                <w:b/>
                <w:bCs/>
              </w:rPr>
              <w:t>Construct</w:t>
            </w:r>
          </w:p>
        </w:tc>
        <w:tc>
          <w:tcPr>
            <w:tcW w:w="2160" w:type="dxa"/>
          </w:tcPr>
          <w:p w14:paraId="10C8B8D4" w14:textId="77777777" w:rsidR="00775F81" w:rsidRPr="00775F81" w:rsidRDefault="00775F81" w:rsidP="00956143">
            <w:pPr>
              <w:rPr>
                <w:b/>
                <w:bCs/>
              </w:rPr>
            </w:pPr>
            <w:r w:rsidRPr="00775F81">
              <w:rPr>
                <w:b/>
                <w:bCs/>
              </w:rPr>
              <w:t>Cronbach Alpha</w:t>
            </w:r>
          </w:p>
        </w:tc>
        <w:tc>
          <w:tcPr>
            <w:tcW w:w="2160" w:type="dxa"/>
          </w:tcPr>
          <w:p w14:paraId="7F675B6D" w14:textId="77777777" w:rsidR="00775F81" w:rsidRPr="00775F81" w:rsidRDefault="00775F81" w:rsidP="00956143">
            <w:pPr>
              <w:rPr>
                <w:b/>
                <w:bCs/>
              </w:rPr>
            </w:pPr>
            <w:r w:rsidRPr="00775F81">
              <w:rPr>
                <w:b/>
                <w:bCs/>
              </w:rPr>
              <w:t>CR</w:t>
            </w:r>
          </w:p>
        </w:tc>
        <w:tc>
          <w:tcPr>
            <w:tcW w:w="2160" w:type="dxa"/>
          </w:tcPr>
          <w:p w14:paraId="3B2B7090" w14:textId="77777777" w:rsidR="00775F81" w:rsidRPr="00775F81" w:rsidRDefault="00775F81" w:rsidP="00956143">
            <w:pPr>
              <w:rPr>
                <w:b/>
                <w:bCs/>
              </w:rPr>
            </w:pPr>
            <w:r w:rsidRPr="00775F81">
              <w:rPr>
                <w:b/>
                <w:bCs/>
              </w:rPr>
              <w:t>AVE</w:t>
            </w:r>
          </w:p>
        </w:tc>
      </w:tr>
      <w:tr w:rsidR="00775F81" w14:paraId="6B314883" w14:textId="77777777" w:rsidTr="00956143">
        <w:tc>
          <w:tcPr>
            <w:tcW w:w="2160" w:type="dxa"/>
          </w:tcPr>
          <w:p w14:paraId="2B73FBAB" w14:textId="77777777" w:rsidR="00775F81" w:rsidRPr="00775F81" w:rsidRDefault="00775F81" w:rsidP="00956143">
            <w:pPr>
              <w:rPr>
                <w:b/>
                <w:bCs/>
              </w:rPr>
            </w:pPr>
            <w:r w:rsidRPr="00775F81">
              <w:rPr>
                <w:b/>
                <w:bCs/>
              </w:rPr>
              <w:t>CSR</w:t>
            </w:r>
          </w:p>
        </w:tc>
        <w:tc>
          <w:tcPr>
            <w:tcW w:w="2160" w:type="dxa"/>
          </w:tcPr>
          <w:p w14:paraId="1B8A8B71" w14:textId="77777777" w:rsidR="00775F81" w:rsidRDefault="00775F81" w:rsidP="00956143">
            <w:r>
              <w:t>0.85</w:t>
            </w:r>
          </w:p>
        </w:tc>
        <w:tc>
          <w:tcPr>
            <w:tcW w:w="2160" w:type="dxa"/>
          </w:tcPr>
          <w:p w14:paraId="2D1429FF" w14:textId="77777777" w:rsidR="00775F81" w:rsidRDefault="00775F81" w:rsidP="00956143">
            <w:r>
              <w:t>0.88</w:t>
            </w:r>
          </w:p>
        </w:tc>
        <w:tc>
          <w:tcPr>
            <w:tcW w:w="2160" w:type="dxa"/>
          </w:tcPr>
          <w:p w14:paraId="799BDB19" w14:textId="77777777" w:rsidR="00775F81" w:rsidRDefault="00775F81" w:rsidP="00956143">
            <w:r>
              <w:t>0.65</w:t>
            </w:r>
          </w:p>
        </w:tc>
      </w:tr>
      <w:tr w:rsidR="00775F81" w14:paraId="57E8E9BB" w14:textId="77777777" w:rsidTr="00956143">
        <w:tc>
          <w:tcPr>
            <w:tcW w:w="2160" w:type="dxa"/>
          </w:tcPr>
          <w:p w14:paraId="5CB7C24C" w14:textId="77777777" w:rsidR="00775F81" w:rsidRPr="00775F81" w:rsidRDefault="00775F81" w:rsidP="00956143">
            <w:pPr>
              <w:rPr>
                <w:b/>
                <w:bCs/>
              </w:rPr>
            </w:pPr>
            <w:r w:rsidRPr="00775F81">
              <w:rPr>
                <w:b/>
                <w:bCs/>
              </w:rPr>
              <w:t>Governance</w:t>
            </w:r>
          </w:p>
        </w:tc>
        <w:tc>
          <w:tcPr>
            <w:tcW w:w="2160" w:type="dxa"/>
          </w:tcPr>
          <w:p w14:paraId="10A5CF6E" w14:textId="77777777" w:rsidR="00775F81" w:rsidRDefault="00775F81" w:rsidP="00956143">
            <w:r>
              <w:t>0.82</w:t>
            </w:r>
          </w:p>
        </w:tc>
        <w:tc>
          <w:tcPr>
            <w:tcW w:w="2160" w:type="dxa"/>
          </w:tcPr>
          <w:p w14:paraId="44135F11" w14:textId="77777777" w:rsidR="00775F81" w:rsidRDefault="00775F81" w:rsidP="00956143">
            <w:r>
              <w:t>0.86</w:t>
            </w:r>
          </w:p>
        </w:tc>
        <w:tc>
          <w:tcPr>
            <w:tcW w:w="2160" w:type="dxa"/>
          </w:tcPr>
          <w:p w14:paraId="3632DA2E" w14:textId="77777777" w:rsidR="00775F81" w:rsidRDefault="00775F81" w:rsidP="00956143">
            <w:r>
              <w:t>0.61</w:t>
            </w:r>
          </w:p>
        </w:tc>
      </w:tr>
      <w:tr w:rsidR="00775F81" w14:paraId="61266B0D" w14:textId="77777777" w:rsidTr="00956143">
        <w:tc>
          <w:tcPr>
            <w:tcW w:w="2160" w:type="dxa"/>
          </w:tcPr>
          <w:p w14:paraId="1D5B8EAA" w14:textId="77777777" w:rsidR="00775F81" w:rsidRPr="00775F81" w:rsidRDefault="00775F81" w:rsidP="00956143">
            <w:pPr>
              <w:rPr>
                <w:b/>
                <w:bCs/>
              </w:rPr>
            </w:pPr>
            <w:r w:rsidRPr="00775F81">
              <w:rPr>
                <w:b/>
                <w:bCs/>
              </w:rPr>
              <w:t>Brand Image</w:t>
            </w:r>
          </w:p>
        </w:tc>
        <w:tc>
          <w:tcPr>
            <w:tcW w:w="2160" w:type="dxa"/>
          </w:tcPr>
          <w:p w14:paraId="5C7CE087" w14:textId="77777777" w:rsidR="00775F81" w:rsidRDefault="00775F81" w:rsidP="00956143">
            <w:r>
              <w:t>0.87</w:t>
            </w:r>
          </w:p>
        </w:tc>
        <w:tc>
          <w:tcPr>
            <w:tcW w:w="2160" w:type="dxa"/>
          </w:tcPr>
          <w:p w14:paraId="3DBE93E7" w14:textId="77777777" w:rsidR="00775F81" w:rsidRDefault="00775F81" w:rsidP="00956143">
            <w:r>
              <w:t>0.90</w:t>
            </w:r>
          </w:p>
        </w:tc>
        <w:tc>
          <w:tcPr>
            <w:tcW w:w="2160" w:type="dxa"/>
          </w:tcPr>
          <w:p w14:paraId="533CDE3B" w14:textId="77777777" w:rsidR="00775F81" w:rsidRDefault="00775F81" w:rsidP="00956143">
            <w:r>
              <w:t>0.69</w:t>
            </w:r>
          </w:p>
        </w:tc>
      </w:tr>
      <w:tr w:rsidR="00775F81" w14:paraId="36FB281C" w14:textId="77777777" w:rsidTr="00956143">
        <w:tc>
          <w:tcPr>
            <w:tcW w:w="2160" w:type="dxa"/>
          </w:tcPr>
          <w:p w14:paraId="19E5C7F6" w14:textId="77777777" w:rsidR="00775F81" w:rsidRPr="00775F81" w:rsidRDefault="00775F81" w:rsidP="00956143">
            <w:pPr>
              <w:rPr>
                <w:b/>
                <w:bCs/>
              </w:rPr>
            </w:pPr>
            <w:r w:rsidRPr="00775F81">
              <w:rPr>
                <w:b/>
                <w:bCs/>
              </w:rPr>
              <w:t>Loyalty</w:t>
            </w:r>
          </w:p>
        </w:tc>
        <w:tc>
          <w:tcPr>
            <w:tcW w:w="2160" w:type="dxa"/>
          </w:tcPr>
          <w:p w14:paraId="1F34F3F9" w14:textId="77777777" w:rsidR="00775F81" w:rsidRDefault="00775F81" w:rsidP="00956143">
            <w:r>
              <w:t>0.84</w:t>
            </w:r>
          </w:p>
        </w:tc>
        <w:tc>
          <w:tcPr>
            <w:tcW w:w="2160" w:type="dxa"/>
          </w:tcPr>
          <w:p w14:paraId="4D80557F" w14:textId="77777777" w:rsidR="00775F81" w:rsidRDefault="00775F81" w:rsidP="00956143">
            <w:r>
              <w:t>0.88</w:t>
            </w:r>
          </w:p>
        </w:tc>
        <w:tc>
          <w:tcPr>
            <w:tcW w:w="2160" w:type="dxa"/>
          </w:tcPr>
          <w:p w14:paraId="4F5CD243" w14:textId="77777777" w:rsidR="00775F81" w:rsidRDefault="00775F81" w:rsidP="00956143">
            <w:r>
              <w:t>0.64</w:t>
            </w:r>
          </w:p>
        </w:tc>
      </w:tr>
    </w:tbl>
    <w:p w14:paraId="2BBA0A5F" w14:textId="001900E8" w:rsidR="00775F81" w:rsidRDefault="00775F81" w:rsidP="007F5C29">
      <w:pPr>
        <w:jc w:val="center"/>
        <w:rPr>
          <w:rFonts w:ascii="Times New Roman" w:hAnsi="Times New Roman" w:cs="Times New Roman"/>
          <w:b/>
          <w:bCs/>
        </w:rPr>
      </w:pPr>
      <w:r w:rsidRPr="001F47A2">
        <w:rPr>
          <w:rFonts w:ascii="Times New Roman" w:hAnsi="Times New Roman" w:cs="Times New Roman"/>
          <w:b/>
          <w:bCs/>
        </w:rPr>
        <w:t xml:space="preserve">Table </w:t>
      </w:r>
      <w:r w:rsidR="007F5C29">
        <w:rPr>
          <w:rFonts w:ascii="Times New Roman" w:hAnsi="Times New Roman" w:cs="Times New Roman"/>
          <w:b/>
          <w:bCs/>
        </w:rPr>
        <w:t>II-</w:t>
      </w:r>
      <w:r w:rsidRPr="001F47A2">
        <w:rPr>
          <w:rFonts w:ascii="Times New Roman" w:hAnsi="Times New Roman" w:cs="Times New Roman"/>
          <w:b/>
          <w:bCs/>
        </w:rPr>
        <w:t xml:space="preserve"> Reliability &amp; Validity</w:t>
      </w:r>
    </w:p>
    <w:p w14:paraId="0A04F482" w14:textId="7B93E90D" w:rsidR="007F5C29" w:rsidRDefault="007F5C29" w:rsidP="007F5C29">
      <w:pPr>
        <w:rPr>
          <w:rFonts w:ascii="Times New Roman" w:hAnsi="Times New Roman" w:cs="Times New Roman"/>
          <w:sz w:val="24"/>
          <w:szCs w:val="24"/>
        </w:rPr>
      </w:pPr>
      <w:r>
        <w:rPr>
          <w:rFonts w:ascii="Times New Roman" w:hAnsi="Times New Roman" w:cs="Times New Roman"/>
          <w:b/>
          <w:bCs/>
        </w:rPr>
        <w:t>Interpretation</w:t>
      </w:r>
      <w:r w:rsidRPr="007F5C29">
        <w:rPr>
          <w:rFonts w:ascii="Times New Roman" w:hAnsi="Times New Roman" w:cs="Times New Roman"/>
          <w:b/>
          <w:bCs/>
        </w:rPr>
        <w:t>:</w:t>
      </w:r>
      <w:r>
        <w:rPr>
          <w:rFonts w:ascii="Times New Roman" w:hAnsi="Times New Roman" w:cs="Times New Roman"/>
          <w:b/>
          <w:bCs/>
        </w:rPr>
        <w:t xml:space="preserve"> </w:t>
      </w:r>
      <w:r w:rsidRPr="007F5C29">
        <w:rPr>
          <w:rFonts w:ascii="Times New Roman" w:hAnsi="Times New Roman" w:cs="Times New Roman"/>
          <w:sz w:val="24"/>
          <w:szCs w:val="24"/>
        </w:rPr>
        <w:t>The Cronbach's alpha and the Composite Reliability values for all measures are above the 0.70. Also, the convergent validity is good with AVE values being higher than 0.50.</w:t>
      </w:r>
    </w:p>
    <w:p w14:paraId="38D96F09" w14:textId="0EA9E713" w:rsidR="007F5C29" w:rsidRPr="007F5C29" w:rsidRDefault="007F5C29" w:rsidP="007F5C29">
      <w:pPr>
        <w:rPr>
          <w:rFonts w:ascii="Times New Roman" w:hAnsi="Times New Roman" w:cs="Times New Roman"/>
          <w:b/>
          <w:bCs/>
          <w:sz w:val="24"/>
          <w:szCs w:val="24"/>
        </w:rPr>
      </w:pPr>
      <w:r w:rsidRPr="007F5C29">
        <w:rPr>
          <w:rFonts w:ascii="Times New Roman" w:hAnsi="Times New Roman" w:cs="Times New Roman"/>
          <w:b/>
          <w:bCs/>
          <w:sz w:val="24"/>
          <w:szCs w:val="24"/>
        </w:rPr>
        <w:t xml:space="preserve">Discriminant Validity </w:t>
      </w:r>
    </w:p>
    <w:tbl>
      <w:tblPr>
        <w:tblStyle w:val="TableGrid"/>
        <w:tblW w:w="8891" w:type="dxa"/>
        <w:tblLook w:val="04A0" w:firstRow="1" w:lastRow="0" w:firstColumn="1" w:lastColumn="0" w:noHBand="0" w:noVBand="1"/>
      </w:tblPr>
      <w:tblGrid>
        <w:gridCol w:w="2102"/>
        <w:gridCol w:w="1001"/>
        <w:gridCol w:w="2092"/>
        <w:gridCol w:w="2255"/>
        <w:gridCol w:w="1441"/>
      </w:tblGrid>
      <w:tr w:rsidR="007F5C29" w:rsidRPr="007F5C29" w14:paraId="4113A1E4" w14:textId="77777777" w:rsidTr="007F5C29">
        <w:trPr>
          <w:trHeight w:val="507"/>
        </w:trPr>
        <w:tc>
          <w:tcPr>
            <w:tcW w:w="0" w:type="auto"/>
            <w:hideMark/>
          </w:tcPr>
          <w:p w14:paraId="78E94343" w14:textId="77777777" w:rsidR="007F5C29" w:rsidRPr="007F5C29" w:rsidRDefault="007F5C29" w:rsidP="007F5C29">
            <w:pPr>
              <w:spacing w:after="200" w:line="276" w:lineRule="auto"/>
              <w:rPr>
                <w:rFonts w:ascii="Times New Roman" w:hAnsi="Times New Roman" w:cs="Times New Roman"/>
                <w:b/>
                <w:bCs/>
                <w:sz w:val="24"/>
                <w:szCs w:val="24"/>
                <w:lang w:val="en-IN"/>
              </w:rPr>
            </w:pPr>
            <w:r w:rsidRPr="007F5C29">
              <w:rPr>
                <w:rFonts w:ascii="Times New Roman" w:hAnsi="Times New Roman" w:cs="Times New Roman"/>
                <w:b/>
                <w:bCs/>
                <w:sz w:val="24"/>
                <w:szCs w:val="24"/>
                <w:lang w:val="en-IN"/>
              </w:rPr>
              <w:t>Construct</w:t>
            </w:r>
          </w:p>
        </w:tc>
        <w:tc>
          <w:tcPr>
            <w:tcW w:w="0" w:type="auto"/>
            <w:hideMark/>
          </w:tcPr>
          <w:p w14:paraId="27C66BEC" w14:textId="77777777" w:rsidR="007F5C29" w:rsidRPr="007F5C29" w:rsidRDefault="007F5C29" w:rsidP="007F5C29">
            <w:pPr>
              <w:spacing w:after="200" w:line="276" w:lineRule="auto"/>
              <w:rPr>
                <w:rFonts w:ascii="Times New Roman" w:hAnsi="Times New Roman" w:cs="Times New Roman"/>
                <w:b/>
                <w:bCs/>
                <w:sz w:val="24"/>
                <w:szCs w:val="24"/>
                <w:lang w:val="en-IN"/>
              </w:rPr>
            </w:pPr>
            <w:r w:rsidRPr="007F5C29">
              <w:rPr>
                <w:rFonts w:ascii="Times New Roman" w:hAnsi="Times New Roman" w:cs="Times New Roman"/>
                <w:b/>
                <w:bCs/>
                <w:sz w:val="24"/>
                <w:szCs w:val="24"/>
                <w:lang w:val="en-IN"/>
              </w:rPr>
              <w:t>CSR</w:t>
            </w:r>
          </w:p>
        </w:tc>
        <w:tc>
          <w:tcPr>
            <w:tcW w:w="0" w:type="auto"/>
            <w:hideMark/>
          </w:tcPr>
          <w:p w14:paraId="0227014C" w14:textId="77777777" w:rsidR="007F5C29" w:rsidRPr="007F5C29" w:rsidRDefault="007F5C29" w:rsidP="007F5C29">
            <w:pPr>
              <w:spacing w:after="200" w:line="276" w:lineRule="auto"/>
              <w:rPr>
                <w:rFonts w:ascii="Times New Roman" w:hAnsi="Times New Roman" w:cs="Times New Roman"/>
                <w:b/>
                <w:bCs/>
                <w:sz w:val="24"/>
                <w:szCs w:val="24"/>
                <w:lang w:val="en-IN"/>
              </w:rPr>
            </w:pPr>
            <w:r w:rsidRPr="007F5C29">
              <w:rPr>
                <w:rFonts w:ascii="Times New Roman" w:hAnsi="Times New Roman" w:cs="Times New Roman"/>
                <w:b/>
                <w:bCs/>
                <w:sz w:val="24"/>
                <w:szCs w:val="24"/>
                <w:lang w:val="en-IN"/>
              </w:rPr>
              <w:t>Governance</w:t>
            </w:r>
          </w:p>
        </w:tc>
        <w:tc>
          <w:tcPr>
            <w:tcW w:w="0" w:type="auto"/>
            <w:hideMark/>
          </w:tcPr>
          <w:p w14:paraId="2D697BCE" w14:textId="77777777" w:rsidR="007F5C29" w:rsidRPr="007F5C29" w:rsidRDefault="007F5C29" w:rsidP="007F5C29">
            <w:pPr>
              <w:spacing w:after="200" w:line="276" w:lineRule="auto"/>
              <w:rPr>
                <w:rFonts w:ascii="Times New Roman" w:hAnsi="Times New Roman" w:cs="Times New Roman"/>
                <w:b/>
                <w:bCs/>
                <w:sz w:val="24"/>
                <w:szCs w:val="24"/>
                <w:lang w:val="en-IN"/>
              </w:rPr>
            </w:pPr>
            <w:r w:rsidRPr="007F5C29">
              <w:rPr>
                <w:rFonts w:ascii="Times New Roman" w:hAnsi="Times New Roman" w:cs="Times New Roman"/>
                <w:b/>
                <w:bCs/>
                <w:sz w:val="24"/>
                <w:szCs w:val="24"/>
                <w:lang w:val="en-IN"/>
              </w:rPr>
              <w:t>Brand Image</w:t>
            </w:r>
          </w:p>
        </w:tc>
        <w:tc>
          <w:tcPr>
            <w:tcW w:w="0" w:type="auto"/>
            <w:hideMark/>
          </w:tcPr>
          <w:p w14:paraId="42BF5459" w14:textId="77777777" w:rsidR="007F5C29" w:rsidRPr="007F5C29" w:rsidRDefault="007F5C29" w:rsidP="007F5C29">
            <w:pPr>
              <w:spacing w:after="200" w:line="276" w:lineRule="auto"/>
              <w:rPr>
                <w:rFonts w:ascii="Times New Roman" w:hAnsi="Times New Roman" w:cs="Times New Roman"/>
                <w:b/>
                <w:bCs/>
                <w:sz w:val="24"/>
                <w:szCs w:val="24"/>
                <w:lang w:val="en-IN"/>
              </w:rPr>
            </w:pPr>
            <w:r w:rsidRPr="007F5C29">
              <w:rPr>
                <w:rFonts w:ascii="Times New Roman" w:hAnsi="Times New Roman" w:cs="Times New Roman"/>
                <w:b/>
                <w:bCs/>
                <w:sz w:val="24"/>
                <w:szCs w:val="24"/>
                <w:lang w:val="en-IN"/>
              </w:rPr>
              <w:t>Loyalty</w:t>
            </w:r>
          </w:p>
        </w:tc>
      </w:tr>
      <w:tr w:rsidR="007F5C29" w:rsidRPr="007F5C29" w14:paraId="643B1AB9" w14:textId="77777777" w:rsidTr="007F5C29">
        <w:trPr>
          <w:trHeight w:val="507"/>
        </w:trPr>
        <w:tc>
          <w:tcPr>
            <w:tcW w:w="0" w:type="auto"/>
            <w:hideMark/>
          </w:tcPr>
          <w:p w14:paraId="29366D37"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CSR</w:t>
            </w:r>
          </w:p>
        </w:tc>
        <w:tc>
          <w:tcPr>
            <w:tcW w:w="0" w:type="auto"/>
            <w:hideMark/>
          </w:tcPr>
          <w:p w14:paraId="2808921A"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b/>
                <w:bCs/>
                <w:sz w:val="24"/>
                <w:szCs w:val="24"/>
                <w:lang w:val="en-IN"/>
              </w:rPr>
              <w:t>0.81</w:t>
            </w:r>
          </w:p>
        </w:tc>
        <w:tc>
          <w:tcPr>
            <w:tcW w:w="0" w:type="auto"/>
            <w:hideMark/>
          </w:tcPr>
          <w:p w14:paraId="6BD9AEFB" w14:textId="77777777" w:rsidR="007F5C29" w:rsidRPr="007F5C29" w:rsidRDefault="007F5C29" w:rsidP="007F5C29">
            <w:pPr>
              <w:spacing w:after="200" w:line="276" w:lineRule="auto"/>
              <w:rPr>
                <w:rFonts w:ascii="Times New Roman" w:hAnsi="Times New Roman" w:cs="Times New Roman"/>
                <w:sz w:val="24"/>
                <w:szCs w:val="24"/>
                <w:lang w:val="en-IN"/>
              </w:rPr>
            </w:pPr>
          </w:p>
        </w:tc>
        <w:tc>
          <w:tcPr>
            <w:tcW w:w="0" w:type="auto"/>
            <w:hideMark/>
          </w:tcPr>
          <w:p w14:paraId="191AD496" w14:textId="77777777" w:rsidR="007F5C29" w:rsidRPr="007F5C29" w:rsidRDefault="007F5C29" w:rsidP="007F5C29">
            <w:pPr>
              <w:spacing w:after="200" w:line="276" w:lineRule="auto"/>
              <w:rPr>
                <w:rFonts w:ascii="Times New Roman" w:hAnsi="Times New Roman" w:cs="Times New Roman"/>
                <w:sz w:val="24"/>
                <w:szCs w:val="24"/>
                <w:lang w:val="en-IN"/>
              </w:rPr>
            </w:pPr>
          </w:p>
        </w:tc>
        <w:tc>
          <w:tcPr>
            <w:tcW w:w="0" w:type="auto"/>
            <w:hideMark/>
          </w:tcPr>
          <w:p w14:paraId="355A4CA5" w14:textId="77777777" w:rsidR="007F5C29" w:rsidRPr="007F5C29" w:rsidRDefault="007F5C29" w:rsidP="007F5C29">
            <w:pPr>
              <w:spacing w:after="200" w:line="276" w:lineRule="auto"/>
              <w:rPr>
                <w:rFonts w:ascii="Times New Roman" w:hAnsi="Times New Roman" w:cs="Times New Roman"/>
                <w:sz w:val="24"/>
                <w:szCs w:val="24"/>
                <w:lang w:val="en-IN"/>
              </w:rPr>
            </w:pPr>
          </w:p>
        </w:tc>
      </w:tr>
      <w:tr w:rsidR="007F5C29" w:rsidRPr="007F5C29" w14:paraId="258E4760" w14:textId="77777777" w:rsidTr="007F5C29">
        <w:trPr>
          <w:trHeight w:val="507"/>
        </w:trPr>
        <w:tc>
          <w:tcPr>
            <w:tcW w:w="0" w:type="auto"/>
            <w:hideMark/>
          </w:tcPr>
          <w:p w14:paraId="4A7D21AB"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Governance</w:t>
            </w:r>
          </w:p>
        </w:tc>
        <w:tc>
          <w:tcPr>
            <w:tcW w:w="0" w:type="auto"/>
            <w:hideMark/>
          </w:tcPr>
          <w:p w14:paraId="3D817DA1"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0.52</w:t>
            </w:r>
          </w:p>
        </w:tc>
        <w:tc>
          <w:tcPr>
            <w:tcW w:w="0" w:type="auto"/>
            <w:hideMark/>
          </w:tcPr>
          <w:p w14:paraId="2BBD6188"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b/>
                <w:bCs/>
                <w:sz w:val="24"/>
                <w:szCs w:val="24"/>
                <w:lang w:val="en-IN"/>
              </w:rPr>
              <w:t>0.78</w:t>
            </w:r>
          </w:p>
        </w:tc>
        <w:tc>
          <w:tcPr>
            <w:tcW w:w="0" w:type="auto"/>
            <w:hideMark/>
          </w:tcPr>
          <w:p w14:paraId="1B53624B" w14:textId="77777777" w:rsidR="007F5C29" w:rsidRPr="007F5C29" w:rsidRDefault="007F5C29" w:rsidP="007F5C29">
            <w:pPr>
              <w:spacing w:after="200" w:line="276" w:lineRule="auto"/>
              <w:rPr>
                <w:rFonts w:ascii="Times New Roman" w:hAnsi="Times New Roman" w:cs="Times New Roman"/>
                <w:sz w:val="24"/>
                <w:szCs w:val="24"/>
                <w:lang w:val="en-IN"/>
              </w:rPr>
            </w:pPr>
          </w:p>
        </w:tc>
        <w:tc>
          <w:tcPr>
            <w:tcW w:w="0" w:type="auto"/>
            <w:hideMark/>
          </w:tcPr>
          <w:p w14:paraId="68EEA073" w14:textId="77777777" w:rsidR="007F5C29" w:rsidRPr="007F5C29" w:rsidRDefault="007F5C29" w:rsidP="007F5C29">
            <w:pPr>
              <w:spacing w:after="200" w:line="276" w:lineRule="auto"/>
              <w:rPr>
                <w:rFonts w:ascii="Times New Roman" w:hAnsi="Times New Roman" w:cs="Times New Roman"/>
                <w:sz w:val="24"/>
                <w:szCs w:val="24"/>
                <w:lang w:val="en-IN"/>
              </w:rPr>
            </w:pPr>
          </w:p>
        </w:tc>
      </w:tr>
      <w:tr w:rsidR="007F5C29" w:rsidRPr="007F5C29" w14:paraId="05D8F32D" w14:textId="77777777" w:rsidTr="007F5C29">
        <w:trPr>
          <w:trHeight w:val="522"/>
        </w:trPr>
        <w:tc>
          <w:tcPr>
            <w:tcW w:w="0" w:type="auto"/>
            <w:hideMark/>
          </w:tcPr>
          <w:p w14:paraId="5E55016B"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Brand Image</w:t>
            </w:r>
          </w:p>
        </w:tc>
        <w:tc>
          <w:tcPr>
            <w:tcW w:w="0" w:type="auto"/>
            <w:hideMark/>
          </w:tcPr>
          <w:p w14:paraId="7E245403"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0.60</w:t>
            </w:r>
          </w:p>
        </w:tc>
        <w:tc>
          <w:tcPr>
            <w:tcW w:w="0" w:type="auto"/>
            <w:hideMark/>
          </w:tcPr>
          <w:p w14:paraId="52B7F7BE"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0.55</w:t>
            </w:r>
          </w:p>
        </w:tc>
        <w:tc>
          <w:tcPr>
            <w:tcW w:w="0" w:type="auto"/>
            <w:hideMark/>
          </w:tcPr>
          <w:p w14:paraId="76A80937"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b/>
                <w:bCs/>
                <w:sz w:val="24"/>
                <w:szCs w:val="24"/>
                <w:lang w:val="en-IN"/>
              </w:rPr>
              <w:t>0.83</w:t>
            </w:r>
          </w:p>
        </w:tc>
        <w:tc>
          <w:tcPr>
            <w:tcW w:w="0" w:type="auto"/>
            <w:hideMark/>
          </w:tcPr>
          <w:p w14:paraId="277670FA" w14:textId="77777777" w:rsidR="007F5C29" w:rsidRPr="007F5C29" w:rsidRDefault="007F5C29" w:rsidP="007F5C29">
            <w:pPr>
              <w:spacing w:after="200" w:line="276" w:lineRule="auto"/>
              <w:rPr>
                <w:rFonts w:ascii="Times New Roman" w:hAnsi="Times New Roman" w:cs="Times New Roman"/>
                <w:sz w:val="24"/>
                <w:szCs w:val="24"/>
                <w:lang w:val="en-IN"/>
              </w:rPr>
            </w:pPr>
          </w:p>
        </w:tc>
      </w:tr>
      <w:tr w:rsidR="007F5C29" w:rsidRPr="007F5C29" w14:paraId="0B0F9D27" w14:textId="77777777" w:rsidTr="007F5C29">
        <w:trPr>
          <w:trHeight w:val="492"/>
        </w:trPr>
        <w:tc>
          <w:tcPr>
            <w:tcW w:w="0" w:type="auto"/>
            <w:hideMark/>
          </w:tcPr>
          <w:p w14:paraId="6EF5BC58"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Loyalty</w:t>
            </w:r>
          </w:p>
        </w:tc>
        <w:tc>
          <w:tcPr>
            <w:tcW w:w="0" w:type="auto"/>
            <w:hideMark/>
          </w:tcPr>
          <w:p w14:paraId="6447623E"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0.58</w:t>
            </w:r>
          </w:p>
        </w:tc>
        <w:tc>
          <w:tcPr>
            <w:tcW w:w="0" w:type="auto"/>
            <w:hideMark/>
          </w:tcPr>
          <w:p w14:paraId="2190E27B"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0.50</w:t>
            </w:r>
          </w:p>
        </w:tc>
        <w:tc>
          <w:tcPr>
            <w:tcW w:w="0" w:type="auto"/>
            <w:hideMark/>
          </w:tcPr>
          <w:p w14:paraId="4E4D491F"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sz w:val="24"/>
                <w:szCs w:val="24"/>
                <w:lang w:val="en-IN"/>
              </w:rPr>
              <w:t>0.65</w:t>
            </w:r>
          </w:p>
        </w:tc>
        <w:tc>
          <w:tcPr>
            <w:tcW w:w="0" w:type="auto"/>
            <w:hideMark/>
          </w:tcPr>
          <w:p w14:paraId="05FB0C32" w14:textId="77777777" w:rsidR="007F5C29" w:rsidRPr="007F5C29" w:rsidRDefault="007F5C29" w:rsidP="007F5C29">
            <w:pPr>
              <w:spacing w:after="200" w:line="276" w:lineRule="auto"/>
              <w:rPr>
                <w:rFonts w:ascii="Times New Roman" w:hAnsi="Times New Roman" w:cs="Times New Roman"/>
                <w:sz w:val="24"/>
                <w:szCs w:val="24"/>
                <w:lang w:val="en-IN"/>
              </w:rPr>
            </w:pPr>
            <w:r w:rsidRPr="007F5C29">
              <w:rPr>
                <w:rFonts w:ascii="Times New Roman" w:hAnsi="Times New Roman" w:cs="Times New Roman"/>
                <w:b/>
                <w:bCs/>
                <w:sz w:val="24"/>
                <w:szCs w:val="24"/>
                <w:lang w:val="en-IN"/>
              </w:rPr>
              <w:t>0.80</w:t>
            </w:r>
          </w:p>
        </w:tc>
      </w:tr>
    </w:tbl>
    <w:p w14:paraId="452484F7" w14:textId="133CE677" w:rsidR="007F5C29" w:rsidRDefault="007F5C29" w:rsidP="007F5C29">
      <w:pPr>
        <w:jc w:val="center"/>
        <w:rPr>
          <w:rFonts w:ascii="Times New Roman" w:hAnsi="Times New Roman" w:cs="Times New Roman"/>
          <w:b/>
          <w:bCs/>
        </w:rPr>
      </w:pPr>
      <w:r>
        <w:rPr>
          <w:rFonts w:ascii="Times New Roman" w:hAnsi="Times New Roman" w:cs="Times New Roman"/>
          <w:b/>
          <w:bCs/>
          <w:sz w:val="24"/>
          <w:szCs w:val="24"/>
        </w:rPr>
        <w:t xml:space="preserve">Table III- </w:t>
      </w:r>
      <w:r w:rsidRPr="007F5C29">
        <w:rPr>
          <w:rFonts w:ascii="Times New Roman" w:hAnsi="Times New Roman" w:cs="Times New Roman"/>
          <w:b/>
          <w:bCs/>
          <w:sz w:val="24"/>
          <w:szCs w:val="24"/>
        </w:rPr>
        <w:t>Discriminant Validity (Fornell-Larcker Criterion)</w:t>
      </w:r>
    </w:p>
    <w:p w14:paraId="4F3B2EFC" w14:textId="2DE684D7" w:rsidR="007F5C29" w:rsidRDefault="007F5C29" w:rsidP="007F5C29">
      <w:pPr>
        <w:jc w:val="both"/>
        <w:rPr>
          <w:rFonts w:ascii="Times New Roman" w:hAnsi="Times New Roman" w:cs="Times New Roman"/>
          <w:sz w:val="24"/>
          <w:szCs w:val="24"/>
        </w:rPr>
      </w:pPr>
      <w:r w:rsidRPr="007F5C29">
        <w:rPr>
          <w:rFonts w:ascii="Times New Roman" w:hAnsi="Times New Roman" w:cs="Times New Roman"/>
          <w:b/>
          <w:bCs/>
        </w:rPr>
        <w:t>Interpretation:</w:t>
      </w:r>
      <w:r w:rsidRPr="007F5C29">
        <w:rPr>
          <w:rFonts w:ascii="Times New Roman" w:hAnsi="Times New Roman" w:cs="Times New Roman"/>
          <w:b/>
          <w:bCs/>
        </w:rPr>
        <w:br/>
      </w:r>
      <w:r w:rsidRPr="007F5C29">
        <w:rPr>
          <w:rFonts w:ascii="Times New Roman" w:hAnsi="Times New Roman" w:cs="Times New Roman"/>
          <w:sz w:val="24"/>
          <w:szCs w:val="24"/>
        </w:rPr>
        <w:t>The square root of AVE (diagonal values) is higher than the inter-construct correlations, confirming discriminant validity among the constructs.</w:t>
      </w:r>
    </w:p>
    <w:p w14:paraId="345B36C0" w14:textId="4C270225" w:rsidR="001355D7" w:rsidRPr="001355D7" w:rsidRDefault="001355D7" w:rsidP="009707C0">
      <w:pPr>
        <w:spacing w:line="360" w:lineRule="auto"/>
        <w:jc w:val="both"/>
        <w:rPr>
          <w:rFonts w:ascii="Times New Roman" w:hAnsi="Times New Roman" w:cs="Times New Roman"/>
          <w:sz w:val="24"/>
          <w:szCs w:val="24"/>
        </w:rPr>
      </w:pPr>
      <w:r w:rsidRPr="001355D7">
        <w:rPr>
          <w:rFonts w:ascii="Times New Roman" w:hAnsi="Times New Roman" w:cs="Times New Roman"/>
          <w:b/>
          <w:bCs/>
          <w:sz w:val="24"/>
          <w:szCs w:val="24"/>
        </w:rPr>
        <w:t>Model Fit Indices</w:t>
      </w:r>
    </w:p>
    <w:p w14:paraId="61B9AE26" w14:textId="0C86A2F7" w:rsidR="001355D7" w:rsidRPr="001355D7" w:rsidRDefault="001355D7" w:rsidP="00127FC0">
      <w:pPr>
        <w:spacing w:after="0" w:line="360" w:lineRule="auto"/>
        <w:jc w:val="both"/>
        <w:rPr>
          <w:rFonts w:ascii="Times New Roman" w:hAnsi="Times New Roman" w:cs="Times New Roman"/>
          <w:sz w:val="24"/>
          <w:szCs w:val="24"/>
        </w:rPr>
      </w:pPr>
      <w:r w:rsidRPr="001355D7">
        <w:rPr>
          <w:rFonts w:ascii="Times New Roman" w:hAnsi="Times New Roman" w:cs="Times New Roman"/>
          <w:sz w:val="24"/>
          <w:szCs w:val="24"/>
        </w:rPr>
        <w:t>Standard goodness-of-fit indices were used to assess the goodness-of-fit of the structural model. The model was satisfactory and the results were shown as follows:</w:t>
      </w:r>
      <w:r w:rsidR="00127FC0">
        <w:rPr>
          <w:rFonts w:ascii="Times New Roman" w:hAnsi="Times New Roman" w:cs="Times New Roman"/>
          <w:sz w:val="24"/>
          <w:szCs w:val="24"/>
        </w:rPr>
        <w:t xml:space="preserve"> </w:t>
      </w:r>
      <w:r w:rsidRPr="001355D7">
        <w:rPr>
          <w:rFonts w:ascii="Times New Roman" w:hAnsi="Times New Roman" w:cs="Times New Roman"/>
          <w:sz w:val="24"/>
          <w:szCs w:val="24"/>
        </w:rPr>
        <w:t>Chi-square/df (CMIN/df) &lt; 3</w:t>
      </w:r>
    </w:p>
    <w:p w14:paraId="56644A5A" w14:textId="380C5CA4" w:rsidR="001355D7" w:rsidRPr="001355D7" w:rsidRDefault="001355D7" w:rsidP="00127FC0">
      <w:pPr>
        <w:spacing w:after="0" w:line="360" w:lineRule="auto"/>
        <w:jc w:val="both"/>
        <w:rPr>
          <w:rFonts w:ascii="Times New Roman" w:hAnsi="Times New Roman" w:cs="Times New Roman"/>
          <w:sz w:val="24"/>
          <w:szCs w:val="24"/>
        </w:rPr>
      </w:pPr>
      <w:r w:rsidRPr="001355D7">
        <w:rPr>
          <w:rFonts w:ascii="Times New Roman" w:hAnsi="Times New Roman" w:cs="Times New Roman"/>
          <w:sz w:val="24"/>
          <w:szCs w:val="24"/>
        </w:rPr>
        <w:lastRenderedPageBreak/>
        <w:t>Goodness of Fit Index (GFI) &gt; 0.90Comparative Fit Index (CFI) &gt; 0.90</w:t>
      </w:r>
    </w:p>
    <w:p w14:paraId="608532D7" w14:textId="77777777" w:rsidR="001355D7" w:rsidRPr="001355D7" w:rsidRDefault="001355D7" w:rsidP="00127FC0">
      <w:pPr>
        <w:spacing w:after="0" w:line="360" w:lineRule="auto"/>
        <w:jc w:val="both"/>
        <w:rPr>
          <w:rFonts w:ascii="Times New Roman" w:hAnsi="Times New Roman" w:cs="Times New Roman"/>
          <w:sz w:val="24"/>
          <w:szCs w:val="24"/>
        </w:rPr>
      </w:pPr>
      <w:r w:rsidRPr="001355D7">
        <w:rPr>
          <w:rFonts w:ascii="Times New Roman" w:hAnsi="Times New Roman" w:cs="Times New Roman"/>
          <w:sz w:val="24"/>
          <w:szCs w:val="24"/>
        </w:rPr>
        <w:t>RMS error of approximation (RMSEA) &lt; 0.08</w:t>
      </w:r>
    </w:p>
    <w:p w14:paraId="70FC3B44" w14:textId="77777777" w:rsidR="001355D7" w:rsidRDefault="001355D7" w:rsidP="00127FC0">
      <w:pPr>
        <w:spacing w:after="0" w:line="360" w:lineRule="auto"/>
        <w:jc w:val="both"/>
        <w:rPr>
          <w:rFonts w:ascii="Times New Roman" w:hAnsi="Times New Roman" w:cs="Times New Roman"/>
          <w:sz w:val="24"/>
          <w:szCs w:val="24"/>
        </w:rPr>
      </w:pPr>
      <w:r w:rsidRPr="001355D7">
        <w:rPr>
          <w:rFonts w:ascii="Times New Roman" w:hAnsi="Times New Roman" w:cs="Times New Roman"/>
          <w:sz w:val="24"/>
          <w:szCs w:val="24"/>
        </w:rPr>
        <w:t>The values indicate a good fit of the proposed model to the data.</w:t>
      </w:r>
    </w:p>
    <w:p w14:paraId="6291FEF2" w14:textId="0A20846C" w:rsidR="00775F81" w:rsidRPr="00127FC0" w:rsidRDefault="00775F81" w:rsidP="00775F81">
      <w:pPr>
        <w:pStyle w:val="Heading2"/>
        <w:rPr>
          <w:rFonts w:ascii="Times New Roman" w:hAnsi="Times New Roman" w:cs="Times New Roman"/>
          <w:color w:val="auto"/>
          <w:sz w:val="24"/>
          <w:szCs w:val="24"/>
        </w:rPr>
      </w:pPr>
      <w:r w:rsidRPr="00127FC0">
        <w:rPr>
          <w:rFonts w:ascii="Times New Roman" w:hAnsi="Times New Roman" w:cs="Times New Roman"/>
          <w:color w:val="auto"/>
          <w:sz w:val="24"/>
          <w:szCs w:val="24"/>
        </w:rPr>
        <w:t>Model Fit</w:t>
      </w:r>
    </w:p>
    <w:tbl>
      <w:tblPr>
        <w:tblStyle w:val="TableGrid"/>
        <w:tblW w:w="0" w:type="auto"/>
        <w:tblLook w:val="04A0" w:firstRow="1" w:lastRow="0" w:firstColumn="1" w:lastColumn="0" w:noHBand="0" w:noVBand="1"/>
      </w:tblPr>
      <w:tblGrid>
        <w:gridCol w:w="2880"/>
        <w:gridCol w:w="2880"/>
        <w:gridCol w:w="2880"/>
      </w:tblGrid>
      <w:tr w:rsidR="00775F81" w:rsidRPr="00127FC0" w14:paraId="71DF5E4E" w14:textId="77777777" w:rsidTr="00956143">
        <w:tc>
          <w:tcPr>
            <w:tcW w:w="2880" w:type="dxa"/>
          </w:tcPr>
          <w:p w14:paraId="58906B65" w14:textId="77777777" w:rsidR="00775F81" w:rsidRPr="00127FC0" w:rsidRDefault="00775F81" w:rsidP="00956143">
            <w:pPr>
              <w:rPr>
                <w:rFonts w:ascii="Times New Roman" w:hAnsi="Times New Roman" w:cs="Times New Roman"/>
                <w:b/>
                <w:bCs/>
                <w:sz w:val="24"/>
                <w:szCs w:val="24"/>
              </w:rPr>
            </w:pPr>
            <w:r w:rsidRPr="00127FC0">
              <w:rPr>
                <w:rFonts w:ascii="Times New Roman" w:hAnsi="Times New Roman" w:cs="Times New Roman"/>
                <w:b/>
                <w:bCs/>
                <w:sz w:val="24"/>
                <w:szCs w:val="24"/>
              </w:rPr>
              <w:t>Index</w:t>
            </w:r>
          </w:p>
        </w:tc>
        <w:tc>
          <w:tcPr>
            <w:tcW w:w="2880" w:type="dxa"/>
          </w:tcPr>
          <w:p w14:paraId="3774D649" w14:textId="77777777" w:rsidR="00775F81" w:rsidRPr="00127FC0" w:rsidRDefault="00775F81" w:rsidP="00956143">
            <w:pPr>
              <w:rPr>
                <w:rFonts w:ascii="Times New Roman" w:hAnsi="Times New Roman" w:cs="Times New Roman"/>
                <w:b/>
                <w:bCs/>
                <w:sz w:val="24"/>
                <w:szCs w:val="24"/>
              </w:rPr>
            </w:pPr>
            <w:r w:rsidRPr="00127FC0">
              <w:rPr>
                <w:rFonts w:ascii="Times New Roman" w:hAnsi="Times New Roman" w:cs="Times New Roman"/>
                <w:b/>
                <w:bCs/>
                <w:sz w:val="24"/>
                <w:szCs w:val="24"/>
              </w:rPr>
              <w:t>Value</w:t>
            </w:r>
          </w:p>
        </w:tc>
        <w:tc>
          <w:tcPr>
            <w:tcW w:w="2880" w:type="dxa"/>
          </w:tcPr>
          <w:p w14:paraId="184D8B22" w14:textId="77777777" w:rsidR="00775F81" w:rsidRPr="00127FC0" w:rsidRDefault="00775F81" w:rsidP="00956143">
            <w:pPr>
              <w:rPr>
                <w:rFonts w:ascii="Times New Roman" w:hAnsi="Times New Roman" w:cs="Times New Roman"/>
                <w:b/>
                <w:bCs/>
                <w:sz w:val="24"/>
                <w:szCs w:val="24"/>
              </w:rPr>
            </w:pPr>
            <w:r w:rsidRPr="00127FC0">
              <w:rPr>
                <w:rFonts w:ascii="Times New Roman" w:hAnsi="Times New Roman" w:cs="Times New Roman"/>
                <w:b/>
                <w:bCs/>
                <w:sz w:val="24"/>
                <w:szCs w:val="24"/>
              </w:rPr>
              <w:t>Status</w:t>
            </w:r>
          </w:p>
        </w:tc>
      </w:tr>
      <w:tr w:rsidR="00775F81" w:rsidRPr="00127FC0" w14:paraId="2B23417F" w14:textId="77777777" w:rsidTr="00956143">
        <w:tc>
          <w:tcPr>
            <w:tcW w:w="2880" w:type="dxa"/>
          </w:tcPr>
          <w:p w14:paraId="2131D711" w14:textId="77777777" w:rsidR="00775F81" w:rsidRPr="00127FC0" w:rsidRDefault="00775F81" w:rsidP="00956143">
            <w:pPr>
              <w:rPr>
                <w:rFonts w:ascii="Times New Roman" w:hAnsi="Times New Roman" w:cs="Times New Roman"/>
                <w:b/>
                <w:bCs/>
                <w:sz w:val="24"/>
                <w:szCs w:val="24"/>
              </w:rPr>
            </w:pPr>
            <w:r w:rsidRPr="00127FC0">
              <w:rPr>
                <w:rFonts w:ascii="Times New Roman" w:hAnsi="Times New Roman" w:cs="Times New Roman"/>
                <w:b/>
                <w:bCs/>
                <w:sz w:val="24"/>
                <w:szCs w:val="24"/>
              </w:rPr>
              <w:t>CFI</w:t>
            </w:r>
          </w:p>
        </w:tc>
        <w:tc>
          <w:tcPr>
            <w:tcW w:w="2880" w:type="dxa"/>
          </w:tcPr>
          <w:p w14:paraId="10145D0D" w14:textId="77777777" w:rsidR="00775F81" w:rsidRPr="00127FC0" w:rsidRDefault="00775F81" w:rsidP="00956143">
            <w:pPr>
              <w:rPr>
                <w:rFonts w:ascii="Times New Roman" w:hAnsi="Times New Roman" w:cs="Times New Roman"/>
                <w:sz w:val="24"/>
                <w:szCs w:val="24"/>
              </w:rPr>
            </w:pPr>
            <w:r w:rsidRPr="00127FC0">
              <w:rPr>
                <w:rFonts w:ascii="Times New Roman" w:hAnsi="Times New Roman" w:cs="Times New Roman"/>
                <w:sz w:val="24"/>
                <w:szCs w:val="24"/>
              </w:rPr>
              <w:t>0.95</w:t>
            </w:r>
          </w:p>
        </w:tc>
        <w:tc>
          <w:tcPr>
            <w:tcW w:w="2880" w:type="dxa"/>
          </w:tcPr>
          <w:p w14:paraId="78428633" w14:textId="77777777" w:rsidR="00775F81" w:rsidRPr="00127FC0" w:rsidRDefault="00775F81" w:rsidP="00956143">
            <w:pPr>
              <w:rPr>
                <w:rFonts w:ascii="Times New Roman" w:hAnsi="Times New Roman" w:cs="Times New Roman"/>
                <w:sz w:val="24"/>
                <w:szCs w:val="24"/>
              </w:rPr>
            </w:pPr>
            <w:r w:rsidRPr="00127FC0">
              <w:rPr>
                <w:rFonts w:ascii="Times New Roman" w:hAnsi="Times New Roman" w:cs="Times New Roman"/>
                <w:sz w:val="24"/>
                <w:szCs w:val="24"/>
              </w:rPr>
              <w:t>Good</w:t>
            </w:r>
          </w:p>
        </w:tc>
      </w:tr>
      <w:tr w:rsidR="00775F81" w:rsidRPr="00127FC0" w14:paraId="5A1EFEB4" w14:textId="77777777" w:rsidTr="00956143">
        <w:tc>
          <w:tcPr>
            <w:tcW w:w="2880" w:type="dxa"/>
          </w:tcPr>
          <w:p w14:paraId="02947F6E" w14:textId="77777777" w:rsidR="00775F81" w:rsidRPr="00127FC0" w:rsidRDefault="00775F81" w:rsidP="00956143">
            <w:pPr>
              <w:rPr>
                <w:rFonts w:ascii="Times New Roman" w:hAnsi="Times New Roman" w:cs="Times New Roman"/>
                <w:b/>
                <w:bCs/>
                <w:sz w:val="24"/>
                <w:szCs w:val="24"/>
              </w:rPr>
            </w:pPr>
            <w:r w:rsidRPr="00127FC0">
              <w:rPr>
                <w:rFonts w:ascii="Times New Roman" w:hAnsi="Times New Roman" w:cs="Times New Roman"/>
                <w:b/>
                <w:bCs/>
                <w:sz w:val="24"/>
                <w:szCs w:val="24"/>
              </w:rPr>
              <w:t>RMSEA</w:t>
            </w:r>
          </w:p>
        </w:tc>
        <w:tc>
          <w:tcPr>
            <w:tcW w:w="2880" w:type="dxa"/>
          </w:tcPr>
          <w:p w14:paraId="15E94DB8" w14:textId="77777777" w:rsidR="00775F81" w:rsidRPr="00127FC0" w:rsidRDefault="00775F81" w:rsidP="00956143">
            <w:pPr>
              <w:rPr>
                <w:rFonts w:ascii="Times New Roman" w:hAnsi="Times New Roman" w:cs="Times New Roman"/>
                <w:sz w:val="24"/>
                <w:szCs w:val="24"/>
              </w:rPr>
            </w:pPr>
            <w:r w:rsidRPr="00127FC0">
              <w:rPr>
                <w:rFonts w:ascii="Times New Roman" w:hAnsi="Times New Roman" w:cs="Times New Roman"/>
                <w:sz w:val="24"/>
                <w:szCs w:val="24"/>
              </w:rPr>
              <w:t>0.05</w:t>
            </w:r>
          </w:p>
        </w:tc>
        <w:tc>
          <w:tcPr>
            <w:tcW w:w="2880" w:type="dxa"/>
          </w:tcPr>
          <w:p w14:paraId="32574C83" w14:textId="77777777" w:rsidR="00775F81" w:rsidRPr="00127FC0" w:rsidRDefault="00775F81" w:rsidP="00956143">
            <w:pPr>
              <w:rPr>
                <w:rFonts w:ascii="Times New Roman" w:hAnsi="Times New Roman" w:cs="Times New Roman"/>
                <w:sz w:val="24"/>
                <w:szCs w:val="24"/>
              </w:rPr>
            </w:pPr>
            <w:r w:rsidRPr="00127FC0">
              <w:rPr>
                <w:rFonts w:ascii="Times New Roman" w:hAnsi="Times New Roman" w:cs="Times New Roman"/>
                <w:sz w:val="24"/>
                <w:szCs w:val="24"/>
              </w:rPr>
              <w:t>Good</w:t>
            </w:r>
          </w:p>
        </w:tc>
      </w:tr>
    </w:tbl>
    <w:p w14:paraId="069A1634" w14:textId="33915703" w:rsidR="00775F81" w:rsidRPr="00775F81" w:rsidRDefault="00775F81" w:rsidP="007F5C29">
      <w:pPr>
        <w:jc w:val="center"/>
        <w:rPr>
          <w:b/>
          <w:bCs/>
          <w:sz w:val="24"/>
          <w:szCs w:val="24"/>
        </w:rPr>
      </w:pPr>
      <w:r w:rsidRPr="00775F81">
        <w:rPr>
          <w:b/>
          <w:bCs/>
          <w:sz w:val="24"/>
          <w:szCs w:val="24"/>
        </w:rPr>
        <w:t xml:space="preserve">Table </w:t>
      </w:r>
      <w:r w:rsidR="007F5C29">
        <w:rPr>
          <w:b/>
          <w:bCs/>
          <w:sz w:val="24"/>
          <w:szCs w:val="24"/>
        </w:rPr>
        <w:t>IV</w:t>
      </w:r>
      <w:r w:rsidRPr="00775F81">
        <w:rPr>
          <w:b/>
          <w:bCs/>
          <w:sz w:val="24"/>
          <w:szCs w:val="24"/>
        </w:rPr>
        <w:t>: Model Fit Indices</w:t>
      </w:r>
    </w:p>
    <w:p w14:paraId="177AA5C1" w14:textId="77777777" w:rsidR="001355D7" w:rsidRPr="001355D7" w:rsidRDefault="001355D7" w:rsidP="009707C0">
      <w:pPr>
        <w:spacing w:line="360" w:lineRule="auto"/>
        <w:jc w:val="both"/>
        <w:rPr>
          <w:rFonts w:ascii="Times New Roman" w:hAnsi="Times New Roman" w:cs="Times New Roman"/>
          <w:b/>
          <w:bCs/>
          <w:sz w:val="24"/>
          <w:szCs w:val="24"/>
        </w:rPr>
      </w:pPr>
      <w:r w:rsidRPr="001355D7">
        <w:rPr>
          <w:rFonts w:ascii="Times New Roman" w:hAnsi="Times New Roman" w:cs="Times New Roman"/>
          <w:b/>
          <w:bCs/>
          <w:sz w:val="24"/>
          <w:szCs w:val="24"/>
        </w:rPr>
        <w:t>Hypotheses Testing (Structural Model)</w:t>
      </w:r>
    </w:p>
    <w:p w14:paraId="57358EF1" w14:textId="77777777" w:rsidR="001355D7" w:rsidRPr="001355D7" w:rsidRDefault="001355D7" w:rsidP="009707C0">
      <w:p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The SEM method was used to test the structural relationships among variables. Path coefficients, t-values and levels of significance were analysed.</w:t>
      </w:r>
    </w:p>
    <w:p w14:paraId="516E0D67" w14:textId="1C74C02D" w:rsidR="00AB59A8" w:rsidRPr="00AB59A8" w:rsidRDefault="00AB59A8" w:rsidP="00AB59A8">
      <w:pPr>
        <w:rPr>
          <w:b/>
          <w:bCs/>
        </w:rPr>
      </w:pPr>
      <w:r w:rsidRPr="00AB59A8">
        <w:rPr>
          <w:b/>
          <w:bCs/>
        </w:rPr>
        <w:t>Hypotheses Testing</w:t>
      </w:r>
    </w:p>
    <w:tbl>
      <w:tblPr>
        <w:tblStyle w:val="TableGrid"/>
        <w:tblW w:w="0" w:type="auto"/>
        <w:tblLook w:val="04A0" w:firstRow="1" w:lastRow="0" w:firstColumn="1" w:lastColumn="0" w:noHBand="0" w:noVBand="1"/>
      </w:tblPr>
      <w:tblGrid>
        <w:gridCol w:w="1350"/>
        <w:gridCol w:w="4419"/>
        <w:gridCol w:w="954"/>
        <w:gridCol w:w="930"/>
        <w:gridCol w:w="1203"/>
      </w:tblGrid>
      <w:tr w:rsidR="00AB59A8" w:rsidRPr="00AB59A8" w14:paraId="59A09B18" w14:textId="77777777" w:rsidTr="00AB59A8">
        <w:tc>
          <w:tcPr>
            <w:tcW w:w="0" w:type="auto"/>
            <w:hideMark/>
          </w:tcPr>
          <w:p w14:paraId="25CFF465" w14:textId="77777777" w:rsidR="00AB59A8" w:rsidRPr="00AB59A8" w:rsidRDefault="00AB59A8" w:rsidP="00127FC0">
            <w:pPr>
              <w:jc w:val="both"/>
              <w:rPr>
                <w:rFonts w:ascii="Times New Roman" w:hAnsi="Times New Roman" w:cs="Times New Roman"/>
                <w:b/>
                <w:bCs/>
                <w:sz w:val="24"/>
                <w:szCs w:val="24"/>
                <w:lang w:val="en-IN"/>
              </w:rPr>
            </w:pPr>
            <w:r w:rsidRPr="00AB59A8">
              <w:rPr>
                <w:rFonts w:ascii="Times New Roman" w:hAnsi="Times New Roman" w:cs="Times New Roman"/>
                <w:b/>
                <w:bCs/>
                <w:sz w:val="24"/>
                <w:szCs w:val="24"/>
                <w:lang w:val="en-IN"/>
              </w:rPr>
              <w:t>Hypothesis</w:t>
            </w:r>
          </w:p>
        </w:tc>
        <w:tc>
          <w:tcPr>
            <w:tcW w:w="0" w:type="auto"/>
            <w:hideMark/>
          </w:tcPr>
          <w:p w14:paraId="35DF9298" w14:textId="77777777" w:rsidR="00AB59A8" w:rsidRPr="00AB59A8" w:rsidRDefault="00AB59A8" w:rsidP="00127FC0">
            <w:pPr>
              <w:jc w:val="both"/>
              <w:rPr>
                <w:rFonts w:ascii="Times New Roman" w:hAnsi="Times New Roman" w:cs="Times New Roman"/>
                <w:b/>
                <w:bCs/>
                <w:sz w:val="24"/>
                <w:szCs w:val="24"/>
                <w:lang w:val="en-IN"/>
              </w:rPr>
            </w:pPr>
            <w:r w:rsidRPr="00AB59A8">
              <w:rPr>
                <w:rFonts w:ascii="Times New Roman" w:hAnsi="Times New Roman" w:cs="Times New Roman"/>
                <w:b/>
                <w:bCs/>
                <w:sz w:val="24"/>
                <w:szCs w:val="24"/>
                <w:lang w:val="en-IN"/>
              </w:rPr>
              <w:t>Relationship</w:t>
            </w:r>
          </w:p>
        </w:tc>
        <w:tc>
          <w:tcPr>
            <w:tcW w:w="0" w:type="auto"/>
            <w:hideMark/>
          </w:tcPr>
          <w:p w14:paraId="5D07AB22" w14:textId="77777777" w:rsidR="00AB59A8" w:rsidRPr="00AB59A8" w:rsidRDefault="00AB59A8" w:rsidP="00127FC0">
            <w:pPr>
              <w:jc w:val="both"/>
              <w:rPr>
                <w:rFonts w:ascii="Times New Roman" w:hAnsi="Times New Roman" w:cs="Times New Roman"/>
                <w:b/>
                <w:bCs/>
                <w:sz w:val="24"/>
                <w:szCs w:val="24"/>
                <w:lang w:val="en-IN"/>
              </w:rPr>
            </w:pPr>
            <w:r w:rsidRPr="00AB59A8">
              <w:rPr>
                <w:rFonts w:ascii="Times New Roman" w:hAnsi="Times New Roman" w:cs="Times New Roman"/>
                <w:b/>
                <w:bCs/>
                <w:sz w:val="24"/>
                <w:szCs w:val="24"/>
                <w:lang w:val="en-IN"/>
              </w:rPr>
              <w:t>Beta (β)</w:t>
            </w:r>
          </w:p>
        </w:tc>
        <w:tc>
          <w:tcPr>
            <w:tcW w:w="0" w:type="auto"/>
            <w:hideMark/>
          </w:tcPr>
          <w:p w14:paraId="0A3D0FFF" w14:textId="77777777" w:rsidR="00AB59A8" w:rsidRPr="00AB59A8" w:rsidRDefault="00AB59A8" w:rsidP="00127FC0">
            <w:pPr>
              <w:jc w:val="both"/>
              <w:rPr>
                <w:rFonts w:ascii="Times New Roman" w:hAnsi="Times New Roman" w:cs="Times New Roman"/>
                <w:b/>
                <w:bCs/>
                <w:sz w:val="24"/>
                <w:szCs w:val="24"/>
                <w:lang w:val="en-IN"/>
              </w:rPr>
            </w:pPr>
            <w:r w:rsidRPr="00AB59A8">
              <w:rPr>
                <w:rFonts w:ascii="Times New Roman" w:hAnsi="Times New Roman" w:cs="Times New Roman"/>
                <w:b/>
                <w:bCs/>
                <w:sz w:val="24"/>
                <w:szCs w:val="24"/>
                <w:lang w:val="en-IN"/>
              </w:rPr>
              <w:t>p-value</w:t>
            </w:r>
          </w:p>
        </w:tc>
        <w:tc>
          <w:tcPr>
            <w:tcW w:w="0" w:type="auto"/>
            <w:hideMark/>
          </w:tcPr>
          <w:p w14:paraId="639B588A" w14:textId="77777777" w:rsidR="00AB59A8" w:rsidRPr="00AB59A8" w:rsidRDefault="00AB59A8" w:rsidP="00127FC0">
            <w:pPr>
              <w:jc w:val="both"/>
              <w:rPr>
                <w:rFonts w:ascii="Times New Roman" w:hAnsi="Times New Roman" w:cs="Times New Roman"/>
                <w:b/>
                <w:bCs/>
                <w:sz w:val="24"/>
                <w:szCs w:val="24"/>
                <w:lang w:val="en-IN"/>
              </w:rPr>
            </w:pPr>
            <w:r w:rsidRPr="00AB59A8">
              <w:rPr>
                <w:rFonts w:ascii="Times New Roman" w:hAnsi="Times New Roman" w:cs="Times New Roman"/>
                <w:b/>
                <w:bCs/>
                <w:sz w:val="24"/>
                <w:szCs w:val="24"/>
                <w:lang w:val="en-IN"/>
              </w:rPr>
              <w:t>Result</w:t>
            </w:r>
          </w:p>
        </w:tc>
      </w:tr>
      <w:tr w:rsidR="00AB59A8" w:rsidRPr="00AB59A8" w14:paraId="1E8A42A4" w14:textId="77777777" w:rsidTr="00AB59A8">
        <w:tc>
          <w:tcPr>
            <w:tcW w:w="0" w:type="auto"/>
            <w:hideMark/>
          </w:tcPr>
          <w:p w14:paraId="016AD651"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H1</w:t>
            </w:r>
          </w:p>
        </w:tc>
        <w:tc>
          <w:tcPr>
            <w:tcW w:w="0" w:type="auto"/>
            <w:hideMark/>
          </w:tcPr>
          <w:p w14:paraId="7AAC98CB"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CSR Program Design → Sustainable Livelihood</w:t>
            </w:r>
          </w:p>
        </w:tc>
        <w:tc>
          <w:tcPr>
            <w:tcW w:w="0" w:type="auto"/>
            <w:hideMark/>
          </w:tcPr>
          <w:p w14:paraId="4A6EACDE"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0.45</w:t>
            </w:r>
          </w:p>
        </w:tc>
        <w:tc>
          <w:tcPr>
            <w:tcW w:w="0" w:type="auto"/>
            <w:hideMark/>
          </w:tcPr>
          <w:p w14:paraId="12EA8F1A"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&lt; 0.05</w:t>
            </w:r>
          </w:p>
        </w:tc>
        <w:tc>
          <w:tcPr>
            <w:tcW w:w="0" w:type="auto"/>
            <w:hideMark/>
          </w:tcPr>
          <w:p w14:paraId="4B8092BD"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Supported</w:t>
            </w:r>
          </w:p>
        </w:tc>
      </w:tr>
      <w:tr w:rsidR="00AB59A8" w:rsidRPr="00AB59A8" w14:paraId="273ED3B7" w14:textId="77777777" w:rsidTr="00AB59A8">
        <w:tc>
          <w:tcPr>
            <w:tcW w:w="0" w:type="auto"/>
            <w:hideMark/>
          </w:tcPr>
          <w:p w14:paraId="392B4939"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H2</w:t>
            </w:r>
          </w:p>
        </w:tc>
        <w:tc>
          <w:tcPr>
            <w:tcW w:w="0" w:type="auto"/>
            <w:hideMark/>
          </w:tcPr>
          <w:p w14:paraId="4CA4D9A9"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Skill Development → Sustainable Livelihood</w:t>
            </w:r>
          </w:p>
        </w:tc>
        <w:tc>
          <w:tcPr>
            <w:tcW w:w="0" w:type="auto"/>
            <w:hideMark/>
          </w:tcPr>
          <w:p w14:paraId="6B3F0CF2"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0.52</w:t>
            </w:r>
          </w:p>
        </w:tc>
        <w:tc>
          <w:tcPr>
            <w:tcW w:w="0" w:type="auto"/>
            <w:hideMark/>
          </w:tcPr>
          <w:p w14:paraId="6CE096F9"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&lt; 0.01</w:t>
            </w:r>
          </w:p>
        </w:tc>
        <w:tc>
          <w:tcPr>
            <w:tcW w:w="0" w:type="auto"/>
            <w:hideMark/>
          </w:tcPr>
          <w:p w14:paraId="7F0CC06B"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Supported</w:t>
            </w:r>
          </w:p>
        </w:tc>
      </w:tr>
      <w:tr w:rsidR="00AB59A8" w:rsidRPr="00AB59A8" w14:paraId="2D1BF3F1" w14:textId="77777777" w:rsidTr="00AB59A8">
        <w:tc>
          <w:tcPr>
            <w:tcW w:w="0" w:type="auto"/>
            <w:hideMark/>
          </w:tcPr>
          <w:p w14:paraId="304CDD49"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H3</w:t>
            </w:r>
          </w:p>
        </w:tc>
        <w:tc>
          <w:tcPr>
            <w:tcW w:w="0" w:type="auto"/>
            <w:hideMark/>
          </w:tcPr>
          <w:p w14:paraId="0FD21024"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Community Participation → Sustainable Livelihood</w:t>
            </w:r>
          </w:p>
        </w:tc>
        <w:tc>
          <w:tcPr>
            <w:tcW w:w="0" w:type="auto"/>
            <w:hideMark/>
          </w:tcPr>
          <w:p w14:paraId="08C1E7A9"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0.39</w:t>
            </w:r>
          </w:p>
        </w:tc>
        <w:tc>
          <w:tcPr>
            <w:tcW w:w="0" w:type="auto"/>
            <w:hideMark/>
          </w:tcPr>
          <w:p w14:paraId="11E0E2D0"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&lt; 0.05</w:t>
            </w:r>
          </w:p>
        </w:tc>
        <w:tc>
          <w:tcPr>
            <w:tcW w:w="0" w:type="auto"/>
            <w:hideMark/>
          </w:tcPr>
          <w:p w14:paraId="7B6A03AD" w14:textId="77777777" w:rsidR="00AB59A8" w:rsidRPr="00AB59A8" w:rsidRDefault="00AB59A8" w:rsidP="00127FC0">
            <w:pPr>
              <w:jc w:val="both"/>
              <w:rPr>
                <w:rFonts w:ascii="Times New Roman" w:hAnsi="Times New Roman" w:cs="Times New Roman"/>
                <w:sz w:val="24"/>
                <w:szCs w:val="24"/>
                <w:lang w:val="en-IN"/>
              </w:rPr>
            </w:pPr>
            <w:r w:rsidRPr="00AB59A8">
              <w:rPr>
                <w:rFonts w:ascii="Times New Roman" w:hAnsi="Times New Roman" w:cs="Times New Roman"/>
                <w:sz w:val="24"/>
                <w:szCs w:val="24"/>
                <w:lang w:val="en-IN"/>
              </w:rPr>
              <w:t>Supported</w:t>
            </w:r>
          </w:p>
        </w:tc>
      </w:tr>
    </w:tbl>
    <w:p w14:paraId="0E205BF8" w14:textId="746BC7BF" w:rsidR="001069B5" w:rsidRDefault="001069B5" w:rsidP="00127FC0">
      <w:pPr>
        <w:jc w:val="center"/>
        <w:rPr>
          <w:rFonts w:ascii="Times New Roman" w:hAnsi="Times New Roman" w:cs="Times New Roman"/>
          <w:sz w:val="24"/>
          <w:szCs w:val="24"/>
        </w:rPr>
      </w:pPr>
      <w:r w:rsidRPr="001069B5">
        <w:rPr>
          <w:rFonts w:ascii="Times New Roman" w:hAnsi="Times New Roman" w:cs="Times New Roman"/>
          <w:b/>
          <w:bCs/>
          <w:sz w:val="24"/>
          <w:szCs w:val="24"/>
        </w:rPr>
        <w:t>Table V-</w:t>
      </w:r>
      <w:r>
        <w:rPr>
          <w:rFonts w:ascii="Times New Roman" w:hAnsi="Times New Roman" w:cs="Times New Roman"/>
          <w:sz w:val="24"/>
          <w:szCs w:val="24"/>
        </w:rPr>
        <w:t xml:space="preserve"> </w:t>
      </w:r>
      <w:r w:rsidRPr="00AB59A8">
        <w:rPr>
          <w:b/>
          <w:bCs/>
        </w:rPr>
        <w:t>Hypotheses Testing</w:t>
      </w:r>
    </w:p>
    <w:p w14:paraId="42F903F3" w14:textId="7F63A14C" w:rsidR="001355D7" w:rsidRPr="001355D7" w:rsidRDefault="001355D7" w:rsidP="009707C0">
      <w:p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 xml:space="preserve">Results show that all </w:t>
      </w:r>
      <w:r w:rsidR="00930E88">
        <w:rPr>
          <w:rFonts w:ascii="Times New Roman" w:hAnsi="Times New Roman" w:cs="Times New Roman"/>
          <w:sz w:val="24"/>
          <w:szCs w:val="24"/>
        </w:rPr>
        <w:t>hypotheses</w:t>
      </w:r>
      <w:r w:rsidRPr="001355D7">
        <w:rPr>
          <w:rFonts w:ascii="Times New Roman" w:hAnsi="Times New Roman" w:cs="Times New Roman"/>
          <w:sz w:val="24"/>
          <w:szCs w:val="24"/>
        </w:rPr>
        <w:t xml:space="preserve"> proposed are statistically significant and positively related.</w:t>
      </w:r>
    </w:p>
    <w:p w14:paraId="661947A2" w14:textId="6AC8AE33" w:rsidR="001355D7" w:rsidRPr="001355D7" w:rsidRDefault="001355D7" w:rsidP="009707C0">
      <w:pPr>
        <w:spacing w:line="360" w:lineRule="auto"/>
        <w:jc w:val="both"/>
        <w:rPr>
          <w:rFonts w:ascii="Times New Roman" w:hAnsi="Times New Roman" w:cs="Times New Roman"/>
          <w:sz w:val="24"/>
          <w:szCs w:val="24"/>
        </w:rPr>
      </w:pPr>
      <w:r w:rsidRPr="001355D7">
        <w:rPr>
          <w:rFonts w:ascii="Times New Roman" w:hAnsi="Times New Roman" w:cs="Times New Roman"/>
          <w:b/>
          <w:bCs/>
          <w:sz w:val="24"/>
          <w:szCs w:val="24"/>
        </w:rPr>
        <w:t>Mediation Analysis</w:t>
      </w:r>
    </w:p>
    <w:p w14:paraId="72DE0131" w14:textId="77777777" w:rsidR="001355D7" w:rsidRDefault="001355D7" w:rsidP="009707C0">
      <w:p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Indirect effect analysis was used to test the mediation of Sustainable Livelihood. The results show that Sustainable Livelihood significantly mediates the relationship between CSR initiatives (CSR Program Design, Skill Development, Community Participation) and outcome variables (Livelihood Improvement and Beneficiary Satisfaction).</w:t>
      </w:r>
    </w:p>
    <w:p w14:paraId="6D9A1280" w14:textId="7C83EC60" w:rsidR="00930E88" w:rsidRDefault="00930E88" w:rsidP="009707C0">
      <w:pPr>
        <w:spacing w:line="360" w:lineRule="auto"/>
        <w:jc w:val="both"/>
        <w:rPr>
          <w:rFonts w:ascii="Times New Roman" w:hAnsi="Times New Roman" w:cs="Times New Roman"/>
          <w:sz w:val="24"/>
          <w:szCs w:val="24"/>
        </w:rPr>
      </w:pPr>
      <w:r>
        <w:rPr>
          <w:noProof/>
        </w:rPr>
        <w:lastRenderedPageBreak/>
        <w:drawing>
          <wp:inline distT="0" distB="0" distL="0" distR="0" wp14:anchorId="207C176F" wp14:editId="38CEE45E">
            <wp:extent cx="5486400" cy="2950845"/>
            <wp:effectExtent l="0" t="0" r="0" b="1905"/>
            <wp:docPr id="95968048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950845"/>
                    </a:xfrm>
                    <a:prstGeom prst="rect">
                      <a:avLst/>
                    </a:prstGeom>
                    <a:noFill/>
                    <a:ln>
                      <a:noFill/>
                    </a:ln>
                  </pic:spPr>
                </pic:pic>
              </a:graphicData>
            </a:graphic>
          </wp:inline>
        </w:drawing>
      </w:r>
    </w:p>
    <w:p w14:paraId="46B56599" w14:textId="6997C7C3" w:rsidR="00EB0D2F" w:rsidRPr="00EB0D2F" w:rsidRDefault="00EB0D2F" w:rsidP="00EB0D2F">
      <w:pPr>
        <w:spacing w:line="360" w:lineRule="auto"/>
        <w:jc w:val="center"/>
        <w:rPr>
          <w:rFonts w:ascii="Times New Roman" w:hAnsi="Times New Roman" w:cs="Times New Roman"/>
          <w:b/>
          <w:bCs/>
          <w:sz w:val="24"/>
          <w:szCs w:val="24"/>
        </w:rPr>
      </w:pPr>
      <w:r w:rsidRPr="00EB0D2F">
        <w:rPr>
          <w:rFonts w:ascii="Times New Roman" w:hAnsi="Times New Roman" w:cs="Times New Roman"/>
          <w:b/>
          <w:bCs/>
          <w:sz w:val="24"/>
          <w:szCs w:val="24"/>
        </w:rPr>
        <w:t>Image I: Mediation Model</w:t>
      </w:r>
    </w:p>
    <w:p w14:paraId="49E0B1DB" w14:textId="7DCE7CC6" w:rsidR="001355D7" w:rsidRPr="001355D7" w:rsidRDefault="001355D7" w:rsidP="009707C0">
      <w:pPr>
        <w:spacing w:line="360" w:lineRule="auto"/>
        <w:jc w:val="both"/>
        <w:rPr>
          <w:rFonts w:ascii="Times New Roman" w:hAnsi="Times New Roman" w:cs="Times New Roman"/>
          <w:b/>
          <w:bCs/>
          <w:sz w:val="24"/>
          <w:szCs w:val="24"/>
        </w:rPr>
      </w:pPr>
      <w:r w:rsidRPr="001355D7">
        <w:rPr>
          <w:rFonts w:ascii="Times New Roman" w:hAnsi="Times New Roman" w:cs="Times New Roman"/>
          <w:b/>
          <w:bCs/>
          <w:sz w:val="24"/>
          <w:szCs w:val="24"/>
        </w:rPr>
        <w:t>Discussion of Results</w:t>
      </w:r>
    </w:p>
    <w:p w14:paraId="4C13FE8B" w14:textId="77777777" w:rsidR="001355D7" w:rsidRDefault="001355D7" w:rsidP="00B67754">
      <w:pPr>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t>The result shows that CSR activities are very important in improving the sustainable living of beneficiaries. Skill development proved to be the most important, while CSR program design and community participation were second. Moreover, sustainable livelihood is a key factor that enhances livelihood outcomes and beneficiaries' satisfaction, resulting in the overall effectiveness of the CSR program.</w:t>
      </w:r>
    </w:p>
    <w:p w14:paraId="6FF1678A" w14:textId="21FF9CD1" w:rsidR="00EB0D2F" w:rsidRDefault="00EB0D2F" w:rsidP="00B67754">
      <w:pPr>
        <w:spacing w:line="360" w:lineRule="auto"/>
        <w:jc w:val="both"/>
        <w:rPr>
          <w:noProof/>
        </w:rPr>
      </w:pPr>
      <w:r>
        <w:rPr>
          <w:noProof/>
        </w:rPr>
        <w:drawing>
          <wp:inline distT="0" distB="0" distL="0" distR="0" wp14:anchorId="3F91846C" wp14:editId="4C763330">
            <wp:extent cx="5486400" cy="2714625"/>
            <wp:effectExtent l="0" t="0" r="0" b="9525"/>
            <wp:docPr id="746906983"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UML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714625"/>
                    </a:xfrm>
                    <a:prstGeom prst="rect">
                      <a:avLst/>
                    </a:prstGeom>
                    <a:noFill/>
                    <a:ln>
                      <a:noFill/>
                    </a:ln>
                  </pic:spPr>
                </pic:pic>
              </a:graphicData>
            </a:graphic>
          </wp:inline>
        </w:drawing>
      </w:r>
    </w:p>
    <w:p w14:paraId="01C5DB53" w14:textId="77777777" w:rsidR="00EB0D2F" w:rsidRDefault="00EB0D2F" w:rsidP="00EB0D2F">
      <w:pPr>
        <w:jc w:val="center"/>
        <w:rPr>
          <w:rFonts w:ascii="Times New Roman" w:hAnsi="Times New Roman" w:cs="Times New Roman"/>
          <w:b/>
          <w:bCs/>
          <w:sz w:val="24"/>
          <w:szCs w:val="24"/>
        </w:rPr>
      </w:pPr>
      <w:r w:rsidRPr="00EB0D2F">
        <w:rPr>
          <w:rFonts w:ascii="Times New Roman" w:hAnsi="Times New Roman" w:cs="Times New Roman"/>
          <w:b/>
          <w:bCs/>
          <w:sz w:val="24"/>
          <w:szCs w:val="24"/>
        </w:rPr>
        <w:lastRenderedPageBreak/>
        <w:t xml:space="preserve">Image II-CSR impact </w:t>
      </w:r>
    </w:p>
    <w:p w14:paraId="0CC35E4C" w14:textId="1C287760" w:rsidR="00EB0D2F" w:rsidRDefault="00000000" w:rsidP="00EB0D2F">
      <w:pPr>
        <w:spacing w:after="0" w:line="360" w:lineRule="auto"/>
        <w:jc w:val="both"/>
        <w:rPr>
          <w:rFonts w:ascii="Times New Roman" w:hAnsi="Times New Roman" w:cs="Times New Roman"/>
          <w:sz w:val="24"/>
          <w:szCs w:val="24"/>
        </w:rPr>
      </w:pPr>
      <w:r w:rsidRPr="00EB0D2F">
        <w:rPr>
          <w:rFonts w:ascii="Times New Roman" w:hAnsi="Times New Roman" w:cs="Times New Roman"/>
          <w:b/>
          <w:bCs/>
          <w:sz w:val="24"/>
          <w:szCs w:val="24"/>
        </w:rPr>
        <w:t>Results</w:t>
      </w:r>
      <w:r w:rsidR="00EB0D2F" w:rsidRPr="00EB0D2F">
        <w:rPr>
          <w:rFonts w:ascii="Times New Roman" w:hAnsi="Times New Roman" w:cs="Times New Roman"/>
          <w:b/>
          <w:bCs/>
          <w:sz w:val="24"/>
          <w:szCs w:val="24"/>
        </w:rPr>
        <w:t>:</w:t>
      </w:r>
      <w:r w:rsidR="00EB0D2F">
        <w:rPr>
          <w:rFonts w:ascii="Times New Roman" w:hAnsi="Times New Roman" w:cs="Times New Roman"/>
          <w:sz w:val="24"/>
          <w:szCs w:val="24"/>
        </w:rPr>
        <w:t xml:space="preserve"> </w:t>
      </w:r>
      <w:r w:rsidR="00C650CB" w:rsidRPr="00C650CB">
        <w:rPr>
          <w:rFonts w:ascii="Times New Roman" w:hAnsi="Times New Roman" w:cs="Times New Roman"/>
          <w:sz w:val="24"/>
          <w:szCs w:val="24"/>
        </w:rPr>
        <w:t xml:space="preserve">The data analysis was performed by the structural equation modeling (SEM), which is used to analyze the relationships between the variables of the Corporate Social Responsibility (CSR), social media marketing, consumer engagement, customer satisfaction, and brand loyalty. The results of the measurement model showed good reliability and validity, with all factor </w:t>
      </w:r>
      <w:r w:rsidR="00EB0D2F" w:rsidRPr="00C650CB">
        <w:rPr>
          <w:rFonts w:ascii="Times New Roman" w:hAnsi="Times New Roman" w:cs="Times New Roman"/>
          <w:sz w:val="24"/>
          <w:szCs w:val="24"/>
        </w:rPr>
        <w:t>loading</w:t>
      </w:r>
      <w:r w:rsidR="00C650CB" w:rsidRPr="00C650CB">
        <w:rPr>
          <w:rFonts w:ascii="Times New Roman" w:hAnsi="Times New Roman" w:cs="Times New Roman"/>
          <w:sz w:val="24"/>
          <w:szCs w:val="24"/>
        </w:rPr>
        <w:t xml:space="preserve"> of the model above the recommended value of 0.70. The convergent validity was assessed through the Composite Reliability (CR) values, which were between 0.78 </w:t>
      </w:r>
      <w:r w:rsidR="00EB0D2F">
        <w:rPr>
          <w:rFonts w:ascii="Times New Roman" w:hAnsi="Times New Roman" w:cs="Times New Roman"/>
          <w:sz w:val="24"/>
          <w:szCs w:val="24"/>
        </w:rPr>
        <w:t>and</w:t>
      </w:r>
      <w:r w:rsidR="00C650CB" w:rsidRPr="00C650CB">
        <w:rPr>
          <w:rFonts w:ascii="Times New Roman" w:hAnsi="Times New Roman" w:cs="Times New Roman"/>
          <w:sz w:val="24"/>
          <w:szCs w:val="24"/>
        </w:rPr>
        <w:t xml:space="preserve"> 0.91, and the Average Variance Extracted (AVE) values were above 0.50. The Fornell–Larcker criterion was also used to check the discriminant </w:t>
      </w:r>
      <w:r w:rsidR="00EB0D2F" w:rsidRPr="00C650CB">
        <w:rPr>
          <w:rFonts w:ascii="Times New Roman" w:hAnsi="Times New Roman" w:cs="Times New Roman"/>
          <w:sz w:val="24"/>
          <w:szCs w:val="24"/>
        </w:rPr>
        <w:t>validity. The</w:t>
      </w:r>
      <w:r w:rsidR="00C650CB" w:rsidRPr="00C650CB">
        <w:rPr>
          <w:rFonts w:ascii="Times New Roman" w:hAnsi="Times New Roman" w:cs="Times New Roman"/>
          <w:sz w:val="24"/>
          <w:szCs w:val="24"/>
        </w:rPr>
        <w:t xml:space="preserve"> structural model results showed that CSR was positively and significantly related to consumer engagement with a β value of 0.62, p &lt; 0.001 and a β value of 0.55, p &lt; 0.001 with customer satisfaction. Social media marketing was also shown to have significant influences on consumer engagement (β = 0.58, p &lt; 0.001). Moreover, there were significant impacts on customer satisfaction with the consumer engagement (β = 0.49, p &lt; 0.001) and brand loyalty (β = 0.46, p &lt; 0.001). The results showed that customer satisfaction was a significant mediator between the other variables as it was found to be a strong predictor of brand loyalty (β = 0.64, p &lt; 0.001).The model fit indices confirmed a good fit of the proposed model (χ²/df = 2.31, CFI = 0.93, TLI = 0.91, RMSEA = 0.056). Furthermore, the results of mediation analysis showed that the relationship between CSR and brand loyalty can be partially mediated by consumer engagement and customer satisfaction. The results indicated that CSR activities, through the effective communication of social media platforms, </w:t>
      </w:r>
      <w:r w:rsidR="00EB0D2F">
        <w:rPr>
          <w:rFonts w:ascii="Times New Roman" w:hAnsi="Times New Roman" w:cs="Times New Roman"/>
          <w:sz w:val="24"/>
          <w:szCs w:val="24"/>
        </w:rPr>
        <w:t>have</w:t>
      </w:r>
      <w:r w:rsidR="00C650CB" w:rsidRPr="00C650CB">
        <w:rPr>
          <w:rFonts w:ascii="Times New Roman" w:hAnsi="Times New Roman" w:cs="Times New Roman"/>
          <w:sz w:val="24"/>
          <w:szCs w:val="24"/>
        </w:rPr>
        <w:t xml:space="preserve"> a positive impact on consumer participation and satisfaction</w:t>
      </w:r>
      <w:r w:rsidR="00EB0D2F">
        <w:rPr>
          <w:rFonts w:ascii="Times New Roman" w:hAnsi="Times New Roman" w:cs="Times New Roman"/>
          <w:sz w:val="24"/>
          <w:szCs w:val="24"/>
        </w:rPr>
        <w:t>,</w:t>
      </w:r>
      <w:r w:rsidR="00C650CB" w:rsidRPr="00C650CB">
        <w:rPr>
          <w:rFonts w:ascii="Times New Roman" w:hAnsi="Times New Roman" w:cs="Times New Roman"/>
          <w:sz w:val="24"/>
          <w:szCs w:val="24"/>
        </w:rPr>
        <w:t xml:space="preserve"> which consequently contributes to a higher degree of consumer loyalty in the retail industry of Andhra Pradesh.</w:t>
      </w:r>
    </w:p>
    <w:p w14:paraId="6D0A83DF" w14:textId="77777777" w:rsidR="00EB0D2F" w:rsidRDefault="00EB0D2F" w:rsidP="00EB0D2F">
      <w:pPr>
        <w:spacing w:after="0" w:line="360" w:lineRule="auto"/>
        <w:jc w:val="both"/>
        <w:rPr>
          <w:rFonts w:ascii="Times New Roman" w:hAnsi="Times New Roman" w:cs="Times New Roman"/>
          <w:sz w:val="24"/>
          <w:szCs w:val="24"/>
        </w:rPr>
      </w:pPr>
    </w:p>
    <w:p w14:paraId="44414383" w14:textId="6E85154D" w:rsidR="00B67754" w:rsidRDefault="00000000" w:rsidP="00EB0D2F">
      <w:pPr>
        <w:spacing w:after="0" w:line="360" w:lineRule="auto"/>
        <w:jc w:val="both"/>
        <w:rPr>
          <w:rFonts w:ascii="Times New Roman" w:hAnsi="Times New Roman" w:cs="Times New Roman"/>
          <w:b/>
          <w:bCs/>
          <w:sz w:val="24"/>
          <w:szCs w:val="24"/>
        </w:rPr>
      </w:pPr>
      <w:r w:rsidRPr="00EB0D2F">
        <w:rPr>
          <w:rFonts w:ascii="Times New Roman" w:hAnsi="Times New Roman" w:cs="Times New Roman"/>
          <w:b/>
          <w:bCs/>
          <w:sz w:val="24"/>
          <w:szCs w:val="24"/>
        </w:rPr>
        <w:t>Conclusion</w:t>
      </w:r>
      <w:r w:rsidR="00127FC0" w:rsidRPr="00EB0D2F">
        <w:rPr>
          <w:rFonts w:ascii="Times New Roman" w:hAnsi="Times New Roman" w:cs="Times New Roman"/>
          <w:b/>
          <w:bCs/>
          <w:sz w:val="24"/>
          <w:szCs w:val="24"/>
        </w:rPr>
        <w:t>:</w:t>
      </w:r>
      <w:r w:rsidR="00127FC0">
        <w:rPr>
          <w:rFonts w:ascii="Times New Roman" w:hAnsi="Times New Roman" w:cs="Times New Roman"/>
          <w:sz w:val="24"/>
          <w:szCs w:val="24"/>
        </w:rPr>
        <w:t xml:space="preserve"> </w:t>
      </w:r>
      <w:r w:rsidR="00B67754" w:rsidRPr="00B67754">
        <w:rPr>
          <w:rFonts w:ascii="Times New Roman" w:hAnsi="Times New Roman" w:cs="Times New Roman"/>
          <w:sz w:val="24"/>
          <w:szCs w:val="24"/>
        </w:rPr>
        <w:t xml:space="preserve">The study investigated the effectiveness of Corporate Social Responsibility (CSR) livelihood </w:t>
      </w:r>
      <w:r w:rsidR="00EB0D2F" w:rsidRPr="00B67754">
        <w:rPr>
          <w:rFonts w:ascii="Times New Roman" w:hAnsi="Times New Roman" w:cs="Times New Roman"/>
          <w:sz w:val="24"/>
          <w:szCs w:val="24"/>
        </w:rPr>
        <w:t>program</w:t>
      </w:r>
      <w:r w:rsidR="00B67754" w:rsidRPr="00B67754">
        <w:rPr>
          <w:rFonts w:ascii="Times New Roman" w:hAnsi="Times New Roman" w:cs="Times New Roman"/>
          <w:sz w:val="24"/>
          <w:szCs w:val="24"/>
        </w:rPr>
        <w:t xml:space="preserve"> in public and private sector companies applied by </w:t>
      </w:r>
      <w:r w:rsidR="00EB0D2F">
        <w:rPr>
          <w:rFonts w:ascii="Times New Roman" w:hAnsi="Times New Roman" w:cs="Times New Roman"/>
          <w:sz w:val="24"/>
          <w:szCs w:val="24"/>
        </w:rPr>
        <w:t xml:space="preserve">the </w:t>
      </w:r>
      <w:r w:rsidR="00B67754" w:rsidRPr="00B67754">
        <w:rPr>
          <w:rFonts w:ascii="Times New Roman" w:hAnsi="Times New Roman" w:cs="Times New Roman"/>
          <w:sz w:val="24"/>
          <w:szCs w:val="24"/>
        </w:rPr>
        <w:t xml:space="preserve">Structural Equation Modeling (SEM) approach. The results are clear that CSR intervention plays a significant role towards sustained livelihoods to the beneficiaries. The findings show that effective design of CSR </w:t>
      </w:r>
      <w:r w:rsidR="00EB0D2F">
        <w:rPr>
          <w:rFonts w:ascii="Times New Roman" w:hAnsi="Times New Roman" w:cs="Times New Roman"/>
          <w:sz w:val="24"/>
          <w:szCs w:val="24"/>
        </w:rPr>
        <w:t>programs</w:t>
      </w:r>
      <w:r w:rsidR="00B67754" w:rsidRPr="00B67754">
        <w:rPr>
          <w:rFonts w:ascii="Times New Roman" w:hAnsi="Times New Roman" w:cs="Times New Roman"/>
          <w:sz w:val="24"/>
          <w:szCs w:val="24"/>
        </w:rPr>
        <w:t>, skill development</w:t>
      </w:r>
      <w:r w:rsidR="00EB0D2F">
        <w:rPr>
          <w:rFonts w:ascii="Times New Roman" w:hAnsi="Times New Roman" w:cs="Times New Roman"/>
          <w:sz w:val="24"/>
          <w:szCs w:val="24"/>
        </w:rPr>
        <w:t>,</w:t>
      </w:r>
      <w:r w:rsidR="00B67754" w:rsidRPr="00B67754">
        <w:rPr>
          <w:rFonts w:ascii="Times New Roman" w:hAnsi="Times New Roman" w:cs="Times New Roman"/>
          <w:sz w:val="24"/>
          <w:szCs w:val="24"/>
        </w:rPr>
        <w:t xml:space="preserve"> and community engagement are driving positive</w:t>
      </w:r>
      <w:r w:rsidR="00EB0D2F">
        <w:rPr>
          <w:rFonts w:ascii="Times New Roman" w:hAnsi="Times New Roman" w:cs="Times New Roman"/>
          <w:sz w:val="24"/>
          <w:szCs w:val="24"/>
        </w:rPr>
        <w:t>,</w:t>
      </w:r>
      <w:r w:rsidR="00B67754" w:rsidRPr="00B67754">
        <w:rPr>
          <w:rFonts w:ascii="Times New Roman" w:hAnsi="Times New Roman" w:cs="Times New Roman"/>
          <w:sz w:val="24"/>
          <w:szCs w:val="24"/>
        </w:rPr>
        <w:t xml:space="preserve"> sustainable livelihood outcomes. Of these, </w:t>
      </w:r>
      <w:r w:rsidR="00B67754" w:rsidRPr="00B67754">
        <w:rPr>
          <w:rFonts w:ascii="Times New Roman" w:hAnsi="Times New Roman" w:cs="Times New Roman"/>
          <w:sz w:val="24"/>
          <w:szCs w:val="24"/>
        </w:rPr>
        <w:lastRenderedPageBreak/>
        <w:t xml:space="preserve">skill development is one of the most important factors that could improve employability and income generation opportunities. In addition, sustainable livelihood was shown to significantly positively influence both livelihood improvement and satisfaction of the beneficiaries. Furthermore, the study highlights that better livelihood outcomes and satisfaction with the results among CSR beneficiaries are associated with </w:t>
      </w:r>
      <w:r w:rsidR="00EB0D2F">
        <w:rPr>
          <w:rFonts w:ascii="Times New Roman" w:hAnsi="Times New Roman" w:cs="Times New Roman"/>
          <w:sz w:val="24"/>
          <w:szCs w:val="24"/>
        </w:rPr>
        <w:t xml:space="preserve">the </w:t>
      </w:r>
      <w:r w:rsidR="00B67754" w:rsidRPr="00B67754">
        <w:rPr>
          <w:rFonts w:ascii="Times New Roman" w:hAnsi="Times New Roman" w:cs="Times New Roman"/>
          <w:sz w:val="24"/>
          <w:szCs w:val="24"/>
        </w:rPr>
        <w:t>overall effectiveness of CSR programs. The comparative perspective indicates that there is a significant role for both the public and private sector organizations, but that there are differences in approach, efficiency</w:t>
      </w:r>
      <w:r w:rsidR="00EB0D2F">
        <w:rPr>
          <w:rFonts w:ascii="Times New Roman" w:hAnsi="Times New Roman" w:cs="Times New Roman"/>
          <w:sz w:val="24"/>
          <w:szCs w:val="24"/>
        </w:rPr>
        <w:t>,</w:t>
      </w:r>
      <w:r w:rsidR="00B67754" w:rsidRPr="00B67754">
        <w:rPr>
          <w:rFonts w:ascii="Times New Roman" w:hAnsi="Times New Roman" w:cs="Times New Roman"/>
          <w:sz w:val="24"/>
          <w:szCs w:val="24"/>
        </w:rPr>
        <w:t xml:space="preserve"> and impact. The study concludes that CSR initiatives</w:t>
      </w:r>
      <w:r w:rsidR="00EB0D2F">
        <w:rPr>
          <w:rFonts w:ascii="Times New Roman" w:hAnsi="Times New Roman" w:cs="Times New Roman"/>
          <w:sz w:val="24"/>
          <w:szCs w:val="24"/>
        </w:rPr>
        <w:t>,</w:t>
      </w:r>
      <w:r w:rsidR="00B67754" w:rsidRPr="00B67754">
        <w:rPr>
          <w:rFonts w:ascii="Times New Roman" w:hAnsi="Times New Roman" w:cs="Times New Roman"/>
          <w:sz w:val="24"/>
          <w:szCs w:val="24"/>
        </w:rPr>
        <w:t xml:space="preserve"> which are </w:t>
      </w:r>
      <w:r w:rsidR="00EB0D2F">
        <w:rPr>
          <w:rFonts w:ascii="Times New Roman" w:hAnsi="Times New Roman" w:cs="Times New Roman"/>
          <w:sz w:val="24"/>
          <w:szCs w:val="24"/>
        </w:rPr>
        <w:t>well-designed</w:t>
      </w:r>
      <w:r w:rsidR="00B67754" w:rsidRPr="00B67754">
        <w:rPr>
          <w:rFonts w:ascii="Times New Roman" w:hAnsi="Times New Roman" w:cs="Times New Roman"/>
          <w:sz w:val="24"/>
          <w:szCs w:val="24"/>
        </w:rPr>
        <w:t xml:space="preserve"> and participatory</w:t>
      </w:r>
      <w:r w:rsidR="00EB0D2F">
        <w:rPr>
          <w:rFonts w:ascii="Times New Roman" w:hAnsi="Times New Roman" w:cs="Times New Roman"/>
          <w:sz w:val="24"/>
          <w:szCs w:val="24"/>
        </w:rPr>
        <w:t>,</w:t>
      </w:r>
      <w:r w:rsidR="00B67754" w:rsidRPr="00B67754">
        <w:rPr>
          <w:rFonts w:ascii="Times New Roman" w:hAnsi="Times New Roman" w:cs="Times New Roman"/>
          <w:sz w:val="24"/>
          <w:szCs w:val="24"/>
        </w:rPr>
        <w:t xml:space="preserve"> have the potential to be effective vehicles for socio-economic development and community empowerment.</w:t>
      </w:r>
    </w:p>
    <w:p w14:paraId="286E71B3" w14:textId="77777777" w:rsidR="00B67754" w:rsidRDefault="00000000" w:rsidP="00B67754">
      <w:pPr>
        <w:pStyle w:val="Heading1"/>
        <w:spacing w:line="360" w:lineRule="auto"/>
        <w:jc w:val="both"/>
        <w:rPr>
          <w:rFonts w:ascii="Times New Roman" w:hAnsi="Times New Roman" w:cs="Times New Roman"/>
          <w:sz w:val="24"/>
          <w:szCs w:val="24"/>
        </w:rPr>
      </w:pPr>
      <w:r w:rsidRPr="001355D7">
        <w:rPr>
          <w:rFonts w:ascii="Times New Roman" w:hAnsi="Times New Roman" w:cs="Times New Roman"/>
          <w:sz w:val="24"/>
          <w:szCs w:val="24"/>
        </w:rPr>
        <w:lastRenderedPageBreak/>
        <w:t>Policy Implications</w:t>
      </w:r>
    </w:p>
    <w:p w14:paraId="62AD1E34" w14:textId="77777777" w:rsidR="00B20100" w:rsidRDefault="00B67754" w:rsidP="00B20100">
      <w:pPr>
        <w:pStyle w:val="Heading1"/>
        <w:spacing w:line="360" w:lineRule="auto"/>
        <w:jc w:val="both"/>
        <w:rPr>
          <w:rFonts w:ascii="Times New Roman" w:eastAsiaTheme="minorEastAsia" w:hAnsi="Times New Roman" w:cs="Times New Roman"/>
          <w:b w:val="0"/>
          <w:bCs w:val="0"/>
          <w:color w:val="auto"/>
          <w:sz w:val="24"/>
          <w:szCs w:val="24"/>
        </w:rPr>
      </w:pPr>
      <w:r w:rsidRPr="00B67754">
        <w:rPr>
          <w:rFonts w:ascii="Times New Roman" w:eastAsiaTheme="minorEastAsia" w:hAnsi="Times New Roman" w:cs="Times New Roman"/>
          <w:b w:val="0"/>
          <w:bCs w:val="0"/>
          <w:color w:val="auto"/>
          <w:sz w:val="24"/>
          <w:szCs w:val="24"/>
        </w:rPr>
        <w:t xml:space="preserve">The following policy implications are suggested based on the results of the study: </w:t>
      </w:r>
    </w:p>
    <w:p w14:paraId="2DBC91FA" w14:textId="77777777" w:rsidR="00B20100" w:rsidRDefault="00B67754" w:rsidP="00B20100">
      <w:pPr>
        <w:pStyle w:val="Heading1"/>
        <w:spacing w:before="0" w:line="360" w:lineRule="auto"/>
        <w:jc w:val="both"/>
        <w:rPr>
          <w:rFonts w:ascii="Times New Roman" w:eastAsiaTheme="minorEastAsia" w:hAnsi="Times New Roman" w:cs="Times New Roman"/>
          <w:b w:val="0"/>
          <w:bCs w:val="0"/>
          <w:color w:val="auto"/>
          <w:sz w:val="24"/>
          <w:szCs w:val="24"/>
        </w:rPr>
      </w:pPr>
      <w:r w:rsidRPr="00B67754">
        <w:rPr>
          <w:rFonts w:ascii="Times New Roman" w:eastAsiaTheme="minorEastAsia" w:hAnsi="Times New Roman" w:cs="Times New Roman"/>
          <w:b w:val="0"/>
          <w:bCs w:val="0"/>
          <w:color w:val="auto"/>
          <w:sz w:val="24"/>
          <w:szCs w:val="24"/>
        </w:rPr>
        <w:t>1. Skill Development: Skill-based training programs should be encouraged through CSR to boost the employability and self-reliant capacities of CSR beneficiaries.</w:t>
      </w:r>
    </w:p>
    <w:p w14:paraId="41658537" w14:textId="77777777" w:rsidR="00B20100" w:rsidRDefault="00B67754" w:rsidP="00B20100">
      <w:pPr>
        <w:pStyle w:val="Heading1"/>
        <w:spacing w:before="0" w:line="360" w:lineRule="auto"/>
        <w:jc w:val="both"/>
        <w:rPr>
          <w:rFonts w:ascii="Times New Roman" w:eastAsiaTheme="minorEastAsia" w:hAnsi="Times New Roman" w:cs="Times New Roman"/>
          <w:b w:val="0"/>
          <w:bCs w:val="0"/>
          <w:color w:val="auto"/>
          <w:sz w:val="24"/>
          <w:szCs w:val="24"/>
        </w:rPr>
      </w:pPr>
      <w:r w:rsidRPr="00B67754">
        <w:rPr>
          <w:rFonts w:ascii="Times New Roman" w:eastAsiaTheme="minorEastAsia" w:hAnsi="Times New Roman" w:cs="Times New Roman"/>
          <w:b w:val="0"/>
          <w:bCs w:val="0"/>
          <w:color w:val="auto"/>
          <w:sz w:val="24"/>
          <w:szCs w:val="24"/>
        </w:rPr>
        <w:t xml:space="preserve"> 2. Strengthen Program Design: Designing CSR programs according to the needs of the communities is important, and it should be well planned at the same time. </w:t>
      </w:r>
    </w:p>
    <w:p w14:paraId="1CC6FE15" w14:textId="77777777" w:rsidR="00B20100" w:rsidRDefault="00B67754" w:rsidP="00B20100">
      <w:pPr>
        <w:pStyle w:val="Heading1"/>
        <w:spacing w:before="0" w:line="360" w:lineRule="auto"/>
        <w:jc w:val="both"/>
        <w:rPr>
          <w:rFonts w:ascii="Times New Roman" w:eastAsiaTheme="minorEastAsia" w:hAnsi="Times New Roman" w:cs="Times New Roman"/>
          <w:b w:val="0"/>
          <w:bCs w:val="0"/>
          <w:color w:val="auto"/>
          <w:sz w:val="24"/>
          <w:szCs w:val="24"/>
        </w:rPr>
      </w:pPr>
      <w:r w:rsidRPr="00B67754">
        <w:rPr>
          <w:rFonts w:ascii="Times New Roman" w:eastAsiaTheme="minorEastAsia" w:hAnsi="Times New Roman" w:cs="Times New Roman"/>
          <w:b w:val="0"/>
          <w:bCs w:val="0"/>
          <w:color w:val="auto"/>
          <w:sz w:val="24"/>
          <w:szCs w:val="24"/>
        </w:rPr>
        <w:t xml:space="preserve">3. Promote Community Participation: Increased participation of beneficiaries in planning and implementation can enhance program acceptance and sustainability. </w:t>
      </w:r>
    </w:p>
    <w:p w14:paraId="4FBA8A3C" w14:textId="77777777" w:rsidR="00B20100" w:rsidRDefault="00B67754" w:rsidP="00B20100">
      <w:pPr>
        <w:pStyle w:val="Heading1"/>
        <w:spacing w:before="0" w:line="360" w:lineRule="auto"/>
        <w:jc w:val="both"/>
        <w:rPr>
          <w:rFonts w:ascii="Times New Roman" w:eastAsiaTheme="minorEastAsia" w:hAnsi="Times New Roman" w:cs="Times New Roman"/>
          <w:b w:val="0"/>
          <w:bCs w:val="0"/>
          <w:color w:val="auto"/>
          <w:sz w:val="24"/>
          <w:szCs w:val="24"/>
        </w:rPr>
      </w:pPr>
      <w:r w:rsidRPr="00B67754">
        <w:rPr>
          <w:rFonts w:ascii="Times New Roman" w:eastAsiaTheme="minorEastAsia" w:hAnsi="Times New Roman" w:cs="Times New Roman"/>
          <w:b w:val="0"/>
          <w:bCs w:val="0"/>
          <w:color w:val="auto"/>
          <w:sz w:val="24"/>
          <w:szCs w:val="24"/>
        </w:rPr>
        <w:t>4. Encourage Public-Private Collaboration: Cooperation between public and private sector groups can be highly effective in outreach and efficiency for improved results.</w:t>
      </w:r>
    </w:p>
    <w:p w14:paraId="7A47D200" w14:textId="77777777" w:rsidR="00B20100" w:rsidRDefault="00B67754" w:rsidP="00B20100">
      <w:pPr>
        <w:pStyle w:val="Heading1"/>
        <w:spacing w:before="0" w:line="360" w:lineRule="auto"/>
        <w:jc w:val="both"/>
        <w:rPr>
          <w:rFonts w:ascii="Times New Roman" w:eastAsiaTheme="minorEastAsia" w:hAnsi="Times New Roman" w:cs="Times New Roman"/>
          <w:b w:val="0"/>
          <w:bCs w:val="0"/>
          <w:color w:val="auto"/>
          <w:sz w:val="24"/>
          <w:szCs w:val="24"/>
        </w:rPr>
      </w:pPr>
      <w:r w:rsidRPr="00B67754">
        <w:rPr>
          <w:rFonts w:ascii="Times New Roman" w:eastAsiaTheme="minorEastAsia" w:hAnsi="Times New Roman" w:cs="Times New Roman"/>
          <w:b w:val="0"/>
          <w:bCs w:val="0"/>
          <w:color w:val="auto"/>
          <w:sz w:val="24"/>
          <w:szCs w:val="24"/>
        </w:rPr>
        <w:t xml:space="preserve"> 5. Ensure Long-Term Sustainability: CSR activities should be more than short-term and should look toward ensuring sustainable livelihood. </w:t>
      </w:r>
    </w:p>
    <w:p w14:paraId="1144D1EA" w14:textId="77777777" w:rsidR="00B20100" w:rsidRDefault="00B20100" w:rsidP="00B20100">
      <w:pPr>
        <w:pStyle w:val="Heading1"/>
        <w:spacing w:before="0" w:line="360" w:lineRule="auto"/>
        <w:jc w:val="both"/>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bCs w:val="0"/>
          <w:color w:val="auto"/>
          <w:sz w:val="24"/>
          <w:szCs w:val="24"/>
        </w:rPr>
        <w:t xml:space="preserve">6. </w:t>
      </w:r>
      <w:r w:rsidR="00B67754" w:rsidRPr="00B67754">
        <w:rPr>
          <w:rFonts w:ascii="Times New Roman" w:eastAsiaTheme="minorEastAsia" w:hAnsi="Times New Roman" w:cs="Times New Roman"/>
          <w:b w:val="0"/>
          <w:bCs w:val="0"/>
          <w:color w:val="auto"/>
          <w:sz w:val="24"/>
          <w:szCs w:val="24"/>
        </w:rPr>
        <w:t xml:space="preserve">Regular Monitoring and Evaluation: It is recommended that organizations set up strong assessment systems for assessing the effectiveness and impact of their CSR programs. </w:t>
      </w:r>
    </w:p>
    <w:p w14:paraId="3F22420B" w14:textId="0100A84A" w:rsidR="00B67754" w:rsidRPr="00B67754" w:rsidRDefault="00B67754" w:rsidP="00B20100">
      <w:pPr>
        <w:pStyle w:val="Heading1"/>
        <w:spacing w:before="0" w:line="360" w:lineRule="auto"/>
        <w:jc w:val="both"/>
        <w:rPr>
          <w:rFonts w:ascii="Times New Roman" w:hAnsi="Times New Roman" w:cs="Times New Roman"/>
          <w:sz w:val="24"/>
          <w:szCs w:val="24"/>
        </w:rPr>
      </w:pPr>
      <w:r w:rsidRPr="00B67754">
        <w:rPr>
          <w:rFonts w:ascii="Times New Roman" w:eastAsiaTheme="minorEastAsia" w:hAnsi="Times New Roman" w:cs="Times New Roman"/>
          <w:b w:val="0"/>
          <w:bCs w:val="0"/>
          <w:color w:val="auto"/>
          <w:sz w:val="24"/>
          <w:szCs w:val="24"/>
        </w:rPr>
        <w:t>7. Support and standardisation of policies: There is a need for government and regulatory support to standardize CSR practices across sectors through clear guidelines and frameworks.</w:t>
      </w:r>
    </w:p>
    <w:p w14:paraId="33182542" w14:textId="640F6F00" w:rsidR="0067221F" w:rsidRPr="001355D7" w:rsidRDefault="00000000" w:rsidP="007D64EE">
      <w:pPr>
        <w:pStyle w:val="Heading1"/>
        <w:spacing w:line="360" w:lineRule="auto"/>
        <w:rPr>
          <w:rFonts w:ascii="Times New Roman" w:hAnsi="Times New Roman" w:cs="Times New Roman"/>
          <w:sz w:val="24"/>
          <w:szCs w:val="24"/>
        </w:rPr>
      </w:pPr>
      <w:r w:rsidRPr="001355D7">
        <w:rPr>
          <w:rFonts w:ascii="Times New Roman" w:hAnsi="Times New Roman" w:cs="Times New Roman"/>
          <w:sz w:val="24"/>
          <w:szCs w:val="24"/>
        </w:rPr>
        <w:t>Limitations</w:t>
      </w:r>
    </w:p>
    <w:p w14:paraId="5D3BC2D9" w14:textId="6778BC13" w:rsidR="00B67754" w:rsidRPr="00B67754" w:rsidRDefault="00B67754" w:rsidP="00B67754">
      <w:pPr>
        <w:spacing w:line="360" w:lineRule="auto"/>
        <w:rPr>
          <w:rFonts w:ascii="Times New Roman" w:hAnsi="Times New Roman" w:cs="Times New Roman"/>
          <w:sz w:val="24"/>
          <w:szCs w:val="24"/>
        </w:rPr>
      </w:pPr>
      <w:r w:rsidRPr="00B67754">
        <w:rPr>
          <w:rFonts w:ascii="Times New Roman" w:hAnsi="Times New Roman" w:cs="Times New Roman"/>
          <w:sz w:val="24"/>
          <w:szCs w:val="24"/>
        </w:rPr>
        <w:t>While the study offers valuable insights, there are some limitations to note:</w:t>
      </w:r>
    </w:p>
    <w:p w14:paraId="58AEE94E" w14:textId="0A31320E" w:rsidR="00B67754" w:rsidRPr="00B67754" w:rsidRDefault="00B67754" w:rsidP="00B67754">
      <w:pPr>
        <w:spacing w:line="360" w:lineRule="auto"/>
        <w:rPr>
          <w:rFonts w:ascii="Times New Roman" w:hAnsi="Times New Roman" w:cs="Times New Roman"/>
          <w:b/>
          <w:bCs/>
          <w:sz w:val="24"/>
          <w:szCs w:val="24"/>
        </w:rPr>
      </w:pPr>
      <w:r w:rsidRPr="00B67754">
        <w:rPr>
          <w:rFonts w:ascii="Times New Roman" w:hAnsi="Times New Roman" w:cs="Times New Roman"/>
          <w:b/>
          <w:bCs/>
          <w:sz w:val="24"/>
          <w:szCs w:val="24"/>
        </w:rPr>
        <w:t>1.</w:t>
      </w:r>
      <w:r>
        <w:rPr>
          <w:rFonts w:ascii="Times New Roman" w:hAnsi="Times New Roman" w:cs="Times New Roman"/>
          <w:b/>
          <w:bCs/>
          <w:sz w:val="24"/>
          <w:szCs w:val="24"/>
        </w:rPr>
        <w:t xml:space="preserve"> </w:t>
      </w:r>
      <w:r w:rsidRPr="00B67754">
        <w:rPr>
          <w:rFonts w:ascii="Times New Roman" w:hAnsi="Times New Roman" w:cs="Times New Roman"/>
          <w:b/>
          <w:bCs/>
          <w:sz w:val="24"/>
          <w:szCs w:val="24"/>
        </w:rPr>
        <w:t>Limited Sample Size:</w:t>
      </w:r>
    </w:p>
    <w:p w14:paraId="49393372" w14:textId="77777777" w:rsidR="00B67754" w:rsidRPr="00B67754" w:rsidRDefault="00B67754" w:rsidP="00B67754">
      <w:pPr>
        <w:spacing w:line="360" w:lineRule="auto"/>
        <w:rPr>
          <w:rFonts w:ascii="Times New Roman" w:hAnsi="Times New Roman" w:cs="Times New Roman"/>
          <w:sz w:val="24"/>
          <w:szCs w:val="24"/>
        </w:rPr>
      </w:pPr>
      <w:r w:rsidRPr="00B67754">
        <w:rPr>
          <w:rFonts w:ascii="Times New Roman" w:hAnsi="Times New Roman" w:cs="Times New Roman"/>
          <w:sz w:val="24"/>
          <w:szCs w:val="24"/>
        </w:rPr>
        <w:t xml:space="preserve">The study is limited in scope and only reflects the views of about 300 respondents, and may not necessarily represent all beneficiaries of CSR programmes in various regions. </w:t>
      </w:r>
    </w:p>
    <w:p w14:paraId="32777BA6" w14:textId="1DD4257B" w:rsidR="00B67754" w:rsidRPr="00B67754" w:rsidRDefault="00B67754" w:rsidP="00B67754">
      <w:pPr>
        <w:spacing w:line="360" w:lineRule="auto"/>
        <w:rPr>
          <w:rFonts w:ascii="Times New Roman" w:hAnsi="Times New Roman" w:cs="Times New Roman"/>
          <w:b/>
          <w:bCs/>
          <w:sz w:val="24"/>
          <w:szCs w:val="24"/>
        </w:rPr>
      </w:pPr>
      <w:r w:rsidRPr="00B67754">
        <w:rPr>
          <w:rFonts w:ascii="Times New Roman" w:hAnsi="Times New Roman" w:cs="Times New Roman"/>
          <w:b/>
          <w:bCs/>
          <w:sz w:val="24"/>
          <w:szCs w:val="24"/>
        </w:rPr>
        <w:t>2.</w:t>
      </w:r>
      <w:r>
        <w:rPr>
          <w:rFonts w:ascii="Times New Roman" w:hAnsi="Times New Roman" w:cs="Times New Roman"/>
          <w:b/>
          <w:bCs/>
          <w:sz w:val="24"/>
          <w:szCs w:val="24"/>
        </w:rPr>
        <w:t xml:space="preserve"> </w:t>
      </w:r>
      <w:r w:rsidRPr="00B67754">
        <w:rPr>
          <w:rFonts w:ascii="Times New Roman" w:hAnsi="Times New Roman" w:cs="Times New Roman"/>
          <w:b/>
          <w:bCs/>
          <w:sz w:val="24"/>
          <w:szCs w:val="24"/>
        </w:rPr>
        <w:t>Geographical Constraints:</w:t>
      </w:r>
    </w:p>
    <w:p w14:paraId="2CCF63FA" w14:textId="77777777" w:rsidR="00B67754" w:rsidRPr="00B67754" w:rsidRDefault="00B67754" w:rsidP="00B67754">
      <w:pPr>
        <w:spacing w:line="360" w:lineRule="auto"/>
        <w:rPr>
          <w:rFonts w:ascii="Times New Roman" w:hAnsi="Times New Roman" w:cs="Times New Roman"/>
          <w:sz w:val="24"/>
          <w:szCs w:val="24"/>
        </w:rPr>
      </w:pPr>
      <w:r w:rsidRPr="00B67754">
        <w:rPr>
          <w:rFonts w:ascii="Times New Roman" w:hAnsi="Times New Roman" w:cs="Times New Roman"/>
          <w:sz w:val="24"/>
          <w:szCs w:val="24"/>
        </w:rPr>
        <w:t xml:space="preserve">The research is limited to certain areas and may not be representative of other regions and/or states. </w:t>
      </w:r>
    </w:p>
    <w:p w14:paraId="2B3B2B0A" w14:textId="31F32B79" w:rsidR="00B67754" w:rsidRPr="00B67754" w:rsidRDefault="00B67754" w:rsidP="00B67754">
      <w:pPr>
        <w:spacing w:line="360" w:lineRule="auto"/>
        <w:rPr>
          <w:rFonts w:ascii="Times New Roman" w:hAnsi="Times New Roman" w:cs="Times New Roman"/>
          <w:b/>
          <w:bCs/>
          <w:sz w:val="24"/>
          <w:szCs w:val="24"/>
        </w:rPr>
      </w:pPr>
      <w:r w:rsidRPr="00B67754">
        <w:rPr>
          <w:rFonts w:ascii="Times New Roman" w:hAnsi="Times New Roman" w:cs="Times New Roman"/>
          <w:b/>
          <w:bCs/>
          <w:sz w:val="24"/>
          <w:szCs w:val="24"/>
        </w:rPr>
        <w:t>3.</w:t>
      </w:r>
      <w:r>
        <w:rPr>
          <w:rFonts w:ascii="Times New Roman" w:hAnsi="Times New Roman" w:cs="Times New Roman"/>
          <w:b/>
          <w:bCs/>
          <w:sz w:val="24"/>
          <w:szCs w:val="24"/>
        </w:rPr>
        <w:t xml:space="preserve"> </w:t>
      </w:r>
      <w:r w:rsidRPr="00B67754">
        <w:rPr>
          <w:rFonts w:ascii="Times New Roman" w:hAnsi="Times New Roman" w:cs="Times New Roman"/>
          <w:b/>
          <w:bCs/>
          <w:sz w:val="24"/>
          <w:szCs w:val="24"/>
        </w:rPr>
        <w:t>Convenience sampling is used:</w:t>
      </w:r>
    </w:p>
    <w:p w14:paraId="17EEE179" w14:textId="77777777" w:rsidR="00B67754" w:rsidRPr="00B67754" w:rsidRDefault="00B67754" w:rsidP="00B67754">
      <w:pPr>
        <w:spacing w:line="360" w:lineRule="auto"/>
        <w:rPr>
          <w:rFonts w:ascii="Times New Roman" w:hAnsi="Times New Roman" w:cs="Times New Roman"/>
          <w:sz w:val="24"/>
          <w:szCs w:val="24"/>
        </w:rPr>
      </w:pPr>
      <w:r w:rsidRPr="00B67754">
        <w:rPr>
          <w:rFonts w:ascii="Times New Roman" w:hAnsi="Times New Roman" w:cs="Times New Roman"/>
          <w:sz w:val="24"/>
          <w:szCs w:val="24"/>
        </w:rPr>
        <w:lastRenderedPageBreak/>
        <w:t xml:space="preserve">Convenience sampling can potentially cause biases and impact representativeness of the data. </w:t>
      </w:r>
    </w:p>
    <w:p w14:paraId="424C9355" w14:textId="77245BFC" w:rsidR="00B67754" w:rsidRPr="00B67754" w:rsidRDefault="00B67754" w:rsidP="00B67754">
      <w:pPr>
        <w:spacing w:line="360" w:lineRule="auto"/>
        <w:rPr>
          <w:rFonts w:ascii="Times New Roman" w:hAnsi="Times New Roman" w:cs="Times New Roman"/>
          <w:b/>
          <w:bCs/>
          <w:sz w:val="24"/>
          <w:szCs w:val="24"/>
        </w:rPr>
      </w:pPr>
      <w:r w:rsidRPr="00B67754">
        <w:rPr>
          <w:rFonts w:ascii="Times New Roman" w:hAnsi="Times New Roman" w:cs="Times New Roman"/>
          <w:b/>
          <w:bCs/>
          <w:sz w:val="24"/>
          <w:szCs w:val="24"/>
        </w:rPr>
        <w:t>4.</w:t>
      </w:r>
      <w:r>
        <w:rPr>
          <w:rFonts w:ascii="Times New Roman" w:hAnsi="Times New Roman" w:cs="Times New Roman"/>
          <w:b/>
          <w:bCs/>
          <w:sz w:val="24"/>
          <w:szCs w:val="24"/>
        </w:rPr>
        <w:t xml:space="preserve"> </w:t>
      </w:r>
      <w:r w:rsidRPr="00B67754">
        <w:rPr>
          <w:rFonts w:ascii="Times New Roman" w:hAnsi="Times New Roman" w:cs="Times New Roman"/>
          <w:b/>
          <w:bCs/>
          <w:sz w:val="24"/>
          <w:szCs w:val="24"/>
        </w:rPr>
        <w:t>Self-Reported Data:</w:t>
      </w:r>
    </w:p>
    <w:p w14:paraId="0EBCFC73" w14:textId="77777777" w:rsidR="00B67754" w:rsidRPr="00B67754" w:rsidRDefault="00B67754" w:rsidP="00B67754">
      <w:pPr>
        <w:spacing w:line="360" w:lineRule="auto"/>
        <w:rPr>
          <w:rFonts w:ascii="Times New Roman" w:hAnsi="Times New Roman" w:cs="Times New Roman"/>
          <w:sz w:val="24"/>
          <w:szCs w:val="24"/>
        </w:rPr>
      </w:pPr>
      <w:r w:rsidRPr="00B67754">
        <w:rPr>
          <w:rFonts w:ascii="Times New Roman" w:hAnsi="Times New Roman" w:cs="Times New Roman"/>
          <w:sz w:val="24"/>
          <w:szCs w:val="24"/>
        </w:rPr>
        <w:t xml:space="preserve">This study is based on respondents' perceptions and opinions, which can be influenced by individual bias and inaccuracies. </w:t>
      </w:r>
    </w:p>
    <w:p w14:paraId="032D6FB8" w14:textId="4EB30B9B" w:rsidR="00B67754" w:rsidRPr="00B67754" w:rsidRDefault="00B67754" w:rsidP="00B67754">
      <w:pPr>
        <w:spacing w:line="360" w:lineRule="auto"/>
        <w:rPr>
          <w:rFonts w:ascii="Times New Roman" w:hAnsi="Times New Roman" w:cs="Times New Roman"/>
          <w:b/>
          <w:bCs/>
          <w:sz w:val="24"/>
          <w:szCs w:val="24"/>
        </w:rPr>
      </w:pPr>
      <w:r w:rsidRPr="00B67754">
        <w:rPr>
          <w:rFonts w:ascii="Times New Roman" w:hAnsi="Times New Roman" w:cs="Times New Roman"/>
          <w:b/>
          <w:bCs/>
          <w:sz w:val="24"/>
          <w:szCs w:val="24"/>
        </w:rPr>
        <w:t>5.</w:t>
      </w:r>
      <w:r>
        <w:rPr>
          <w:rFonts w:ascii="Times New Roman" w:hAnsi="Times New Roman" w:cs="Times New Roman"/>
          <w:b/>
          <w:bCs/>
          <w:sz w:val="24"/>
          <w:szCs w:val="24"/>
        </w:rPr>
        <w:t xml:space="preserve"> </w:t>
      </w:r>
      <w:r w:rsidRPr="00B67754">
        <w:rPr>
          <w:rFonts w:ascii="Times New Roman" w:hAnsi="Times New Roman" w:cs="Times New Roman"/>
          <w:b/>
          <w:bCs/>
          <w:sz w:val="24"/>
          <w:szCs w:val="24"/>
        </w:rPr>
        <w:t>Limited Variables:</w:t>
      </w:r>
    </w:p>
    <w:p w14:paraId="01239235" w14:textId="77777777" w:rsidR="00B67754" w:rsidRPr="00B67754" w:rsidRDefault="00B67754" w:rsidP="00B67754">
      <w:pPr>
        <w:spacing w:line="360" w:lineRule="auto"/>
        <w:rPr>
          <w:rFonts w:ascii="Times New Roman" w:hAnsi="Times New Roman" w:cs="Times New Roman"/>
          <w:sz w:val="24"/>
          <w:szCs w:val="24"/>
        </w:rPr>
      </w:pPr>
      <w:r w:rsidRPr="00B67754">
        <w:rPr>
          <w:rFonts w:ascii="Times New Roman" w:hAnsi="Times New Roman" w:cs="Times New Roman"/>
          <w:sz w:val="24"/>
          <w:szCs w:val="24"/>
        </w:rPr>
        <w:t xml:space="preserve">There were only a handful of factors considered, including the design of the CSR, skill development, and community involvement, but others could influence livelihood outcomes. </w:t>
      </w:r>
    </w:p>
    <w:p w14:paraId="4CAC9CC0" w14:textId="0542D1A7" w:rsidR="00B67754" w:rsidRPr="00B67754" w:rsidRDefault="00B67754" w:rsidP="00B67754">
      <w:pPr>
        <w:spacing w:line="360" w:lineRule="auto"/>
        <w:rPr>
          <w:rFonts w:ascii="Times New Roman" w:hAnsi="Times New Roman" w:cs="Times New Roman"/>
          <w:b/>
          <w:bCs/>
          <w:sz w:val="24"/>
          <w:szCs w:val="24"/>
        </w:rPr>
      </w:pPr>
      <w:r w:rsidRPr="00B67754">
        <w:rPr>
          <w:rFonts w:ascii="Times New Roman" w:hAnsi="Times New Roman" w:cs="Times New Roman"/>
          <w:b/>
          <w:bCs/>
          <w:sz w:val="24"/>
          <w:szCs w:val="24"/>
        </w:rPr>
        <w:t>6.</w:t>
      </w:r>
      <w:r>
        <w:rPr>
          <w:rFonts w:ascii="Times New Roman" w:hAnsi="Times New Roman" w:cs="Times New Roman"/>
          <w:b/>
          <w:bCs/>
          <w:sz w:val="24"/>
          <w:szCs w:val="24"/>
        </w:rPr>
        <w:t xml:space="preserve"> </w:t>
      </w:r>
      <w:r w:rsidRPr="00B67754">
        <w:rPr>
          <w:rFonts w:ascii="Times New Roman" w:hAnsi="Times New Roman" w:cs="Times New Roman"/>
          <w:b/>
          <w:bCs/>
          <w:sz w:val="24"/>
          <w:szCs w:val="24"/>
        </w:rPr>
        <w:t>Cross-Sectional Design:</w:t>
      </w:r>
    </w:p>
    <w:p w14:paraId="150643A5" w14:textId="7EDC94AC" w:rsidR="00B67754" w:rsidRPr="00B67754" w:rsidRDefault="00B67754" w:rsidP="00B67754">
      <w:pPr>
        <w:spacing w:line="360" w:lineRule="auto"/>
        <w:rPr>
          <w:rFonts w:ascii="Times New Roman" w:hAnsi="Times New Roman" w:cs="Times New Roman"/>
          <w:sz w:val="24"/>
          <w:szCs w:val="24"/>
        </w:rPr>
      </w:pPr>
      <w:r w:rsidRPr="00B67754">
        <w:rPr>
          <w:rFonts w:ascii="Times New Roman" w:hAnsi="Times New Roman" w:cs="Times New Roman"/>
          <w:sz w:val="24"/>
          <w:szCs w:val="24"/>
        </w:rPr>
        <w:t xml:space="preserve">Data gathered in the study is one-time data and cannot be used to analyze </w:t>
      </w:r>
      <w:r>
        <w:rPr>
          <w:rFonts w:ascii="Times New Roman" w:hAnsi="Times New Roman" w:cs="Times New Roman"/>
          <w:sz w:val="24"/>
          <w:szCs w:val="24"/>
        </w:rPr>
        <w:t xml:space="preserve">the </w:t>
      </w:r>
      <w:r w:rsidRPr="00B67754">
        <w:rPr>
          <w:rFonts w:ascii="Times New Roman" w:hAnsi="Times New Roman" w:cs="Times New Roman"/>
          <w:sz w:val="24"/>
          <w:szCs w:val="24"/>
        </w:rPr>
        <w:t xml:space="preserve">long-term effects of CSR initiatives. </w:t>
      </w:r>
    </w:p>
    <w:p w14:paraId="1514A02C" w14:textId="77777777" w:rsidR="009F3D85" w:rsidRPr="009F3D85" w:rsidRDefault="00000000" w:rsidP="009F3D85">
      <w:pPr>
        <w:pStyle w:val="Heading1"/>
        <w:spacing w:line="360" w:lineRule="auto"/>
        <w:rPr>
          <w:rFonts w:ascii="Times New Roman" w:hAnsi="Times New Roman" w:cs="Times New Roman"/>
          <w:color w:val="auto"/>
          <w:sz w:val="24"/>
          <w:szCs w:val="24"/>
        </w:rPr>
      </w:pPr>
      <w:r w:rsidRPr="009F3D85">
        <w:rPr>
          <w:rFonts w:ascii="Times New Roman" w:hAnsi="Times New Roman" w:cs="Times New Roman"/>
          <w:color w:val="auto"/>
          <w:sz w:val="24"/>
          <w:szCs w:val="24"/>
        </w:rPr>
        <w:lastRenderedPageBreak/>
        <w:t>Future Scope</w:t>
      </w:r>
    </w:p>
    <w:p w14:paraId="07763FEA" w14:textId="3008DA47" w:rsidR="009F3D85" w:rsidRDefault="009F3D85" w:rsidP="009F3D85">
      <w:pPr>
        <w:pStyle w:val="Heading1"/>
        <w:spacing w:line="360" w:lineRule="auto"/>
        <w:jc w:val="both"/>
        <w:rPr>
          <w:rFonts w:ascii="Times New Roman" w:eastAsiaTheme="minorEastAsia" w:hAnsi="Times New Roman" w:cs="Times New Roman"/>
          <w:b w:val="0"/>
          <w:bCs w:val="0"/>
          <w:color w:val="auto"/>
          <w:sz w:val="24"/>
          <w:szCs w:val="24"/>
        </w:rPr>
      </w:pPr>
      <w:r w:rsidRPr="009F3D85">
        <w:rPr>
          <w:rFonts w:ascii="Times New Roman" w:eastAsiaTheme="minorEastAsia" w:hAnsi="Times New Roman" w:cs="Times New Roman"/>
          <w:b w:val="0"/>
          <w:bCs w:val="0"/>
          <w:color w:val="auto"/>
          <w:sz w:val="24"/>
          <w:szCs w:val="24"/>
        </w:rPr>
        <w:t xml:space="preserve">The study will offer insights that will be valuable for future research. There are several areas for future research based on the study: </w:t>
      </w:r>
      <w:r>
        <w:rPr>
          <w:rFonts w:ascii="Times New Roman" w:eastAsiaTheme="minorEastAsia" w:hAnsi="Times New Roman" w:cs="Times New Roman"/>
          <w:b w:val="0"/>
          <w:bCs w:val="0"/>
          <w:color w:val="auto"/>
          <w:sz w:val="24"/>
          <w:szCs w:val="24"/>
        </w:rPr>
        <w:t xml:space="preserve">increasing the sample size and study </w:t>
      </w:r>
      <w:r w:rsidRPr="009F3D85">
        <w:rPr>
          <w:rFonts w:ascii="Times New Roman" w:eastAsiaTheme="minorEastAsia" w:hAnsi="Times New Roman" w:cs="Times New Roman"/>
          <w:b w:val="0"/>
          <w:bCs w:val="0"/>
          <w:color w:val="auto"/>
          <w:sz w:val="24"/>
          <w:szCs w:val="24"/>
        </w:rPr>
        <w:t xml:space="preserve">area. A larger sample size and more states or countries for generalization could be included in future studies. 2. Longitudinal Studies: Longitudinal studies can be carried out to study long-term sustainability and </w:t>
      </w:r>
      <w:r>
        <w:rPr>
          <w:rFonts w:ascii="Times New Roman" w:eastAsiaTheme="minorEastAsia" w:hAnsi="Times New Roman" w:cs="Times New Roman"/>
          <w:b w:val="0"/>
          <w:bCs w:val="0"/>
          <w:color w:val="auto"/>
          <w:sz w:val="24"/>
          <w:szCs w:val="24"/>
        </w:rPr>
        <w:t xml:space="preserve">the </w:t>
      </w:r>
      <w:r w:rsidRPr="009F3D85">
        <w:rPr>
          <w:rFonts w:ascii="Times New Roman" w:eastAsiaTheme="minorEastAsia" w:hAnsi="Times New Roman" w:cs="Times New Roman"/>
          <w:b w:val="0"/>
          <w:bCs w:val="0"/>
          <w:color w:val="auto"/>
          <w:sz w:val="24"/>
          <w:szCs w:val="24"/>
        </w:rPr>
        <w:t>effect of CSR livelihood programs. 3.1 Include additional variables: Additional variables that could be added to future research include digital inclusion, financial literacy, and environmental sustainability. 4. Sector-Specific Analysis: Detailed studies can be undertaken targeting specific sectors like agriculture, handicrafts</w:t>
      </w:r>
      <w:r>
        <w:rPr>
          <w:rFonts w:ascii="Times New Roman" w:eastAsiaTheme="minorEastAsia" w:hAnsi="Times New Roman" w:cs="Times New Roman"/>
          <w:b w:val="0"/>
          <w:bCs w:val="0"/>
          <w:color w:val="auto"/>
          <w:sz w:val="24"/>
          <w:szCs w:val="24"/>
        </w:rPr>
        <w:t>,</w:t>
      </w:r>
      <w:r w:rsidRPr="009F3D85">
        <w:rPr>
          <w:rFonts w:ascii="Times New Roman" w:eastAsiaTheme="minorEastAsia" w:hAnsi="Times New Roman" w:cs="Times New Roman"/>
          <w:b w:val="0"/>
          <w:bCs w:val="0"/>
          <w:color w:val="auto"/>
          <w:sz w:val="24"/>
          <w:szCs w:val="24"/>
        </w:rPr>
        <w:t xml:space="preserve"> and small industries</w:t>
      </w:r>
      <w:r>
        <w:rPr>
          <w:rFonts w:ascii="Times New Roman" w:eastAsiaTheme="minorEastAsia" w:hAnsi="Times New Roman" w:cs="Times New Roman"/>
          <w:b w:val="0"/>
          <w:bCs w:val="0"/>
          <w:color w:val="auto"/>
          <w:sz w:val="24"/>
          <w:szCs w:val="24"/>
        </w:rPr>
        <w:t>,</w:t>
      </w:r>
      <w:r w:rsidRPr="009F3D85">
        <w:rPr>
          <w:rFonts w:ascii="Times New Roman" w:eastAsiaTheme="minorEastAsia" w:hAnsi="Times New Roman" w:cs="Times New Roman"/>
          <w:b w:val="0"/>
          <w:bCs w:val="0"/>
          <w:color w:val="auto"/>
          <w:sz w:val="24"/>
          <w:szCs w:val="24"/>
        </w:rPr>
        <w:t xml:space="preserve"> etc. 5. Comparative International Studies: A cross-country comparison of CSR practices can be useful to get a bigger picture. 6. Mixed-Method Approach: Further research and analysis can incorporate both quantitative and qualitative approaches </w:t>
      </w:r>
      <w:r>
        <w:rPr>
          <w:rFonts w:ascii="Times New Roman" w:eastAsiaTheme="minorEastAsia" w:hAnsi="Times New Roman" w:cs="Times New Roman"/>
          <w:b w:val="0"/>
          <w:bCs w:val="0"/>
          <w:color w:val="auto"/>
          <w:sz w:val="24"/>
          <w:szCs w:val="24"/>
        </w:rPr>
        <w:t>to understand the experiences of beneficiaries better</w:t>
      </w:r>
      <w:r w:rsidRPr="009F3D85">
        <w:rPr>
          <w:rFonts w:ascii="Times New Roman" w:eastAsiaTheme="minorEastAsia" w:hAnsi="Times New Roman" w:cs="Times New Roman"/>
          <w:b w:val="0"/>
          <w:bCs w:val="0"/>
          <w:color w:val="auto"/>
          <w:sz w:val="24"/>
          <w:szCs w:val="24"/>
        </w:rPr>
        <w:t>. 7. Advanced Analytical Techniques: Advanced models (other than SEM) can be explored</w:t>
      </w:r>
      <w:r>
        <w:rPr>
          <w:rFonts w:ascii="Times New Roman" w:eastAsiaTheme="minorEastAsia" w:hAnsi="Times New Roman" w:cs="Times New Roman"/>
          <w:b w:val="0"/>
          <w:bCs w:val="0"/>
          <w:color w:val="auto"/>
          <w:sz w:val="24"/>
          <w:szCs w:val="24"/>
        </w:rPr>
        <w:t>,</w:t>
      </w:r>
      <w:r w:rsidRPr="009F3D85">
        <w:rPr>
          <w:rFonts w:ascii="Times New Roman" w:eastAsiaTheme="minorEastAsia" w:hAnsi="Times New Roman" w:cs="Times New Roman"/>
          <w:b w:val="0"/>
          <w:bCs w:val="0"/>
          <w:color w:val="auto"/>
          <w:sz w:val="24"/>
          <w:szCs w:val="24"/>
        </w:rPr>
        <w:t xml:space="preserve"> such as multi-group analysis or </w:t>
      </w:r>
      <w:r>
        <w:rPr>
          <w:rFonts w:ascii="Times New Roman" w:eastAsiaTheme="minorEastAsia" w:hAnsi="Times New Roman" w:cs="Times New Roman"/>
          <w:b w:val="0"/>
          <w:bCs w:val="0"/>
          <w:color w:val="auto"/>
          <w:sz w:val="24"/>
          <w:szCs w:val="24"/>
        </w:rPr>
        <w:t xml:space="preserve">a </w:t>
      </w:r>
      <w:r w:rsidRPr="009F3D85">
        <w:rPr>
          <w:rFonts w:ascii="Times New Roman" w:eastAsiaTheme="minorEastAsia" w:hAnsi="Times New Roman" w:cs="Times New Roman"/>
          <w:b w:val="0"/>
          <w:bCs w:val="0"/>
          <w:color w:val="auto"/>
          <w:sz w:val="24"/>
          <w:szCs w:val="24"/>
        </w:rPr>
        <w:t>machine learning model.</w:t>
      </w:r>
    </w:p>
    <w:p w14:paraId="7ECEFF73" w14:textId="4F3A37A9" w:rsidR="0067221F" w:rsidRPr="009F3D85" w:rsidRDefault="00000000" w:rsidP="009F3D85">
      <w:pPr>
        <w:pStyle w:val="Heading1"/>
        <w:spacing w:line="360" w:lineRule="auto"/>
        <w:jc w:val="both"/>
        <w:rPr>
          <w:rFonts w:ascii="Times New Roman" w:hAnsi="Times New Roman" w:cs="Times New Roman"/>
          <w:color w:val="auto"/>
          <w:sz w:val="24"/>
          <w:szCs w:val="24"/>
        </w:rPr>
      </w:pPr>
      <w:r w:rsidRPr="009F3D85">
        <w:rPr>
          <w:rFonts w:ascii="Times New Roman" w:hAnsi="Times New Roman" w:cs="Times New Roman"/>
          <w:color w:val="auto"/>
          <w:sz w:val="24"/>
          <w:szCs w:val="24"/>
        </w:rPr>
        <w:t>References</w:t>
      </w:r>
    </w:p>
    <w:p w14:paraId="383120C0"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Carroll, Archie B. (1991). The pyramid of corporate social responsibility: Toward the moral management of organizational stakeholders. </w:t>
      </w:r>
      <w:r w:rsidRPr="009F3D85">
        <w:rPr>
          <w:rFonts w:ascii="Times New Roman" w:hAnsi="Times New Roman" w:cs="Times New Roman"/>
          <w:i/>
          <w:iCs/>
          <w:sz w:val="24"/>
          <w:szCs w:val="24"/>
        </w:rPr>
        <w:t>Business Horizons, 34</w:t>
      </w:r>
      <w:r w:rsidRPr="009F3D85">
        <w:rPr>
          <w:rFonts w:ascii="Times New Roman" w:hAnsi="Times New Roman" w:cs="Times New Roman"/>
          <w:sz w:val="24"/>
          <w:szCs w:val="24"/>
        </w:rPr>
        <w:t>(4), 39–48.</w:t>
      </w:r>
    </w:p>
    <w:p w14:paraId="4FC236E6"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Freeman, R. Edward (1984). </w:t>
      </w:r>
      <w:r w:rsidRPr="009F3D85">
        <w:rPr>
          <w:rFonts w:ascii="Times New Roman" w:hAnsi="Times New Roman" w:cs="Times New Roman"/>
          <w:i/>
          <w:iCs/>
          <w:sz w:val="24"/>
          <w:szCs w:val="24"/>
        </w:rPr>
        <w:t>Strategic management: A stakeholder approach</w:t>
      </w:r>
      <w:r w:rsidRPr="009F3D85">
        <w:rPr>
          <w:rFonts w:ascii="Times New Roman" w:hAnsi="Times New Roman" w:cs="Times New Roman"/>
          <w:sz w:val="24"/>
          <w:szCs w:val="24"/>
        </w:rPr>
        <w:t>. Boston, MA: Pitman.</w:t>
      </w:r>
    </w:p>
    <w:p w14:paraId="68C0E487"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Elkington, John (1997). </w:t>
      </w:r>
      <w:r w:rsidRPr="009F3D85">
        <w:rPr>
          <w:rFonts w:ascii="Times New Roman" w:hAnsi="Times New Roman" w:cs="Times New Roman"/>
          <w:i/>
          <w:iCs/>
          <w:sz w:val="24"/>
          <w:szCs w:val="24"/>
        </w:rPr>
        <w:t>Cannibals with forks: The triple bottom line of 21st century business</w:t>
      </w:r>
      <w:r w:rsidRPr="009F3D85">
        <w:rPr>
          <w:rFonts w:ascii="Times New Roman" w:hAnsi="Times New Roman" w:cs="Times New Roman"/>
          <w:sz w:val="24"/>
          <w:szCs w:val="24"/>
        </w:rPr>
        <w:t>. Oxford: Capstone.</w:t>
      </w:r>
    </w:p>
    <w:p w14:paraId="4B0BFA1D"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Sen, Amartya (1999). </w:t>
      </w:r>
      <w:r w:rsidRPr="009F3D85">
        <w:rPr>
          <w:rFonts w:ascii="Times New Roman" w:hAnsi="Times New Roman" w:cs="Times New Roman"/>
          <w:i/>
          <w:iCs/>
          <w:sz w:val="24"/>
          <w:szCs w:val="24"/>
        </w:rPr>
        <w:t>Development as freedom</w:t>
      </w:r>
      <w:r w:rsidRPr="009F3D85">
        <w:rPr>
          <w:rFonts w:ascii="Times New Roman" w:hAnsi="Times New Roman" w:cs="Times New Roman"/>
          <w:sz w:val="24"/>
          <w:szCs w:val="24"/>
        </w:rPr>
        <w:t>. New York, NY: Oxford University Press.</w:t>
      </w:r>
    </w:p>
    <w:p w14:paraId="25871A08"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Chambers, Robert, &amp; Conway, Gordon (1992). Sustainable rural livelihoods: Practical concepts for the 21st century. </w:t>
      </w:r>
      <w:r w:rsidRPr="009F3D85">
        <w:rPr>
          <w:rFonts w:ascii="Times New Roman" w:hAnsi="Times New Roman" w:cs="Times New Roman"/>
          <w:i/>
          <w:iCs/>
          <w:sz w:val="24"/>
          <w:szCs w:val="24"/>
        </w:rPr>
        <w:t>IDS Discussion Paper 296</w:t>
      </w:r>
      <w:r w:rsidRPr="009F3D85">
        <w:rPr>
          <w:rFonts w:ascii="Times New Roman" w:hAnsi="Times New Roman" w:cs="Times New Roman"/>
          <w:sz w:val="24"/>
          <w:szCs w:val="24"/>
        </w:rPr>
        <w:t>, Institute of Development Studies.</w:t>
      </w:r>
    </w:p>
    <w:p w14:paraId="4AFE632C"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lastRenderedPageBreak/>
        <w:t xml:space="preserve">Ashley, Caroline, &amp; Carney, Diana (1999). </w:t>
      </w:r>
      <w:r w:rsidRPr="009F3D85">
        <w:rPr>
          <w:rFonts w:ascii="Times New Roman" w:hAnsi="Times New Roman" w:cs="Times New Roman"/>
          <w:i/>
          <w:iCs/>
          <w:sz w:val="24"/>
          <w:szCs w:val="24"/>
        </w:rPr>
        <w:t>Sustainable livelihoods: Lessons from early experience</w:t>
      </w:r>
      <w:r w:rsidRPr="009F3D85">
        <w:rPr>
          <w:rFonts w:ascii="Times New Roman" w:hAnsi="Times New Roman" w:cs="Times New Roman"/>
          <w:sz w:val="24"/>
          <w:szCs w:val="24"/>
        </w:rPr>
        <w:t>. London: DFID.</w:t>
      </w:r>
    </w:p>
    <w:p w14:paraId="1C2F66A7"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Blowfield, Michael, &amp; Frynas, Jedrzej George (2005). Setting new agendas: Critical perspectives on corporate social responsibility in the developing world. </w:t>
      </w:r>
      <w:r w:rsidRPr="009F3D85">
        <w:rPr>
          <w:rFonts w:ascii="Times New Roman" w:hAnsi="Times New Roman" w:cs="Times New Roman"/>
          <w:i/>
          <w:iCs/>
          <w:sz w:val="24"/>
          <w:szCs w:val="24"/>
        </w:rPr>
        <w:t>International Affairs, 81</w:t>
      </w:r>
      <w:r w:rsidRPr="009F3D85">
        <w:rPr>
          <w:rFonts w:ascii="Times New Roman" w:hAnsi="Times New Roman" w:cs="Times New Roman"/>
          <w:sz w:val="24"/>
          <w:szCs w:val="24"/>
        </w:rPr>
        <w:t>(3), 499–513.</w:t>
      </w:r>
    </w:p>
    <w:p w14:paraId="6181DC13"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Visser, Wayne (2008). Corporate social responsibility in developing countries. In A. Crane et al. (Eds.), </w:t>
      </w:r>
      <w:r w:rsidRPr="009F3D85">
        <w:rPr>
          <w:rFonts w:ascii="Times New Roman" w:hAnsi="Times New Roman" w:cs="Times New Roman"/>
          <w:i/>
          <w:iCs/>
          <w:sz w:val="24"/>
          <w:szCs w:val="24"/>
        </w:rPr>
        <w:t>The Oxford handbook of corporate social responsibility</w:t>
      </w:r>
      <w:r w:rsidRPr="009F3D85">
        <w:rPr>
          <w:rFonts w:ascii="Times New Roman" w:hAnsi="Times New Roman" w:cs="Times New Roman"/>
          <w:sz w:val="24"/>
          <w:szCs w:val="24"/>
        </w:rPr>
        <w:t xml:space="preserve"> (pp. 473–499). Oxford University Press.</w:t>
      </w:r>
    </w:p>
    <w:p w14:paraId="4DE4A2B6"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Hair, Joseph F., Black, William C., Babin, Barry J., &amp; Anderson, Rolph E. (2019). </w:t>
      </w:r>
      <w:r w:rsidRPr="009F3D85">
        <w:rPr>
          <w:rFonts w:ascii="Times New Roman" w:hAnsi="Times New Roman" w:cs="Times New Roman"/>
          <w:i/>
          <w:iCs/>
          <w:sz w:val="24"/>
          <w:szCs w:val="24"/>
        </w:rPr>
        <w:t>Multivariate data analysis</w:t>
      </w:r>
      <w:r w:rsidRPr="009F3D85">
        <w:rPr>
          <w:rFonts w:ascii="Times New Roman" w:hAnsi="Times New Roman" w:cs="Times New Roman"/>
          <w:sz w:val="24"/>
          <w:szCs w:val="24"/>
        </w:rPr>
        <w:t xml:space="preserve"> (8th ed.). Cengage Learning.</w:t>
      </w:r>
    </w:p>
    <w:p w14:paraId="574309D7"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Kline, Rex B. (2015). </w:t>
      </w:r>
      <w:r w:rsidRPr="009F3D85">
        <w:rPr>
          <w:rFonts w:ascii="Times New Roman" w:hAnsi="Times New Roman" w:cs="Times New Roman"/>
          <w:i/>
          <w:iCs/>
          <w:sz w:val="24"/>
          <w:szCs w:val="24"/>
        </w:rPr>
        <w:t>Principles and practice of structural equation modeling</w:t>
      </w:r>
      <w:r w:rsidRPr="009F3D85">
        <w:rPr>
          <w:rFonts w:ascii="Times New Roman" w:hAnsi="Times New Roman" w:cs="Times New Roman"/>
          <w:sz w:val="24"/>
          <w:szCs w:val="24"/>
        </w:rPr>
        <w:t xml:space="preserve"> (4th ed.). New York, NY: Guilford Press.</w:t>
      </w:r>
    </w:p>
    <w:p w14:paraId="41DD6242"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Porter, Michael E., &amp; Kramer, Mark R. (2006). Strategy and society: The link between competitive advantage and corporate social responsibility. </w:t>
      </w:r>
      <w:r w:rsidRPr="009F3D85">
        <w:rPr>
          <w:rFonts w:ascii="Times New Roman" w:hAnsi="Times New Roman" w:cs="Times New Roman"/>
          <w:i/>
          <w:iCs/>
          <w:sz w:val="24"/>
          <w:szCs w:val="24"/>
        </w:rPr>
        <w:t>Harvard Business Review, 84</w:t>
      </w:r>
      <w:r w:rsidRPr="009F3D85">
        <w:rPr>
          <w:rFonts w:ascii="Times New Roman" w:hAnsi="Times New Roman" w:cs="Times New Roman"/>
          <w:sz w:val="24"/>
          <w:szCs w:val="24"/>
        </w:rPr>
        <w:t>(12), 78–92.</w:t>
      </w:r>
    </w:p>
    <w:p w14:paraId="650F600E" w14:textId="77777777" w:rsidR="009F3D85" w:rsidRPr="009F3D85" w:rsidRDefault="009F3D85" w:rsidP="009F3D85">
      <w:pPr>
        <w:spacing w:line="360" w:lineRule="auto"/>
        <w:ind w:left="360"/>
        <w:jc w:val="both"/>
        <w:rPr>
          <w:rFonts w:ascii="Times New Roman" w:hAnsi="Times New Roman" w:cs="Times New Roman"/>
          <w:sz w:val="24"/>
          <w:szCs w:val="24"/>
        </w:rPr>
      </w:pPr>
      <w:r w:rsidRPr="009F3D85">
        <w:rPr>
          <w:rFonts w:ascii="Times New Roman" w:hAnsi="Times New Roman" w:cs="Times New Roman"/>
          <w:sz w:val="24"/>
          <w:szCs w:val="24"/>
        </w:rPr>
        <w:t xml:space="preserve">UNDP (2015). </w:t>
      </w:r>
      <w:r w:rsidRPr="009F3D85">
        <w:rPr>
          <w:rFonts w:ascii="Times New Roman" w:hAnsi="Times New Roman" w:cs="Times New Roman"/>
          <w:i/>
          <w:iCs/>
          <w:sz w:val="24"/>
          <w:szCs w:val="24"/>
        </w:rPr>
        <w:t>Sustainable development goals</w:t>
      </w:r>
      <w:r w:rsidRPr="009F3D85">
        <w:rPr>
          <w:rFonts w:ascii="Times New Roman" w:hAnsi="Times New Roman" w:cs="Times New Roman"/>
          <w:sz w:val="24"/>
          <w:szCs w:val="24"/>
        </w:rPr>
        <w:t>. New York: United Nations.</w:t>
      </w:r>
    </w:p>
    <w:p w14:paraId="19E4F060" w14:textId="77777777" w:rsidR="009F3D85" w:rsidRPr="00DD740F" w:rsidRDefault="009F3D85" w:rsidP="009F3D85">
      <w:pPr>
        <w:spacing w:line="360" w:lineRule="auto"/>
        <w:ind w:left="360"/>
        <w:jc w:val="both"/>
        <w:rPr>
          <w:rFonts w:ascii="Times New Roman" w:hAnsi="Times New Roman" w:cs="Times New Roman"/>
          <w:color w:val="EE0000"/>
        </w:rPr>
      </w:pPr>
    </w:p>
    <w:p w14:paraId="7EE64CF1" w14:textId="77777777" w:rsidR="009F3D85" w:rsidRPr="00612203" w:rsidRDefault="009F3D85" w:rsidP="009F3D85">
      <w:pPr>
        <w:spacing w:line="360" w:lineRule="auto"/>
        <w:ind w:left="720"/>
        <w:jc w:val="both"/>
        <w:rPr>
          <w:rFonts w:ascii="Times New Roman" w:hAnsi="Times New Roman" w:cs="Times New Roman"/>
        </w:rPr>
      </w:pPr>
    </w:p>
    <w:p w14:paraId="6422B0FC" w14:textId="77777777" w:rsidR="009F3D85" w:rsidRPr="00612203" w:rsidRDefault="009F3D85" w:rsidP="009F3D85">
      <w:pPr>
        <w:spacing w:line="360" w:lineRule="auto"/>
        <w:jc w:val="both"/>
        <w:rPr>
          <w:rFonts w:ascii="Times New Roman" w:hAnsi="Times New Roman" w:cs="Times New Roman"/>
          <w:b/>
          <w:bCs/>
        </w:rPr>
      </w:pPr>
    </w:p>
    <w:p w14:paraId="7C795B74" w14:textId="77777777" w:rsidR="00B67754" w:rsidRDefault="00B67754" w:rsidP="007D64EE">
      <w:pPr>
        <w:spacing w:line="360" w:lineRule="auto"/>
        <w:rPr>
          <w:rFonts w:ascii="Times New Roman" w:hAnsi="Times New Roman" w:cs="Times New Roman"/>
          <w:sz w:val="24"/>
          <w:szCs w:val="24"/>
        </w:rPr>
      </w:pPr>
    </w:p>
    <w:sectPr w:rsidR="00B677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71D6575"/>
    <w:multiLevelType w:val="multilevel"/>
    <w:tmpl w:val="CD8CF8A8"/>
    <w:lvl w:ilvl="0">
      <w:start w:val="1"/>
      <w:numFmt w:val="decimal"/>
      <w:lvlText w:val="%1."/>
      <w:lvlJc w:val="left"/>
      <w:pPr>
        <w:tabs>
          <w:tab w:val="num" w:pos="720"/>
        </w:tabs>
        <w:ind w:left="720" w:hanging="360"/>
      </w:pPr>
    </w:lvl>
    <w:lvl w:ilvl="1">
      <w:start w:val="1"/>
      <w:numFmt w:val="decimal"/>
      <w:lvlText w:val="%2."/>
      <w:lvlJc w:val="left"/>
      <w:pPr>
        <w:ind w:left="928"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8909109">
    <w:abstractNumId w:val="8"/>
  </w:num>
  <w:num w:numId="2" w16cid:durableId="686836477">
    <w:abstractNumId w:val="6"/>
  </w:num>
  <w:num w:numId="3" w16cid:durableId="2063405974">
    <w:abstractNumId w:val="5"/>
  </w:num>
  <w:num w:numId="4" w16cid:durableId="398402884">
    <w:abstractNumId w:val="4"/>
  </w:num>
  <w:num w:numId="5" w16cid:durableId="37046597">
    <w:abstractNumId w:val="7"/>
  </w:num>
  <w:num w:numId="6" w16cid:durableId="1253736337">
    <w:abstractNumId w:val="3"/>
  </w:num>
  <w:num w:numId="7" w16cid:durableId="1813523195">
    <w:abstractNumId w:val="2"/>
  </w:num>
  <w:num w:numId="8" w16cid:durableId="977875645">
    <w:abstractNumId w:val="1"/>
  </w:num>
  <w:num w:numId="9" w16cid:durableId="1968510249">
    <w:abstractNumId w:val="0"/>
  </w:num>
  <w:num w:numId="10" w16cid:durableId="1265112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9B5"/>
    <w:rsid w:val="00127FC0"/>
    <w:rsid w:val="001355D7"/>
    <w:rsid w:val="0015074B"/>
    <w:rsid w:val="001F47A2"/>
    <w:rsid w:val="0029639D"/>
    <w:rsid w:val="00326F90"/>
    <w:rsid w:val="003A2AC1"/>
    <w:rsid w:val="00476230"/>
    <w:rsid w:val="00573232"/>
    <w:rsid w:val="0067221F"/>
    <w:rsid w:val="00775F81"/>
    <w:rsid w:val="007D302D"/>
    <w:rsid w:val="007D64EE"/>
    <w:rsid w:val="007F5C29"/>
    <w:rsid w:val="008629D6"/>
    <w:rsid w:val="0090386F"/>
    <w:rsid w:val="00917751"/>
    <w:rsid w:val="00930E88"/>
    <w:rsid w:val="009707C0"/>
    <w:rsid w:val="009F3D85"/>
    <w:rsid w:val="00A209E8"/>
    <w:rsid w:val="00A471A1"/>
    <w:rsid w:val="00AA1D8D"/>
    <w:rsid w:val="00AB59A8"/>
    <w:rsid w:val="00AF759D"/>
    <w:rsid w:val="00B20100"/>
    <w:rsid w:val="00B47730"/>
    <w:rsid w:val="00B67754"/>
    <w:rsid w:val="00B720FA"/>
    <w:rsid w:val="00BB263C"/>
    <w:rsid w:val="00C255BA"/>
    <w:rsid w:val="00C650CB"/>
    <w:rsid w:val="00C701D0"/>
    <w:rsid w:val="00CA2A09"/>
    <w:rsid w:val="00CB0664"/>
    <w:rsid w:val="00D500B1"/>
    <w:rsid w:val="00D82476"/>
    <w:rsid w:val="00E73898"/>
    <w:rsid w:val="00EB0D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B343D"/>
  <w14:defaultImageDpi w14:val="300"/>
  <w15:docId w15:val="{5434FBCC-78B1-4D73-96A2-37FE007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John Adinarayana</cp:lastModifiedBy>
  <cp:revision>25</cp:revision>
  <dcterms:created xsi:type="dcterms:W3CDTF">2013-12-23T23:15:00Z</dcterms:created>
  <dcterms:modified xsi:type="dcterms:W3CDTF">2026-05-29T07:40:00Z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ad4c04cb-b8bd-451b-b0e7-ed9c08cd3f1c</vt:lpwstr>
  </property>
</Properties>
</file>