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A34" w:rsidRDefault="00876A34" w:rsidP="00876A34">
      <w:pPr>
        <w:spacing w:after="0"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62336" behindDoc="0" locked="0" layoutInCell="1" allowOverlap="1" wp14:anchorId="2D3194F3" wp14:editId="622BF47C">
                <wp:simplePos x="0" y="0"/>
                <wp:positionH relativeFrom="column">
                  <wp:posOffset>-828675</wp:posOffset>
                </wp:positionH>
                <wp:positionV relativeFrom="paragraph">
                  <wp:posOffset>-192405</wp:posOffset>
                </wp:positionV>
                <wp:extent cx="942975" cy="880110"/>
                <wp:effectExtent l="0" t="0" r="9525" b="0"/>
                <wp:wrapNone/>
                <wp:docPr id="241873185" name="Text Box 4"/>
                <wp:cNvGraphicFramePr/>
                <a:graphic xmlns:a="http://schemas.openxmlformats.org/drawingml/2006/main">
                  <a:graphicData uri="http://schemas.microsoft.com/office/word/2010/wordprocessingShape">
                    <wps:wsp>
                      <wps:cNvSpPr txBox="1"/>
                      <wps:spPr>
                        <a:xfrm>
                          <a:off x="0" y="0"/>
                          <a:ext cx="942975" cy="880110"/>
                        </a:xfrm>
                        <a:prstGeom prst="rect">
                          <a:avLst/>
                        </a:prstGeom>
                        <a:solidFill>
                          <a:schemeClr val="lt1"/>
                        </a:solidFill>
                        <a:ln w="6350">
                          <a:noFill/>
                        </a:ln>
                      </wps:spPr>
                      <wps:txbx>
                        <w:txbxContent>
                          <w:p w:rsidR="00535B8B" w:rsidRDefault="00535B8B" w:rsidP="00876A34">
                            <w:r>
                              <w:rPr>
                                <w:noProof/>
                              </w:rPr>
                              <w:drawing>
                                <wp:inline distT="0" distB="0" distL="0" distR="0" wp14:anchorId="7F29E5CF" wp14:editId="05622998">
                                  <wp:extent cx="769620" cy="704215"/>
                                  <wp:effectExtent l="0" t="0" r="0" b="635"/>
                                  <wp:docPr id="265056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56953" name=""/>
                                          <pic:cNvPicPr/>
                                        </pic:nvPicPr>
                                        <pic:blipFill>
                                          <a:blip r:embed="rId6"/>
                                          <a:stretch>
                                            <a:fillRect/>
                                          </a:stretch>
                                        </pic:blipFill>
                                        <pic:spPr>
                                          <a:xfrm>
                                            <a:off x="0" y="0"/>
                                            <a:ext cx="769620" cy="704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194F3" id="_x0000_t202" coordsize="21600,21600" o:spt="202" path="m,l,21600r21600,l21600,xe">
                <v:stroke joinstyle="miter"/>
                <v:path gradientshapeok="t" o:connecttype="rect"/>
              </v:shapetype>
              <v:shape id="Text Box 4" o:spid="_x0000_s1026" type="#_x0000_t202" style="position:absolute;margin-left:-65.25pt;margin-top:-15.15pt;width:74.2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" fillcolor="white [3201]" stroked="f" strokeweight=".5pt">
                <v:textbox>
                  <w:txbxContent>
                    <w:p w:rsidR="00535B8B" w:rsidRDefault="00535B8B" w:rsidP="00876A34">
                      <w:r>
                        <w:rPr>
                          <w:noProof/>
                        </w:rPr>
                        <w:drawing>
                          <wp:inline distT="0" distB="0" distL="0" distR="0" wp14:anchorId="7F29E5CF" wp14:editId="05622998">
                            <wp:extent cx="769620" cy="704215"/>
                            <wp:effectExtent l="0" t="0" r="0" b="635"/>
                            <wp:docPr id="265056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56953" name=""/>
                                    <pic:cNvPicPr/>
                                  </pic:nvPicPr>
                                  <pic:blipFill>
                                    <a:blip r:embed="rId6"/>
                                    <a:stretch>
                                      <a:fillRect/>
                                    </a:stretch>
                                  </pic:blipFill>
                                  <pic:spPr>
                                    <a:xfrm>
                                      <a:off x="0" y="0"/>
                                      <a:ext cx="769620" cy="704215"/>
                                    </a:xfrm>
                                    <a:prstGeom prst="rect">
                                      <a:avLst/>
                                    </a:prstGeom>
                                  </pic:spPr>
                                </pic:pic>
                              </a:graphicData>
                            </a:graphic>
                          </wp:inline>
                        </w:drawing>
                      </w:r>
                    </w:p>
                  </w:txbxContent>
                </v:textbox>
              </v:shape>
            </w:pict>
          </mc:Fallback>
        </mc:AlternateContent>
      </w:r>
    </w:p>
    <w:p w:rsidR="0035598D" w:rsidRPr="0035598D" w:rsidRDefault="0035598D" w:rsidP="0035598D">
      <w:pPr>
        <w:spacing w:after="0" w:line="240" w:lineRule="auto"/>
        <w:jc w:val="center"/>
        <w:outlineLvl w:val="2"/>
        <w:rPr>
          <w:rFonts w:ascii="Times New Roman" w:eastAsia="Times New Roman" w:hAnsi="Times New Roman" w:cs="Times New Roman"/>
          <w:b/>
          <w:bCs/>
          <w:kern w:val="0"/>
          <w:sz w:val="14"/>
          <w:szCs w:val="14"/>
          <w14:ligatures w14:val="none"/>
        </w:rPr>
      </w:pPr>
      <w:r w:rsidRPr="0035598D">
        <w:rPr>
          <w:rFonts w:ascii="Times New Roman" w:eastAsia="Times New Roman" w:hAnsi="Times New Roman" w:cs="Times New Roman"/>
          <w:b/>
          <w:bCs/>
          <w:kern w:val="0"/>
          <w:sz w:val="24"/>
          <w:szCs w:val="24"/>
          <w14:ligatures w14:val="none"/>
        </w:rPr>
        <w:t xml:space="preserve">Optimization of Saponification, Iodine, and Acid Values of </w:t>
      </w:r>
      <w:r w:rsidRPr="00172E67">
        <w:rPr>
          <w:rFonts w:ascii="Times New Roman" w:eastAsia="Times New Roman" w:hAnsi="Times New Roman" w:cs="Times New Roman"/>
          <w:b/>
          <w:bCs/>
          <w:i/>
          <w:kern w:val="0"/>
          <w:sz w:val="24"/>
          <w:szCs w:val="24"/>
          <w14:ligatures w14:val="none"/>
        </w:rPr>
        <w:t>Cassia fistula</w:t>
      </w:r>
      <w:r w:rsidRPr="0035598D">
        <w:rPr>
          <w:rFonts w:ascii="Times New Roman" w:eastAsia="Times New Roman" w:hAnsi="Times New Roman" w:cs="Times New Roman"/>
          <w:b/>
          <w:bCs/>
          <w:kern w:val="0"/>
          <w:sz w:val="24"/>
          <w:szCs w:val="24"/>
          <w14:ligatures w14:val="none"/>
        </w:rPr>
        <w:t xml:space="preserve"> Seed Oil for Biodiesel Production</w:t>
      </w:r>
    </w:p>
    <w:p w:rsidR="0035598D" w:rsidRPr="0035598D" w:rsidRDefault="0035598D" w:rsidP="0035598D">
      <w:pPr>
        <w:spacing w:after="0" w:line="240" w:lineRule="auto"/>
        <w:jc w:val="center"/>
        <w:outlineLvl w:val="2"/>
        <w:rPr>
          <w:rFonts w:ascii="Times New Roman" w:eastAsia="Times New Roman" w:hAnsi="Times New Roman" w:cs="Times New Roman"/>
          <w:b/>
          <w:bCs/>
          <w:kern w:val="0"/>
          <w:vertAlign w:val="superscript"/>
          <w14:ligatures w14:val="none"/>
        </w:rPr>
      </w:pPr>
      <w:r w:rsidRPr="0035598D">
        <w:rPr>
          <w:rFonts w:ascii="Times New Roman" w:eastAsia="Times New Roman" w:hAnsi="Times New Roman" w:cs="Times New Roman"/>
          <w:b/>
          <w:bCs/>
          <w:kern w:val="0"/>
          <w14:ligatures w14:val="none"/>
        </w:rPr>
        <w:t>S. Ogundipe</w:t>
      </w:r>
      <w:r w:rsidRPr="0035598D">
        <w:rPr>
          <w:rFonts w:ascii="Times New Roman" w:eastAsia="Times New Roman" w:hAnsi="Times New Roman" w:cs="Times New Roman"/>
          <w:b/>
          <w:bCs/>
          <w:kern w:val="0"/>
          <w:vertAlign w:val="superscript"/>
          <w14:ligatures w14:val="none"/>
        </w:rPr>
        <w:t>1</w:t>
      </w:r>
      <w:r w:rsidRPr="0035598D">
        <w:rPr>
          <w:rFonts w:ascii="Times New Roman" w:eastAsia="Times New Roman" w:hAnsi="Times New Roman" w:cs="Times New Roman"/>
          <w:b/>
          <w:bCs/>
          <w:kern w:val="0"/>
          <w14:ligatures w14:val="none"/>
        </w:rPr>
        <w:t>*, T. E. Odetoye</w:t>
      </w:r>
      <w:r w:rsidRPr="0035598D">
        <w:rPr>
          <w:rFonts w:ascii="Times New Roman" w:eastAsia="Times New Roman" w:hAnsi="Times New Roman" w:cs="Times New Roman"/>
          <w:b/>
          <w:bCs/>
          <w:kern w:val="0"/>
          <w:vertAlign w:val="superscript"/>
          <w14:ligatures w14:val="none"/>
        </w:rPr>
        <w:t>2</w:t>
      </w:r>
      <w:r w:rsidRPr="0035598D">
        <w:rPr>
          <w:rFonts w:ascii="Times New Roman" w:eastAsia="Times New Roman" w:hAnsi="Times New Roman" w:cs="Times New Roman"/>
          <w:b/>
          <w:bCs/>
          <w:kern w:val="0"/>
          <w14:ligatures w14:val="none"/>
        </w:rPr>
        <w:t xml:space="preserve">, G. A. </w:t>
      </w:r>
      <w:r w:rsidRPr="0035598D">
        <w:rPr>
          <w:rFonts w:ascii="Times New Roman" w:eastAsia="Calibri" w:hAnsi="Times New Roman" w:cs="Times New Roman"/>
          <w:b/>
          <w:szCs w:val="24"/>
        </w:rPr>
        <w:t>Adeniyi</w:t>
      </w:r>
      <w:r w:rsidRPr="0035598D">
        <w:rPr>
          <w:rFonts w:ascii="Times New Roman" w:eastAsia="Times New Roman" w:hAnsi="Times New Roman" w:cs="Times New Roman"/>
          <w:b/>
          <w:bCs/>
          <w:kern w:val="0"/>
          <w14:ligatures w14:val="none"/>
        </w:rPr>
        <w:t xml:space="preserve"> </w:t>
      </w:r>
      <w:r w:rsidRPr="0035598D">
        <w:rPr>
          <w:rFonts w:ascii="Times New Roman" w:eastAsia="Times New Roman" w:hAnsi="Times New Roman" w:cs="Times New Roman"/>
          <w:b/>
          <w:bCs/>
          <w:kern w:val="0"/>
          <w:vertAlign w:val="superscript"/>
          <w14:ligatures w14:val="none"/>
        </w:rPr>
        <w:t>3</w:t>
      </w:r>
    </w:p>
    <w:p w:rsidR="0035598D" w:rsidRPr="0035598D" w:rsidRDefault="0035598D" w:rsidP="0035598D">
      <w:pPr>
        <w:spacing w:after="0" w:line="240" w:lineRule="auto"/>
        <w:jc w:val="center"/>
        <w:outlineLvl w:val="2"/>
        <w:rPr>
          <w:rFonts w:ascii="Times New Roman" w:eastAsia="Times New Roman" w:hAnsi="Times New Roman" w:cs="Times New Roman"/>
          <w:kern w:val="0"/>
          <w:sz w:val="20"/>
          <w:szCs w:val="20"/>
          <w14:ligatures w14:val="none"/>
        </w:rPr>
      </w:pPr>
      <w:r w:rsidRPr="0035598D">
        <w:rPr>
          <w:rFonts w:ascii="Times New Roman" w:eastAsia="Times New Roman" w:hAnsi="Times New Roman" w:cs="Times New Roman"/>
          <w:kern w:val="0"/>
          <w:sz w:val="20"/>
          <w:szCs w:val="20"/>
          <w:vertAlign w:val="superscript"/>
          <w14:ligatures w14:val="none"/>
        </w:rPr>
        <w:t>1,2,3</w:t>
      </w:r>
      <w:r w:rsidRPr="0035598D">
        <w:rPr>
          <w:rFonts w:ascii="Times New Roman" w:eastAsia="Times New Roman" w:hAnsi="Times New Roman" w:cs="Times New Roman"/>
          <w:kern w:val="0"/>
          <w:sz w:val="20"/>
          <w:szCs w:val="20"/>
          <w14:ligatures w14:val="none"/>
        </w:rPr>
        <w:t>Department of Chemical Engineering, University of Ilorin, Ilorin, Nigeria.</w:t>
      </w:r>
    </w:p>
    <w:p w:rsidR="0035598D" w:rsidRPr="0035598D" w:rsidRDefault="0035598D" w:rsidP="0035598D">
      <w:pPr>
        <w:spacing w:after="0" w:line="240" w:lineRule="auto"/>
        <w:jc w:val="center"/>
        <w:outlineLvl w:val="2"/>
        <w:rPr>
          <w:rFonts w:ascii="Times New Roman" w:eastAsia="Times New Roman" w:hAnsi="Times New Roman" w:cs="Times New Roman"/>
          <w:bCs/>
          <w:kern w:val="0"/>
          <w:sz w:val="20"/>
          <w:szCs w:val="20"/>
          <w14:ligatures w14:val="none"/>
        </w:rPr>
      </w:pPr>
      <w:r w:rsidRPr="0035598D">
        <w:rPr>
          <w:rFonts w:ascii="Times New Roman" w:eastAsia="Times New Roman" w:hAnsi="Times New Roman" w:cs="Times New Roman"/>
          <w:b/>
          <w:bCs/>
          <w:kern w:val="0"/>
          <w:sz w:val="20"/>
          <w:szCs w:val="20"/>
          <w14:ligatures w14:val="none"/>
        </w:rPr>
        <w:t>*</w:t>
      </w:r>
      <w:r w:rsidRPr="0035598D">
        <w:rPr>
          <w:rFonts w:ascii="Times New Roman" w:eastAsia="Times New Roman" w:hAnsi="Times New Roman" w:cs="Times New Roman"/>
          <w:kern w:val="0"/>
          <w:sz w:val="20"/>
          <w:szCs w:val="20"/>
          <w14:ligatures w14:val="none"/>
        </w:rPr>
        <w:t>Email</w:t>
      </w:r>
      <w:r w:rsidRPr="0035598D">
        <w:rPr>
          <w:rFonts w:ascii="Times New Roman" w:eastAsia="Times New Roman" w:hAnsi="Times New Roman" w:cs="Times New Roman"/>
          <w:b/>
          <w:bCs/>
          <w:kern w:val="0"/>
          <w:sz w:val="20"/>
          <w:szCs w:val="20"/>
          <w14:ligatures w14:val="none"/>
        </w:rPr>
        <w:t xml:space="preserve">: </w:t>
      </w:r>
      <w:hyperlink r:id="rId7" w:history="1">
        <w:r w:rsidRPr="0035598D">
          <w:rPr>
            <w:rFonts w:ascii="Times New Roman" w:eastAsia="Calibri" w:hAnsi="Times New Roman" w:cs="Times New Roman"/>
            <w:color w:val="0000FF"/>
            <w:sz w:val="20"/>
            <w:szCs w:val="20"/>
            <w:u w:val="single"/>
          </w:rPr>
          <w:t>samsonogundipe@pgschool.edu.ng</w:t>
        </w:r>
        <w:r w:rsidRPr="0035598D">
          <w:rPr>
            <w:rFonts w:ascii="Times New Roman" w:eastAsia="Times New Roman" w:hAnsi="Times New Roman" w:cs="Times New Roman"/>
            <w:bCs/>
            <w:color w:val="0000FF"/>
            <w:kern w:val="0"/>
            <w:sz w:val="20"/>
            <w:szCs w:val="20"/>
            <w:u w:val="single"/>
            <w14:ligatures w14:val="none"/>
          </w:rPr>
          <w:t>,samsonogundipe81@gmail.com</w:t>
        </w:r>
      </w:hyperlink>
      <w:r w:rsidRPr="0035598D">
        <w:rPr>
          <w:rFonts w:ascii="Times New Roman" w:eastAsia="Times New Roman" w:hAnsi="Times New Roman" w:cs="Times New Roman"/>
          <w:bCs/>
          <w:kern w:val="0"/>
          <w:sz w:val="20"/>
          <w:szCs w:val="20"/>
          <w14:ligatures w14:val="none"/>
        </w:rPr>
        <w:t xml:space="preserve">  </w:t>
      </w:r>
    </w:p>
    <w:p w:rsidR="00876A34" w:rsidRDefault="00876A34" w:rsidP="00876A34">
      <w:pPr>
        <w:spacing w:after="60" w:line="240" w:lineRule="auto"/>
        <w:jc w:val="both"/>
        <w:rPr>
          <w:rFonts w:ascii="Times New Roman" w:hAnsi="Times New Roman" w:cs="Times New Roman"/>
          <w:b/>
          <w:bCs/>
          <w:i/>
          <w:iCs/>
          <w:sz w:val="20"/>
          <w:szCs w:val="20"/>
        </w:rPr>
      </w:pPr>
    </w:p>
    <w:p w:rsidR="00876A34" w:rsidRPr="007B6AFC" w:rsidRDefault="00876A34" w:rsidP="00876A34">
      <w:pPr>
        <w:spacing w:after="60" w:line="240" w:lineRule="auto"/>
        <w:jc w:val="both"/>
        <w:rPr>
          <w:rFonts w:ascii="Times New Roman" w:hAnsi="Times New Roman" w:cs="Times New Roman"/>
          <w:b/>
          <w:bCs/>
          <w:i/>
          <w:iCs/>
          <w:sz w:val="20"/>
          <w:szCs w:val="20"/>
        </w:rPr>
      </w:pPr>
      <w:r w:rsidRPr="00454C20">
        <w:rPr>
          <w:rFonts w:ascii="Times New Roman" w:hAnsi="Times New Roman" w:cs="Times New Roman"/>
          <w:b/>
          <w:bCs/>
          <w:i/>
          <w:iCs/>
          <w:sz w:val="20"/>
          <w:szCs w:val="20"/>
        </w:rPr>
        <w:t>ABSTRACT</w:t>
      </w:r>
    </w:p>
    <w:p w:rsidR="00876A34" w:rsidRPr="007B6AFC" w:rsidRDefault="00172E67" w:rsidP="00876A34">
      <w:pPr>
        <w:spacing w:after="60" w:line="240" w:lineRule="auto"/>
        <w:jc w:val="both"/>
        <w:rPr>
          <w:rFonts w:ascii="Times New Roman" w:hAnsi="Times New Roman" w:cs="Times New Roman"/>
          <w:sz w:val="20"/>
          <w:szCs w:val="20"/>
        </w:rPr>
      </w:pPr>
      <w:r w:rsidRPr="00172E67">
        <w:rPr>
          <w:rFonts w:ascii="Times New Roman" w:hAnsi="Times New Roman" w:cs="Times New Roman"/>
          <w:sz w:val="20"/>
          <w:szCs w:val="20"/>
        </w:rPr>
        <w:t xml:space="preserve">This study investigated the optimization of saponification, iodine, and acid (FFA) values of </w:t>
      </w:r>
      <w:r w:rsidRPr="00172E67">
        <w:rPr>
          <w:rFonts w:ascii="Times New Roman" w:hAnsi="Times New Roman" w:cs="Times New Roman"/>
          <w:i/>
          <w:sz w:val="20"/>
          <w:szCs w:val="20"/>
        </w:rPr>
        <w:t>Cassia fistula</w:t>
      </w:r>
      <w:r w:rsidRPr="00172E67">
        <w:rPr>
          <w:rFonts w:ascii="Times New Roman" w:hAnsi="Times New Roman" w:cs="Times New Roman"/>
          <w:sz w:val="20"/>
          <w:szCs w:val="20"/>
        </w:rPr>
        <w:t xml:space="preserve"> seed oil to evaluate its suitability as a biodiesel feedstock. A response surface methodology using Design Expert software </w:t>
      </w:r>
      <w:r>
        <w:rPr>
          <w:rFonts w:ascii="Times New Roman" w:hAnsi="Times New Roman" w:cs="Times New Roman"/>
          <w:sz w:val="20"/>
          <w:szCs w:val="20"/>
        </w:rPr>
        <w:t xml:space="preserve">version 12 </w:t>
      </w:r>
      <w:r w:rsidRPr="00172E67">
        <w:rPr>
          <w:rFonts w:ascii="Times New Roman" w:hAnsi="Times New Roman" w:cs="Times New Roman"/>
          <w:sz w:val="20"/>
          <w:szCs w:val="20"/>
        </w:rPr>
        <w:t>was employed to examine the effects of solid</w:t>
      </w:r>
      <w:r>
        <w:rPr>
          <w:rFonts w:ascii="Times New Roman" w:hAnsi="Times New Roman" w:cs="Times New Roman"/>
          <w:sz w:val="20"/>
          <w:szCs w:val="20"/>
        </w:rPr>
        <w:t xml:space="preserve"> </w:t>
      </w:r>
      <w:r w:rsidRPr="00172E67">
        <w:rPr>
          <w:rFonts w:ascii="Times New Roman" w:hAnsi="Times New Roman" w:cs="Times New Roman"/>
          <w:sz w:val="20"/>
          <w:szCs w:val="20"/>
        </w:rPr>
        <w:t>to</w:t>
      </w:r>
      <w:r>
        <w:rPr>
          <w:rFonts w:ascii="Times New Roman" w:hAnsi="Times New Roman" w:cs="Times New Roman"/>
          <w:sz w:val="20"/>
          <w:szCs w:val="20"/>
        </w:rPr>
        <w:t xml:space="preserve"> </w:t>
      </w:r>
      <w:r w:rsidRPr="00172E67">
        <w:rPr>
          <w:rFonts w:ascii="Times New Roman" w:hAnsi="Times New Roman" w:cs="Times New Roman"/>
          <w:sz w:val="20"/>
          <w:szCs w:val="20"/>
        </w:rPr>
        <w:t xml:space="preserve">solvent ratio, extraction temperature, and extraction time on key physicochemical properties. The FFA content ranged from 0.56–4.10%, iodine value from 14.9–25.0 g I₂/100 g, and saponification value from 170.8–210.3 mg KOH/g, indicating that extraction parameters significantly influenced oil quality. ANOVA results confirmed that the developed quadratic models were significant and adequately described the relationships between process variables and responses. Temperature and solvent ratio were found to play major roles in controlling hydrolysis, degree of unsaturation, and fatty acid chain length distribution. Optimal extraction conditions (7 g/g solid-to-solvent ratio, 67.5 °C, and 3 h) produced oil with moderate FFA (2.15%), desirable iodine value (20.19 g I₂/100 g), and high saponification value (203.85 mg KOH/g). These findings demonstrate that </w:t>
      </w:r>
      <w:r w:rsidRPr="00172E67">
        <w:rPr>
          <w:rFonts w:ascii="Times New Roman" w:hAnsi="Times New Roman" w:cs="Times New Roman"/>
          <w:i/>
          <w:sz w:val="20"/>
          <w:szCs w:val="20"/>
        </w:rPr>
        <w:t xml:space="preserve">Cassia </w:t>
      </w:r>
      <w:r w:rsidRPr="00172E67">
        <w:rPr>
          <w:rFonts w:ascii="Times New Roman" w:hAnsi="Times New Roman" w:cs="Times New Roman"/>
          <w:sz w:val="20"/>
          <w:szCs w:val="20"/>
        </w:rPr>
        <w:t>fistula seed oil possesses favorable physicochemical characteristics and strong potential as a sustainable raw material for biodiesel production.</w:t>
      </w:r>
    </w:p>
    <w:p w:rsidR="00172E67" w:rsidRPr="00454C20" w:rsidRDefault="00876A34" w:rsidP="00876A34">
      <w:pPr>
        <w:spacing w:after="60" w:line="240" w:lineRule="auto"/>
        <w:jc w:val="both"/>
        <w:rPr>
          <w:rFonts w:ascii="Times New Roman" w:hAnsi="Times New Roman" w:cs="Times New Roman"/>
          <w:sz w:val="20"/>
          <w:szCs w:val="20"/>
        </w:rPr>
      </w:pPr>
      <w:r w:rsidRPr="00454C20">
        <w:rPr>
          <w:rFonts w:ascii="Times New Roman" w:hAnsi="Times New Roman" w:cs="Times New Roman"/>
          <w:b/>
          <w:bCs/>
          <w:i/>
          <w:iCs/>
          <w:sz w:val="20"/>
          <w:szCs w:val="20"/>
        </w:rPr>
        <w:t>KEYWORDS:</w:t>
      </w:r>
      <w:r w:rsidRPr="00454C20">
        <w:rPr>
          <w:rFonts w:ascii="Times New Roman" w:hAnsi="Times New Roman" w:cs="Times New Roman"/>
          <w:sz w:val="20"/>
          <w:szCs w:val="20"/>
        </w:rPr>
        <w:t xml:space="preserve"> </w:t>
      </w:r>
      <w:bookmarkStart w:id="0" w:name="_Hlk200539832"/>
      <w:bookmarkStart w:id="1" w:name="_Hlk200533039"/>
      <w:bookmarkStart w:id="2" w:name="_Hlk200537865"/>
      <w:r w:rsidR="00172E67" w:rsidRPr="00172E67">
        <w:rPr>
          <w:rFonts w:ascii="Times New Roman" w:hAnsi="Times New Roman" w:cs="Times New Roman"/>
          <w:i/>
          <w:sz w:val="20"/>
          <w:szCs w:val="20"/>
        </w:rPr>
        <w:t>Cassia fistula</w:t>
      </w:r>
      <w:r w:rsidR="00172E67" w:rsidRPr="00172E67">
        <w:rPr>
          <w:rFonts w:ascii="Times New Roman" w:hAnsi="Times New Roman" w:cs="Times New Roman"/>
          <w:sz w:val="20"/>
          <w:szCs w:val="20"/>
        </w:rPr>
        <w:t xml:space="preserve"> seed oil, Biodiesel production, Free fatty acid (FFA), Iodine value, Saponification value, Extraction optimization, RSM, ANOVA analysis, Physicochemical properties, Renewable energy</w:t>
      </w:r>
    </w:p>
    <w:p w:rsidR="00876A34" w:rsidRPr="00454C20" w:rsidRDefault="00876A34" w:rsidP="00876A34">
      <w:pPr>
        <w:spacing w:line="360" w:lineRule="auto"/>
        <w:jc w:val="both"/>
        <w:rPr>
          <w:rFonts w:ascii="Times New Roman" w:hAnsi="Times New Roman" w:cs="Times New Roman"/>
          <w:iCs/>
          <w:color w:val="000000"/>
          <w:sz w:val="20"/>
          <w:szCs w:val="20"/>
        </w:rPr>
      </w:pPr>
      <w:bookmarkStart w:id="3" w:name="_Hlk200537813"/>
      <w:r w:rsidRPr="00454C20">
        <w:rPr>
          <w:rFonts w:ascii="Times New Roman" w:hAnsi="Times New Roman" w:cs="Times New Roman"/>
          <w:b/>
          <w:i/>
          <w:iCs/>
          <w:noProof/>
          <w:sz w:val="20"/>
          <w:szCs w:val="20"/>
        </w:rPr>
        <mc:AlternateContent>
          <mc:Choice Requires="wps">
            <w:drawing>
              <wp:anchor distT="0" distB="0" distL="114300" distR="114300" simplePos="0" relativeHeight="251661312" behindDoc="1" locked="0" layoutInCell="1" allowOverlap="1" wp14:anchorId="4B4F1A74" wp14:editId="34B6B313">
                <wp:simplePos x="0" y="0"/>
                <wp:positionH relativeFrom="column">
                  <wp:posOffset>12700</wp:posOffset>
                </wp:positionH>
                <wp:positionV relativeFrom="paragraph">
                  <wp:posOffset>59690</wp:posOffset>
                </wp:positionV>
                <wp:extent cx="4998720" cy="266700"/>
                <wp:effectExtent l="0" t="0" r="0" b="0"/>
                <wp:wrapNone/>
                <wp:docPr id="766544778" name="Text Box 2"/>
                <wp:cNvGraphicFramePr/>
                <a:graphic xmlns:a="http://schemas.openxmlformats.org/drawingml/2006/main">
                  <a:graphicData uri="http://schemas.microsoft.com/office/word/2010/wordprocessingShape">
                    <wps:wsp>
                      <wps:cNvSpPr txBox="1"/>
                      <wps:spPr>
                        <a:xfrm>
                          <a:off x="0" y="0"/>
                          <a:ext cx="4998720" cy="266700"/>
                        </a:xfrm>
                        <a:prstGeom prst="rect">
                          <a:avLst/>
                        </a:prstGeom>
                        <a:solidFill>
                          <a:schemeClr val="lt1"/>
                        </a:solidFill>
                        <a:ln w="6350">
                          <a:noFill/>
                        </a:ln>
                      </wps:spPr>
                      <wps:txbx>
                        <w:txbxContent>
                          <w:p w:rsidR="00535B8B" w:rsidRPr="00454C20" w:rsidRDefault="00535B8B" w:rsidP="00876A34">
                            <w:pPr>
                              <w:rPr>
                                <w:rFonts w:ascii="Times New Roman" w:hAnsi="Times New Roman" w:cs="Times New Roman"/>
                                <w:sz w:val="20"/>
                                <w:szCs w:val="20"/>
                              </w:rPr>
                            </w:pPr>
                            <w:r w:rsidRPr="00454C20">
                              <w:rPr>
                                <w:rFonts w:ascii="Times New Roman" w:hAnsi="Times New Roman" w:cs="Times New Roman"/>
                                <w:sz w:val="20"/>
                                <w:szCs w:val="20"/>
                              </w:rPr>
                              <w:t>DOI:</w:t>
                            </w:r>
                            <w:r>
                              <w:rPr>
                                <w:rFonts w:ascii="Times New Roman" w:hAnsi="Times New Roman" w:cs="Times New Roman"/>
                                <w:sz w:val="20"/>
                                <w:szCs w:val="20"/>
                              </w:rPr>
                              <w:t xml:space="preserve"> </w:t>
                            </w:r>
                            <w:r w:rsidRPr="00894D68">
                              <w:rPr>
                                <w:rFonts w:ascii="Times New Roman" w:hAnsi="Times New Roman" w:cs="Times New Roman"/>
                                <w:sz w:val="20"/>
                                <w:szCs w:val="20"/>
                              </w:rPr>
                              <w:t>10.63748/FETiCON202</w:t>
                            </w:r>
                            <w:r>
                              <w:rPr>
                                <w:rFonts w:ascii="Times New Roman" w:hAnsi="Times New Roman" w:cs="Times New Roman"/>
                                <w:sz w:val="20"/>
                                <w:szCs w:val="20"/>
                              </w:rPr>
                              <w:t>6</w:t>
                            </w:r>
                            <w:r w:rsidRPr="00894D68">
                              <w:rPr>
                                <w:rFonts w:ascii="Times New Roman" w:hAnsi="Times New Roman" w:cs="Times New Roman"/>
                                <w:sz w:val="20"/>
                                <w:szCs w:val="20"/>
                              </w:rPr>
                              <w:t>.v</w:t>
                            </w:r>
                            <w:r>
                              <w:rPr>
                                <w:rFonts w:ascii="Times New Roman" w:hAnsi="Times New Roman" w:cs="Times New Roman"/>
                                <w:sz w:val="20"/>
                                <w:szCs w:val="20"/>
                              </w:rPr>
                              <w:t>4</w:t>
                            </w:r>
                            <w:r w:rsidRPr="00894D68">
                              <w:rPr>
                                <w:rFonts w:ascii="Times New Roman" w:hAnsi="Times New Roman" w:cs="Times New Roman"/>
                                <w:sz w:val="20"/>
                                <w:szCs w:val="20"/>
                              </w:rPr>
                              <w:t>i1</w:t>
                            </w:r>
                            <w:r>
                              <w:rPr>
                                <w:rFonts w:ascii="Times New Roman" w:hAnsi="Times New Roman" w:cs="Times New Roman"/>
                                <w:sz w:val="20"/>
                                <w:szCs w:val="20"/>
                              </w:rPr>
                              <w:t>CMTid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F1A74" id="Text Box 2" o:spid="_x0000_s1027" type="#_x0000_t202" style="position:absolute;left:0;text-align:left;margin-left:1pt;margin-top:4.7pt;width:393.6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" fillcolor="white [3201]" stroked="f" strokeweight=".5pt">
                <v:textbox>
                  <w:txbxContent>
                    <w:p w:rsidR="00535B8B" w:rsidRPr="00454C20" w:rsidRDefault="00535B8B" w:rsidP="00876A34">
                      <w:pPr>
                        <w:rPr>
                          <w:rFonts w:ascii="Times New Roman" w:hAnsi="Times New Roman" w:cs="Times New Roman"/>
                          <w:sz w:val="20"/>
                          <w:szCs w:val="20"/>
                        </w:rPr>
                      </w:pPr>
                      <w:r w:rsidRPr="00454C20">
                        <w:rPr>
                          <w:rFonts w:ascii="Times New Roman" w:hAnsi="Times New Roman" w:cs="Times New Roman"/>
                          <w:sz w:val="20"/>
                          <w:szCs w:val="20"/>
                        </w:rPr>
                        <w:t>DOI:</w:t>
                      </w:r>
                      <w:r>
                        <w:rPr>
                          <w:rFonts w:ascii="Times New Roman" w:hAnsi="Times New Roman" w:cs="Times New Roman"/>
                          <w:sz w:val="20"/>
                          <w:szCs w:val="20"/>
                        </w:rPr>
                        <w:t xml:space="preserve"> </w:t>
                      </w:r>
                      <w:r w:rsidRPr="00894D68">
                        <w:rPr>
                          <w:rFonts w:ascii="Times New Roman" w:hAnsi="Times New Roman" w:cs="Times New Roman"/>
                          <w:sz w:val="20"/>
                          <w:szCs w:val="20"/>
                        </w:rPr>
                        <w:t>10.63748/FETiCON202</w:t>
                      </w:r>
                      <w:r>
                        <w:rPr>
                          <w:rFonts w:ascii="Times New Roman" w:hAnsi="Times New Roman" w:cs="Times New Roman"/>
                          <w:sz w:val="20"/>
                          <w:szCs w:val="20"/>
                        </w:rPr>
                        <w:t>6</w:t>
                      </w:r>
                      <w:r w:rsidRPr="00894D68">
                        <w:rPr>
                          <w:rFonts w:ascii="Times New Roman" w:hAnsi="Times New Roman" w:cs="Times New Roman"/>
                          <w:sz w:val="20"/>
                          <w:szCs w:val="20"/>
                        </w:rPr>
                        <w:t>.v</w:t>
                      </w:r>
                      <w:r>
                        <w:rPr>
                          <w:rFonts w:ascii="Times New Roman" w:hAnsi="Times New Roman" w:cs="Times New Roman"/>
                          <w:sz w:val="20"/>
                          <w:szCs w:val="20"/>
                        </w:rPr>
                        <w:t>4</w:t>
                      </w:r>
                      <w:r w:rsidRPr="00894D68">
                        <w:rPr>
                          <w:rFonts w:ascii="Times New Roman" w:hAnsi="Times New Roman" w:cs="Times New Roman"/>
                          <w:sz w:val="20"/>
                          <w:szCs w:val="20"/>
                        </w:rPr>
                        <w:t>i1</w:t>
                      </w:r>
                      <w:r>
                        <w:rPr>
                          <w:rFonts w:ascii="Times New Roman" w:hAnsi="Times New Roman" w:cs="Times New Roman"/>
                          <w:sz w:val="20"/>
                          <w:szCs w:val="20"/>
                        </w:rPr>
                        <w:t>CMTid</w:t>
                      </w:r>
                    </w:p>
                  </w:txbxContent>
                </v:textbox>
              </v:shape>
            </w:pict>
          </mc:Fallback>
        </mc:AlternateContent>
      </w:r>
      <w:r w:rsidRPr="00454C20">
        <w:rPr>
          <w:rFonts w:ascii="Times New Roman" w:hAnsi="Times New Roman" w:cs="Times New Roman"/>
          <w:b/>
          <w:noProof/>
          <w:sz w:val="12"/>
          <w:szCs w:val="12"/>
        </w:rPr>
        <mc:AlternateContent>
          <mc:Choice Requires="wps">
            <w:drawing>
              <wp:anchor distT="0" distB="0" distL="114300" distR="114300" simplePos="0" relativeHeight="251660288" behindDoc="0" locked="0" layoutInCell="1" allowOverlap="1" wp14:anchorId="6000BF0F" wp14:editId="17AE9684">
                <wp:simplePos x="0" y="0"/>
                <wp:positionH relativeFrom="column">
                  <wp:posOffset>5080</wp:posOffset>
                </wp:positionH>
                <wp:positionV relativeFrom="paragraph">
                  <wp:posOffset>19685</wp:posOffset>
                </wp:positionV>
                <wp:extent cx="6070600" cy="5080"/>
                <wp:effectExtent l="0" t="0" r="25400" b="33020"/>
                <wp:wrapNone/>
                <wp:docPr id="528428181"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BE77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55pt" to="47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" strokecolor="black [3200]" strokeweight="1pt">
                <v:stroke joinstyle="miter"/>
              </v:line>
            </w:pict>
          </mc:Fallback>
        </mc:AlternateContent>
      </w:r>
    </w:p>
    <w:bookmarkEnd w:id="3"/>
    <w:p w:rsidR="00876A34" w:rsidRPr="00454C20" w:rsidRDefault="00876A34" w:rsidP="00876A34">
      <w:pPr>
        <w:spacing w:after="0" w:line="240" w:lineRule="auto"/>
        <w:jc w:val="both"/>
        <w:rPr>
          <w:b/>
          <w:sz w:val="12"/>
          <w:szCs w:val="12"/>
        </w:rPr>
      </w:pPr>
      <w:r>
        <w:rPr>
          <w:b/>
          <w:noProof/>
          <w:sz w:val="12"/>
          <w:szCs w:val="12"/>
        </w:rPr>
        <mc:AlternateContent>
          <mc:Choice Requires="wps">
            <w:drawing>
              <wp:anchor distT="0" distB="0" distL="114300" distR="114300" simplePos="0" relativeHeight="251659264" behindDoc="0" locked="0" layoutInCell="1" allowOverlap="1" wp14:anchorId="1FD1074B" wp14:editId="31118AB5">
                <wp:simplePos x="0" y="0"/>
                <wp:positionH relativeFrom="column">
                  <wp:posOffset>25400</wp:posOffset>
                </wp:positionH>
                <wp:positionV relativeFrom="paragraph">
                  <wp:posOffset>25400</wp:posOffset>
                </wp:positionV>
                <wp:extent cx="6070600" cy="5080"/>
                <wp:effectExtent l="0" t="0" r="25400" b="33020"/>
                <wp:wrapNone/>
                <wp:docPr id="54379633" name="Straight Connector 1"/>
                <wp:cNvGraphicFramePr/>
                <a:graphic xmlns:a="http://schemas.openxmlformats.org/drawingml/2006/main">
                  <a:graphicData uri="http://schemas.microsoft.com/office/word/2010/wordprocessingShape">
                    <wps:wsp>
                      <wps:cNvCnPr/>
                      <wps:spPr>
                        <a:xfrm>
                          <a:off x="0" y="0"/>
                          <a:ext cx="6070600" cy="5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F8C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2pt" to="48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" strokecolor="black [3200]" strokeweight="1pt">
                <v:stroke joinstyle="miter"/>
              </v:line>
            </w:pict>
          </mc:Fallback>
        </mc:AlternateContent>
      </w:r>
      <w:bookmarkEnd w:id="0"/>
      <w:bookmarkEnd w:id="1"/>
      <w:bookmarkEnd w:id="2"/>
    </w:p>
    <w:p w:rsidR="00876A34" w:rsidRDefault="00876A34" w:rsidP="00876A34">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INTRODUCTION</w:t>
      </w:r>
    </w:p>
    <w:p w:rsidR="00876A34" w:rsidRDefault="0035598D" w:rsidP="00876A34">
      <w:pPr>
        <w:spacing w:after="0" w:line="240" w:lineRule="auto"/>
        <w:jc w:val="both"/>
        <w:rPr>
          <w:rFonts w:ascii="Times New Roman" w:eastAsia="Times New Roman" w:hAnsi="Times New Roman" w:cs="Times New Roman"/>
          <w:kern w:val="0"/>
          <w:sz w:val="20"/>
          <w:szCs w:val="20"/>
          <w14:ligatures w14:val="none"/>
        </w:rPr>
      </w:pPr>
      <w:r w:rsidRPr="0035598D">
        <w:rPr>
          <w:rFonts w:ascii="Times New Roman" w:eastAsia="Times New Roman" w:hAnsi="Times New Roman" w:cs="Times New Roman"/>
          <w:kern w:val="0"/>
          <w:sz w:val="20"/>
          <w:szCs w:val="20"/>
          <w14:ligatures w14:val="none"/>
        </w:rPr>
        <w:t>Global energy demand has risen steadily over the past decades due to rapid industrialization, urbanization, and population growth, leading to an increased reliance on fossil fuels such as petroleum, coal, and natural gas</w:t>
      </w:r>
      <w:sdt>
        <w:sdtPr>
          <w:rPr>
            <w:rFonts w:ascii="Times New Roman" w:eastAsia="Times New Roman" w:hAnsi="Times New Roman" w:cs="Times New Roman"/>
            <w:kern w:val="0"/>
            <w:sz w:val="20"/>
            <w:szCs w:val="20"/>
            <w14:ligatures w14:val="none"/>
          </w:rPr>
          <w:id w:val="-2070642762"/>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Hol221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(Holechek, Geli, Sawalhah, &amp; Valdez, 2022)</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According to the International Energy Agency, global energy consumption continues to expand, particularly in developing economies, intensifying concerns over fuel security, price volatility, and environmental degradation</w:t>
      </w:r>
      <w:sdt>
        <w:sdtPr>
          <w:rPr>
            <w:rFonts w:ascii="Times New Roman" w:eastAsia="Times New Roman" w:hAnsi="Times New Roman" w:cs="Times New Roman"/>
            <w:kern w:val="0"/>
            <w:sz w:val="20"/>
            <w:szCs w:val="20"/>
            <w14:ligatures w14:val="none"/>
          </w:rPr>
          <w:id w:val="-1214196998"/>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Zha256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(Zhang &amp; Usman,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The combustion of fossil fuels is a major contributor to greenhouse gas emissions, which drive climate change and global warming, as highlighted by the Intergovernmental Panel on Climate Change</w:t>
      </w:r>
      <w:sdt>
        <w:sdtPr>
          <w:rPr>
            <w:rFonts w:ascii="Times New Roman" w:eastAsia="Times New Roman" w:hAnsi="Times New Roman" w:cs="Times New Roman"/>
            <w:kern w:val="0"/>
            <w:sz w:val="20"/>
            <w:szCs w:val="20"/>
            <w14:ligatures w14:val="none"/>
          </w:rPr>
          <w:id w:val="402028946"/>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Soe25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(Soeder,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In response, renewable and sustainable energy sources have gained significant attention, with biodiesel emerging as a promising alternative fuel</w:t>
      </w:r>
      <w:sdt>
        <w:sdtPr>
          <w:rPr>
            <w:rFonts w:ascii="Times New Roman" w:eastAsia="Times New Roman" w:hAnsi="Times New Roman" w:cs="Times New Roman"/>
            <w:kern w:val="0"/>
            <w:sz w:val="20"/>
            <w:szCs w:val="20"/>
            <w14:ligatures w14:val="none"/>
          </w:rPr>
          <w:id w:val="461391260"/>
          <w:citation/>
        </w:sdtPr>
        <w:sdtContent>
          <w:r w:rsidR="00713471">
            <w:rPr>
              <w:rFonts w:ascii="Times New Roman" w:eastAsia="Times New Roman" w:hAnsi="Times New Roman" w:cs="Times New Roman"/>
              <w:kern w:val="0"/>
              <w:sz w:val="20"/>
              <w:szCs w:val="20"/>
              <w14:ligatures w14:val="none"/>
            </w:rPr>
            <w:fldChar w:fldCharType="begin"/>
          </w:r>
          <w:r w:rsidR="00713471">
            <w:rPr>
              <w:rFonts w:ascii="Times New Roman" w:eastAsia="Times New Roman" w:hAnsi="Times New Roman" w:cs="Times New Roman"/>
              <w:kern w:val="0"/>
              <w:sz w:val="20"/>
              <w:szCs w:val="20"/>
              <w:lang w:val="en-GB"/>
              <w14:ligatures w14:val="none"/>
            </w:rPr>
            <w:instrText xml:space="preserve"> CITATION Vat251 \l 2057 </w:instrText>
          </w:r>
          <w:r w:rsidR="00713471">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(Vatsha &amp; Alam, 2025)</w:t>
          </w:r>
          <w:r w:rsidR="00713471">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xml:space="preserve">. Biodiesel, produced from renewable biological resources such as vegetable oils and non-edible seed oils like </w:t>
      </w:r>
      <w:r w:rsidRPr="004C5F76">
        <w:rPr>
          <w:rFonts w:ascii="Times New Roman" w:eastAsia="Times New Roman" w:hAnsi="Times New Roman" w:cs="Times New Roman"/>
          <w:i/>
          <w:kern w:val="0"/>
          <w:sz w:val="20"/>
          <w:szCs w:val="20"/>
          <w14:ligatures w14:val="none"/>
        </w:rPr>
        <w:t>Cassia fistula</w:t>
      </w:r>
      <w:r w:rsidRPr="0035598D">
        <w:rPr>
          <w:rFonts w:ascii="Times New Roman" w:eastAsia="Times New Roman" w:hAnsi="Times New Roman" w:cs="Times New Roman"/>
          <w:kern w:val="0"/>
          <w:sz w:val="20"/>
          <w:szCs w:val="20"/>
          <w14:ligatures w14:val="none"/>
        </w:rPr>
        <w:t xml:space="preserve"> seed oil, offers advantages including biodegradability, lower sulfur content, reduced carbon monoxide emissions, and compatibility with existing diesel engines</w:t>
      </w:r>
      <w:sdt>
        <w:sdtPr>
          <w:rPr>
            <w:rFonts w:ascii="Times New Roman" w:eastAsia="Times New Roman" w:hAnsi="Times New Roman" w:cs="Times New Roman"/>
            <w:kern w:val="0"/>
            <w:sz w:val="20"/>
            <w:szCs w:val="20"/>
            <w14:ligatures w14:val="none"/>
          </w:rPr>
          <w:id w:val="297740943"/>
          <w:citation/>
        </w:sdt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Muh251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(Muhammed Raji, Manescau, Chetehouna, &amp; Ogabi, 2025)</w:t>
          </w:r>
          <w:r w:rsidR="00A023F3">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 Optimizing key physicochemical properties such as saponification value, iodine value, and acid value is essential to enhance fuel quality, engine performance, and compliance with international biodiesel standards, thereby supporting the transition toward cleaner and more sustainable energy systems</w:t>
      </w:r>
      <w:sdt>
        <w:sdtPr>
          <w:rPr>
            <w:rFonts w:ascii="Times New Roman" w:eastAsia="Times New Roman" w:hAnsi="Times New Roman" w:cs="Times New Roman"/>
            <w:kern w:val="0"/>
            <w:sz w:val="20"/>
            <w:szCs w:val="20"/>
            <w14:ligatures w14:val="none"/>
          </w:rPr>
          <w:id w:val="906808214"/>
          <w:citation/>
        </w:sdt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Suh241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(Suhara, et al., 2024)</w:t>
          </w:r>
          <w:r w:rsidR="00A023F3">
            <w:rPr>
              <w:rFonts w:ascii="Times New Roman" w:eastAsia="Times New Roman" w:hAnsi="Times New Roman" w:cs="Times New Roman"/>
              <w:kern w:val="0"/>
              <w:sz w:val="20"/>
              <w:szCs w:val="20"/>
              <w14:ligatures w14:val="none"/>
            </w:rPr>
            <w:fldChar w:fldCharType="end"/>
          </w:r>
        </w:sdtContent>
      </w:sdt>
      <w:r w:rsidRPr="0035598D">
        <w:rPr>
          <w:rFonts w:ascii="Times New Roman" w:eastAsia="Times New Roman" w:hAnsi="Times New Roman" w:cs="Times New Roman"/>
          <w:kern w:val="0"/>
          <w:sz w:val="20"/>
          <w:szCs w:val="20"/>
          <w14:ligatures w14:val="none"/>
        </w:rPr>
        <w:t>.</w:t>
      </w:r>
    </w:p>
    <w:p w:rsidR="004C5F76" w:rsidRDefault="004C5F76" w:rsidP="004C5F76">
      <w:pPr>
        <w:spacing w:after="0" w:line="240" w:lineRule="auto"/>
        <w:jc w:val="both"/>
        <w:rPr>
          <w:rFonts w:ascii="Times New Roman" w:eastAsia="Times New Roman" w:hAnsi="Times New Roman" w:cs="Times New Roman"/>
          <w:kern w:val="0"/>
          <w:sz w:val="20"/>
          <w:szCs w:val="20"/>
          <w14:ligatures w14:val="none"/>
        </w:rPr>
      </w:pPr>
    </w:p>
    <w:p w:rsidR="004C5F76" w:rsidRPr="004C5F76" w:rsidRDefault="004C5F76" w:rsidP="004C5F76">
      <w:pPr>
        <w:spacing w:after="0" w:line="240" w:lineRule="auto"/>
        <w:jc w:val="both"/>
        <w:rPr>
          <w:rFonts w:ascii="Times New Roman" w:eastAsia="Times New Roman" w:hAnsi="Times New Roman" w:cs="Times New Roman"/>
          <w:kern w:val="0"/>
          <w:sz w:val="20"/>
          <w:szCs w:val="20"/>
          <w14:ligatures w14:val="none"/>
        </w:rPr>
      </w:pPr>
      <w:r w:rsidRPr="004C5F76">
        <w:rPr>
          <w:rFonts w:ascii="Times New Roman" w:eastAsia="Times New Roman" w:hAnsi="Times New Roman" w:cs="Times New Roman"/>
          <w:kern w:val="0"/>
          <w:sz w:val="20"/>
          <w:szCs w:val="20"/>
          <w14:ligatures w14:val="none"/>
        </w:rPr>
        <w:t>Physicochemical properties play a crucial role in determining the suitability of vegetable oils for biodiesel production and the overall quality of the final fuel</w:t>
      </w:r>
      <w:sdt>
        <w:sdtPr>
          <w:rPr>
            <w:rFonts w:ascii="Times New Roman" w:eastAsia="Times New Roman" w:hAnsi="Times New Roman" w:cs="Times New Roman"/>
            <w:kern w:val="0"/>
            <w:sz w:val="20"/>
            <w:szCs w:val="20"/>
            <w14:ligatures w14:val="none"/>
          </w:rPr>
          <w:id w:val="-2050527476"/>
          <w:citation/>
        </w:sdtPr>
        <w:sdtContent>
          <w:r w:rsidR="00A023F3">
            <w:rPr>
              <w:rFonts w:ascii="Times New Roman" w:eastAsia="Times New Roman" w:hAnsi="Times New Roman" w:cs="Times New Roman"/>
              <w:kern w:val="0"/>
              <w:sz w:val="20"/>
              <w:szCs w:val="20"/>
              <w14:ligatures w14:val="none"/>
            </w:rPr>
            <w:fldChar w:fldCharType="begin"/>
          </w:r>
          <w:r w:rsidR="00A023F3">
            <w:rPr>
              <w:rFonts w:ascii="Times New Roman" w:eastAsia="Times New Roman" w:hAnsi="Times New Roman" w:cs="Times New Roman"/>
              <w:kern w:val="0"/>
              <w:sz w:val="20"/>
              <w:szCs w:val="20"/>
              <w:lang w:val="en-GB"/>
              <w14:ligatures w14:val="none"/>
            </w:rPr>
            <w:instrText xml:space="preserve"> CITATION Ume25 \l 2057 </w:instrText>
          </w:r>
          <w:r w:rsidR="00A023F3">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(Umeh &amp; Okonkwo, 2025)</w:t>
          </w:r>
          <w:r w:rsidR="00A023F3">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Parameters such as saponification value, iodine value, and acid value directly influence the transesterification process, fuel stability, and engine performance</w:t>
      </w:r>
      <w:sdt>
        <w:sdtPr>
          <w:rPr>
            <w:rFonts w:ascii="Times New Roman" w:eastAsia="Times New Roman" w:hAnsi="Times New Roman" w:cs="Times New Roman"/>
            <w:kern w:val="0"/>
            <w:sz w:val="20"/>
            <w:szCs w:val="20"/>
            <w14:ligatures w14:val="none"/>
          </w:rPr>
          <w:id w:val="-1553534315"/>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Ula22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(Ulakpa, Ulakpa, Egwunyenga, &amp; Egbosiuba, 2022)</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 saponification value provides insight into the average molecular weight of fatty acids present in the oil, which affects biodiesel yield and combustion characteristics</w:t>
      </w:r>
      <w:sdt>
        <w:sdtPr>
          <w:rPr>
            <w:rFonts w:ascii="Times New Roman" w:eastAsia="Times New Roman" w:hAnsi="Times New Roman" w:cs="Times New Roman"/>
            <w:kern w:val="0"/>
            <w:sz w:val="20"/>
            <w:szCs w:val="20"/>
            <w14:ligatures w14:val="none"/>
          </w:rPr>
          <w:id w:val="424769571"/>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Mas25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(Masjudin. &amp; Chang, 2025)</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 iodine value indicates the degree of unsaturation, influencing oxidative stability and cold flow properties, while the acid value reflects the amount of free fatty acids that can hinder transesterification and lead to soap formation. International standards such as those established by ASTM International (ASTM D6751) and the European Committee for Standardization (EN 14214) emphasize strict limits on these properties to ensure fuel quality, engine durability, and environmental safety</w:t>
      </w:r>
      <w:sdt>
        <w:sdtPr>
          <w:rPr>
            <w:rFonts w:ascii="Times New Roman" w:eastAsia="Times New Roman" w:hAnsi="Times New Roman" w:cs="Times New Roman"/>
            <w:kern w:val="0"/>
            <w:sz w:val="20"/>
            <w:szCs w:val="20"/>
            <w14:ligatures w14:val="none"/>
          </w:rPr>
          <w:id w:val="-395056170"/>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Raj224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(Raj, Solomon, &amp; Thangaraj, 2022)</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Therefore, optimizing these physicochemical parameters is essential for producing high-quality biodiesel that meets regulatory and performance requirements</w:t>
      </w:r>
      <w:sdt>
        <w:sdtPr>
          <w:rPr>
            <w:rFonts w:ascii="Times New Roman" w:eastAsia="Times New Roman" w:hAnsi="Times New Roman" w:cs="Times New Roman"/>
            <w:kern w:val="0"/>
            <w:sz w:val="20"/>
            <w:szCs w:val="20"/>
            <w14:ligatures w14:val="none"/>
          </w:rPr>
          <w:id w:val="1952047786"/>
          <w:citation/>
        </w:sdtPr>
        <w:sdtContent>
          <w:r w:rsidR="0091550B">
            <w:rPr>
              <w:rFonts w:ascii="Times New Roman" w:eastAsia="Times New Roman" w:hAnsi="Times New Roman" w:cs="Times New Roman"/>
              <w:kern w:val="0"/>
              <w:sz w:val="20"/>
              <w:szCs w:val="20"/>
              <w14:ligatures w14:val="none"/>
            </w:rPr>
            <w:fldChar w:fldCharType="begin"/>
          </w:r>
          <w:r w:rsidR="0091550B">
            <w:rPr>
              <w:rFonts w:ascii="Times New Roman" w:eastAsia="Times New Roman" w:hAnsi="Times New Roman" w:cs="Times New Roman"/>
              <w:kern w:val="0"/>
              <w:sz w:val="20"/>
              <w:szCs w:val="20"/>
              <w:lang w:val="en-GB"/>
              <w14:ligatures w14:val="none"/>
            </w:rPr>
            <w:instrText xml:space="preserve"> CITATION Sub25 \l 2057 </w:instrText>
          </w:r>
          <w:r w:rsidR="0091550B">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(Subramaniam, Sarip, Kaidi, &amp; Muhammad-Sukki, 2025)</w:t>
          </w:r>
          <w:r w:rsidR="0091550B">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w:t>
      </w:r>
    </w:p>
    <w:p w:rsidR="004C5F76" w:rsidRPr="004C5F76" w:rsidRDefault="004C5F76" w:rsidP="004C5F76">
      <w:pPr>
        <w:spacing w:after="0" w:line="240" w:lineRule="auto"/>
        <w:jc w:val="both"/>
        <w:rPr>
          <w:rFonts w:ascii="Times New Roman" w:eastAsia="Times New Roman" w:hAnsi="Times New Roman" w:cs="Times New Roman"/>
          <w:kern w:val="0"/>
          <w:sz w:val="20"/>
          <w:szCs w:val="20"/>
          <w14:ligatures w14:val="none"/>
        </w:rPr>
      </w:pPr>
    </w:p>
    <w:p w:rsidR="004C5F76" w:rsidRDefault="004C5F76" w:rsidP="004C5F76">
      <w:pPr>
        <w:spacing w:after="0" w:line="240" w:lineRule="auto"/>
        <w:jc w:val="both"/>
        <w:rPr>
          <w:rFonts w:ascii="Times New Roman" w:eastAsia="Times New Roman" w:hAnsi="Times New Roman" w:cs="Times New Roman"/>
          <w:kern w:val="0"/>
          <w:sz w:val="20"/>
          <w:szCs w:val="20"/>
          <w14:ligatures w14:val="none"/>
        </w:rPr>
      </w:pPr>
      <w:r w:rsidRPr="004C5F76">
        <w:rPr>
          <w:rFonts w:ascii="Times New Roman" w:eastAsia="Times New Roman" w:hAnsi="Times New Roman" w:cs="Times New Roman"/>
          <w:kern w:val="0"/>
          <w:sz w:val="20"/>
          <w:szCs w:val="20"/>
          <w14:ligatures w14:val="none"/>
        </w:rPr>
        <w:lastRenderedPageBreak/>
        <w:t xml:space="preserve">Despite extensive research on common feedstocks such as soybean, palm, and sunflower oils, limited studies have focused on non-edible and underutilized seed oils like </w:t>
      </w:r>
      <w:r w:rsidRPr="004C5F76">
        <w:rPr>
          <w:rFonts w:ascii="Times New Roman" w:eastAsia="Times New Roman" w:hAnsi="Times New Roman" w:cs="Times New Roman"/>
          <w:i/>
          <w:kern w:val="0"/>
          <w:sz w:val="20"/>
          <w:szCs w:val="20"/>
          <w14:ligatures w14:val="none"/>
        </w:rPr>
        <w:t>Cassia fistula</w:t>
      </w:r>
      <w:r w:rsidRPr="004C5F76">
        <w:rPr>
          <w:rFonts w:ascii="Times New Roman" w:eastAsia="Times New Roman" w:hAnsi="Times New Roman" w:cs="Times New Roman"/>
          <w:kern w:val="0"/>
          <w:sz w:val="20"/>
          <w:szCs w:val="20"/>
          <w14:ligatures w14:val="none"/>
        </w:rPr>
        <w:t xml:space="preserve"> seed oil, particularly regarding the systematic optimization of its saponification, iodine, and acid values for biodiesel suitability</w:t>
      </w:r>
      <w:sdt>
        <w:sdtPr>
          <w:rPr>
            <w:rFonts w:ascii="Times New Roman" w:eastAsia="Times New Roman" w:hAnsi="Times New Roman" w:cs="Times New Roman"/>
            <w:kern w:val="0"/>
            <w:sz w:val="20"/>
            <w:szCs w:val="20"/>
            <w14:ligatures w14:val="none"/>
          </w:rPr>
          <w:id w:val="-279191853"/>
          <w:citation/>
        </w:sdtPr>
        <w:sdtContent>
          <w:r w:rsidR="00A42595">
            <w:rPr>
              <w:rFonts w:ascii="Times New Roman" w:eastAsia="Times New Roman" w:hAnsi="Times New Roman" w:cs="Times New Roman"/>
              <w:kern w:val="0"/>
              <w:sz w:val="20"/>
              <w:szCs w:val="20"/>
              <w14:ligatures w14:val="none"/>
            </w:rPr>
            <w:fldChar w:fldCharType="begin"/>
          </w:r>
          <w:r w:rsidR="00A42595">
            <w:rPr>
              <w:rFonts w:ascii="Times New Roman" w:eastAsia="Times New Roman" w:hAnsi="Times New Roman" w:cs="Times New Roman"/>
              <w:kern w:val="0"/>
              <w:sz w:val="20"/>
              <w:szCs w:val="20"/>
              <w:lang w:val="en-GB"/>
              <w14:ligatures w14:val="none"/>
            </w:rPr>
            <w:instrText xml:space="preserve"> CITATION Ogu252 \l 2057 </w:instrText>
          </w:r>
          <w:r w:rsidR="00A42595">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(Ogunkunle &amp; Enweremadu, 2025)</w:t>
          </w:r>
          <w:r w:rsidR="00A42595">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Many existing studies report basic characterization without integrating process optimization techniques to enhance fuel quality and yield</w:t>
      </w:r>
      <w:sdt>
        <w:sdtPr>
          <w:rPr>
            <w:rFonts w:ascii="Times New Roman" w:eastAsia="Times New Roman" w:hAnsi="Times New Roman" w:cs="Times New Roman"/>
            <w:kern w:val="0"/>
            <w:sz w:val="20"/>
            <w:szCs w:val="20"/>
            <w14:ligatures w14:val="none"/>
          </w:rPr>
          <w:id w:val="1279371993"/>
          <w:citation/>
        </w:sdtPr>
        <w:sdtContent>
          <w:r w:rsidR="00A42595">
            <w:rPr>
              <w:rFonts w:ascii="Times New Roman" w:eastAsia="Times New Roman" w:hAnsi="Times New Roman" w:cs="Times New Roman"/>
              <w:kern w:val="0"/>
              <w:sz w:val="20"/>
              <w:szCs w:val="20"/>
              <w14:ligatures w14:val="none"/>
            </w:rPr>
            <w:fldChar w:fldCharType="begin"/>
          </w:r>
          <w:r w:rsidR="00A42595">
            <w:rPr>
              <w:rFonts w:ascii="Times New Roman" w:eastAsia="Times New Roman" w:hAnsi="Times New Roman" w:cs="Times New Roman"/>
              <w:kern w:val="0"/>
              <w:sz w:val="20"/>
              <w:szCs w:val="20"/>
              <w:lang w:val="en-GB"/>
              <w14:ligatures w14:val="none"/>
            </w:rPr>
            <w:instrText xml:space="preserve"> CITATION Paa25 \l 2057 </w:instrText>
          </w:r>
          <w:r w:rsidR="00A42595">
            <w:rPr>
              <w:rFonts w:ascii="Times New Roman" w:eastAsia="Times New Roman" w:hAnsi="Times New Roman" w:cs="Times New Roman"/>
              <w:kern w:val="0"/>
              <w:sz w:val="20"/>
              <w:szCs w:val="20"/>
              <w14:ligatures w14:val="none"/>
            </w:rPr>
            <w:fldChar w:fldCharType="separate"/>
          </w:r>
          <w:r w:rsidR="00A42595">
            <w:rPr>
              <w:rFonts w:ascii="Times New Roman" w:eastAsia="Times New Roman" w:hAnsi="Times New Roman" w:cs="Times New Roman"/>
              <w:noProof/>
              <w:kern w:val="0"/>
              <w:sz w:val="20"/>
              <w:szCs w:val="20"/>
              <w:lang w:val="en-GB"/>
              <w14:ligatures w14:val="none"/>
            </w:rPr>
            <w:t xml:space="preserve"> </w:t>
          </w:r>
          <w:r w:rsidR="00A42595" w:rsidRPr="00A42595">
            <w:rPr>
              <w:rFonts w:ascii="Times New Roman" w:eastAsia="Times New Roman" w:hAnsi="Times New Roman" w:cs="Times New Roman"/>
              <w:noProof/>
              <w:kern w:val="0"/>
              <w:sz w:val="20"/>
              <w:szCs w:val="20"/>
              <w:lang w:val="en-GB"/>
              <w14:ligatures w14:val="none"/>
            </w:rPr>
            <w:t>(Paavani, Agarwal, Alam, Dinda, &amp; Abrar, 2025)</w:t>
          </w:r>
          <w:r w:rsidR="00A42595">
            <w:rPr>
              <w:rFonts w:ascii="Times New Roman" w:eastAsia="Times New Roman" w:hAnsi="Times New Roman" w:cs="Times New Roman"/>
              <w:kern w:val="0"/>
              <w:sz w:val="20"/>
              <w:szCs w:val="20"/>
              <w14:ligatures w14:val="none"/>
            </w:rPr>
            <w:fldChar w:fldCharType="end"/>
          </w:r>
        </w:sdtContent>
      </w:sdt>
      <w:r w:rsidRPr="004C5F76">
        <w:rPr>
          <w:rFonts w:ascii="Times New Roman" w:eastAsia="Times New Roman" w:hAnsi="Times New Roman" w:cs="Times New Roman"/>
          <w:kern w:val="0"/>
          <w:sz w:val="20"/>
          <w:szCs w:val="20"/>
          <w14:ligatures w14:val="none"/>
        </w:rPr>
        <w:t xml:space="preserve">. This creates a research gap in understanding how controlled processing conditions can improve the physicochemical properties of </w:t>
      </w:r>
      <w:r w:rsidRPr="004C5F76">
        <w:rPr>
          <w:rFonts w:ascii="Times New Roman" w:eastAsia="Times New Roman" w:hAnsi="Times New Roman" w:cs="Times New Roman"/>
          <w:i/>
          <w:kern w:val="0"/>
          <w:sz w:val="20"/>
          <w:szCs w:val="20"/>
          <w14:ligatures w14:val="none"/>
        </w:rPr>
        <w:t>Cassia fistula</w:t>
      </w:r>
      <w:r w:rsidRPr="004C5F76">
        <w:rPr>
          <w:rFonts w:ascii="Times New Roman" w:eastAsia="Times New Roman" w:hAnsi="Times New Roman" w:cs="Times New Roman"/>
          <w:kern w:val="0"/>
          <w:sz w:val="20"/>
          <w:szCs w:val="20"/>
          <w14:ligatures w14:val="none"/>
        </w:rPr>
        <w:t xml:space="preserve"> seed oil for efficient biodiesel production. Therefore, the objective of this study is to evaluate and optimize these key parameters </w:t>
      </w:r>
      <w:r>
        <w:rPr>
          <w:rFonts w:ascii="Times New Roman" w:eastAsia="Times New Roman" w:hAnsi="Times New Roman" w:cs="Times New Roman"/>
          <w:kern w:val="0"/>
          <w:sz w:val="20"/>
          <w:szCs w:val="20"/>
          <w14:ligatures w14:val="none"/>
        </w:rPr>
        <w:t xml:space="preserve">like Acid value, saponification and iodine value </w:t>
      </w:r>
      <w:r w:rsidRPr="004C5F76">
        <w:rPr>
          <w:rFonts w:ascii="Times New Roman" w:eastAsia="Times New Roman" w:hAnsi="Times New Roman" w:cs="Times New Roman"/>
          <w:kern w:val="0"/>
          <w:sz w:val="20"/>
          <w:szCs w:val="20"/>
          <w14:ligatures w14:val="none"/>
        </w:rPr>
        <w:t xml:space="preserve">to enhance </w:t>
      </w:r>
      <w:r>
        <w:rPr>
          <w:rFonts w:ascii="Times New Roman" w:eastAsia="Times New Roman" w:hAnsi="Times New Roman" w:cs="Times New Roman"/>
          <w:kern w:val="0"/>
          <w:sz w:val="20"/>
          <w:szCs w:val="20"/>
          <w14:ligatures w14:val="none"/>
        </w:rPr>
        <w:t xml:space="preserve">oil for the production </w:t>
      </w:r>
      <w:r w:rsidRPr="004C5F76">
        <w:rPr>
          <w:rFonts w:ascii="Times New Roman" w:eastAsia="Times New Roman" w:hAnsi="Times New Roman" w:cs="Times New Roman"/>
          <w:kern w:val="0"/>
          <w:sz w:val="20"/>
          <w:szCs w:val="20"/>
          <w14:ligatures w14:val="none"/>
        </w:rPr>
        <w:t>biodiese</w:t>
      </w:r>
      <w:r>
        <w:rPr>
          <w:rFonts w:ascii="Times New Roman" w:eastAsia="Times New Roman" w:hAnsi="Times New Roman" w:cs="Times New Roman"/>
          <w:kern w:val="0"/>
          <w:sz w:val="20"/>
          <w:szCs w:val="20"/>
          <w14:ligatures w14:val="none"/>
        </w:rPr>
        <w:t>l.</w:t>
      </w:r>
    </w:p>
    <w:p w:rsidR="004C5F76" w:rsidRDefault="004C5F76" w:rsidP="00876A34">
      <w:pPr>
        <w:spacing w:after="0" w:line="240" w:lineRule="auto"/>
        <w:jc w:val="both"/>
        <w:rPr>
          <w:rFonts w:ascii="Times New Roman" w:eastAsia="Times New Roman" w:hAnsi="Times New Roman" w:cs="Times New Roman"/>
          <w:kern w:val="0"/>
          <w:sz w:val="20"/>
          <w:szCs w:val="20"/>
          <w14:ligatures w14:val="none"/>
        </w:rPr>
      </w:pPr>
    </w:p>
    <w:p w:rsidR="004C5F76" w:rsidRPr="00454C20" w:rsidRDefault="004C5F76" w:rsidP="00876A34">
      <w:pPr>
        <w:spacing w:after="0" w:line="240" w:lineRule="auto"/>
        <w:jc w:val="both"/>
        <w:rPr>
          <w:rFonts w:ascii="Times New Roman" w:eastAsia="Times New Roman" w:hAnsi="Times New Roman" w:cs="Times New Roman"/>
          <w:kern w:val="0"/>
          <w:sz w:val="20"/>
          <w:szCs w:val="20"/>
          <w14:ligatures w14:val="none"/>
        </w:rPr>
      </w:pPr>
    </w:p>
    <w:p w:rsidR="00876A34" w:rsidRDefault="00876A34" w:rsidP="00876A34">
      <w:pPr>
        <w:pStyle w:val="ListParagraph"/>
        <w:numPr>
          <w:ilvl w:val="0"/>
          <w:numId w:val="1"/>
        </w:numPr>
        <w:spacing w:after="0" w:line="240" w:lineRule="auto"/>
        <w:ind w:left="360"/>
        <w:outlineLvl w:val="1"/>
        <w:rPr>
          <w:rFonts w:ascii="Times New Roman" w:eastAsia="Times New Roman" w:hAnsi="Times New Roman" w:cs="Times New Roman"/>
          <w:b/>
          <w:bCs/>
          <w:kern w:val="0"/>
          <w:sz w:val="20"/>
          <w:szCs w:val="20"/>
          <w14:ligatures w14:val="none"/>
        </w:rPr>
      </w:pPr>
      <w:r w:rsidRPr="00454C20">
        <w:rPr>
          <w:rFonts w:ascii="Times New Roman" w:eastAsia="Times New Roman" w:hAnsi="Times New Roman" w:cs="Times New Roman"/>
          <w:b/>
          <w:bCs/>
          <w:kern w:val="0"/>
          <w:sz w:val="20"/>
          <w:szCs w:val="20"/>
          <w14:ligatures w14:val="none"/>
        </w:rPr>
        <w:t>MATERIALS AND METHODS</w:t>
      </w:r>
    </w:p>
    <w:p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.1 Materials</w:t>
      </w:r>
    </w:p>
    <w:p w:rsidR="004C5F76" w:rsidRPr="00297C42" w:rsidRDefault="004C5F76" w:rsidP="004C5F76">
      <w:pPr>
        <w:jc w:val="both"/>
        <w:rPr>
          <w:rFonts w:ascii="Times New Roman" w:hAnsi="Times New Roman" w:cs="Times New Roman"/>
          <w:sz w:val="20"/>
          <w:szCs w:val="20"/>
        </w:rPr>
      </w:pPr>
      <w:r w:rsidRPr="00297C42">
        <w:rPr>
          <w:rFonts w:ascii="Times New Roman" w:hAnsi="Times New Roman" w:cs="Times New Roman"/>
          <w:sz w:val="20"/>
          <w:szCs w:val="20"/>
        </w:rPr>
        <w:t xml:space="preserve">The </w:t>
      </w:r>
      <w:r w:rsidRPr="00297C42">
        <w:rPr>
          <w:rFonts w:ascii="Times New Roman" w:hAnsi="Times New Roman" w:cs="Times New Roman"/>
          <w:i/>
          <w:sz w:val="20"/>
          <w:szCs w:val="20"/>
        </w:rPr>
        <w:t>Cassia fistula</w:t>
      </w:r>
      <w:r w:rsidRPr="00297C42">
        <w:rPr>
          <w:rFonts w:ascii="Times New Roman" w:hAnsi="Times New Roman" w:cs="Times New Roman"/>
          <w:sz w:val="20"/>
          <w:szCs w:val="20"/>
        </w:rPr>
        <w:t xml:space="preserve"> seeds used for this experiment were collected from mature pods obtained from local trees in </w:t>
      </w:r>
      <w:proofErr w:type="spellStart"/>
      <w:r w:rsidRPr="00297C42">
        <w:rPr>
          <w:rFonts w:ascii="Times New Roman" w:hAnsi="Times New Roman" w:cs="Times New Roman"/>
          <w:sz w:val="20"/>
          <w:szCs w:val="20"/>
        </w:rPr>
        <w:t>Afe</w:t>
      </w:r>
      <w:proofErr w:type="spellEnd"/>
      <w:r w:rsidRPr="00297C42">
        <w:rPr>
          <w:rFonts w:ascii="Times New Roman" w:hAnsi="Times New Roman" w:cs="Times New Roman"/>
          <w:sz w:val="20"/>
          <w:szCs w:val="20"/>
        </w:rPr>
        <w:t xml:space="preserve"> Babalola University Ado Ekiti, Nigeria. The pods w</w:t>
      </w:r>
      <w:r>
        <w:rPr>
          <w:rFonts w:ascii="Times New Roman" w:hAnsi="Times New Roman" w:cs="Times New Roman"/>
          <w:sz w:val="20"/>
          <w:szCs w:val="20"/>
        </w:rPr>
        <w:t>ere</w:t>
      </w:r>
      <w:r w:rsidRPr="00297C42">
        <w:rPr>
          <w:rFonts w:ascii="Times New Roman" w:hAnsi="Times New Roman" w:cs="Times New Roman"/>
          <w:sz w:val="20"/>
          <w:szCs w:val="20"/>
        </w:rPr>
        <w:t xml:space="preserve"> gathered during the peak fruiting season to ensure maximum oil content. Once collected, the seeds w</w:t>
      </w:r>
      <w:r>
        <w:rPr>
          <w:rFonts w:ascii="Times New Roman" w:hAnsi="Times New Roman" w:cs="Times New Roman"/>
          <w:sz w:val="20"/>
          <w:szCs w:val="20"/>
        </w:rPr>
        <w:t>ere</w:t>
      </w:r>
      <w:r w:rsidRPr="00297C42">
        <w:rPr>
          <w:rFonts w:ascii="Times New Roman" w:hAnsi="Times New Roman" w:cs="Times New Roman"/>
          <w:sz w:val="20"/>
          <w:szCs w:val="20"/>
        </w:rPr>
        <w:t xml:space="preserve"> carefully separated from the pods, cleaned to remove any dirt or foreign materials, and then dried under sunlight to reduce moisture content. These prepared seeds will serve as the raw material for oil extraction and further processing into biodiesel and bio-lubricants. </w:t>
      </w:r>
    </w:p>
    <w:p w:rsidR="004C5F76" w:rsidRPr="009E1ECB" w:rsidRDefault="004C5F76" w:rsidP="004C5F76">
      <w:pPr>
        <w:jc w:val="both"/>
        <w:rPr>
          <w:rFonts w:ascii="Times New Roman" w:hAnsi="Times New Roman" w:cs="Times New Roman"/>
          <w:sz w:val="20"/>
          <w:szCs w:val="20"/>
        </w:rPr>
      </w:pPr>
      <w:r w:rsidRPr="00297C42">
        <w:rPr>
          <w:rFonts w:ascii="Times New Roman" w:hAnsi="Times New Roman" w:cs="Times New Roman"/>
          <w:sz w:val="20"/>
          <w:szCs w:val="20"/>
        </w:rPr>
        <w:t xml:space="preserve">All chemicals, solvents, and standards used in this study were of high purity to ensure analytical reliability. Organic solvents such as n-hexane was of analytical grade and procured from </w:t>
      </w:r>
      <w:proofErr w:type="spellStart"/>
      <w:r w:rsidRPr="00297C42">
        <w:rPr>
          <w:rFonts w:ascii="Times New Roman" w:hAnsi="Times New Roman" w:cs="Times New Roman"/>
          <w:sz w:val="20"/>
          <w:szCs w:val="20"/>
        </w:rPr>
        <w:t>Topjay</w:t>
      </w:r>
      <w:proofErr w:type="spellEnd"/>
      <w:r w:rsidRPr="00297C42">
        <w:rPr>
          <w:rFonts w:ascii="Times New Roman" w:hAnsi="Times New Roman" w:cs="Times New Roman"/>
          <w:sz w:val="20"/>
          <w:szCs w:val="20"/>
        </w:rPr>
        <w:t xml:space="preserve"> scientific stores, Ado Ekiti, Nigeria and maker </w:t>
      </w:r>
      <w:proofErr w:type="gramStart"/>
      <w:r w:rsidRPr="00297C42">
        <w:rPr>
          <w:rFonts w:ascii="Times New Roman" w:hAnsi="Times New Roman" w:cs="Times New Roman"/>
          <w:sz w:val="20"/>
          <w:szCs w:val="20"/>
        </w:rPr>
        <w:t>is</w:t>
      </w:r>
      <w:proofErr w:type="gramEnd"/>
      <w:r w:rsidRPr="00297C42">
        <w:rPr>
          <w:rFonts w:ascii="Times New Roman" w:hAnsi="Times New Roman" w:cs="Times New Roman"/>
          <w:sz w:val="20"/>
          <w:szCs w:val="20"/>
        </w:rPr>
        <w:t xml:space="preserve"> Fisher Scientific (UK). Reagents used for physicochemical analyses, including sodium hydroxide, potassium hydroxide, hydrochloric acid, sulfuric acid, and analytical indicators, were also of analytical grade and supplied by Merck and Sigma-Aldrich (St. Louis, MO, USA). Fatty acid methyl ester (FAME) standards for gas chromatographic analysis were of certified reference grade and purchased from Sigma-Aldrich. Deionized water used throughout the experiments was obtained from a laboratory-grade water purification system. The use of well-established commercial suppliers ensured consistency, accuracy, and reproducibility of all experimental procedures.</w:t>
      </w:r>
    </w:p>
    <w:p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.2 Seed Preparation</w:t>
      </w:r>
    </w:p>
    <w:p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 xml:space="preserve">The sample preparation of </w:t>
      </w:r>
      <w:r w:rsidRPr="00297C42">
        <w:rPr>
          <w:rFonts w:ascii="Times New Roman" w:eastAsia="Times New Roman" w:hAnsi="Times New Roman" w:cs="Times New Roman"/>
          <w:i/>
          <w:sz w:val="20"/>
          <w:szCs w:val="20"/>
        </w:rPr>
        <w:t>Cassia fistula</w:t>
      </w:r>
      <w:r w:rsidRPr="00297C42">
        <w:rPr>
          <w:rFonts w:ascii="Times New Roman" w:eastAsia="Times New Roman" w:hAnsi="Times New Roman" w:cs="Times New Roman"/>
          <w:sz w:val="20"/>
          <w:szCs w:val="20"/>
        </w:rPr>
        <w:t xml:space="preserve"> seeds was carried out by carefully collecting mature pods from healthy trees, as reported. The pods were cleaned to remove dust, dirt, and other external contaminants before being manually or mechanically cracked open to extract the seeds, ensuring minimal structural damage. The seeds were then thoroughly washed with distilled water to eliminate any remaining pulp or debris, and subsequently dried in an oven at a controlled temperature to remove moisture and prevent microbial growth, as previously documented.</w:t>
      </w:r>
    </w:p>
    <w:p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After drying, the seeds were grounded into a fine powder to increase the surface area for efficient solvent penetration during extraction process. This preparation step is crucial as it enhances the efficiency of subsequent extraction processes, ensuring a higher yield of bioactive compounds or oils from the seeds.</w:t>
      </w:r>
      <w:bookmarkStart w:id="4" w:name="_Hlk193460110"/>
    </w:p>
    <w:bookmarkEnd w:id="4"/>
    <w:p w:rsidR="004C5F76" w:rsidRPr="00297C42" w:rsidRDefault="004C5F76" w:rsidP="004C5F76">
      <w:pPr>
        <w:pStyle w:val="NoSpacing"/>
        <w:jc w:val="center"/>
        <w:rPr>
          <w:rFonts w:ascii="Times New Roman" w:eastAsia="Times New Roman" w:hAnsi="Times New Roman" w:cs="Times New Roman"/>
          <w:sz w:val="20"/>
          <w:szCs w:val="20"/>
        </w:rPr>
      </w:pPr>
      <w:r>
        <w:rPr>
          <w:noProof/>
        </w:rPr>
        <w:lastRenderedPageBreak/>
        <w:drawing>
          <wp:inline distT="0" distB="0" distL="0" distR="0" wp14:anchorId="6EA3979E" wp14:editId="14FC83CF">
            <wp:extent cx="54673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7350" cy="2809875"/>
                    </a:xfrm>
                    <a:prstGeom prst="rect">
                      <a:avLst/>
                    </a:prstGeom>
                  </pic:spPr>
                </pic:pic>
              </a:graphicData>
            </a:graphic>
          </wp:inline>
        </w:drawing>
      </w:r>
    </w:p>
    <w:p w:rsidR="004C5F76" w:rsidRPr="00297C42" w:rsidRDefault="004C5F76" w:rsidP="004C5F76">
      <w:pPr>
        <w:pStyle w:val="NoSpacing"/>
        <w:jc w:val="center"/>
        <w:rPr>
          <w:rFonts w:ascii="Times New Roman" w:hAnsi="Times New Roman" w:cs="Times New Roman"/>
          <w:b/>
          <w:sz w:val="20"/>
          <w:szCs w:val="20"/>
        </w:rPr>
      </w:pPr>
      <w:r w:rsidRPr="00297C42">
        <w:rPr>
          <w:rFonts w:ascii="Times New Roman" w:hAnsi="Times New Roman" w:cs="Times New Roman"/>
          <w:sz w:val="20"/>
          <w:szCs w:val="20"/>
        </w:rPr>
        <w:t>Figure 1:</w:t>
      </w:r>
      <w:r w:rsidRPr="00297C42">
        <w:rPr>
          <w:rFonts w:ascii="Times New Roman" w:hAnsi="Times New Roman" w:cs="Times New Roman"/>
          <w:b/>
          <w:sz w:val="20"/>
          <w:szCs w:val="20"/>
        </w:rPr>
        <w:t xml:space="preserve"> </w:t>
      </w:r>
      <w:r w:rsidRPr="00297C42">
        <w:rPr>
          <w:rFonts w:ascii="Times New Roman" w:hAnsi="Times New Roman" w:cs="Times New Roman"/>
          <w:i/>
          <w:sz w:val="20"/>
          <w:szCs w:val="20"/>
        </w:rPr>
        <w:t>Cassia fistula</w:t>
      </w:r>
      <w:r w:rsidRPr="00297C42">
        <w:rPr>
          <w:rFonts w:ascii="Times New Roman" w:hAnsi="Times New Roman" w:cs="Times New Roman"/>
          <w:sz w:val="20"/>
          <w:szCs w:val="20"/>
        </w:rPr>
        <w:t xml:space="preserve"> Seed Preparation</w:t>
      </w:r>
    </w:p>
    <w:p w:rsidR="004C5F76" w:rsidRPr="00297C42" w:rsidRDefault="004C5F76" w:rsidP="004C5F76">
      <w:pPr>
        <w:rPr>
          <w:rFonts w:ascii="Times New Roman" w:hAnsi="Times New Roman" w:cs="Times New Roman"/>
          <w:b/>
          <w:sz w:val="20"/>
          <w:szCs w:val="20"/>
        </w:rPr>
      </w:pPr>
      <w:r>
        <w:rPr>
          <w:rFonts w:ascii="Times New Roman" w:hAnsi="Times New Roman" w:cs="Times New Roman"/>
          <w:b/>
          <w:sz w:val="20"/>
          <w:szCs w:val="20"/>
        </w:rPr>
        <w:t>2</w:t>
      </w:r>
      <w:r w:rsidRPr="00297C42">
        <w:rPr>
          <w:rFonts w:ascii="Times New Roman" w:hAnsi="Times New Roman" w:cs="Times New Roman"/>
          <w:b/>
          <w:sz w:val="20"/>
          <w:szCs w:val="20"/>
        </w:rPr>
        <w:t>.3 Oil Extraction</w:t>
      </w:r>
    </w:p>
    <w:p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extraction of the seed oil was carried out using a Soxhlet apparatus following a standardized and reproducible protocol. Finely ground and oven-dried seed powder was accurately weighed and placed in a cellulose extraction thimble, and n-hexane was used as the extraction solvent due to its high oil solubility and low boiling point. A solid-to-solvent ratio of 1:10 (w/v) was maintained to ensure efficient solvent penetration and lipid recovery. The extraction was performed at the boiling temperature of the solvent (approximately 65–70 °C) under continuous reflux for 2–4 h, allowing multiple siphoning cycles to achieve exhaustive extraction. After completion, the solvent was removed under reduced pressure using a rotary evaporator, and the recovered oil was dried to constant weight, weighed to determine yield, and stored in airtight amber containers at low temperature until further analysis.</w:t>
      </w:r>
    </w:p>
    <w:p w:rsidR="004C5F76" w:rsidRPr="00297C42" w:rsidRDefault="004C5F76" w:rsidP="004C5F76">
      <w:pPr>
        <w:rPr>
          <w:rFonts w:ascii="Times New Roman" w:hAnsi="Times New Roman" w:cs="Times New Roman"/>
          <w:b/>
          <w:sz w:val="20"/>
          <w:szCs w:val="20"/>
        </w:rPr>
      </w:pPr>
      <w:bookmarkStart w:id="5" w:name="_Hlk222408916"/>
      <w:r>
        <w:rPr>
          <w:rFonts w:ascii="Times New Roman" w:hAnsi="Times New Roman" w:cs="Times New Roman"/>
          <w:b/>
          <w:sz w:val="20"/>
          <w:szCs w:val="20"/>
        </w:rPr>
        <w:t>2</w:t>
      </w:r>
      <w:r w:rsidRPr="00297C42">
        <w:rPr>
          <w:rFonts w:ascii="Times New Roman" w:hAnsi="Times New Roman" w:cs="Times New Roman"/>
          <w:b/>
          <w:sz w:val="20"/>
          <w:szCs w:val="20"/>
        </w:rPr>
        <w:t xml:space="preserve">.3.1 Optimization of the </w:t>
      </w:r>
      <w:r w:rsidRPr="00297C42">
        <w:rPr>
          <w:rFonts w:ascii="Times New Roman" w:hAnsi="Times New Roman" w:cs="Times New Roman"/>
          <w:b/>
          <w:i/>
          <w:sz w:val="20"/>
          <w:szCs w:val="20"/>
        </w:rPr>
        <w:t>cassia fistula</w:t>
      </w:r>
      <w:r w:rsidRPr="00297C42">
        <w:rPr>
          <w:rFonts w:ascii="Times New Roman" w:hAnsi="Times New Roman" w:cs="Times New Roman"/>
          <w:b/>
          <w:sz w:val="20"/>
          <w:szCs w:val="20"/>
        </w:rPr>
        <w:t xml:space="preserve"> seed using Response surface methodology (RSM)</w:t>
      </w:r>
    </w:p>
    <w:p w:rsidR="004C5F76" w:rsidRPr="009E1ECB" w:rsidRDefault="004C5F76" w:rsidP="004C5F76">
      <w:pPr>
        <w:spacing w:after="0" w:line="240" w:lineRule="auto"/>
        <w:jc w:val="both"/>
        <w:rPr>
          <w:rFonts w:ascii="Times New Roman" w:hAnsi="Times New Roman" w:cs="Times New Roman"/>
          <w:sz w:val="20"/>
          <w:szCs w:val="20"/>
        </w:rPr>
      </w:pPr>
      <w:r w:rsidRPr="00297C42">
        <w:rPr>
          <w:rFonts w:ascii="Times New Roman" w:eastAsia="Times New Roman" w:hAnsi="Times New Roman" w:cs="Times New Roman"/>
          <w:sz w:val="20"/>
          <w:szCs w:val="20"/>
        </w:rPr>
        <w:t xml:space="preserve">The experiment was designed using Design -Expert version 12. </w:t>
      </w:r>
      <w:r w:rsidRPr="00297C42">
        <w:rPr>
          <w:rFonts w:ascii="Times New Roman" w:hAnsi="Times New Roman" w:cs="Times New Roman"/>
          <w:sz w:val="20"/>
          <w:szCs w:val="20"/>
        </w:rPr>
        <w:t xml:space="preserve">Response surface methodology (RSM) was used to investigate the effect of independent variables, including solvent to solid (A), Temperature (B) and Time (C) on response variables, such as </w:t>
      </w:r>
      <w:r w:rsidRPr="00297C42">
        <w:rPr>
          <w:rFonts w:ascii="Times New Roman" w:eastAsia="Times New Roman" w:hAnsi="Times New Roman" w:cs="Times New Roman"/>
          <w:sz w:val="20"/>
          <w:szCs w:val="20"/>
        </w:rPr>
        <w:t xml:space="preserve">oil yield, Free Fatty Acid FFA, iodine value, saponification value </w:t>
      </w:r>
      <w:r w:rsidRPr="00297C42">
        <w:rPr>
          <w:rFonts w:ascii="Times New Roman" w:hAnsi="Times New Roman" w:cs="Times New Roman"/>
          <w:sz w:val="20"/>
          <w:szCs w:val="20"/>
        </w:rPr>
        <w:t xml:space="preserve">from </w:t>
      </w:r>
      <w:r w:rsidRPr="00297C42">
        <w:rPr>
          <w:rFonts w:ascii="Times New Roman" w:hAnsi="Times New Roman" w:cs="Times New Roman"/>
          <w:i/>
          <w:iCs/>
          <w:sz w:val="20"/>
          <w:szCs w:val="20"/>
        </w:rPr>
        <w:t xml:space="preserve">Cassia fistula </w:t>
      </w:r>
      <w:r w:rsidRPr="00297C42">
        <w:rPr>
          <w:rFonts w:ascii="Times New Roman" w:hAnsi="Times New Roman" w:cs="Times New Roman"/>
          <w:iCs/>
          <w:sz w:val="20"/>
          <w:szCs w:val="20"/>
        </w:rPr>
        <w:t>seed oil</w:t>
      </w:r>
      <w:r w:rsidRPr="00297C42">
        <w:rPr>
          <w:rFonts w:ascii="Times New Roman" w:hAnsi="Times New Roman" w:cs="Times New Roman"/>
          <w:sz w:val="20"/>
          <w:szCs w:val="20"/>
        </w:rPr>
        <w:t xml:space="preserve">. RSM design along with coded and </w:t>
      </w:r>
      <w:proofErr w:type="spellStart"/>
      <w:r w:rsidRPr="00297C42">
        <w:rPr>
          <w:rFonts w:ascii="Times New Roman" w:hAnsi="Times New Roman" w:cs="Times New Roman"/>
          <w:sz w:val="20"/>
          <w:szCs w:val="20"/>
        </w:rPr>
        <w:t>uncoded</w:t>
      </w:r>
      <w:proofErr w:type="spellEnd"/>
      <w:r w:rsidRPr="00297C42">
        <w:rPr>
          <w:rFonts w:ascii="Times New Roman" w:hAnsi="Times New Roman" w:cs="Times New Roman"/>
          <w:sz w:val="20"/>
          <w:szCs w:val="20"/>
        </w:rPr>
        <w:t xml:space="preserve"> levels is presented in Table 1.0 Central composite design (Five levels) and quadratic model was used to design this experiment. Twenty runs, including six axial points, eight fractional factorial points and six central points were randomly performed according to CCD, which is summarized in Table 2.0:</w:t>
      </w:r>
    </w:p>
    <w:p w:rsidR="004C5F76" w:rsidRPr="00297C42" w:rsidRDefault="004C5F76" w:rsidP="004C5F76">
      <w:pPr>
        <w:spacing w:after="0" w:line="240" w:lineRule="auto"/>
        <w:rPr>
          <w:rFonts w:ascii="Times New Roman" w:hAnsi="Times New Roman" w:cs="Times New Roman"/>
          <w:b/>
          <w:sz w:val="20"/>
          <w:szCs w:val="20"/>
        </w:rPr>
      </w:pPr>
    </w:p>
    <w:p w:rsidR="004C5F76" w:rsidRPr="00297C42" w:rsidRDefault="004C5F76" w:rsidP="004C5F76">
      <w:pPr>
        <w:spacing w:after="0" w:line="240" w:lineRule="auto"/>
        <w:rPr>
          <w:rFonts w:ascii="Times New Roman" w:hAnsi="Times New Roman" w:cs="Times New Roman"/>
          <w:b/>
          <w:iCs/>
          <w:sz w:val="20"/>
          <w:szCs w:val="20"/>
        </w:rPr>
      </w:pPr>
      <w:r w:rsidRPr="00297C42">
        <w:rPr>
          <w:rFonts w:ascii="Times New Roman" w:hAnsi="Times New Roman" w:cs="Times New Roman"/>
          <w:b/>
          <w:sz w:val="20"/>
          <w:szCs w:val="20"/>
        </w:rPr>
        <w:t xml:space="preserve">Table 1.0: Independent variables and their corresponding levels for oil extraction from </w:t>
      </w:r>
      <w:r w:rsidRPr="00297C42">
        <w:rPr>
          <w:rFonts w:ascii="Times New Roman" w:hAnsi="Times New Roman" w:cs="Times New Roman"/>
          <w:b/>
          <w:i/>
          <w:iCs/>
          <w:sz w:val="20"/>
          <w:szCs w:val="20"/>
        </w:rPr>
        <w:t xml:space="preserve">Cassia fistula </w:t>
      </w:r>
      <w:r w:rsidRPr="00297C42">
        <w:rPr>
          <w:rFonts w:ascii="Times New Roman" w:hAnsi="Times New Roman" w:cs="Times New Roman"/>
          <w:b/>
          <w:iCs/>
          <w:sz w:val="20"/>
          <w:szCs w:val="20"/>
        </w:rPr>
        <w:t>seed</w:t>
      </w:r>
    </w:p>
    <w:tbl>
      <w:tblPr>
        <w:tblW w:w="0" w:type="auto"/>
        <w:tblBorders>
          <w:top w:val="single" w:sz="4" w:space="0" w:color="auto"/>
          <w:bottom w:val="single" w:sz="4" w:space="0" w:color="auto"/>
        </w:tblBorders>
        <w:tblLook w:val="04A0" w:firstRow="1" w:lastRow="0" w:firstColumn="1" w:lastColumn="0" w:noHBand="0" w:noVBand="1"/>
      </w:tblPr>
      <w:tblGrid>
        <w:gridCol w:w="1658"/>
        <w:gridCol w:w="1501"/>
        <w:gridCol w:w="1201"/>
        <w:gridCol w:w="1164"/>
        <w:gridCol w:w="1164"/>
        <w:gridCol w:w="1164"/>
        <w:gridCol w:w="1164"/>
      </w:tblGrid>
      <w:tr w:rsidR="004C5F76" w:rsidRPr="00297C42" w:rsidTr="00004096">
        <w:tc>
          <w:tcPr>
            <w:tcW w:w="1658" w:type="dxa"/>
            <w:vMerge w:val="restart"/>
            <w:tcBorders>
              <w:top w:val="single" w:sz="4" w:space="0" w:color="auto"/>
              <w:bottom w:val="nil"/>
            </w:tcBorders>
          </w:tcPr>
          <w:p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Independent variables</w:t>
            </w:r>
          </w:p>
        </w:tc>
        <w:tc>
          <w:tcPr>
            <w:tcW w:w="1501" w:type="dxa"/>
            <w:vMerge w:val="restart"/>
            <w:tcBorders>
              <w:top w:val="single" w:sz="4" w:space="0" w:color="auto"/>
              <w:bottom w:val="single" w:sz="4" w:space="0" w:color="auto"/>
              <w:right w:val="nil"/>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Symbols</w:t>
            </w:r>
          </w:p>
        </w:tc>
        <w:tc>
          <w:tcPr>
            <w:tcW w:w="5857" w:type="dxa"/>
            <w:gridSpan w:val="5"/>
            <w:tcBorders>
              <w:top w:val="single" w:sz="4" w:space="0" w:color="auto"/>
              <w:left w:val="nil"/>
              <w:bottom w:val="nil"/>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Coded level</w:t>
            </w:r>
          </w:p>
        </w:tc>
      </w:tr>
      <w:tr w:rsidR="004C5F76" w:rsidRPr="00297C42" w:rsidTr="00004096">
        <w:tc>
          <w:tcPr>
            <w:tcW w:w="1658" w:type="dxa"/>
            <w:vMerge/>
            <w:tcBorders>
              <w:top w:val="nil"/>
              <w:bottom w:val="single" w:sz="4" w:space="0" w:color="auto"/>
            </w:tcBorders>
          </w:tcPr>
          <w:p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p>
        </w:tc>
        <w:tc>
          <w:tcPr>
            <w:tcW w:w="1501" w:type="dxa"/>
            <w:vMerge/>
            <w:tcBorders>
              <w:top w:val="nil"/>
              <w:bottom w:val="single" w:sz="4" w:space="0" w:color="auto"/>
              <w:right w:val="nil"/>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p>
        </w:tc>
        <w:tc>
          <w:tcPr>
            <w:tcW w:w="1201" w:type="dxa"/>
            <w:tcBorders>
              <w:top w:val="nil"/>
              <w:left w:val="nil"/>
              <w:bottom w:val="single" w:sz="4" w:space="0" w:color="auto"/>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c>
          <w:tcPr>
            <w:tcW w:w="1164" w:type="dxa"/>
            <w:tcBorders>
              <w:top w:val="nil"/>
              <w:bottom w:val="single" w:sz="4" w:space="0" w:color="auto"/>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0</w:t>
            </w:r>
          </w:p>
        </w:tc>
        <w:tc>
          <w:tcPr>
            <w:tcW w:w="1164" w:type="dxa"/>
            <w:tcBorders>
              <w:top w:val="nil"/>
              <w:bottom w:val="single" w:sz="4" w:space="0" w:color="auto"/>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+1</w:t>
            </w:r>
          </w:p>
        </w:tc>
        <w:tc>
          <w:tcPr>
            <w:tcW w:w="1164" w:type="dxa"/>
            <w:tcBorders>
              <w:top w:val="nil"/>
              <w:bottom w:val="single" w:sz="4" w:space="0" w:color="auto"/>
            </w:tcBorders>
          </w:tcPr>
          <w:p w:rsidR="004C5F76" w:rsidRPr="00297C42" w:rsidRDefault="004C5F76" w:rsidP="00004096">
            <w:pPr>
              <w:widowControl w:val="0"/>
              <w:autoSpaceDE w:val="0"/>
              <w:autoSpaceDN w:val="0"/>
              <w:spacing w:line="240" w:lineRule="auto"/>
              <w:jc w:val="center"/>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m:t>
                </m:r>
              </m:oMath>
            </m:oMathPara>
          </w:p>
        </w:tc>
      </w:tr>
      <w:tr w:rsidR="004C5F76" w:rsidRPr="00297C42" w:rsidTr="00004096">
        <w:tc>
          <w:tcPr>
            <w:tcW w:w="1658" w:type="dxa"/>
            <w:tcBorders>
              <w:top w:val="single" w:sz="4" w:space="0" w:color="auto"/>
            </w:tcBorders>
          </w:tcPr>
          <w:p w:rsidR="004C5F76" w:rsidRPr="00297C42" w:rsidRDefault="004C5F76" w:rsidP="00004096">
            <w:pPr>
              <w:widowControl w:val="0"/>
              <w:autoSpaceDE w:val="0"/>
              <w:autoSpaceDN w:val="0"/>
              <w:spacing w:line="240" w:lineRule="auto"/>
              <w:rPr>
                <w:rFonts w:ascii="Times New Roman" w:eastAsia="Times New Roman" w:hAnsi="Times New Roman" w:cs="Times New Roman"/>
                <w:sz w:val="20"/>
                <w:szCs w:val="20"/>
              </w:rPr>
            </w:pPr>
            <w:r w:rsidRPr="00297C42">
              <w:rPr>
                <w:rFonts w:ascii="Times New Roman" w:eastAsia="Times New Roman" w:hAnsi="Times New Roman" w:cs="Times New Roman"/>
                <w:sz w:val="20"/>
                <w:szCs w:val="20"/>
              </w:rPr>
              <w:t>Solvent to solid ratio</w:t>
            </w:r>
          </w:p>
        </w:tc>
        <w:tc>
          <w:tcPr>
            <w:tcW w:w="1501" w:type="dxa"/>
            <w:tcBorders>
              <w:top w:val="single" w:sz="4" w:space="0" w:color="auto"/>
              <w:right w:val="nil"/>
            </w:tcBorders>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A</w:t>
            </w:r>
          </w:p>
        </w:tc>
        <w:tc>
          <w:tcPr>
            <w:tcW w:w="1201" w:type="dxa"/>
            <w:tcBorders>
              <w:top w:val="single" w:sz="4" w:space="0" w:color="auto"/>
              <w:left w:val="nil"/>
            </w:tcBorders>
          </w:tcPr>
          <w:p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3.63641</w:t>
            </w:r>
          </w:p>
        </w:tc>
        <w:tc>
          <w:tcPr>
            <w:tcW w:w="1164" w:type="dxa"/>
            <w:tcBorders>
              <w:top w:val="single" w:sz="4" w:space="0" w:color="auto"/>
            </w:tcBorders>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5.00</w:t>
            </w:r>
          </w:p>
        </w:tc>
        <w:tc>
          <w:tcPr>
            <w:tcW w:w="1164" w:type="dxa"/>
            <w:tcBorders>
              <w:top w:val="single" w:sz="4" w:space="0" w:color="auto"/>
            </w:tcBorders>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7.00</w:t>
            </w:r>
          </w:p>
        </w:tc>
        <w:tc>
          <w:tcPr>
            <w:tcW w:w="1164" w:type="dxa"/>
            <w:tcBorders>
              <w:top w:val="single" w:sz="4" w:space="0" w:color="auto"/>
            </w:tcBorders>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9.00</w:t>
            </w:r>
          </w:p>
        </w:tc>
        <w:tc>
          <w:tcPr>
            <w:tcW w:w="1164" w:type="dxa"/>
            <w:tcBorders>
              <w:top w:val="single" w:sz="4" w:space="0" w:color="auto"/>
            </w:tcBorders>
          </w:tcPr>
          <w:p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10.3636</w:t>
            </w:r>
          </w:p>
        </w:tc>
      </w:tr>
      <w:tr w:rsidR="004C5F76" w:rsidRPr="00297C42" w:rsidTr="00004096">
        <w:tc>
          <w:tcPr>
            <w:tcW w:w="1658" w:type="dxa"/>
          </w:tcPr>
          <w:p w:rsidR="004C5F76" w:rsidRPr="00297C42" w:rsidRDefault="004C5F76" w:rsidP="00004096">
            <w:pPr>
              <w:spacing w:line="240" w:lineRule="auto"/>
              <w:rPr>
                <w:rFonts w:ascii="Times New Roman" w:hAnsi="Times New Roman" w:cs="Times New Roman"/>
                <w:sz w:val="20"/>
                <w:szCs w:val="20"/>
              </w:rPr>
            </w:pPr>
            <w:r w:rsidRPr="00297C42">
              <w:rPr>
                <w:rFonts w:ascii="Times New Roman" w:hAnsi="Times New Roman" w:cs="Times New Roman"/>
                <w:sz w:val="20"/>
                <w:szCs w:val="20"/>
              </w:rPr>
              <w:t>Temperature</w:t>
            </w:r>
          </w:p>
        </w:tc>
        <w:tc>
          <w:tcPr>
            <w:tcW w:w="1501" w:type="dxa"/>
            <w:tcBorders>
              <w:right w:val="nil"/>
            </w:tcBorders>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B</w:t>
            </w:r>
          </w:p>
        </w:tc>
        <w:tc>
          <w:tcPr>
            <w:tcW w:w="1201" w:type="dxa"/>
            <w:tcBorders>
              <w:left w:val="nil"/>
            </w:tcBorders>
          </w:tcPr>
          <w:p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54.8866</w:t>
            </w:r>
          </w:p>
        </w:tc>
        <w:tc>
          <w:tcPr>
            <w:tcW w:w="1164" w:type="dxa"/>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60.00</w:t>
            </w:r>
          </w:p>
        </w:tc>
        <w:tc>
          <w:tcPr>
            <w:tcW w:w="1164" w:type="dxa"/>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81.50</w:t>
            </w:r>
          </w:p>
        </w:tc>
        <w:tc>
          <w:tcPr>
            <w:tcW w:w="1164" w:type="dxa"/>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75.00</w:t>
            </w:r>
          </w:p>
        </w:tc>
        <w:tc>
          <w:tcPr>
            <w:tcW w:w="1164" w:type="dxa"/>
          </w:tcPr>
          <w:p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80.1134</w:t>
            </w:r>
          </w:p>
        </w:tc>
      </w:tr>
      <w:tr w:rsidR="004C5F76" w:rsidRPr="00297C42" w:rsidTr="00004096">
        <w:tc>
          <w:tcPr>
            <w:tcW w:w="1658" w:type="dxa"/>
          </w:tcPr>
          <w:p w:rsidR="004C5F76" w:rsidRPr="00297C42" w:rsidRDefault="004C5F76" w:rsidP="00004096">
            <w:pPr>
              <w:spacing w:line="240" w:lineRule="auto"/>
              <w:rPr>
                <w:rFonts w:ascii="Times New Roman" w:hAnsi="Times New Roman" w:cs="Times New Roman"/>
                <w:sz w:val="20"/>
                <w:szCs w:val="20"/>
              </w:rPr>
            </w:pPr>
            <w:r w:rsidRPr="00297C42">
              <w:rPr>
                <w:rFonts w:ascii="Times New Roman" w:hAnsi="Times New Roman" w:cs="Times New Roman"/>
                <w:sz w:val="20"/>
                <w:szCs w:val="20"/>
              </w:rPr>
              <w:t>Time</w:t>
            </w:r>
          </w:p>
        </w:tc>
        <w:tc>
          <w:tcPr>
            <w:tcW w:w="1501" w:type="dxa"/>
            <w:tcBorders>
              <w:bottom w:val="single" w:sz="4" w:space="0" w:color="auto"/>
              <w:right w:val="nil"/>
            </w:tcBorders>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C</w:t>
            </w:r>
          </w:p>
        </w:tc>
        <w:tc>
          <w:tcPr>
            <w:tcW w:w="1201" w:type="dxa"/>
            <w:tcBorders>
              <w:left w:val="nil"/>
            </w:tcBorders>
          </w:tcPr>
          <w:p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1.31821</w:t>
            </w:r>
          </w:p>
        </w:tc>
        <w:tc>
          <w:tcPr>
            <w:tcW w:w="1164" w:type="dxa"/>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2.00</w:t>
            </w:r>
          </w:p>
        </w:tc>
        <w:tc>
          <w:tcPr>
            <w:tcW w:w="1164" w:type="dxa"/>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3.00</w:t>
            </w:r>
          </w:p>
        </w:tc>
        <w:tc>
          <w:tcPr>
            <w:tcW w:w="1164" w:type="dxa"/>
          </w:tcPr>
          <w:p w:rsidR="004C5F76" w:rsidRPr="00297C42" w:rsidRDefault="004C5F76" w:rsidP="00004096">
            <w:pPr>
              <w:spacing w:line="240" w:lineRule="auto"/>
              <w:jc w:val="center"/>
              <w:rPr>
                <w:rFonts w:ascii="Times New Roman" w:hAnsi="Times New Roman" w:cs="Times New Roman"/>
                <w:sz w:val="20"/>
                <w:szCs w:val="20"/>
              </w:rPr>
            </w:pPr>
            <w:r w:rsidRPr="00297C42">
              <w:rPr>
                <w:rFonts w:ascii="Times New Roman" w:hAnsi="Times New Roman" w:cs="Times New Roman"/>
                <w:sz w:val="20"/>
                <w:szCs w:val="20"/>
              </w:rPr>
              <w:t>4.00</w:t>
            </w:r>
          </w:p>
        </w:tc>
        <w:tc>
          <w:tcPr>
            <w:tcW w:w="1164" w:type="dxa"/>
          </w:tcPr>
          <w:p w:rsidR="004C5F76" w:rsidRPr="00297C42" w:rsidRDefault="004C5F76" w:rsidP="00004096">
            <w:pPr>
              <w:spacing w:line="240" w:lineRule="auto"/>
              <w:jc w:val="center"/>
              <w:rPr>
                <w:rFonts w:ascii="Times New Roman" w:hAnsi="Times New Roman" w:cs="Times New Roman"/>
                <w:color w:val="000000" w:themeColor="text1"/>
                <w:sz w:val="20"/>
                <w:szCs w:val="20"/>
              </w:rPr>
            </w:pPr>
            <w:r w:rsidRPr="00297C42">
              <w:rPr>
                <w:rFonts w:ascii="Times New Roman" w:hAnsi="Times New Roman" w:cs="Times New Roman"/>
                <w:color w:val="000000" w:themeColor="text1"/>
                <w:sz w:val="20"/>
                <w:szCs w:val="20"/>
              </w:rPr>
              <w:t>4.68179</w:t>
            </w:r>
          </w:p>
        </w:tc>
      </w:tr>
    </w:tbl>
    <w:p w:rsidR="004C5F76" w:rsidRPr="00297C42" w:rsidRDefault="004C5F76" w:rsidP="004C5F76">
      <w:pPr>
        <w:spacing w:after="0" w:line="240" w:lineRule="auto"/>
        <w:jc w:val="both"/>
        <w:rPr>
          <w:rFonts w:ascii="Times New Roman" w:hAnsi="Times New Roman" w:cs="Times New Roman"/>
          <w:sz w:val="20"/>
          <w:szCs w:val="20"/>
        </w:rPr>
      </w:pPr>
    </w:p>
    <w:p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Real levels of independent variables were coded according to equation 1</w:t>
      </w:r>
    </w:p>
    <w:p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C</m:t>
                </m:r>
              </m:sub>
            </m:sSub>
          </m:num>
          <m:den>
            <m:r>
              <w:rPr>
                <w:rFonts w:ascii="Cambria Math" w:hAnsi="Cambria Math" w:cs="Times New Roman"/>
                <w:sz w:val="20"/>
                <w:szCs w:val="20"/>
              </w:rPr>
              <m:t>∆Z</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1.0</w:t>
      </w:r>
    </w:p>
    <w:p w:rsidR="004C5F76" w:rsidRPr="00297C42" w:rsidRDefault="004C5F76" w:rsidP="004C5F76">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t xml:space="preserve">Where      Z=coded level of independent variable </w:t>
      </w:r>
    </w:p>
    <w:p w:rsidR="004C5F76" w:rsidRPr="00297C42" w:rsidRDefault="004C5F76" w:rsidP="004C5F76">
      <w:pPr>
        <w:spacing w:after="0" w:line="240" w:lineRule="auto"/>
        <w:jc w:val="both"/>
        <w:rPr>
          <w:rFonts w:ascii="Times New Roman" w:eastAsiaTheme="minorEastAsia" w:hAnsi="Times New Roman" w:cs="Times New Roman"/>
          <w:sz w:val="20"/>
          <w:szCs w:val="20"/>
        </w:rPr>
      </w:pPr>
      <w:r w:rsidRPr="00297C42">
        <w:rPr>
          <w:rFonts w:ascii="Times New Roman" w:eastAsiaTheme="minorEastAsia" w:hAnsi="Times New Roman" w:cs="Times New Roman"/>
          <w:sz w:val="20"/>
          <w:szCs w:val="20"/>
        </w:rPr>
        <w:lastRenderedPageBreak/>
        <w:t>Zo=coded level of independent variable</w:t>
      </w:r>
    </w:p>
    <w:p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m:t>
        </m:r>
      </m:oMath>
      <w:r w:rsidRPr="00297C42">
        <w:rPr>
          <w:rFonts w:ascii="Times New Roman" w:eastAsiaTheme="minorEastAsia" w:hAnsi="Times New Roman" w:cs="Times New Roman"/>
          <w:sz w:val="20"/>
          <w:szCs w:val="20"/>
        </w:rPr>
        <w:t>Z= step chan</w:t>
      </w:r>
      <w:proofErr w:type="spellStart"/>
      <w:r w:rsidRPr="00297C42">
        <w:rPr>
          <w:rFonts w:ascii="Times New Roman" w:eastAsiaTheme="minorEastAsia" w:hAnsi="Times New Roman" w:cs="Times New Roman"/>
          <w:sz w:val="20"/>
          <w:szCs w:val="20"/>
        </w:rPr>
        <w:t>ge</w:t>
      </w:r>
      <w:proofErr w:type="spellEnd"/>
    </w:p>
    <w:p w:rsidR="004C5F76" w:rsidRPr="00297C42" w:rsidRDefault="004C5F76" w:rsidP="004C5F76">
      <w:pPr>
        <w:spacing w:after="0" w:line="240" w:lineRule="auto"/>
        <w:jc w:val="both"/>
        <w:rPr>
          <w:rFonts w:ascii="Times New Roman" w:hAnsi="Times New Roman" w:cs="Times New Roman"/>
          <w:sz w:val="20"/>
          <w:szCs w:val="20"/>
        </w:rPr>
      </w:pPr>
      <w:proofErr w:type="spellStart"/>
      <w:r w:rsidRPr="00297C42">
        <w:rPr>
          <w:rFonts w:ascii="Times New Roman" w:eastAsiaTheme="minorEastAsia" w:hAnsi="Times New Roman" w:cs="Times New Roman"/>
          <w:sz w:val="20"/>
          <w:szCs w:val="20"/>
        </w:rPr>
        <w:t>Zc</w:t>
      </w:r>
      <w:proofErr w:type="spellEnd"/>
      <w:r w:rsidRPr="00297C42">
        <w:rPr>
          <w:rFonts w:ascii="Times New Roman" w:eastAsiaTheme="minorEastAsia" w:hAnsi="Times New Roman" w:cs="Times New Roman"/>
          <w:sz w:val="20"/>
          <w:szCs w:val="20"/>
        </w:rPr>
        <w:t>=actual value of the central point</w:t>
      </w:r>
    </w:p>
    <w:p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specific equations for each independent variable were derived from the above equation to code their actual values. Specific equations for solvent to solid ratio (A), Temperature (</w:t>
      </w:r>
      <w:proofErr w:type="gramStart"/>
      <w:r w:rsidRPr="00297C42">
        <w:rPr>
          <w:rFonts w:ascii="Times New Roman" w:hAnsi="Times New Roman" w:cs="Times New Roman"/>
          <w:sz w:val="20"/>
          <w:szCs w:val="20"/>
        </w:rPr>
        <w:t>B )</w:t>
      </w:r>
      <w:proofErr w:type="gramEnd"/>
      <w:r w:rsidRPr="00297C42">
        <w:rPr>
          <w:rFonts w:ascii="Times New Roman" w:hAnsi="Times New Roman" w:cs="Times New Roman"/>
          <w:sz w:val="20"/>
          <w:szCs w:val="20"/>
        </w:rPr>
        <w:t xml:space="preserve"> and Time  (C ) are mentioned in below Equations 2-4.</w:t>
      </w:r>
    </w:p>
    <w:p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A-7.0</m:t>
            </m:r>
          </m:num>
          <m:den>
            <m:r>
              <w:rPr>
                <w:rFonts w:ascii="Cambria Math" w:hAnsi="Cambria Math" w:cs="Times New Roman"/>
                <w:sz w:val="20"/>
                <w:szCs w:val="20"/>
              </w:rPr>
              <m:t>2.0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2.0</w:t>
      </w:r>
    </w:p>
    <w:p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B-81.5</m:t>
            </m:r>
          </m:num>
          <m:den>
            <m:r>
              <w:rPr>
                <w:rFonts w:ascii="Cambria Math" w:hAnsi="Cambria Math" w:cs="Times New Roman"/>
                <w:sz w:val="20"/>
                <w:szCs w:val="20"/>
              </w:rPr>
              <m:t>21.5</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3..0</w:t>
      </w:r>
    </w:p>
    <w:p w:rsidR="004C5F76" w:rsidRPr="00297C42" w:rsidRDefault="004C5F76" w:rsidP="004C5F76">
      <w:p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Z=</m:t>
        </m:r>
        <m:f>
          <m:fPr>
            <m:ctrlPr>
              <w:rPr>
                <w:rFonts w:ascii="Cambria Math" w:hAnsi="Cambria Math" w:cs="Times New Roman"/>
                <w:i/>
                <w:sz w:val="20"/>
                <w:szCs w:val="20"/>
              </w:rPr>
            </m:ctrlPr>
          </m:fPr>
          <m:num>
            <m:r>
              <w:rPr>
                <w:rFonts w:ascii="Cambria Math" w:hAnsi="Cambria Math" w:cs="Times New Roman"/>
                <w:sz w:val="20"/>
                <w:szCs w:val="20"/>
              </w:rPr>
              <m:t>C-3.0</m:t>
            </m:r>
          </m:num>
          <m:den>
            <m:r>
              <w:rPr>
                <w:rFonts w:ascii="Cambria Math" w:hAnsi="Cambria Math" w:cs="Times New Roman"/>
                <w:sz w:val="20"/>
                <w:szCs w:val="20"/>
              </w:rPr>
              <m:t>1.0</m:t>
            </m:r>
          </m:den>
        </m:f>
        <m:r>
          <w:rPr>
            <w:rFonts w:ascii="Cambria Math" w:hAnsi="Cambria Math" w:cs="Times New Roman"/>
            <w:sz w:val="20"/>
            <w:szCs w:val="20"/>
          </w:rPr>
          <m:t xml:space="preserve">      </m:t>
        </m:r>
      </m:oMath>
      <w:r w:rsidRPr="00297C42">
        <w:rPr>
          <w:rFonts w:ascii="Times New Roman" w:eastAsiaTheme="minorEastAsia" w:hAnsi="Times New Roman" w:cs="Times New Roman"/>
          <w:sz w:val="20"/>
          <w:szCs w:val="20"/>
        </w:rPr>
        <w:t xml:space="preserve">                                                                          4.0</w:t>
      </w:r>
    </w:p>
    <w:p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where A, B and C represent solvent to solid ration of the </w:t>
      </w:r>
      <w:r w:rsidRPr="00297C42">
        <w:rPr>
          <w:rFonts w:ascii="Times New Roman" w:hAnsi="Times New Roman" w:cs="Times New Roman"/>
          <w:i/>
          <w:iCs/>
          <w:sz w:val="20"/>
          <w:szCs w:val="20"/>
        </w:rPr>
        <w:t>Cassia fistula (Golden shower)</w:t>
      </w:r>
      <w:r w:rsidRPr="00297C42">
        <w:rPr>
          <w:rFonts w:ascii="Times New Roman" w:hAnsi="Times New Roman" w:cs="Times New Roman"/>
          <w:sz w:val="20"/>
          <w:szCs w:val="20"/>
        </w:rPr>
        <w:t>, temperature and time, respectively. A second order polynomial equation was used to indicate the predicted response (oil yield) as a function of an independent variable as follows in equation 5</w:t>
      </w:r>
    </w:p>
    <w:p w:rsidR="004C5F76" w:rsidRPr="00297C42" w:rsidRDefault="004C5F76" w:rsidP="004C5F76">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A+</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r>
          <w:rPr>
            <w:rFonts w:ascii="Cambria Math" w:hAnsi="Cambria Math" w:cs="Times New Roman"/>
            <w:sz w:val="20"/>
            <w:szCs w:val="20"/>
          </w:rPr>
          <m:t>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m:t>
            </m:r>
          </m:sub>
        </m:sSub>
        <m:r>
          <w:rPr>
            <w:rFonts w:ascii="Cambria Math" w:hAnsi="Cambria Math" w:cs="Times New Roman"/>
            <w:sz w:val="20"/>
            <w:szCs w:val="20"/>
          </w:rPr>
          <m:t>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11</m:t>
            </m:r>
          </m:sub>
        </m:sSub>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22</m:t>
            </m:r>
          </m:sub>
        </m:sSub>
        <m:sSup>
          <m:sSupPr>
            <m:ctrlPr>
              <w:rPr>
                <w:rFonts w:ascii="Cambria Math" w:hAnsi="Cambria Math" w:cs="Times New Roman"/>
                <w:i/>
                <w:sz w:val="20"/>
                <w:szCs w:val="20"/>
              </w:rPr>
            </m:ctrlPr>
          </m:sSupPr>
          <m:e>
            <m:r>
              <w:rPr>
                <w:rFonts w:ascii="Cambria Math" w:hAnsi="Cambria Math" w:cs="Times New Roman"/>
                <w:sz w:val="20"/>
                <w:szCs w:val="20"/>
              </w:rPr>
              <m:t>B</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33</m:t>
            </m:r>
          </m:sub>
        </m:sSub>
        <m:sSup>
          <m:sSupPr>
            <m:ctrlPr>
              <w:rPr>
                <w:rFonts w:ascii="Cambria Math" w:hAnsi="Cambria Math" w:cs="Times New Roman"/>
                <w:i/>
                <w:sz w:val="20"/>
                <w:szCs w:val="20"/>
              </w:rPr>
            </m:ctrlPr>
          </m:sSupPr>
          <m:e>
            <m:r>
              <w:rPr>
                <w:rFonts w:ascii="Cambria Math" w:hAnsi="Cambria Math" w:cs="Times New Roman"/>
                <w:sz w:val="20"/>
                <w:szCs w:val="20"/>
              </w:rPr>
              <m:t>C</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12</m:t>
            </m:r>
          </m:sub>
        </m:sSub>
        <m:r>
          <w:rPr>
            <w:rFonts w:ascii="Cambria Math" w:hAnsi="Cambria Math" w:cs="Times New Roman"/>
            <w:sz w:val="20"/>
            <w:szCs w:val="20"/>
          </w:rPr>
          <m:t>AB+</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13</m:t>
            </m:r>
          </m:sub>
        </m:sSub>
        <m:r>
          <w:rPr>
            <w:rFonts w:ascii="Cambria Math" w:hAnsi="Cambria Math" w:cs="Times New Roman"/>
            <w:sz w:val="20"/>
            <w:szCs w:val="20"/>
          </w:rPr>
          <m:t>AC+</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23</m:t>
            </m:r>
          </m:sub>
        </m:sSub>
        <m:r>
          <w:rPr>
            <w:rFonts w:ascii="Cambria Math" w:hAnsi="Cambria Math" w:cs="Times New Roman"/>
            <w:sz w:val="20"/>
            <w:szCs w:val="20"/>
          </w:rPr>
          <m:t>BC</m:t>
        </m:r>
      </m:oMath>
      <w:r w:rsidRPr="00297C42">
        <w:rPr>
          <w:rFonts w:ascii="Times New Roman" w:eastAsiaTheme="minorEastAsia" w:hAnsi="Times New Roman" w:cs="Times New Roman"/>
          <w:sz w:val="20"/>
          <w:szCs w:val="20"/>
        </w:rPr>
        <w:t xml:space="preserve">        5</w:t>
      </w:r>
    </w:p>
    <w:p w:rsidR="004C5F76" w:rsidRPr="00297C42" w:rsidRDefault="004C5F76" w:rsidP="004C5F76">
      <w:pPr>
        <w:spacing w:line="240" w:lineRule="auto"/>
        <w:jc w:val="both"/>
        <w:rPr>
          <w:rFonts w:ascii="Times New Roman" w:hAnsi="Times New Roman" w:cs="Times New Roman"/>
          <w:sz w:val="20"/>
          <w:szCs w:val="20"/>
        </w:rPr>
      </w:pPr>
      <w:r w:rsidRPr="00297C42">
        <w:rPr>
          <w:rFonts w:ascii="Times New Roman" w:hAnsi="Times New Roman" w:cs="Times New Roman"/>
          <w:sz w:val="20"/>
          <w:szCs w:val="20"/>
        </w:rPr>
        <w:t>Where R</w:t>
      </w:r>
      <w:r w:rsidRPr="00297C42">
        <w:rPr>
          <w:rFonts w:ascii="Times New Roman" w:hAnsi="Times New Roman" w:cs="Times New Roman"/>
          <w:sz w:val="20"/>
          <w:szCs w:val="20"/>
          <w:vertAlign w:val="subscript"/>
        </w:rPr>
        <w:t>1</w:t>
      </w:r>
      <w:r w:rsidRPr="00297C42">
        <w:rPr>
          <w:rFonts w:ascii="Times New Roman" w:hAnsi="Times New Roman" w:cs="Times New Roman"/>
          <w:sz w:val="20"/>
          <w:szCs w:val="20"/>
        </w:rPr>
        <w:t xml:space="preserve"> oil yield in %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jj,</m:t>
            </m:r>
          </m:sub>
        </m:sSub>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jk</m:t>
            </m:r>
          </m:sub>
        </m:sSub>
      </m:oMath>
      <w:r w:rsidRPr="00297C42">
        <w:rPr>
          <w:rFonts w:ascii="Times New Roman" w:eastAsiaTheme="minorEastAsia" w:hAnsi="Times New Roman" w:cs="Times New Roman"/>
          <w:sz w:val="20"/>
          <w:szCs w:val="20"/>
        </w:rPr>
        <w:t xml:space="preserve"> were linear, quadratic and interactive coefficient of the independent variables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o</m:t>
            </m:r>
          </m:sub>
        </m:sSub>
      </m:oMath>
      <w:r w:rsidRPr="00297C42">
        <w:rPr>
          <w:rFonts w:ascii="Times New Roman" w:eastAsiaTheme="minorEastAsia" w:hAnsi="Times New Roman" w:cs="Times New Roman"/>
          <w:sz w:val="20"/>
          <w:szCs w:val="20"/>
        </w:rPr>
        <w:t xml:space="preserve">= consant </w:t>
      </w:r>
    </w:p>
    <w:p w:rsidR="004C5F76" w:rsidRDefault="004C5F76" w:rsidP="004C5F76">
      <w:pPr>
        <w:spacing w:line="240" w:lineRule="auto"/>
        <w:jc w:val="both"/>
        <w:rPr>
          <w:sz w:val="20"/>
          <w:szCs w:val="20"/>
        </w:rPr>
      </w:pPr>
      <w:r w:rsidRPr="00297C42">
        <w:rPr>
          <w:rFonts w:ascii="Times New Roman" w:eastAsiaTheme="minorEastAsia" w:hAnsi="Times New Roman" w:cs="Times New Roman"/>
          <w:sz w:val="20"/>
          <w:szCs w:val="20"/>
        </w:rPr>
        <w:t>Design expert software version 12 was used to calculate the variable coefficient of the determinant. Same was repeated for iodine value, saponification value and FFA value</w:t>
      </w:r>
      <w:r w:rsidRPr="00297C42">
        <w:rPr>
          <w:rFonts w:ascii="Times New Roman" w:hAnsi="Times New Roman" w:cs="Times New Roman"/>
          <w:sz w:val="20"/>
          <w:szCs w:val="20"/>
        </w:rPr>
        <w:t xml:space="preserve">. The experiment was subjected to twenty runs as suggested by the design expert version 12 of central composite design based on response surface methodology (RSM). The extraction parameter such as extraction temperature (60-75 </w:t>
      </w:r>
      <w:proofErr w:type="spellStart"/>
      <w:r w:rsidRPr="00297C42">
        <w:rPr>
          <w:rFonts w:ascii="Times New Roman" w:hAnsi="Times New Roman" w:cs="Times New Roman"/>
          <w:sz w:val="20"/>
          <w:szCs w:val="20"/>
          <w:vertAlign w:val="superscript"/>
        </w:rPr>
        <w:t>o</w:t>
      </w:r>
      <w:r w:rsidRPr="00297C42">
        <w:rPr>
          <w:rFonts w:ascii="Times New Roman" w:hAnsi="Times New Roman" w:cs="Times New Roman"/>
          <w:sz w:val="20"/>
          <w:szCs w:val="20"/>
        </w:rPr>
        <w:t>C</w:t>
      </w:r>
      <w:proofErr w:type="spellEnd"/>
      <w:r w:rsidRPr="00297C42">
        <w:rPr>
          <w:rFonts w:ascii="Times New Roman" w:hAnsi="Times New Roman" w:cs="Times New Roman"/>
          <w:sz w:val="20"/>
          <w:szCs w:val="20"/>
        </w:rPr>
        <w:t xml:space="preserve">), extraction time (2-4 </w:t>
      </w:r>
      <w:proofErr w:type="spellStart"/>
      <w:r w:rsidRPr="00297C42">
        <w:rPr>
          <w:rFonts w:ascii="Times New Roman" w:hAnsi="Times New Roman" w:cs="Times New Roman"/>
          <w:sz w:val="20"/>
          <w:szCs w:val="20"/>
        </w:rPr>
        <w:t>hrs</w:t>
      </w:r>
      <w:proofErr w:type="spellEnd"/>
      <w:r w:rsidRPr="00297C42">
        <w:rPr>
          <w:rFonts w:ascii="Times New Roman" w:hAnsi="Times New Roman" w:cs="Times New Roman"/>
          <w:sz w:val="20"/>
          <w:szCs w:val="20"/>
        </w:rPr>
        <w:t>) and solid to solvent ratio of (1:5-1:9) was optimized to increase the oil yield.</w:t>
      </w:r>
      <w:r w:rsidRPr="00297C42">
        <w:rPr>
          <w:sz w:val="20"/>
          <w:szCs w:val="20"/>
        </w:rPr>
        <w:t xml:space="preserve"> </w:t>
      </w:r>
    </w:p>
    <w:p w:rsidR="004C5F76" w:rsidRPr="00297C42" w:rsidRDefault="004C5F76" w:rsidP="004C5F76">
      <w:pPr>
        <w:spacing w:line="240" w:lineRule="auto"/>
        <w:rPr>
          <w:rFonts w:ascii="Times New Roman" w:hAnsi="Times New Roman" w:cs="Times New Roman"/>
          <w:sz w:val="20"/>
          <w:szCs w:val="20"/>
        </w:rPr>
      </w:pPr>
    </w:p>
    <w:p w:rsidR="004C5F76" w:rsidRPr="00297C42" w:rsidRDefault="004C5F76" w:rsidP="004C5F76">
      <w:pPr>
        <w:spacing w:line="240" w:lineRule="auto"/>
        <w:rPr>
          <w:rFonts w:ascii="Times New Roman" w:hAnsi="Times New Roman" w:cs="Times New Roman"/>
          <w:sz w:val="20"/>
          <w:szCs w:val="20"/>
        </w:rPr>
      </w:pPr>
      <w:r w:rsidRPr="00297C42">
        <w:rPr>
          <w:rFonts w:ascii="Times New Roman" w:hAnsi="Times New Roman" w:cs="Times New Roman"/>
          <w:b/>
          <w:sz w:val="20"/>
          <w:szCs w:val="20"/>
        </w:rPr>
        <w:t>Table 2: The Central composite Design of the Variables with oil yield,</w:t>
      </w:r>
      <w:r w:rsidRPr="00297C42">
        <w:rPr>
          <w:rFonts w:ascii="Times New Roman" w:eastAsiaTheme="minorEastAsia" w:hAnsi="Times New Roman" w:cs="Times New Roman"/>
          <w:b/>
          <w:sz w:val="20"/>
          <w:szCs w:val="20"/>
        </w:rPr>
        <w:t xml:space="preserve"> iodine value, saponification value and FFA value</w:t>
      </w:r>
      <w:r w:rsidRPr="00297C42">
        <w:rPr>
          <w:rFonts w:ascii="Times New Roman" w:hAnsi="Times New Roman" w:cs="Times New Roman"/>
          <w:b/>
          <w:sz w:val="20"/>
          <w:szCs w:val="20"/>
        </w:rPr>
        <w:t xml:space="preserve"> as Response from Cassia</w:t>
      </w:r>
      <w:r w:rsidRPr="00297C42">
        <w:rPr>
          <w:rFonts w:ascii="Times New Roman" w:hAnsi="Times New Roman" w:cs="Times New Roman"/>
          <w:b/>
          <w:i/>
          <w:iCs/>
          <w:sz w:val="20"/>
          <w:szCs w:val="20"/>
        </w:rPr>
        <w:t xml:space="preserve"> fistula</w:t>
      </w:r>
      <w:r w:rsidRPr="00297C42">
        <w:rPr>
          <w:rFonts w:ascii="Times New Roman" w:hAnsi="Times New Roman" w:cs="Times New Roman"/>
          <w:b/>
          <w:sz w:val="20"/>
          <w:szCs w:val="20"/>
        </w:rPr>
        <w:t xml:space="preserve"> seed oil extraction</w:t>
      </w:r>
      <w:r w:rsidRPr="00297C42">
        <w:rPr>
          <w:rFonts w:ascii="Times New Roman" w:hAnsi="Times New Roman" w:cs="Times New Roman"/>
          <w:b/>
          <w:sz w:val="20"/>
          <w:szCs w:val="20"/>
        </w:rPr>
        <w:tab/>
      </w:r>
    </w:p>
    <w:tbl>
      <w:tblPr>
        <w:tblW w:w="0" w:type="auto"/>
        <w:tblBorders>
          <w:top w:val="single" w:sz="4" w:space="0" w:color="auto"/>
          <w:bottom w:val="single" w:sz="4" w:space="0" w:color="auto"/>
        </w:tblBorders>
        <w:tblLook w:val="04A0" w:firstRow="1" w:lastRow="0" w:firstColumn="1" w:lastColumn="0" w:noHBand="0" w:noVBand="1"/>
      </w:tblPr>
      <w:tblGrid>
        <w:gridCol w:w="550"/>
        <w:gridCol w:w="1472"/>
        <w:gridCol w:w="1413"/>
        <w:gridCol w:w="877"/>
        <w:gridCol w:w="569"/>
        <w:gridCol w:w="1200"/>
        <w:gridCol w:w="1944"/>
      </w:tblGrid>
      <w:tr w:rsidR="004C5F76" w:rsidRPr="00297C42" w:rsidTr="00004096">
        <w:tc>
          <w:tcPr>
            <w:tcW w:w="0" w:type="auto"/>
            <w:tcBorders>
              <w:bottom w:val="nil"/>
            </w:tcBorders>
            <w:hideMark/>
          </w:tcPr>
          <w:p w:rsidR="004C5F76" w:rsidRPr="00297C42" w:rsidRDefault="004C5F76" w:rsidP="00004096">
            <w:pPr>
              <w:spacing w:line="240" w:lineRule="auto"/>
              <w:rPr>
                <w:rFonts w:ascii="Times New Roman" w:eastAsia="Times New Roman" w:hAnsi="Times New Roman" w:cs="Times New Roman"/>
                <w:sz w:val="20"/>
                <w:szCs w:val="20"/>
              </w:rPr>
            </w:pPr>
            <w:bookmarkStart w:id="6" w:name="_Hlk213529163"/>
          </w:p>
        </w:tc>
        <w:tc>
          <w:tcPr>
            <w:tcW w:w="0" w:type="auto"/>
            <w:tcBorders>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1</w:t>
            </w:r>
          </w:p>
        </w:tc>
        <w:tc>
          <w:tcPr>
            <w:tcW w:w="0" w:type="auto"/>
            <w:tcBorders>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2</w:t>
            </w:r>
          </w:p>
        </w:tc>
        <w:tc>
          <w:tcPr>
            <w:tcW w:w="0" w:type="auto"/>
            <w:tcBorders>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Factor 3</w:t>
            </w:r>
          </w:p>
        </w:tc>
        <w:tc>
          <w:tcPr>
            <w:tcW w:w="0" w:type="auto"/>
            <w:tcBorders>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1</w:t>
            </w:r>
          </w:p>
        </w:tc>
        <w:tc>
          <w:tcPr>
            <w:tcW w:w="0" w:type="auto"/>
            <w:tcBorders>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2</w:t>
            </w:r>
          </w:p>
        </w:tc>
        <w:tc>
          <w:tcPr>
            <w:tcW w:w="0" w:type="auto"/>
            <w:tcBorders>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 xml:space="preserve">R </w:t>
            </w:r>
            <w:r>
              <w:rPr>
                <w:rFonts w:ascii="Times New Roman" w:eastAsia="Times New Roman" w:hAnsi="Times New Roman" w:cs="Times New Roman"/>
                <w:color w:val="000000"/>
                <w:sz w:val="20"/>
                <w:szCs w:val="20"/>
              </w:rPr>
              <w:t>3</w:t>
            </w:r>
          </w:p>
        </w:tc>
      </w:tr>
      <w:tr w:rsidR="004C5F76" w:rsidRPr="00297C42" w:rsidTr="00004096">
        <w:tc>
          <w:tcPr>
            <w:tcW w:w="0" w:type="auto"/>
            <w:tcBorders>
              <w:top w:val="nil"/>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Run</w:t>
            </w:r>
          </w:p>
        </w:tc>
        <w:tc>
          <w:tcPr>
            <w:tcW w:w="0" w:type="auto"/>
            <w:tcBorders>
              <w:top w:val="nil"/>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A:Solid</w:t>
            </w:r>
            <w:proofErr w:type="gramEnd"/>
            <w:r w:rsidRPr="00297C42">
              <w:rPr>
                <w:rFonts w:ascii="Times New Roman" w:eastAsia="Times New Roman" w:hAnsi="Times New Roman" w:cs="Times New Roman"/>
                <w:color w:val="000000"/>
                <w:sz w:val="20"/>
                <w:szCs w:val="20"/>
              </w:rPr>
              <w:t>/solvent</w:t>
            </w:r>
          </w:p>
        </w:tc>
        <w:tc>
          <w:tcPr>
            <w:tcW w:w="0" w:type="auto"/>
            <w:tcBorders>
              <w:top w:val="nil"/>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B:Temperature</w:t>
            </w:r>
            <w:proofErr w:type="gramEnd"/>
          </w:p>
        </w:tc>
        <w:tc>
          <w:tcPr>
            <w:tcW w:w="0" w:type="auto"/>
            <w:tcBorders>
              <w:top w:val="nil"/>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gramStart"/>
            <w:r w:rsidRPr="00297C42">
              <w:rPr>
                <w:rFonts w:ascii="Times New Roman" w:eastAsia="Times New Roman" w:hAnsi="Times New Roman" w:cs="Times New Roman"/>
                <w:color w:val="000000"/>
                <w:sz w:val="20"/>
                <w:szCs w:val="20"/>
              </w:rPr>
              <w:t>C:Time</w:t>
            </w:r>
            <w:proofErr w:type="gramEnd"/>
          </w:p>
        </w:tc>
        <w:tc>
          <w:tcPr>
            <w:tcW w:w="0" w:type="auto"/>
            <w:tcBorders>
              <w:top w:val="nil"/>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FFA</w:t>
            </w:r>
          </w:p>
        </w:tc>
        <w:tc>
          <w:tcPr>
            <w:tcW w:w="0" w:type="auto"/>
            <w:tcBorders>
              <w:top w:val="nil"/>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iodine value</w:t>
            </w:r>
          </w:p>
        </w:tc>
        <w:tc>
          <w:tcPr>
            <w:tcW w:w="0" w:type="auto"/>
            <w:tcBorders>
              <w:top w:val="nil"/>
              <w:bottom w:val="nil"/>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spellStart"/>
            <w:r w:rsidRPr="00297C42">
              <w:rPr>
                <w:rFonts w:ascii="Times New Roman" w:eastAsia="Times New Roman" w:hAnsi="Times New Roman" w:cs="Times New Roman"/>
                <w:color w:val="000000"/>
                <w:sz w:val="20"/>
                <w:szCs w:val="20"/>
              </w:rPr>
              <w:t>Saponifications</w:t>
            </w:r>
            <w:proofErr w:type="spellEnd"/>
            <w:r w:rsidRPr="00297C42">
              <w:rPr>
                <w:rFonts w:ascii="Times New Roman" w:eastAsia="Times New Roman" w:hAnsi="Times New Roman" w:cs="Times New Roman"/>
                <w:color w:val="000000"/>
                <w:sz w:val="20"/>
                <w:szCs w:val="20"/>
              </w:rPr>
              <w:t xml:space="preserve"> value</w:t>
            </w:r>
          </w:p>
        </w:tc>
      </w:tr>
      <w:tr w:rsidR="004C5F76" w:rsidRPr="00297C42" w:rsidTr="00004096">
        <w:tc>
          <w:tcPr>
            <w:tcW w:w="0" w:type="auto"/>
            <w:tcBorders>
              <w:top w:val="nil"/>
              <w:bottom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proofErr w:type="spellStart"/>
            <w:r w:rsidRPr="00297C42">
              <w:rPr>
                <w:rFonts w:ascii="Times New Roman" w:eastAsia="Times New Roman" w:hAnsi="Times New Roman" w:cs="Times New Roman"/>
                <w:color w:val="000000"/>
                <w:sz w:val="20"/>
                <w:szCs w:val="20"/>
              </w:rPr>
              <w:t>hrs</w:t>
            </w:r>
            <w:proofErr w:type="spellEnd"/>
          </w:p>
        </w:tc>
        <w:tc>
          <w:tcPr>
            <w:tcW w:w="0" w:type="auto"/>
            <w:tcBorders>
              <w:top w:val="nil"/>
              <w:bottom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mg/100g</w:t>
            </w:r>
          </w:p>
        </w:tc>
        <w:tc>
          <w:tcPr>
            <w:tcW w:w="0" w:type="auto"/>
            <w:tcBorders>
              <w:top w:val="nil"/>
              <w:bottom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g/100g</w:t>
            </w:r>
          </w:p>
        </w:tc>
      </w:tr>
      <w:tr w:rsidR="004C5F76" w:rsidRPr="00297C42" w:rsidTr="00004096">
        <w:tc>
          <w:tcPr>
            <w:tcW w:w="0" w:type="auto"/>
            <w:tcBorders>
              <w:top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w:t>
            </w:r>
          </w:p>
        </w:tc>
        <w:tc>
          <w:tcPr>
            <w:tcW w:w="0" w:type="auto"/>
            <w:tcBorders>
              <w:top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tcBorders>
              <w:top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tcBorders>
              <w:top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tcBorders>
              <w:top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tcBorders>
              <w:top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tcBorders>
              <w:top w:val="single" w:sz="4" w:space="0" w:color="auto"/>
            </w:tcBorders>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10.3</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9.0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11</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3.6</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12</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lastRenderedPageBreak/>
              <w:t>14</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1.3</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80.1</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16</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4.6</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17</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75.0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18</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54.8</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19</w:t>
            </w:r>
          </w:p>
        </w:tc>
        <w:tc>
          <w:tcPr>
            <w:tcW w:w="0" w:type="auto"/>
            <w:hideMark/>
          </w:tcPr>
          <w:p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.0</w:t>
            </w:r>
          </w:p>
        </w:tc>
        <w:tc>
          <w:tcPr>
            <w:tcW w:w="0" w:type="auto"/>
            <w:hideMark/>
          </w:tcPr>
          <w:p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67.5</w:t>
            </w:r>
          </w:p>
        </w:tc>
        <w:tc>
          <w:tcPr>
            <w:tcW w:w="0" w:type="auto"/>
            <w:hideMark/>
          </w:tcPr>
          <w:p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tr w:rsidR="004C5F76" w:rsidRPr="00297C42" w:rsidTr="00004096">
        <w:tc>
          <w:tcPr>
            <w:tcW w:w="0" w:type="auto"/>
            <w:hideMark/>
          </w:tcPr>
          <w:p w:rsidR="004C5F76" w:rsidRPr="00297C42" w:rsidRDefault="004C5F76" w:rsidP="0000409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20</w:t>
            </w:r>
          </w:p>
        </w:tc>
        <w:tc>
          <w:tcPr>
            <w:tcW w:w="0" w:type="auto"/>
            <w:hideMark/>
          </w:tcPr>
          <w:p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w:t>
            </w:r>
          </w:p>
        </w:tc>
        <w:tc>
          <w:tcPr>
            <w:tcW w:w="0" w:type="auto"/>
            <w:hideMark/>
          </w:tcPr>
          <w:p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60</w:t>
            </w:r>
            <w:r>
              <w:rPr>
                <w:rFonts w:ascii="Times New Roman" w:eastAsia="Times New Roman" w:hAnsi="Times New Roman" w:cs="Times New Roman"/>
                <w:color w:val="000000"/>
                <w:sz w:val="20"/>
                <w:szCs w:val="20"/>
              </w:rPr>
              <w:t>.0</w:t>
            </w:r>
          </w:p>
        </w:tc>
        <w:tc>
          <w:tcPr>
            <w:tcW w:w="0" w:type="auto"/>
            <w:hideMark/>
          </w:tcPr>
          <w:p w:rsidR="004C5F76" w:rsidRPr="00297C42" w:rsidRDefault="004C5F76" w:rsidP="004C5F76">
            <w:pPr>
              <w:spacing w:line="240" w:lineRule="auto"/>
              <w:jc w:val="center"/>
              <w:rPr>
                <w:rFonts w:ascii="Times New Roman" w:eastAsia="Times New Roman" w:hAnsi="Times New Roman" w:cs="Times New Roman"/>
                <w:color w:val="000000"/>
                <w:sz w:val="20"/>
                <w:szCs w:val="20"/>
              </w:rPr>
            </w:pPr>
            <w:r w:rsidRPr="00297C42">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.0</w:t>
            </w: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c>
          <w:tcPr>
            <w:tcW w:w="0" w:type="auto"/>
            <w:hideMark/>
          </w:tcPr>
          <w:p w:rsidR="004C5F76" w:rsidRPr="00297C42" w:rsidRDefault="004C5F76" w:rsidP="00004096">
            <w:pPr>
              <w:spacing w:line="240" w:lineRule="auto"/>
              <w:jc w:val="center"/>
              <w:rPr>
                <w:rFonts w:ascii="Times New Roman" w:eastAsia="Times New Roman" w:hAnsi="Times New Roman" w:cs="Times New Roman"/>
                <w:sz w:val="20"/>
                <w:szCs w:val="20"/>
              </w:rPr>
            </w:pPr>
          </w:p>
        </w:tc>
      </w:tr>
      <w:bookmarkEnd w:id="5"/>
      <w:bookmarkEnd w:id="6"/>
    </w:tbl>
    <w:p w:rsidR="004C5F76" w:rsidRPr="00297C42" w:rsidRDefault="004C5F76" w:rsidP="004C5F76">
      <w:pPr>
        <w:rPr>
          <w:rFonts w:ascii="Times New Roman" w:hAnsi="Times New Roman" w:cs="Times New Roman"/>
          <w:b/>
          <w:sz w:val="20"/>
          <w:szCs w:val="20"/>
        </w:rPr>
      </w:pPr>
    </w:p>
    <w:p w:rsidR="004C5F76" w:rsidRPr="00297C42" w:rsidRDefault="00004096" w:rsidP="004C5F76">
      <w:pPr>
        <w:rPr>
          <w:rFonts w:ascii="Times New Roman" w:hAnsi="Times New Roman" w:cs="Times New Roman"/>
          <w:b/>
          <w:sz w:val="20"/>
          <w:szCs w:val="20"/>
        </w:rPr>
      </w:pPr>
      <w:bookmarkStart w:id="7" w:name="_Hlk222410964"/>
      <w:r>
        <w:rPr>
          <w:rFonts w:ascii="Times New Roman" w:hAnsi="Times New Roman" w:cs="Times New Roman"/>
          <w:b/>
          <w:sz w:val="20"/>
          <w:szCs w:val="20"/>
        </w:rPr>
        <w:t>2</w:t>
      </w:r>
      <w:r w:rsidR="004C5F76" w:rsidRPr="00297C42">
        <w:rPr>
          <w:rFonts w:ascii="Times New Roman" w:hAnsi="Times New Roman" w:cs="Times New Roman"/>
          <w:b/>
          <w:sz w:val="20"/>
          <w:szCs w:val="20"/>
        </w:rPr>
        <w:t>.</w:t>
      </w:r>
      <w:r w:rsidR="000B3B6C">
        <w:rPr>
          <w:rFonts w:ascii="Times New Roman" w:hAnsi="Times New Roman" w:cs="Times New Roman"/>
          <w:b/>
          <w:sz w:val="20"/>
          <w:szCs w:val="20"/>
        </w:rPr>
        <w:t>4</w:t>
      </w:r>
      <w:r w:rsidR="004C5F76" w:rsidRPr="00297C42">
        <w:rPr>
          <w:rFonts w:ascii="Times New Roman" w:hAnsi="Times New Roman" w:cs="Times New Roman"/>
          <w:b/>
          <w:sz w:val="20"/>
          <w:szCs w:val="20"/>
        </w:rPr>
        <w:t xml:space="preserve"> Chemical Composition Analysis</w:t>
      </w:r>
    </w:p>
    <w:p w:rsidR="004C5F76" w:rsidRPr="00297C42" w:rsidRDefault="004C5F76" w:rsidP="004C5F76">
      <w:pPr>
        <w:spacing w:before="100" w:beforeAutospacing="1" w:after="100" w:afterAutospacing="1" w:line="240" w:lineRule="auto"/>
        <w:jc w:val="both"/>
        <w:rPr>
          <w:rFonts w:ascii="Times New Roman" w:eastAsia="Times New Roman" w:hAnsi="Times New Roman" w:cs="Times New Roman"/>
          <w:sz w:val="20"/>
          <w:szCs w:val="20"/>
        </w:rPr>
      </w:pPr>
      <w:r w:rsidRPr="00297C42">
        <w:rPr>
          <w:rFonts w:ascii="Times New Roman" w:hAnsi="Times New Roman" w:cs="Times New Roman"/>
          <w:sz w:val="20"/>
          <w:szCs w:val="20"/>
        </w:rPr>
        <w:t xml:space="preserve">The fatty acid composition of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was analyzed using a </w:t>
      </w:r>
      <w:r w:rsidRPr="00004096">
        <w:rPr>
          <w:rStyle w:val="Strong"/>
          <w:rFonts w:ascii="Times New Roman" w:hAnsi="Times New Roman" w:cs="Times New Roman"/>
          <w:b w:val="0"/>
          <w:sz w:val="20"/>
          <w:szCs w:val="20"/>
        </w:rPr>
        <w:t>Varian 3800/4000 Gas Chromatography</w:t>
      </w:r>
      <w:r w:rsidR="00004096">
        <w:rPr>
          <w:rStyle w:val="Strong"/>
          <w:rFonts w:ascii="Times New Roman" w:hAnsi="Times New Roman" w:cs="Times New Roman"/>
          <w:b w:val="0"/>
          <w:sz w:val="20"/>
          <w:szCs w:val="20"/>
        </w:rPr>
        <w:t xml:space="preserve"> </w:t>
      </w:r>
      <w:r w:rsidRPr="00004096">
        <w:rPr>
          <w:rStyle w:val="Strong"/>
          <w:rFonts w:ascii="Times New Roman" w:hAnsi="Times New Roman" w:cs="Times New Roman"/>
          <w:b w:val="0"/>
          <w:sz w:val="20"/>
          <w:szCs w:val="20"/>
        </w:rPr>
        <w:t>Mass Spectrometry (GC–MS) system</w:t>
      </w:r>
      <w:r w:rsidRPr="00297C42">
        <w:rPr>
          <w:rFonts w:ascii="Times New Roman" w:hAnsi="Times New Roman" w:cs="Times New Roman"/>
          <w:b/>
          <w:sz w:val="20"/>
          <w:szCs w:val="20"/>
        </w:rPr>
        <w:t xml:space="preserve"> </w:t>
      </w:r>
      <w:r w:rsidRPr="00297C42">
        <w:rPr>
          <w:rFonts w:ascii="Times New Roman" w:hAnsi="Times New Roman" w:cs="Times New Roman"/>
          <w:sz w:val="20"/>
          <w:szCs w:val="20"/>
        </w:rPr>
        <w:t xml:space="preserve">equipped with a fused silica capillary column (e.g., VF-5MS, 30 m × 0.25 mm i.d., 0.25 µm film thickness). The oven temperature was programmed to start at 100 °C (held for 2 min), ramped at 10 °C/min to 250 °C, and held for 10 min to ensure complete elution of all components. Helium was used as the carrier gas at a constant flow rate of 1 mL/min, and the injection volume was 1 µL in split mode (split ratio 1:50). Electron impact (EI) ionization at 70 eV was employed, and mass spectra were acquired over the range of m/z 50–550. Identification of fatty acids was performed by comparing retention times and mass spectra with authenticated standards and the </w:t>
      </w:r>
      <w:r w:rsidRPr="00004096">
        <w:rPr>
          <w:rStyle w:val="Strong"/>
          <w:rFonts w:ascii="Times New Roman" w:hAnsi="Times New Roman" w:cs="Times New Roman"/>
          <w:b w:val="0"/>
          <w:sz w:val="20"/>
          <w:szCs w:val="20"/>
        </w:rPr>
        <w:t>NIST MS library</w:t>
      </w:r>
      <w:r w:rsidRPr="00004096">
        <w:rPr>
          <w:rFonts w:ascii="Times New Roman" w:hAnsi="Times New Roman" w:cs="Times New Roman"/>
          <w:b/>
          <w:sz w:val="20"/>
          <w:szCs w:val="20"/>
        </w:rPr>
        <w:t>.</w:t>
      </w:r>
      <w:r w:rsidRPr="00297C42">
        <w:rPr>
          <w:rFonts w:ascii="Times New Roman" w:hAnsi="Times New Roman" w:cs="Times New Roman"/>
          <w:sz w:val="20"/>
          <w:szCs w:val="20"/>
        </w:rPr>
        <w:t xml:space="preserve"> Quantification was carried out using an </w:t>
      </w:r>
      <w:r w:rsidRPr="00004096">
        <w:rPr>
          <w:rStyle w:val="Strong"/>
          <w:rFonts w:ascii="Times New Roman" w:hAnsi="Times New Roman" w:cs="Times New Roman"/>
          <w:b w:val="0"/>
          <w:sz w:val="20"/>
          <w:szCs w:val="20"/>
        </w:rPr>
        <w:t>internal standard method</w:t>
      </w:r>
      <w:r w:rsidRPr="00004096">
        <w:rPr>
          <w:rFonts w:ascii="Times New Roman" w:hAnsi="Times New Roman" w:cs="Times New Roman"/>
          <w:b/>
          <w:sz w:val="20"/>
          <w:szCs w:val="20"/>
        </w:rPr>
        <w:t>,</w:t>
      </w:r>
      <w:r w:rsidRPr="00297C42">
        <w:rPr>
          <w:rFonts w:ascii="Times New Roman" w:hAnsi="Times New Roman" w:cs="Times New Roman"/>
          <w:sz w:val="20"/>
          <w:szCs w:val="20"/>
        </w:rPr>
        <w:t xml:space="preserve"> where a known quantity of a reference compound (e.g., methyl heptadecanoate) was added to each sample, allowing accurate determination of relative concentrations of individual fatty acids.</w:t>
      </w:r>
    </w:p>
    <w:p w:rsidR="00876A34" w:rsidRDefault="004C5F76" w:rsidP="00004096">
      <w:pPr>
        <w:spacing w:before="100" w:beforeAutospacing="1" w:after="100" w:afterAutospacing="1" w:line="240" w:lineRule="auto"/>
        <w:jc w:val="both"/>
        <w:rPr>
          <w:rFonts w:ascii="Times New Roman" w:hAnsi="Times New Roman" w:cs="Times New Roman"/>
          <w:sz w:val="20"/>
          <w:szCs w:val="20"/>
        </w:rPr>
      </w:pPr>
      <w:r w:rsidRPr="00297C42">
        <w:rPr>
          <w:rFonts w:ascii="Times New Roman" w:hAnsi="Times New Roman" w:cs="Times New Roman"/>
          <w:sz w:val="20"/>
          <w:szCs w:val="20"/>
        </w:rPr>
        <w:t xml:space="preserve">Fourier Transform Infrared (FTIR) spectroscopy was employed to characterize the functional groups present in </w:t>
      </w:r>
      <w:r w:rsidRPr="00297C42">
        <w:rPr>
          <w:rStyle w:val="Emphasis"/>
          <w:rFonts w:ascii="Times New Roman" w:hAnsi="Times New Roman" w:cs="Times New Roman"/>
          <w:sz w:val="20"/>
          <w:szCs w:val="20"/>
        </w:rPr>
        <w:t>Cassia fistula</w:t>
      </w:r>
      <w:r w:rsidRPr="00297C42">
        <w:rPr>
          <w:rFonts w:ascii="Times New Roman" w:hAnsi="Times New Roman" w:cs="Times New Roman"/>
          <w:sz w:val="20"/>
          <w:szCs w:val="20"/>
        </w:rPr>
        <w:t xml:space="preserve"> seed oil using a </w:t>
      </w:r>
      <w:r w:rsidRPr="00004096">
        <w:rPr>
          <w:rStyle w:val="Strong"/>
          <w:rFonts w:ascii="Times New Roman" w:hAnsi="Times New Roman" w:cs="Times New Roman"/>
          <w:b w:val="0"/>
          <w:sz w:val="20"/>
          <w:szCs w:val="20"/>
        </w:rPr>
        <w:t>PerkinElmer Spectrum Two FTIR spectrometer</w:t>
      </w:r>
      <w:r w:rsidRPr="009E1ECB">
        <w:rPr>
          <w:rFonts w:ascii="Times New Roman" w:hAnsi="Times New Roman" w:cs="Times New Roman"/>
          <w:b/>
          <w:sz w:val="20"/>
          <w:szCs w:val="20"/>
        </w:rPr>
        <w:t>.</w:t>
      </w:r>
      <w:r w:rsidRPr="00297C42">
        <w:rPr>
          <w:rFonts w:ascii="Times New Roman" w:hAnsi="Times New Roman" w:cs="Times New Roman"/>
          <w:sz w:val="20"/>
          <w:szCs w:val="20"/>
        </w:rPr>
        <w:t xml:space="preserve"> For analysis, the oil samples were prepared either as a neat film between potassium bromide (</w:t>
      </w:r>
      <w:proofErr w:type="spellStart"/>
      <w:r w:rsidRPr="00297C42">
        <w:rPr>
          <w:rFonts w:ascii="Times New Roman" w:hAnsi="Times New Roman" w:cs="Times New Roman"/>
          <w:sz w:val="20"/>
          <w:szCs w:val="20"/>
        </w:rPr>
        <w:t>KBr</w:t>
      </w:r>
      <w:proofErr w:type="spellEnd"/>
      <w:r w:rsidRPr="00297C42">
        <w:rPr>
          <w:rFonts w:ascii="Times New Roman" w:hAnsi="Times New Roman" w:cs="Times New Roman"/>
          <w:sz w:val="20"/>
          <w:szCs w:val="20"/>
        </w:rPr>
        <w:t xml:space="preserve">) plates or directly analyzed using an </w:t>
      </w:r>
      <w:r w:rsidRPr="00004096">
        <w:rPr>
          <w:rStyle w:val="Strong"/>
          <w:rFonts w:ascii="Times New Roman" w:hAnsi="Times New Roman" w:cs="Times New Roman"/>
          <w:b w:val="0"/>
          <w:sz w:val="20"/>
          <w:szCs w:val="20"/>
        </w:rPr>
        <w:t>Attenuated Total Reflectance (ATR) accessory</w:t>
      </w:r>
      <w:r w:rsidRPr="00004096">
        <w:rPr>
          <w:rFonts w:ascii="Times New Roman" w:hAnsi="Times New Roman" w:cs="Times New Roman"/>
          <w:b/>
          <w:sz w:val="20"/>
          <w:szCs w:val="20"/>
        </w:rPr>
        <w:t xml:space="preserve">, </w:t>
      </w:r>
      <w:r w:rsidRPr="00297C42">
        <w:rPr>
          <w:rFonts w:ascii="Times New Roman" w:hAnsi="Times New Roman" w:cs="Times New Roman"/>
          <w:sz w:val="20"/>
          <w:szCs w:val="20"/>
        </w:rPr>
        <w:t>eliminating the need for complex sample preparation. Spectra were recorded over the range of 4000–400 cm⁻¹ with a resolution of 4 cm⁻¹, accumulating 32 scans per sample to improve signal-to-noise ratio. Key absorption bands of interest included the broad O–H stretching around 3400 cm⁻¹, C–H stretching vibrations of aliphatic chains near 2920 and 2850 cm⁻¹, carbonyl (C=O) stretching of triglycerides around 1740 cm⁻¹, C=C stretching of unsaturated fatty acids near 1650 cm⁻¹, and C–O stretching vibrations between 1170–1160 cm⁻¹. These characteristic bands provided insights into the chemical structure and degree of unsaturation in the oil</w:t>
      </w:r>
      <w:bookmarkEnd w:id="7"/>
    </w:p>
    <w:p w:rsidR="00876A34" w:rsidRPr="003570E1" w:rsidRDefault="00876A34" w:rsidP="00876A34">
      <w:pPr>
        <w:spacing w:after="6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Pr="003570E1">
        <w:rPr>
          <w:rFonts w:ascii="Times New Roman" w:hAnsi="Times New Roman" w:cs="Times New Roman"/>
          <w:b/>
          <w:bCs/>
          <w:sz w:val="20"/>
          <w:szCs w:val="20"/>
        </w:rPr>
        <w:t>RESULTS AND DISCUSSION</w:t>
      </w:r>
    </w:p>
    <w:p w:rsidR="00876A34"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results obtained from the twenty experimental runs indicate that the extraction parameters had noticeable effects not only on oil yield but also on the physicochemical properties of the </w:t>
      </w:r>
      <w:r w:rsidRPr="00004096">
        <w:rPr>
          <w:rFonts w:ascii="Times New Roman" w:eastAsia="Calibri" w:hAnsi="Times New Roman" w:cs="Times New Roman"/>
          <w:i/>
          <w:iCs/>
          <w:sz w:val="20"/>
          <w:szCs w:val="20"/>
        </w:rPr>
        <w:t>Cassia fistula</w:t>
      </w:r>
      <w:r w:rsidRPr="00004096">
        <w:rPr>
          <w:rFonts w:ascii="Times New Roman" w:eastAsia="Calibri" w:hAnsi="Times New Roman" w:cs="Times New Roman"/>
          <w:sz w:val="20"/>
          <w:szCs w:val="20"/>
        </w:rPr>
        <w:t xml:space="preserve"> seed oil, including the free fatty acid (FFA) content, iodine value, and saponification value. These parameters are essential indicators of oil quality, stability, and potential industrial applications. Variations in their values across the different runs suggest that extraction conditions influence the degree of oil degradation, unsaturation, and average molecular weight of fatty acids</w:t>
      </w:r>
      <w:r>
        <w:rPr>
          <w:rFonts w:ascii="Times New Roman" w:eastAsia="Calibri" w:hAnsi="Times New Roman" w:cs="Times New Roman"/>
          <w:sz w:val="20"/>
          <w:szCs w:val="20"/>
        </w:rPr>
        <w:t>.</w:t>
      </w:r>
    </w:p>
    <w:p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rsidR="00A42595" w:rsidRDefault="00A42595" w:rsidP="001774F5">
      <w:pPr>
        <w:spacing w:before="100" w:beforeAutospacing="1" w:after="100" w:afterAutospacing="1" w:line="240" w:lineRule="auto"/>
        <w:jc w:val="both"/>
        <w:rPr>
          <w:rFonts w:ascii="Times New Roman" w:hAnsi="Times New Roman" w:cs="Times New Roman"/>
          <w:b/>
          <w:bCs/>
          <w:kern w:val="0"/>
          <w:sz w:val="20"/>
          <w:szCs w:val="20"/>
          <w14:ligatures w14:val="none"/>
        </w:rPr>
      </w:pPr>
    </w:p>
    <w:p w:rsidR="001774F5" w:rsidRDefault="001774F5" w:rsidP="001774F5">
      <w:pPr>
        <w:spacing w:before="100" w:beforeAutospacing="1" w:after="100" w:afterAutospacing="1" w:line="240" w:lineRule="auto"/>
        <w:jc w:val="both"/>
        <w:rPr>
          <w:rFonts w:ascii="Times New Roman" w:hAnsi="Times New Roman" w:cs="Times New Roman"/>
          <w:sz w:val="20"/>
          <w:szCs w:val="20"/>
        </w:rPr>
      </w:pPr>
      <w:r w:rsidRPr="000B3B6C">
        <w:rPr>
          <w:rFonts w:ascii="Times New Roman" w:hAnsi="Times New Roman" w:cs="Times New Roman"/>
          <w:b/>
          <w:bCs/>
          <w:kern w:val="0"/>
          <w:sz w:val="20"/>
          <w:szCs w:val="20"/>
          <w14:ligatures w14:val="none"/>
        </w:rPr>
        <w:lastRenderedPageBreak/>
        <w:t xml:space="preserve">Table 3: Design layout for </w:t>
      </w:r>
      <w:r w:rsidRPr="001774F5">
        <w:rPr>
          <w:rFonts w:ascii="Times New Roman" w:hAnsi="Times New Roman" w:cs="Times New Roman"/>
          <w:b/>
          <w:bCs/>
          <w:i/>
          <w:kern w:val="0"/>
          <w:sz w:val="20"/>
          <w:szCs w:val="20"/>
          <w14:ligatures w14:val="none"/>
        </w:rPr>
        <w:t>Cassia fistula</w:t>
      </w:r>
      <w:r w:rsidRPr="000B3B6C">
        <w:rPr>
          <w:rFonts w:ascii="Times New Roman" w:hAnsi="Times New Roman" w:cs="Times New Roman"/>
          <w:b/>
          <w:bCs/>
          <w:kern w:val="0"/>
          <w:sz w:val="20"/>
          <w:szCs w:val="20"/>
          <w14:ligatures w14:val="none"/>
        </w:rPr>
        <w:t xml:space="preserve"> oil extraction for coded, </w:t>
      </w:r>
      <w:proofErr w:type="spellStart"/>
      <w:r w:rsidRPr="000B3B6C">
        <w:rPr>
          <w:rFonts w:ascii="Times New Roman" w:hAnsi="Times New Roman" w:cs="Times New Roman"/>
          <w:b/>
          <w:bCs/>
          <w:kern w:val="0"/>
          <w:sz w:val="20"/>
          <w:szCs w:val="20"/>
          <w14:ligatures w14:val="none"/>
        </w:rPr>
        <w:t>uncoded</w:t>
      </w:r>
      <w:proofErr w:type="spellEnd"/>
      <w:r w:rsidRPr="000B3B6C">
        <w:rPr>
          <w:rFonts w:ascii="Times New Roman" w:hAnsi="Times New Roman" w:cs="Times New Roman"/>
          <w:b/>
          <w:bCs/>
          <w:kern w:val="0"/>
          <w:sz w:val="20"/>
          <w:szCs w:val="20"/>
          <w14:ligatures w14:val="none"/>
        </w:rPr>
        <w:t xml:space="preserve"> values and responses</w:t>
      </w:r>
      <w:r>
        <w:rPr>
          <w:rFonts w:ascii="Times New Roman" w:hAnsi="Times New Roman" w:cs="Times New Roman"/>
          <w:b/>
          <w:bCs/>
          <w:kern w:val="0"/>
          <w:sz w:val="16"/>
          <w:szCs w:val="16"/>
          <w14:ligatures w14:val="none"/>
        </w:rPr>
        <w:t>.</w:t>
      </w:r>
    </w:p>
    <w:tbl>
      <w:tblPr>
        <w:tblW w:w="9506" w:type="dxa"/>
        <w:tblBorders>
          <w:top w:val="single" w:sz="4" w:space="0" w:color="auto"/>
          <w:bottom w:val="single" w:sz="4" w:space="0" w:color="auto"/>
        </w:tblBorders>
        <w:tblLook w:val="04A0" w:firstRow="1" w:lastRow="0" w:firstColumn="1" w:lastColumn="0" w:noHBand="0" w:noVBand="1"/>
      </w:tblPr>
      <w:tblGrid>
        <w:gridCol w:w="550"/>
        <w:gridCol w:w="1472"/>
        <w:gridCol w:w="1413"/>
        <w:gridCol w:w="821"/>
        <w:gridCol w:w="566"/>
        <w:gridCol w:w="566"/>
        <w:gridCol w:w="908"/>
        <w:gridCol w:w="908"/>
        <w:gridCol w:w="1151"/>
        <w:gridCol w:w="1151"/>
      </w:tblGrid>
      <w:tr w:rsidR="001774F5" w:rsidRPr="00297C42" w:rsidTr="001774F5">
        <w:trPr>
          <w:trHeight w:val="610"/>
        </w:trPr>
        <w:tc>
          <w:tcPr>
            <w:tcW w:w="0" w:type="auto"/>
            <w:tcBorders>
              <w:top w:val="single" w:sz="4" w:space="0" w:color="auto"/>
              <w:bottom w:val="nil"/>
            </w:tcBorders>
            <w:hideMark/>
          </w:tcPr>
          <w:p w:rsidR="001774F5" w:rsidRPr="001774F5" w:rsidRDefault="001774F5" w:rsidP="00535B8B">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Run</w:t>
            </w:r>
          </w:p>
        </w:tc>
        <w:tc>
          <w:tcPr>
            <w:tcW w:w="0" w:type="auto"/>
            <w:tcBorders>
              <w:top w:val="single" w:sz="4" w:space="0" w:color="auto"/>
              <w:bottom w:val="nil"/>
            </w:tcBorders>
            <w:hideMark/>
          </w:tcPr>
          <w:p w:rsidR="001774F5" w:rsidRPr="001774F5" w:rsidRDefault="001774F5" w:rsidP="00535B8B">
            <w:pPr>
              <w:spacing w:line="240" w:lineRule="auto"/>
              <w:jc w:val="center"/>
              <w:rPr>
                <w:rFonts w:ascii="Times New Roman" w:eastAsia="Times New Roman" w:hAnsi="Times New Roman" w:cs="Times New Roman"/>
                <w:color w:val="000000"/>
                <w:sz w:val="20"/>
                <w:szCs w:val="20"/>
              </w:rPr>
            </w:pPr>
            <w:proofErr w:type="gramStart"/>
            <w:r w:rsidRPr="001774F5">
              <w:rPr>
                <w:rFonts w:ascii="Times New Roman" w:eastAsia="Times New Roman" w:hAnsi="Times New Roman" w:cs="Times New Roman"/>
                <w:color w:val="000000"/>
                <w:sz w:val="20"/>
                <w:szCs w:val="20"/>
              </w:rPr>
              <w:t>A:Solid</w:t>
            </w:r>
            <w:proofErr w:type="gramEnd"/>
            <w:r w:rsidRPr="001774F5">
              <w:rPr>
                <w:rFonts w:ascii="Times New Roman" w:eastAsia="Times New Roman" w:hAnsi="Times New Roman" w:cs="Times New Roman"/>
                <w:color w:val="000000"/>
                <w:sz w:val="20"/>
                <w:szCs w:val="20"/>
              </w:rPr>
              <w:t>/solvent</w:t>
            </w:r>
          </w:p>
        </w:tc>
        <w:tc>
          <w:tcPr>
            <w:tcW w:w="0" w:type="auto"/>
            <w:tcBorders>
              <w:top w:val="single" w:sz="4" w:space="0" w:color="auto"/>
              <w:bottom w:val="nil"/>
            </w:tcBorders>
            <w:hideMark/>
          </w:tcPr>
          <w:p w:rsidR="001774F5" w:rsidRPr="001774F5" w:rsidRDefault="001774F5" w:rsidP="00535B8B">
            <w:pPr>
              <w:spacing w:line="240" w:lineRule="auto"/>
              <w:jc w:val="center"/>
              <w:rPr>
                <w:rFonts w:ascii="Times New Roman" w:eastAsia="Times New Roman" w:hAnsi="Times New Roman" w:cs="Times New Roman"/>
                <w:color w:val="000000"/>
                <w:sz w:val="20"/>
                <w:szCs w:val="20"/>
              </w:rPr>
            </w:pPr>
            <w:proofErr w:type="gramStart"/>
            <w:r w:rsidRPr="001774F5">
              <w:rPr>
                <w:rFonts w:ascii="Times New Roman" w:eastAsia="Times New Roman" w:hAnsi="Times New Roman" w:cs="Times New Roman"/>
                <w:color w:val="000000"/>
                <w:sz w:val="20"/>
                <w:szCs w:val="20"/>
              </w:rPr>
              <w:t>B:Temperature</w:t>
            </w:r>
            <w:proofErr w:type="gramEnd"/>
          </w:p>
        </w:tc>
        <w:tc>
          <w:tcPr>
            <w:tcW w:w="0" w:type="auto"/>
            <w:tcBorders>
              <w:top w:val="single" w:sz="4" w:space="0" w:color="auto"/>
              <w:bottom w:val="nil"/>
            </w:tcBorders>
            <w:hideMark/>
          </w:tcPr>
          <w:p w:rsidR="001774F5" w:rsidRPr="001774F5" w:rsidRDefault="001774F5" w:rsidP="00535B8B">
            <w:pPr>
              <w:spacing w:line="240" w:lineRule="auto"/>
              <w:jc w:val="center"/>
              <w:rPr>
                <w:rFonts w:ascii="Times New Roman" w:eastAsia="Times New Roman" w:hAnsi="Times New Roman" w:cs="Times New Roman"/>
                <w:color w:val="000000"/>
                <w:sz w:val="20"/>
                <w:szCs w:val="20"/>
              </w:rPr>
            </w:pPr>
            <w:proofErr w:type="gramStart"/>
            <w:r w:rsidRPr="001774F5">
              <w:rPr>
                <w:rFonts w:ascii="Times New Roman" w:eastAsia="Times New Roman" w:hAnsi="Times New Roman" w:cs="Times New Roman"/>
                <w:color w:val="000000"/>
                <w:sz w:val="20"/>
                <w:szCs w:val="20"/>
              </w:rPr>
              <w:t>C:Time</w:t>
            </w:r>
            <w:proofErr w:type="gramEnd"/>
          </w:p>
        </w:tc>
        <w:tc>
          <w:tcPr>
            <w:tcW w:w="0" w:type="auto"/>
            <w:gridSpan w:val="2"/>
            <w:tcBorders>
              <w:top w:val="single" w:sz="4" w:space="0" w:color="auto"/>
              <w:bottom w:val="nil"/>
            </w:tcBorders>
            <w:shd w:val="clear" w:color="auto" w:fill="FFFFFF"/>
            <w:vAlign w:val="center"/>
            <w:hideMark/>
          </w:tcPr>
          <w:p w:rsidR="001774F5" w:rsidRPr="001774F5" w:rsidRDefault="001774F5" w:rsidP="00535B8B">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FFA</w:t>
            </w:r>
          </w:p>
        </w:tc>
        <w:tc>
          <w:tcPr>
            <w:tcW w:w="0" w:type="auto"/>
            <w:gridSpan w:val="2"/>
            <w:tcBorders>
              <w:top w:val="single" w:sz="4" w:space="0" w:color="auto"/>
              <w:bottom w:val="nil"/>
            </w:tcBorders>
            <w:shd w:val="clear" w:color="auto" w:fill="FFFFFF"/>
            <w:vAlign w:val="center"/>
            <w:hideMark/>
          </w:tcPr>
          <w:p w:rsidR="001774F5" w:rsidRPr="001774F5" w:rsidRDefault="001774F5" w:rsidP="00535B8B">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Iodine value mg/100g</w:t>
            </w:r>
          </w:p>
        </w:tc>
        <w:tc>
          <w:tcPr>
            <w:tcW w:w="0" w:type="auto"/>
            <w:gridSpan w:val="2"/>
            <w:tcBorders>
              <w:top w:val="single" w:sz="4" w:space="0" w:color="auto"/>
              <w:bottom w:val="nil"/>
            </w:tcBorders>
            <w:shd w:val="clear" w:color="auto" w:fill="FFFFFF"/>
            <w:vAlign w:val="center"/>
            <w:hideMark/>
          </w:tcPr>
          <w:p w:rsidR="001774F5" w:rsidRPr="001774F5" w:rsidRDefault="001774F5" w:rsidP="00535B8B">
            <w:pPr>
              <w:spacing w:line="240" w:lineRule="auto"/>
              <w:jc w:val="center"/>
              <w:rPr>
                <w:rFonts w:ascii="Times New Roman" w:hAnsi="Times New Roman" w:cs="Times New Roman"/>
                <w:color w:val="000000"/>
                <w:sz w:val="20"/>
                <w:szCs w:val="20"/>
              </w:rPr>
            </w:pPr>
            <w:proofErr w:type="spellStart"/>
            <w:r w:rsidRPr="001774F5">
              <w:rPr>
                <w:rFonts w:ascii="Times New Roman" w:hAnsi="Times New Roman" w:cs="Times New Roman"/>
                <w:color w:val="000000"/>
                <w:sz w:val="20"/>
                <w:szCs w:val="20"/>
              </w:rPr>
              <w:t>Saponifications</w:t>
            </w:r>
            <w:proofErr w:type="spellEnd"/>
            <w:r w:rsidRPr="001774F5">
              <w:rPr>
                <w:rFonts w:ascii="Times New Roman" w:hAnsi="Times New Roman" w:cs="Times New Roman"/>
                <w:color w:val="000000"/>
                <w:sz w:val="20"/>
                <w:szCs w:val="20"/>
              </w:rPr>
              <w:t xml:space="preserve"> value g/100g</w:t>
            </w:r>
          </w:p>
        </w:tc>
      </w:tr>
      <w:tr w:rsidR="001774F5" w:rsidRPr="00297C42" w:rsidTr="001774F5">
        <w:trPr>
          <w:trHeight w:val="711"/>
        </w:trPr>
        <w:tc>
          <w:tcPr>
            <w:tcW w:w="0" w:type="auto"/>
            <w:tcBorders>
              <w:top w:val="nil"/>
              <w:bottom w:val="single" w:sz="4" w:space="0" w:color="auto"/>
            </w:tcBorders>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p>
        </w:tc>
        <w:tc>
          <w:tcPr>
            <w:tcW w:w="0" w:type="auto"/>
            <w:tcBorders>
              <w:top w:val="nil"/>
              <w:bottom w:val="single" w:sz="4" w:space="0" w:color="auto"/>
            </w:tcBorders>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g/g</w:t>
            </w:r>
          </w:p>
        </w:tc>
        <w:tc>
          <w:tcPr>
            <w:tcW w:w="0" w:type="auto"/>
            <w:tcBorders>
              <w:top w:val="nil"/>
              <w:bottom w:val="single" w:sz="4" w:space="0" w:color="auto"/>
            </w:tcBorders>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Deg C</w:t>
            </w:r>
          </w:p>
        </w:tc>
        <w:tc>
          <w:tcPr>
            <w:tcW w:w="0" w:type="auto"/>
            <w:tcBorders>
              <w:top w:val="nil"/>
              <w:bottom w:val="single" w:sz="4" w:space="0" w:color="auto"/>
            </w:tcBorders>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proofErr w:type="spellStart"/>
            <w:r w:rsidRPr="001774F5">
              <w:rPr>
                <w:rFonts w:ascii="Times New Roman" w:eastAsia="Times New Roman" w:hAnsi="Times New Roman" w:cs="Times New Roman"/>
                <w:color w:val="000000"/>
                <w:sz w:val="20"/>
                <w:szCs w:val="20"/>
              </w:rPr>
              <w:t>Hrs</w:t>
            </w:r>
            <w:proofErr w:type="spellEnd"/>
          </w:p>
        </w:tc>
        <w:tc>
          <w:tcPr>
            <w:tcW w:w="0" w:type="auto"/>
            <w:tcBorders>
              <w:top w:val="nil"/>
              <w:bottom w:val="single" w:sz="4" w:space="0" w:color="auto"/>
            </w:tcBorders>
            <w:shd w:val="clear" w:color="auto" w:fill="FFFFFF"/>
            <w:vAlign w:val="center"/>
            <w:hideMark/>
          </w:tcPr>
          <w:p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c>
          <w:tcPr>
            <w:tcW w:w="0" w:type="auto"/>
            <w:tcBorders>
              <w:top w:val="nil"/>
              <w:bottom w:val="single" w:sz="4" w:space="0" w:color="auto"/>
            </w:tcBorders>
            <w:shd w:val="clear" w:color="auto" w:fill="FFFFFF"/>
            <w:vAlign w:val="center"/>
            <w:hideMark/>
          </w:tcPr>
          <w:p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c>
          <w:tcPr>
            <w:tcW w:w="0" w:type="auto"/>
            <w:tcBorders>
              <w:top w:val="nil"/>
              <w:bottom w:val="single" w:sz="4" w:space="0" w:color="auto"/>
            </w:tcBorders>
            <w:shd w:val="clear" w:color="auto" w:fill="FFFFFF"/>
            <w:vAlign w:val="center"/>
            <w:hideMark/>
          </w:tcPr>
          <w:p w:rsidR="001774F5" w:rsidRPr="00392BFE" w:rsidRDefault="001774F5" w:rsidP="001774F5">
            <w:pPr>
              <w:spacing w:line="240" w:lineRule="auto"/>
              <w:jc w:val="center"/>
              <w:rPr>
                <w:rFonts w:ascii="Times New Roman" w:hAnsi="Times New Roman" w:cs="Times New Roman"/>
                <w:color w:val="000000"/>
                <w:sz w:val="20"/>
                <w:szCs w:val="20"/>
              </w:rPr>
            </w:pPr>
            <w:r w:rsidRPr="00392BFE">
              <w:rPr>
                <w:rFonts w:ascii="Times New Roman" w:hAnsi="Times New Roman" w:cs="Times New Roman"/>
                <w:color w:val="000000"/>
                <w:sz w:val="20"/>
                <w:szCs w:val="20"/>
              </w:rPr>
              <w:t>Exp</w:t>
            </w:r>
          </w:p>
        </w:tc>
        <w:tc>
          <w:tcPr>
            <w:tcW w:w="0" w:type="auto"/>
            <w:tcBorders>
              <w:top w:val="nil"/>
              <w:bottom w:val="single" w:sz="4" w:space="0" w:color="auto"/>
            </w:tcBorders>
            <w:shd w:val="clear" w:color="auto" w:fill="FFFFFF"/>
            <w:vAlign w:val="center"/>
          </w:tcPr>
          <w:p w:rsidR="001774F5" w:rsidRPr="00392BFE" w:rsidRDefault="001774F5" w:rsidP="001774F5">
            <w:pPr>
              <w:rPr>
                <w:rFonts w:ascii="Times New Roman" w:hAnsi="Times New Roman" w:cs="Times New Roman"/>
                <w:bCs/>
                <w:color w:val="000000"/>
                <w:kern w:val="0"/>
                <w:sz w:val="20"/>
                <w:szCs w:val="20"/>
                <w14:ligatures w14:val="none"/>
              </w:rPr>
            </w:pPr>
            <w:proofErr w:type="spellStart"/>
            <w:r w:rsidRPr="00392BFE">
              <w:rPr>
                <w:rFonts w:ascii="Times New Roman" w:hAnsi="Times New Roman" w:cs="Times New Roman"/>
                <w:bCs/>
                <w:color w:val="000000"/>
                <w:sz w:val="20"/>
                <w:szCs w:val="20"/>
              </w:rPr>
              <w:t>Pr</w:t>
            </w:r>
            <w:proofErr w:type="spellEnd"/>
          </w:p>
        </w:tc>
      </w:tr>
      <w:tr w:rsidR="001774F5" w:rsidRPr="00297C42" w:rsidTr="001774F5">
        <w:trPr>
          <w:trHeight w:val="435"/>
        </w:trPr>
        <w:tc>
          <w:tcPr>
            <w:tcW w:w="0" w:type="auto"/>
            <w:tcBorders>
              <w:top w:val="single" w:sz="4" w:space="0" w:color="auto"/>
            </w:tcBorders>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w:t>
            </w:r>
          </w:p>
        </w:tc>
        <w:tc>
          <w:tcPr>
            <w:tcW w:w="0" w:type="auto"/>
            <w:tcBorders>
              <w:top w:val="single" w:sz="4" w:space="0" w:color="auto"/>
            </w:tcBorders>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tcBorders>
              <w:top w:val="single" w:sz="4" w:space="0" w:color="auto"/>
            </w:tcBorders>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tcBorders>
              <w:top w:val="single" w:sz="4" w:space="0" w:color="auto"/>
            </w:tcBorders>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tcBorders>
              <w:top w:val="single" w:sz="4" w:space="0" w:color="auto"/>
            </w:tcBorders>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2.14</w:t>
            </w:r>
          </w:p>
        </w:tc>
        <w:tc>
          <w:tcPr>
            <w:tcW w:w="0" w:type="auto"/>
            <w:tcBorders>
              <w:top w:val="single" w:sz="4" w:space="0" w:color="auto"/>
            </w:tcBorders>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tcBorders>
              <w:top w:val="single" w:sz="4" w:space="0" w:color="auto"/>
            </w:tcBorders>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23.17</w:t>
            </w:r>
          </w:p>
        </w:tc>
        <w:tc>
          <w:tcPr>
            <w:tcW w:w="0" w:type="auto"/>
            <w:tcBorders>
              <w:top w:val="single" w:sz="4" w:space="0" w:color="auto"/>
            </w:tcBorders>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tcBorders>
              <w:top w:val="single" w:sz="4" w:space="0" w:color="auto"/>
            </w:tcBorders>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213.89</w:t>
            </w:r>
          </w:p>
        </w:tc>
        <w:tc>
          <w:tcPr>
            <w:tcW w:w="0" w:type="auto"/>
            <w:tcBorders>
              <w:top w:val="single" w:sz="4" w:space="0" w:color="auto"/>
            </w:tcBorders>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10.3636</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1.02</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1.16</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21.67</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20.47</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209.56</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209.15</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3.85</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19.15</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205.1</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0.78</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1.31</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22.10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21.87</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189.17</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187.17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0.56</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0.41</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17.68</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19.70</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214.17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2.47</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1.72</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17.40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17.82</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195.00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193.75</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3.22</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25.00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210.38</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8</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1.95</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1.80</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18.16</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18.55</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202.40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201.84</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4.10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21.30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202.43</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10</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9</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0.91</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0.96</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16.70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17.29</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207.60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205.56</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11</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3.63</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2.67</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2.66</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20.31</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216.17</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220.25</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12</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3.99</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23.20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198.75</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13</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1.15</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1.81</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19.26</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19.82</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208.40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207.05</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14</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1.31</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2.34</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1.77</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18.00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16.84</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193.60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192.36</w:t>
            </w:r>
          </w:p>
        </w:tc>
      </w:tr>
      <w:tr w:rsidR="001774F5" w:rsidRPr="00297C42" w:rsidTr="001774F5">
        <w:trPr>
          <w:trHeight w:val="421"/>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80.11</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0.63</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0.61</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24.60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22.47</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210.36</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209.17</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16</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4.6</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1.78</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2.49</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14.17</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13.94</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190.50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195.41</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2.88</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2.26</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19.20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20.41</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204.7</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204.10</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18</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54.88</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1.09</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1.24</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21.11</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21.85</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190.00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194.86</w:t>
            </w:r>
          </w:p>
        </w:tc>
      </w:tr>
      <w:tr w:rsidR="001774F5" w:rsidRPr="00297C42" w:rsidTr="001774F5">
        <w:trPr>
          <w:trHeight w:val="435"/>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19</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7</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67.5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3</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3.41</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3.45</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22.80</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22.48</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198.11</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204.67</w:t>
            </w:r>
          </w:p>
        </w:tc>
      </w:tr>
      <w:tr w:rsidR="001774F5" w:rsidRPr="00297C42" w:rsidTr="001774F5">
        <w:trPr>
          <w:trHeight w:val="421"/>
        </w:trPr>
        <w:tc>
          <w:tcPr>
            <w:tcW w:w="0" w:type="auto"/>
            <w:hideMark/>
          </w:tcPr>
          <w:p w:rsidR="001774F5" w:rsidRPr="001774F5" w:rsidRDefault="001774F5" w:rsidP="001774F5">
            <w:pPr>
              <w:spacing w:line="240" w:lineRule="auto"/>
              <w:jc w:val="center"/>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20</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5</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60</w:t>
            </w:r>
          </w:p>
        </w:tc>
        <w:tc>
          <w:tcPr>
            <w:tcW w:w="0" w:type="auto"/>
            <w:hideMark/>
          </w:tcPr>
          <w:p w:rsidR="001774F5" w:rsidRPr="001774F5" w:rsidRDefault="001774F5" w:rsidP="001774F5">
            <w:pPr>
              <w:spacing w:line="240" w:lineRule="auto"/>
              <w:rPr>
                <w:rFonts w:ascii="Times New Roman" w:eastAsia="Times New Roman" w:hAnsi="Times New Roman" w:cs="Times New Roman"/>
                <w:color w:val="000000"/>
                <w:sz w:val="20"/>
                <w:szCs w:val="20"/>
              </w:rPr>
            </w:pPr>
            <w:r w:rsidRPr="001774F5">
              <w:rPr>
                <w:rFonts w:ascii="Times New Roman" w:eastAsia="Times New Roman" w:hAnsi="Times New Roman" w:cs="Times New Roman"/>
                <w:color w:val="000000"/>
                <w:sz w:val="20"/>
                <w:szCs w:val="20"/>
              </w:rPr>
              <w:t>4</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2.05</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2.10</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18.54</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17.50</w:t>
            </w:r>
          </w:p>
        </w:tc>
        <w:tc>
          <w:tcPr>
            <w:tcW w:w="0" w:type="auto"/>
            <w:shd w:val="clear" w:color="auto" w:fill="FFFFFF"/>
            <w:vAlign w:val="center"/>
            <w:hideMark/>
          </w:tcPr>
          <w:p w:rsidR="001774F5" w:rsidRPr="001774F5" w:rsidRDefault="001774F5" w:rsidP="001774F5">
            <w:pPr>
              <w:spacing w:line="240" w:lineRule="auto"/>
              <w:jc w:val="center"/>
              <w:rPr>
                <w:rFonts w:ascii="Times New Roman" w:hAnsi="Times New Roman" w:cs="Times New Roman"/>
                <w:color w:val="000000"/>
                <w:sz w:val="20"/>
                <w:szCs w:val="20"/>
              </w:rPr>
            </w:pPr>
            <w:r w:rsidRPr="001774F5">
              <w:rPr>
                <w:rFonts w:ascii="Times New Roman" w:hAnsi="Times New Roman" w:cs="Times New Roman"/>
                <w:color w:val="000000"/>
                <w:sz w:val="20"/>
                <w:szCs w:val="20"/>
              </w:rPr>
              <w:t>220.54</w:t>
            </w:r>
          </w:p>
        </w:tc>
        <w:tc>
          <w:tcPr>
            <w:tcW w:w="0" w:type="auto"/>
            <w:shd w:val="clear" w:color="auto" w:fill="FFFFFF"/>
            <w:vAlign w:val="center"/>
          </w:tcPr>
          <w:p w:rsidR="001774F5" w:rsidRPr="001774F5" w:rsidRDefault="001774F5" w:rsidP="001774F5">
            <w:pPr>
              <w:rPr>
                <w:rFonts w:ascii="Times New Roman" w:hAnsi="Times New Roman" w:cs="Times New Roman"/>
                <w:color w:val="000000"/>
                <w:sz w:val="20"/>
                <w:szCs w:val="20"/>
              </w:rPr>
            </w:pPr>
            <w:r w:rsidRPr="001774F5">
              <w:rPr>
                <w:rFonts w:ascii="Times New Roman" w:hAnsi="Times New Roman" w:cs="Times New Roman"/>
                <w:color w:val="000000"/>
                <w:sz w:val="20"/>
                <w:szCs w:val="20"/>
              </w:rPr>
              <w:t>214.07</w:t>
            </w:r>
          </w:p>
        </w:tc>
      </w:tr>
    </w:tbl>
    <w:p w:rsidR="001774F5" w:rsidRDefault="001774F5" w:rsidP="00004096">
      <w:pPr>
        <w:spacing w:line="240" w:lineRule="auto"/>
        <w:jc w:val="both"/>
        <w:rPr>
          <w:rFonts w:ascii="Times New Roman" w:eastAsia="Calibri" w:hAnsi="Times New Roman" w:cs="Times New Roman"/>
          <w:sz w:val="20"/>
          <w:szCs w:val="20"/>
        </w:rPr>
      </w:pPr>
    </w:p>
    <w:p w:rsidR="00004096" w:rsidRPr="00004096" w:rsidRDefault="000B3B6C" w:rsidP="00004096">
      <w:pPr>
        <w:rPr>
          <w:rFonts w:ascii="Times New Roman" w:eastAsia="Calibri" w:hAnsi="Times New Roman" w:cs="Times New Roman"/>
          <w:b/>
          <w:sz w:val="20"/>
          <w:szCs w:val="20"/>
        </w:rPr>
      </w:pPr>
      <w:bookmarkStart w:id="8" w:name="_Toc214534804"/>
      <w:r>
        <w:rPr>
          <w:rFonts w:ascii="Times New Roman" w:eastAsia="Calibri" w:hAnsi="Times New Roman" w:cs="Times New Roman"/>
          <w:b/>
          <w:sz w:val="20"/>
          <w:szCs w:val="20"/>
        </w:rPr>
        <w:t>3</w:t>
      </w:r>
      <w:r w:rsidR="00004096" w:rsidRPr="00004096">
        <w:rPr>
          <w:rFonts w:ascii="Times New Roman" w:eastAsia="Calibri" w:hAnsi="Times New Roman" w:cs="Times New Roman"/>
          <w:b/>
          <w:sz w:val="20"/>
          <w:szCs w:val="20"/>
        </w:rPr>
        <w:t>.</w:t>
      </w:r>
      <w:r>
        <w:rPr>
          <w:rFonts w:ascii="Times New Roman" w:eastAsia="Calibri" w:hAnsi="Times New Roman" w:cs="Times New Roman"/>
          <w:b/>
          <w:sz w:val="20"/>
          <w:szCs w:val="20"/>
        </w:rPr>
        <w:t>1</w:t>
      </w:r>
      <w:r w:rsidR="00004096" w:rsidRPr="00004096">
        <w:rPr>
          <w:rFonts w:ascii="Times New Roman" w:eastAsia="Calibri" w:hAnsi="Times New Roman" w:cs="Times New Roman"/>
          <w:b/>
          <w:sz w:val="20"/>
          <w:szCs w:val="20"/>
        </w:rPr>
        <w:t xml:space="preserve"> Effect o</w:t>
      </w:r>
      <w:r>
        <w:rPr>
          <w:rFonts w:ascii="Times New Roman" w:eastAsia="Calibri" w:hAnsi="Times New Roman" w:cs="Times New Roman"/>
          <w:b/>
          <w:sz w:val="20"/>
          <w:szCs w:val="20"/>
        </w:rPr>
        <w:t xml:space="preserve">f </w:t>
      </w:r>
      <w:r w:rsidR="00004096" w:rsidRPr="00004096">
        <w:rPr>
          <w:rFonts w:ascii="Times New Roman" w:eastAsia="Calibri" w:hAnsi="Times New Roman" w:cs="Times New Roman"/>
          <w:b/>
          <w:sz w:val="20"/>
          <w:szCs w:val="20"/>
        </w:rPr>
        <w:t xml:space="preserve">iodine value on </w:t>
      </w:r>
      <w:r w:rsidR="00004096" w:rsidRPr="00004096">
        <w:rPr>
          <w:rFonts w:ascii="Times New Roman" w:eastAsia="Calibri" w:hAnsi="Times New Roman" w:cs="Times New Roman"/>
          <w:b/>
          <w:i/>
          <w:sz w:val="20"/>
          <w:szCs w:val="20"/>
        </w:rPr>
        <w:t>cassia fistula</w:t>
      </w:r>
      <w:r w:rsidR="00004096" w:rsidRPr="00004096">
        <w:rPr>
          <w:rFonts w:ascii="Times New Roman" w:eastAsia="Calibri" w:hAnsi="Times New Roman" w:cs="Times New Roman"/>
          <w:b/>
          <w:sz w:val="20"/>
          <w:szCs w:val="20"/>
        </w:rPr>
        <w:t xml:space="preserve"> seed oil</w:t>
      </w:r>
      <w:bookmarkEnd w:id="8"/>
    </w:p>
    <w:p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The iodine value, which ranged from 14.9 g/100 g to 25.0 g/100 g, represents the degree of unsaturation in the extracted oil. Higher iodine values, such as in Runs 7 (25.0) and 15 (24.6), were generally associated with higher extraction temperatures, implying that elevated temperatures enhance the release of more unsaturated fatty acids into the solvent. Lower iodine values, like those in Runs 3 (15.6) and 8 (14.9), may result from mild conditions where diffusion of unsaturated lipids is less efficient. This suggests that temperature plays a crucial role in determining the degree of unsaturation of the extracted oil, which affects its drying properties and oxidative stability.</w:t>
      </w:r>
      <w:bookmarkStart w:id="9" w:name="_Toc214534805"/>
    </w:p>
    <w:p w:rsidR="00004096" w:rsidRPr="00004096" w:rsidRDefault="00752525" w:rsidP="00004096">
      <w:pPr>
        <w:rPr>
          <w:rFonts w:ascii="Times New Roman" w:eastAsia="Calibri" w:hAnsi="Times New Roman" w:cs="Times New Roman"/>
          <w:b/>
          <w:sz w:val="20"/>
          <w:szCs w:val="20"/>
        </w:rPr>
      </w:pPr>
      <w:r>
        <w:rPr>
          <w:rFonts w:ascii="Times New Roman" w:eastAsia="Calibri" w:hAnsi="Times New Roman" w:cs="Times New Roman"/>
          <w:b/>
          <w:sz w:val="20"/>
          <w:szCs w:val="20"/>
        </w:rPr>
        <w:t>3.2</w:t>
      </w:r>
      <w:r w:rsidR="00004096" w:rsidRPr="00004096">
        <w:rPr>
          <w:rFonts w:ascii="Times New Roman" w:eastAsia="Calibri" w:hAnsi="Times New Roman" w:cs="Times New Roman"/>
          <w:b/>
          <w:sz w:val="20"/>
          <w:szCs w:val="20"/>
        </w:rPr>
        <w:t xml:space="preserve"> Effect o</w:t>
      </w:r>
      <w:r w:rsidR="000B3B6C">
        <w:rPr>
          <w:rFonts w:ascii="Times New Roman" w:eastAsia="Calibri" w:hAnsi="Times New Roman" w:cs="Times New Roman"/>
          <w:b/>
          <w:sz w:val="20"/>
          <w:szCs w:val="20"/>
        </w:rPr>
        <w:t>f</w:t>
      </w:r>
      <w:r w:rsidR="00004096" w:rsidRPr="00004096">
        <w:rPr>
          <w:rFonts w:ascii="Times New Roman" w:eastAsia="Calibri" w:hAnsi="Times New Roman" w:cs="Times New Roman"/>
          <w:b/>
          <w:sz w:val="20"/>
          <w:szCs w:val="20"/>
        </w:rPr>
        <w:t xml:space="preserve"> saponification value</w:t>
      </w:r>
      <w:bookmarkEnd w:id="9"/>
    </w:p>
    <w:p w:rsidR="00752525" w:rsidRDefault="00004096" w:rsidP="00752525">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lastRenderedPageBreak/>
        <w:t>The saponification value varied between 170.8 mg KOH/g and 210.3 mg KOH/g, reflecting differences in the average molecular weight of fatty acids in the oil. Higher saponification values (e.g., Run 5 at 210.3 mg KOH/g) correspond to shorter-chain fatty acids, which are more easily saponified, while lower values (e.g., Run 9 at 170.8 mg KOH/g) indicate the presence of longer-chain fatty acids. The data suggest that both the solid-to-solvent ratio and temperature influence this property. Higher solvent availability and elevated temperatures appear to favor the extraction of shorter-chain components, leading to increased saponification values. Overall, optimal extraction conditions (around 7 g/g solid-to-solvent ratio, 75–80 °C, and 3 h) produced oil with moderate FFA, high iodine, and desirable saponification values, suggesting good-quality oil suitable for industrial and edible applications.</w:t>
      </w:r>
      <w:bookmarkStart w:id="10" w:name="_Toc214534806"/>
    </w:p>
    <w:p w:rsidR="00752525" w:rsidRDefault="00752525" w:rsidP="00752525">
      <w:pPr>
        <w:spacing w:after="0" w:line="240" w:lineRule="auto"/>
        <w:jc w:val="both"/>
        <w:rPr>
          <w:rFonts w:ascii="Times New Roman" w:hAnsi="Times New Roman" w:cs="Times New Roman"/>
          <w:sz w:val="20"/>
          <w:szCs w:val="20"/>
        </w:rPr>
      </w:pPr>
    </w:p>
    <w:p w:rsidR="00752525" w:rsidRPr="00752525" w:rsidRDefault="00752525" w:rsidP="00752525">
      <w:pPr>
        <w:spacing w:after="0" w:line="240" w:lineRule="auto"/>
        <w:jc w:val="both"/>
        <w:rPr>
          <w:rFonts w:ascii="Times New Roman" w:eastAsia="Calibri" w:hAnsi="Times New Roman" w:cs="Times New Roman"/>
          <w:b/>
          <w:sz w:val="20"/>
          <w:szCs w:val="20"/>
        </w:rPr>
      </w:pPr>
      <w:r w:rsidRPr="00752525">
        <w:rPr>
          <w:rFonts w:ascii="Times New Roman" w:hAnsi="Times New Roman" w:cs="Times New Roman"/>
          <w:b/>
          <w:sz w:val="20"/>
          <w:szCs w:val="20"/>
        </w:rPr>
        <w:t xml:space="preserve">3.3 Effect on Free Fatty acid (FFA) on </w:t>
      </w:r>
      <w:r w:rsidRPr="00752525">
        <w:rPr>
          <w:rFonts w:ascii="Times New Roman" w:hAnsi="Times New Roman" w:cs="Times New Roman"/>
          <w:b/>
          <w:i/>
          <w:sz w:val="20"/>
          <w:szCs w:val="20"/>
        </w:rPr>
        <w:t>cassia fistula</w:t>
      </w:r>
      <w:r w:rsidRPr="00752525">
        <w:rPr>
          <w:rFonts w:ascii="Times New Roman" w:hAnsi="Times New Roman" w:cs="Times New Roman"/>
          <w:b/>
          <w:sz w:val="20"/>
          <w:szCs w:val="20"/>
        </w:rPr>
        <w:t xml:space="preserve"> seed oil</w:t>
      </w:r>
    </w:p>
    <w:p w:rsidR="00752525" w:rsidRPr="004C4B50" w:rsidRDefault="00752525" w:rsidP="00752525">
      <w:pPr>
        <w:spacing w:after="0" w:line="240" w:lineRule="auto"/>
        <w:jc w:val="both"/>
        <w:rPr>
          <w:rFonts w:ascii="Times New Roman" w:hAnsi="Times New Roman" w:cs="Times New Roman"/>
          <w:sz w:val="20"/>
          <w:szCs w:val="20"/>
        </w:rPr>
      </w:pPr>
      <w:r w:rsidRPr="00297C42">
        <w:rPr>
          <w:rFonts w:ascii="Times New Roman" w:hAnsi="Times New Roman" w:cs="Times New Roman"/>
          <w:sz w:val="20"/>
          <w:szCs w:val="20"/>
        </w:rPr>
        <w:t>The FFA content varied between 0.56% and 4.10%, showing that both temperature and extraction time influenced the extent of hydrolysis of triglycerides into free fatty acids. Higher FFA values, as seen in runs such as Run 9 (4.10%) and Run 12 (3.99%), were generally observed at moderate temperatures and standard extraction times, possibly due to prolonged contact between oil and residual moisture or enzymes. Conversely, lower FFA values, such as Run 5 (0.56%) and Run 15 (0.63%), were recorded at higher temperatures (around 75–80 °C), suggesting that elevated temperatures may help inactivate lipolytic enzymes and reduce the formation of free fatty acids. This trend indicates that controlling temperature and extraction duration can minimize FFA levels, improving the stability and quality of the oil.</w:t>
      </w:r>
    </w:p>
    <w:p w:rsidR="00752525" w:rsidRDefault="00752525" w:rsidP="00004096">
      <w:pPr>
        <w:jc w:val="both"/>
        <w:rPr>
          <w:rFonts w:ascii="Times New Roman" w:eastAsia="Calibri" w:hAnsi="Times New Roman" w:cs="Times New Roman"/>
          <w:b/>
          <w:sz w:val="20"/>
          <w:szCs w:val="20"/>
        </w:rPr>
      </w:pPr>
    </w:p>
    <w:p w:rsidR="00004096" w:rsidRPr="00752525" w:rsidRDefault="00752525" w:rsidP="00752525">
      <w:pPr>
        <w:autoSpaceDE w:val="0"/>
        <w:autoSpaceDN w:val="0"/>
        <w:adjustRightInd w:val="0"/>
        <w:spacing w:after="0" w:line="240" w:lineRule="auto"/>
        <w:rPr>
          <w:rFonts w:ascii="Times New Roman" w:hAnsi="Times New Roman" w:cs="Times New Roman"/>
          <w:i/>
          <w:iCs/>
          <w:kern w:val="0"/>
          <w:sz w:val="20"/>
          <w:szCs w:val="20"/>
          <w14:ligatures w14:val="none"/>
        </w:rPr>
      </w:pPr>
      <w:r>
        <w:rPr>
          <w:rFonts w:ascii="Times New Roman" w:eastAsia="Calibri" w:hAnsi="Times New Roman" w:cs="Times New Roman"/>
          <w:b/>
          <w:sz w:val="20"/>
          <w:szCs w:val="20"/>
        </w:rPr>
        <w:t>3.4</w:t>
      </w:r>
      <w:r w:rsidR="00004096" w:rsidRPr="00004096">
        <w:rPr>
          <w:rFonts w:ascii="Times New Roman" w:eastAsia="Calibri" w:hAnsi="Times New Roman" w:cs="Times New Roman"/>
          <w:b/>
          <w:sz w:val="20"/>
          <w:szCs w:val="20"/>
        </w:rPr>
        <w:t xml:space="preserve"> </w:t>
      </w:r>
      <w:r w:rsidRPr="00752525">
        <w:rPr>
          <w:rFonts w:ascii="Times New Roman" w:hAnsi="Times New Roman" w:cs="Times New Roman"/>
          <w:b/>
          <w:i/>
          <w:iCs/>
          <w:kern w:val="0"/>
          <w:sz w:val="20"/>
          <w:szCs w:val="20"/>
          <w14:ligatures w14:val="none"/>
        </w:rPr>
        <w:t xml:space="preserve">Effects of Independent Variables on Cassia </w:t>
      </w:r>
      <w:proofErr w:type="gramStart"/>
      <w:r w:rsidRPr="00752525">
        <w:rPr>
          <w:rFonts w:ascii="Times New Roman" w:hAnsi="Times New Roman" w:cs="Times New Roman"/>
          <w:b/>
          <w:i/>
          <w:iCs/>
          <w:kern w:val="0"/>
          <w:sz w:val="20"/>
          <w:szCs w:val="20"/>
          <w14:ligatures w14:val="none"/>
        </w:rPr>
        <w:t>fistula  Quality</w:t>
      </w:r>
      <w:proofErr w:type="gramEnd"/>
      <w:r w:rsidRPr="00752525">
        <w:rPr>
          <w:rFonts w:ascii="Times New Roman" w:hAnsi="Times New Roman" w:cs="Times New Roman"/>
          <w:b/>
          <w:i/>
          <w:iCs/>
          <w:kern w:val="0"/>
          <w:sz w:val="20"/>
          <w:szCs w:val="20"/>
          <w14:ligatures w14:val="none"/>
        </w:rPr>
        <w:t xml:space="preserve"> Characteristics :</w:t>
      </w:r>
      <w:r w:rsidR="00004096" w:rsidRPr="00752525">
        <w:rPr>
          <w:rFonts w:ascii="Times New Roman" w:eastAsia="Calibri" w:hAnsi="Times New Roman" w:cs="Times New Roman"/>
          <w:b/>
          <w:sz w:val="20"/>
          <w:szCs w:val="20"/>
        </w:rPr>
        <w:t>Free</w:t>
      </w:r>
      <w:r w:rsidR="00004096" w:rsidRPr="00004096">
        <w:rPr>
          <w:rFonts w:ascii="Times New Roman" w:eastAsia="Calibri" w:hAnsi="Times New Roman" w:cs="Times New Roman"/>
          <w:b/>
          <w:sz w:val="20"/>
          <w:szCs w:val="20"/>
        </w:rPr>
        <w:t xml:space="preserve"> fatty acid ,iodine value and      saponification</w:t>
      </w:r>
      <w:bookmarkEnd w:id="10"/>
    </w:p>
    <w:p w:rsid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Design Expert software was employed to analyze the experimental outcomes of Cassia fistula seed oil extraction and characterization, focusing on key response variables: oil yield (%), free fatty acid (FFA) content, iodine value, and saponification value. The optimization study aimed to determine the effect of process parameters such as extraction temperature, time, and solvent ratio on these responses. Results from the statistical design revealed that extraction conditions significantly influenced oil yield and quality indices. A higher yield was associated with optimal temperature and solvent ratio, while the FFA, iodine, and saponification values provided insights into the oil’s purity, degree of unsaturation, and potential for soap or biodiesel production. Overall, the Design Expert analysis enabled efficient optimization and prediction of Cassia fistula seed oil properties for industrial applications.</w:t>
      </w:r>
    </w:p>
    <w:p w:rsidR="00004096" w:rsidRPr="00535B8B" w:rsidRDefault="00752525" w:rsidP="00535B8B">
      <w:pPr>
        <w:autoSpaceDE w:val="0"/>
        <w:autoSpaceDN w:val="0"/>
        <w:adjustRightInd w:val="0"/>
        <w:spacing w:after="0" w:line="240" w:lineRule="auto"/>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response variables representing three oil quality Characteristics (FFA, iodine value and saponification value) were all best fitted as quadratic model. All the models were significant with values of "Prob &gt; F less than 0.05.</w:t>
      </w:r>
    </w:p>
    <w:p w:rsidR="00004096" w:rsidRPr="00004096" w:rsidRDefault="005658B1" w:rsidP="00004096">
      <w:pPr>
        <w:rPr>
          <w:rFonts w:ascii="Times New Roman" w:eastAsia="Calibri" w:hAnsi="Times New Roman" w:cs="Times New Roman"/>
          <w:b/>
          <w:sz w:val="20"/>
          <w:szCs w:val="20"/>
        </w:rPr>
      </w:pPr>
      <w:bookmarkStart w:id="11" w:name="_Toc214534811"/>
      <w:r>
        <w:rPr>
          <w:rFonts w:ascii="Times New Roman" w:eastAsia="Calibri" w:hAnsi="Times New Roman" w:cs="Times New Roman"/>
          <w:b/>
          <w:sz w:val="20"/>
          <w:szCs w:val="20"/>
        </w:rPr>
        <w:t>3</w:t>
      </w:r>
      <w:r w:rsidR="00004096" w:rsidRPr="00004096">
        <w:rPr>
          <w:rFonts w:ascii="Times New Roman" w:eastAsia="Calibri" w:hAnsi="Times New Roman" w:cs="Times New Roman"/>
          <w:b/>
          <w:sz w:val="20"/>
          <w:szCs w:val="20"/>
        </w:rPr>
        <w:t xml:space="preserve">.5 Analyzed </w:t>
      </w:r>
      <w:r w:rsidR="00752525">
        <w:rPr>
          <w:rFonts w:ascii="Times New Roman" w:eastAsia="Calibri" w:hAnsi="Times New Roman" w:cs="Times New Roman"/>
          <w:b/>
          <w:sz w:val="20"/>
          <w:szCs w:val="20"/>
        </w:rPr>
        <w:t xml:space="preserve">of Variance (ANOVA) </w:t>
      </w:r>
      <w:r w:rsidR="00004096" w:rsidRPr="00004096">
        <w:rPr>
          <w:rFonts w:ascii="Times New Roman" w:eastAsia="Calibri" w:hAnsi="Times New Roman" w:cs="Times New Roman"/>
          <w:b/>
          <w:sz w:val="20"/>
          <w:szCs w:val="20"/>
        </w:rPr>
        <w:t xml:space="preserve">result on the FFA, iodine and saponification value of </w:t>
      </w:r>
      <w:r w:rsidR="00004096" w:rsidRPr="00004096">
        <w:rPr>
          <w:rFonts w:ascii="Times New Roman" w:eastAsia="Calibri" w:hAnsi="Times New Roman" w:cs="Times New Roman"/>
          <w:b/>
          <w:i/>
          <w:sz w:val="20"/>
          <w:szCs w:val="20"/>
        </w:rPr>
        <w:t>Cassia fistula</w:t>
      </w:r>
      <w:bookmarkEnd w:id="11"/>
    </w:p>
    <w:p w:rsidR="00535B8B" w:rsidRDefault="00535B8B" w:rsidP="00B3230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Free Fatty Acid (FFA)</w:t>
      </w:r>
    </w:p>
    <w:p w:rsidR="00B32307" w:rsidRPr="00B32307" w:rsidRDefault="00B32307" w:rsidP="00B32307">
      <w:pPr>
        <w:autoSpaceDE w:val="0"/>
        <w:autoSpaceDN w:val="0"/>
        <w:adjustRightInd w:val="0"/>
        <w:spacing w:after="0" w:line="240" w:lineRule="auto"/>
        <w:rPr>
          <w:rFonts w:ascii="Times New Roman" w:hAnsi="Times New Roman" w:cs="Times New Roman"/>
          <w:kern w:val="0"/>
          <w:sz w:val="20"/>
          <w:szCs w:val="20"/>
          <w14:ligatures w14:val="none"/>
        </w:rPr>
      </w:pPr>
      <w:r>
        <w:rPr>
          <w:rFonts w:ascii="Times New Roman" w:hAnsi="Times New Roman" w:cs="Times New Roman"/>
          <w:sz w:val="20"/>
          <w:szCs w:val="20"/>
        </w:rPr>
        <w:t>T</w:t>
      </w:r>
      <w:r w:rsidRPr="00297C42">
        <w:rPr>
          <w:rFonts w:ascii="Times New Roman" w:hAnsi="Times New Roman" w:cs="Times New Roman"/>
          <w:sz w:val="20"/>
          <w:szCs w:val="20"/>
        </w:rPr>
        <w:t xml:space="preserve">he effect of independent variables, including solvent to solid (A), Temperature (B) and Time (C) on response variables, such as </w:t>
      </w:r>
      <w:r w:rsidRPr="00297C42">
        <w:rPr>
          <w:rFonts w:ascii="Times New Roman" w:eastAsia="Times New Roman" w:hAnsi="Times New Roman" w:cs="Times New Roman"/>
          <w:sz w:val="20"/>
          <w:szCs w:val="20"/>
        </w:rPr>
        <w:t xml:space="preserve">oil yield, Free Fatty Acid </w:t>
      </w:r>
      <w:r w:rsidR="00535B8B" w:rsidRPr="00297C42">
        <w:rPr>
          <w:rFonts w:ascii="Times New Roman" w:eastAsia="Times New Roman" w:hAnsi="Times New Roman" w:cs="Times New Roman"/>
          <w:sz w:val="20"/>
          <w:szCs w:val="20"/>
        </w:rPr>
        <w:t>FFA</w:t>
      </w:r>
      <w:r w:rsidR="00535B8B">
        <w:rPr>
          <w:rFonts w:ascii="Times New Roman" w:hAnsi="Times New Roman" w:cs="Times New Roman"/>
          <w:kern w:val="0"/>
          <w:sz w:val="20"/>
          <w:szCs w:val="20"/>
          <w14:ligatures w14:val="none"/>
        </w:rPr>
        <w:t>. The</w:t>
      </w:r>
      <w:r>
        <w:rPr>
          <w:rFonts w:ascii="Times New Roman" w:hAnsi="Times New Roman" w:cs="Times New Roman"/>
          <w:kern w:val="0"/>
          <w:sz w:val="20"/>
          <w:szCs w:val="20"/>
          <w14:ligatures w14:val="none"/>
        </w:rPr>
        <w:t xml:space="preserve"> coded </w:t>
      </w:r>
      <w:r w:rsidR="00535B8B">
        <w:rPr>
          <w:rFonts w:ascii="Times New Roman" w:hAnsi="Times New Roman" w:cs="Times New Roman"/>
          <w:kern w:val="0"/>
          <w:sz w:val="20"/>
          <w:szCs w:val="20"/>
          <w14:ligatures w14:val="none"/>
        </w:rPr>
        <w:t>factors corresponding</w:t>
      </w:r>
      <w:r>
        <w:rPr>
          <w:rFonts w:ascii="Times New Roman" w:hAnsi="Times New Roman" w:cs="Times New Roman"/>
          <w:kern w:val="0"/>
          <w:sz w:val="20"/>
          <w:szCs w:val="20"/>
          <w14:ligatures w14:val="none"/>
        </w:rPr>
        <w:t xml:space="preserve"> to solid solvent ratio did have significant effect on</w:t>
      </w:r>
      <w:r w:rsidR="00535B8B">
        <w:rPr>
          <w:rFonts w:ascii="Times New Roman" w:hAnsi="Times New Roman" w:cs="Times New Roman"/>
          <w:kern w:val="0"/>
          <w:sz w:val="20"/>
          <w:szCs w:val="20"/>
          <w14:ligatures w14:val="none"/>
        </w:rPr>
        <w:t xml:space="preserve"> A </w:t>
      </w:r>
      <w:proofErr w:type="gramStart"/>
      <w:r w:rsidR="00535B8B">
        <w:rPr>
          <w:rFonts w:ascii="Times New Roman" w:hAnsi="Times New Roman" w:cs="Times New Roman"/>
          <w:kern w:val="0"/>
          <w:sz w:val="20"/>
          <w:szCs w:val="20"/>
          <w14:ligatures w14:val="none"/>
        </w:rPr>
        <w:t xml:space="preserve">of </w:t>
      </w:r>
      <w:r>
        <w:rPr>
          <w:rFonts w:ascii="Times New Roman" w:hAnsi="Times New Roman" w:cs="Times New Roman"/>
          <w:kern w:val="0"/>
          <w:sz w:val="20"/>
          <w:szCs w:val="20"/>
          <w14:ligatures w14:val="none"/>
        </w:rPr>
        <w:t xml:space="preserve"> the</w:t>
      </w:r>
      <w:proofErr w:type="gramEnd"/>
      <w:r>
        <w:rPr>
          <w:rFonts w:ascii="Times New Roman" w:hAnsi="Times New Roman" w:cs="Times New Roman"/>
          <w:kern w:val="0"/>
          <w:sz w:val="20"/>
          <w:szCs w:val="20"/>
          <w14:ligatures w14:val="none"/>
        </w:rPr>
        <w:t xml:space="preserve"> acid value. The relationship was represented by a reduced quadratic model as stated in equation 6</w:t>
      </w:r>
    </w:p>
    <w:p w:rsidR="00B32307" w:rsidRDefault="00B32307"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FFA</w:t>
      </w:r>
      <m:oMath>
        <m:r>
          <w:rPr>
            <w:rFonts w:ascii="Cambria Math" w:eastAsia="Calibri" w:hAnsi="Cambria Math" w:cs="Times New Roman"/>
            <w:sz w:val="20"/>
            <w:szCs w:val="20"/>
          </w:rPr>
          <m:t>=3.45-0.4456A-0.1848B+0.2144C-0.2262AB+0.0262AC+0.0362BC-0.543</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A</m:t>
            </m:r>
          </m:e>
          <m:sup>
            <m:r>
              <w:rPr>
                <w:rFonts w:ascii="Cambria Math" w:eastAsia="Calibri" w:hAnsi="Cambria Math" w:cs="Times New Roman"/>
                <w:sz w:val="20"/>
                <w:szCs w:val="20"/>
              </w:rPr>
              <m:t>2</m:t>
            </m:r>
          </m:sup>
        </m:sSup>
        <m:r>
          <w:rPr>
            <w:rFonts w:ascii="Cambria Math" w:eastAsia="Calibri" w:hAnsi="Cambria Math" w:cs="Times New Roman"/>
            <w:sz w:val="20"/>
            <w:szCs w:val="20"/>
          </w:rPr>
          <m:t>-0.8913</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B</m:t>
            </m:r>
          </m:e>
          <m:sup>
            <m:r>
              <w:rPr>
                <w:rFonts w:ascii="Cambria Math" w:eastAsia="Calibri" w:hAnsi="Cambria Math" w:cs="Times New Roman"/>
                <w:sz w:val="20"/>
                <w:szCs w:val="20"/>
              </w:rPr>
              <m:t>2</m:t>
            </m:r>
          </m:sup>
        </m:sSup>
        <m:r>
          <w:rPr>
            <w:rFonts w:ascii="Cambria Math" w:eastAsia="Calibri" w:hAnsi="Cambria Math" w:cs="Times New Roman"/>
            <w:sz w:val="20"/>
            <w:szCs w:val="20"/>
          </w:rPr>
          <m:t>-0.467</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C</m:t>
            </m:r>
          </m:e>
          <m:sup>
            <m:r>
              <w:rPr>
                <w:rFonts w:ascii="Cambria Math" w:eastAsia="Calibri" w:hAnsi="Cambria Math" w:cs="Times New Roman"/>
                <w:sz w:val="20"/>
                <w:szCs w:val="20"/>
              </w:rPr>
              <m:t>2</m:t>
            </m:r>
          </m:sup>
        </m:sSup>
      </m:oMath>
      <w:r>
        <w:rPr>
          <w:rFonts w:ascii="Times New Roman" w:eastAsia="Calibri" w:hAnsi="Times New Roman" w:cs="Times New Roman"/>
          <w:sz w:val="20"/>
          <w:szCs w:val="20"/>
        </w:rPr>
        <w:t xml:space="preserve">                                                     </w:t>
      </w:r>
      <w:r w:rsidR="00535B8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6</w:t>
      </w:r>
    </w:p>
    <w:p w:rsidR="00004096" w:rsidRPr="00535B8B" w:rsidRDefault="00004096" w:rsidP="00535B8B">
      <w:pPr>
        <w:autoSpaceDE w:val="0"/>
        <w:autoSpaceDN w:val="0"/>
        <w:adjustRightInd w:val="0"/>
        <w:spacing w:after="0" w:line="240" w:lineRule="auto"/>
        <w:jc w:val="both"/>
        <w:rPr>
          <w:rFonts w:ascii="Times New Roman" w:hAnsi="Times New Roman" w:cs="Times New Roman"/>
          <w:kern w:val="0"/>
          <w:sz w:val="20"/>
          <w:szCs w:val="20"/>
          <w14:ligatures w14:val="none"/>
        </w:rPr>
      </w:pPr>
      <w:r w:rsidRPr="00004096">
        <w:rPr>
          <w:rFonts w:ascii="Times New Roman" w:eastAsia="Calibri" w:hAnsi="Times New Roman" w:cs="Times New Roman"/>
          <w:sz w:val="20"/>
          <w:szCs w:val="20"/>
        </w:rPr>
        <w:t xml:space="preserve">The ANOVA results for FFA shown in the Table </w:t>
      </w:r>
      <w:r w:rsidR="00B32307">
        <w:rPr>
          <w:rFonts w:ascii="Times New Roman" w:eastAsia="Calibri" w:hAnsi="Times New Roman" w:cs="Times New Roman"/>
          <w:sz w:val="20"/>
          <w:szCs w:val="20"/>
        </w:rPr>
        <w:t>4</w:t>
      </w:r>
      <w:r w:rsidRPr="00004096">
        <w:rPr>
          <w:rFonts w:ascii="Times New Roman" w:eastAsia="Calibri" w:hAnsi="Times New Roman" w:cs="Times New Roman"/>
          <w:sz w:val="20"/>
          <w:szCs w:val="20"/>
        </w:rPr>
        <w:t>, that the overall model was significant (</w:t>
      </w:r>
      <w:r w:rsidRPr="00004096">
        <w:rPr>
          <w:rFonts w:ascii="Times New Roman" w:eastAsia="Calibri" w:hAnsi="Times New Roman" w:cs="Times New Roman"/>
          <w:bCs/>
          <w:sz w:val="20"/>
          <w:szCs w:val="20"/>
        </w:rPr>
        <w:t>p</w:t>
      </w:r>
      <w:r w:rsidRPr="00004096">
        <w:rPr>
          <w:rFonts w:ascii="Times New Roman" w:eastAsia="Calibri" w:hAnsi="Times New Roman" w:cs="Times New Roman"/>
          <w:b/>
          <w:bCs/>
          <w:sz w:val="20"/>
          <w:szCs w:val="20"/>
        </w:rPr>
        <w:t xml:space="preserve"> = </w:t>
      </w:r>
      <w:r w:rsidRPr="00004096">
        <w:rPr>
          <w:rFonts w:ascii="Times New Roman" w:eastAsia="Calibri" w:hAnsi="Times New Roman" w:cs="Times New Roman"/>
          <w:bCs/>
          <w:sz w:val="20"/>
          <w:szCs w:val="20"/>
        </w:rPr>
        <w:t>0.0160</w:t>
      </w:r>
      <w:r w:rsidRPr="00004096">
        <w:rPr>
          <w:rFonts w:ascii="Times New Roman" w:eastAsia="Calibri" w:hAnsi="Times New Roman" w:cs="Times New Roman"/>
          <w:sz w:val="20"/>
          <w:szCs w:val="20"/>
        </w:rPr>
        <w:t xml:space="preserve">), indicating that the selected factors effectively explain variations in FFA yield. Among the linear terms, only the </w:t>
      </w:r>
      <w:r w:rsidRPr="00004096">
        <w:rPr>
          <w:rFonts w:ascii="Times New Roman" w:eastAsia="Calibri" w:hAnsi="Times New Roman" w:cs="Times New Roman"/>
          <w:bCs/>
          <w:sz w:val="20"/>
          <w:szCs w:val="20"/>
        </w:rPr>
        <w:t>solid-to-solvent ratio (A)</w:t>
      </w:r>
      <w:r w:rsidRPr="00004096">
        <w:rPr>
          <w:rFonts w:ascii="Times New Roman" w:eastAsia="Calibri" w:hAnsi="Times New Roman" w:cs="Times New Roman"/>
          <w:sz w:val="20"/>
          <w:szCs w:val="20"/>
        </w:rPr>
        <w:t xml:space="preserve"> had a significant effect (</w:t>
      </w:r>
      <w:r w:rsidRPr="00004096">
        <w:rPr>
          <w:rFonts w:ascii="Times New Roman" w:eastAsia="Calibri" w:hAnsi="Times New Roman" w:cs="Times New Roman"/>
          <w:bCs/>
          <w:sz w:val="20"/>
          <w:szCs w:val="20"/>
        </w:rPr>
        <w:t>p = 0.0461</w:t>
      </w:r>
      <w:r w:rsidRPr="00004096">
        <w:rPr>
          <w:rFonts w:ascii="Times New Roman" w:eastAsia="Calibri" w:hAnsi="Times New Roman" w:cs="Times New Roman"/>
          <w:sz w:val="20"/>
          <w:szCs w:val="20"/>
        </w:rPr>
        <w:t xml:space="preserve">), suggesting that extraction efficiency is highly dependent on solvent quantity. The quadratic terms for </w:t>
      </w:r>
      <w:r w:rsidRPr="00004096">
        <w:rPr>
          <w:rFonts w:ascii="Times New Roman" w:eastAsia="Calibri" w:hAnsi="Times New Roman" w:cs="Times New Roman"/>
          <w:bCs/>
          <w:sz w:val="20"/>
          <w:szCs w:val="20"/>
        </w:rPr>
        <w:t>A², B², and C²</w:t>
      </w:r>
      <w:r w:rsidRPr="00004096">
        <w:rPr>
          <w:rFonts w:ascii="Times New Roman" w:eastAsia="Calibri" w:hAnsi="Times New Roman" w:cs="Times New Roman"/>
          <w:sz w:val="20"/>
          <w:szCs w:val="20"/>
        </w:rPr>
        <w:t xml:space="preserve"> were also significant (p &lt; 0.05), revealing curvature effects and nonlinear </w:t>
      </w:r>
      <w:proofErr w:type="spellStart"/>
      <w:r w:rsidRPr="00004096">
        <w:rPr>
          <w:rFonts w:ascii="Times New Roman" w:eastAsia="Calibri" w:hAnsi="Times New Roman" w:cs="Times New Roman"/>
          <w:sz w:val="20"/>
          <w:szCs w:val="20"/>
        </w:rPr>
        <w:t>behaviour</w:t>
      </w:r>
      <w:proofErr w:type="spellEnd"/>
      <w:r w:rsidRPr="00004096">
        <w:rPr>
          <w:rFonts w:ascii="Times New Roman" w:eastAsia="Calibri" w:hAnsi="Times New Roman" w:cs="Times New Roman"/>
          <w:sz w:val="20"/>
          <w:szCs w:val="20"/>
        </w:rPr>
        <w:t xml:space="preserve"> of these factors on FFA. The lack-of-fit test was not significant (</w:t>
      </w:r>
      <w:r w:rsidRPr="00004096">
        <w:rPr>
          <w:rFonts w:ascii="Times New Roman" w:eastAsia="Calibri" w:hAnsi="Times New Roman" w:cs="Times New Roman"/>
          <w:bCs/>
          <w:sz w:val="20"/>
          <w:szCs w:val="20"/>
        </w:rPr>
        <w:t>p = 0.5088</w:t>
      </w:r>
      <w:r w:rsidRPr="00004096">
        <w:rPr>
          <w:rFonts w:ascii="Times New Roman" w:eastAsia="Calibri" w:hAnsi="Times New Roman" w:cs="Times New Roman"/>
          <w:sz w:val="20"/>
          <w:szCs w:val="20"/>
        </w:rPr>
        <w:t>), confirming that the model fits the data well.</w:t>
      </w:r>
      <w:r w:rsidR="00535B8B">
        <w:rPr>
          <w:rFonts w:ascii="Times New Roman" w:eastAsia="Calibri" w:hAnsi="Times New Roman" w:cs="Times New Roman"/>
          <w:sz w:val="20"/>
          <w:szCs w:val="20"/>
        </w:rPr>
        <w:t xml:space="preserve"> </w:t>
      </w:r>
      <w:r w:rsidR="00535B8B">
        <w:rPr>
          <w:rFonts w:ascii="Times New Roman" w:hAnsi="Times New Roman" w:cs="Times New Roman"/>
          <w:kern w:val="0"/>
          <w:sz w:val="20"/>
          <w:szCs w:val="20"/>
          <w14:ligatures w14:val="none"/>
        </w:rPr>
        <w:t xml:space="preserve">This trend in acid value agrees with the trend reported in Jatropha oil and neem oil extractions respectively </w:t>
      </w:r>
      <w:sdt>
        <w:sdtPr>
          <w:rPr>
            <w:rFonts w:ascii="Times New Roman" w:hAnsi="Times New Roman" w:cs="Times New Roman"/>
            <w:kern w:val="0"/>
            <w:sz w:val="20"/>
            <w:szCs w:val="20"/>
            <w14:ligatures w14:val="none"/>
          </w:rPr>
          <w:id w:val="407047658"/>
          <w:citation/>
        </w:sdtPr>
        <w:sdtContent>
          <w:r w:rsidR="00535B8B">
            <w:rPr>
              <w:rFonts w:ascii="Times New Roman" w:hAnsi="Times New Roman" w:cs="Times New Roman"/>
              <w:kern w:val="0"/>
              <w:sz w:val="20"/>
              <w:szCs w:val="20"/>
              <w14:ligatures w14:val="none"/>
            </w:rPr>
            <w:fldChar w:fldCharType="begin"/>
          </w:r>
          <w:r w:rsidR="00535B8B">
            <w:rPr>
              <w:rFonts w:ascii="Times New Roman" w:hAnsi="Times New Roman" w:cs="Times New Roman"/>
              <w:kern w:val="0"/>
              <w:sz w:val="20"/>
              <w:szCs w:val="20"/>
              <w:lang w:val="en-GB"/>
              <w14:ligatures w14:val="none"/>
            </w:rPr>
            <w:instrText xml:space="preserve"> CITATION Ode16 \l 2057 </w:instrText>
          </w:r>
          <w:r w:rsidR="00535B8B">
            <w:rPr>
              <w:rFonts w:ascii="Times New Roman" w:hAnsi="Times New Roman" w:cs="Times New Roman"/>
              <w:kern w:val="0"/>
              <w:sz w:val="20"/>
              <w:szCs w:val="20"/>
              <w14:ligatures w14:val="none"/>
            </w:rPr>
            <w:fldChar w:fldCharType="separate"/>
          </w:r>
          <w:r w:rsidR="00A42595" w:rsidRPr="00A42595">
            <w:rPr>
              <w:rFonts w:ascii="Times New Roman" w:hAnsi="Times New Roman" w:cs="Times New Roman"/>
              <w:noProof/>
              <w:kern w:val="0"/>
              <w:sz w:val="20"/>
              <w:szCs w:val="20"/>
              <w:lang w:val="en-GB"/>
              <w14:ligatures w14:val="none"/>
            </w:rPr>
            <w:t>(Odetoye, Afolabi, Onifade, &amp; ., 2016)</w:t>
          </w:r>
          <w:r w:rsidR="00535B8B">
            <w:rPr>
              <w:rFonts w:ascii="Times New Roman" w:hAnsi="Times New Roman" w:cs="Times New Roman"/>
              <w:kern w:val="0"/>
              <w:sz w:val="20"/>
              <w:szCs w:val="20"/>
              <w14:ligatures w14:val="none"/>
            </w:rPr>
            <w:fldChar w:fldCharType="end"/>
          </w:r>
        </w:sdtContent>
      </w:sdt>
      <w:r w:rsidR="00535B8B">
        <w:rPr>
          <w:rFonts w:ascii="Times New Roman" w:hAnsi="Times New Roman" w:cs="Times New Roman"/>
          <w:kern w:val="0"/>
          <w:sz w:val="20"/>
          <w:szCs w:val="20"/>
          <w14:ligatures w14:val="none"/>
        </w:rPr>
        <w:t>.</w:t>
      </w:r>
    </w:p>
    <w:p w:rsidR="00752525" w:rsidRPr="009E1ECB" w:rsidRDefault="00752525" w:rsidP="00752525">
      <w:pPr>
        <w:rPr>
          <w:rFonts w:ascii="Times New Roman" w:eastAsia="Calibri" w:hAnsi="Times New Roman" w:cs="Times New Roman"/>
          <w:kern w:val="0"/>
          <w:sz w:val="20"/>
          <w:szCs w:val="20"/>
          <w:lang w:val="en-GB"/>
          <w14:ligatures w14:val="none"/>
        </w:rPr>
      </w:pPr>
      <w:r w:rsidRPr="009E1ECB">
        <w:rPr>
          <w:rFonts w:ascii="Times New Roman" w:eastAsia="Calibri" w:hAnsi="Times New Roman" w:cs="Times New Roman"/>
          <w:kern w:val="0"/>
          <w:sz w:val="20"/>
          <w:szCs w:val="20"/>
          <w:lang w:val="en-GB"/>
          <w14:ligatures w14:val="none"/>
        </w:rPr>
        <w:t xml:space="preserve">Table </w:t>
      </w:r>
      <w:proofErr w:type="gramStart"/>
      <w:r>
        <w:rPr>
          <w:rFonts w:ascii="Times New Roman" w:eastAsia="Calibri" w:hAnsi="Times New Roman" w:cs="Times New Roman"/>
          <w:kern w:val="0"/>
          <w:sz w:val="20"/>
          <w:szCs w:val="20"/>
          <w:lang w:val="en-GB"/>
          <w14:ligatures w14:val="none"/>
        </w:rPr>
        <w:t>4</w:t>
      </w:r>
      <w:r w:rsidRPr="009E1ECB">
        <w:rPr>
          <w:rFonts w:ascii="Times New Roman" w:eastAsia="Calibri" w:hAnsi="Times New Roman" w:cs="Times New Roman"/>
          <w:kern w:val="0"/>
          <w:sz w:val="20"/>
          <w:szCs w:val="20"/>
          <w:lang w:val="en-GB"/>
          <w14:ligatures w14:val="none"/>
        </w:rPr>
        <w:t xml:space="preserve"> :ANOVA</w:t>
      </w:r>
      <w:proofErr w:type="gramEnd"/>
      <w:r w:rsidRPr="009E1ECB">
        <w:rPr>
          <w:rFonts w:ascii="Times New Roman" w:eastAsia="Calibri" w:hAnsi="Times New Roman" w:cs="Times New Roman"/>
          <w:kern w:val="0"/>
          <w:sz w:val="20"/>
          <w:szCs w:val="20"/>
          <w:lang w:val="en-GB"/>
          <w14:ligatures w14:val="none"/>
        </w:rPr>
        <w:t xml:space="preserve">  for FFA for the </w:t>
      </w:r>
      <w:r w:rsidRPr="009E1ECB">
        <w:rPr>
          <w:rFonts w:ascii="Times New Roman" w:eastAsia="Calibri" w:hAnsi="Times New Roman" w:cs="Times New Roman"/>
          <w:i/>
          <w:kern w:val="0"/>
          <w:sz w:val="20"/>
          <w:szCs w:val="20"/>
          <w:lang w:val="en-GB"/>
          <w14:ligatures w14:val="none"/>
        </w:rPr>
        <w:t>cassia fistula</w:t>
      </w:r>
      <w:r w:rsidRPr="009E1ECB">
        <w:rPr>
          <w:rFonts w:ascii="Times New Roman" w:eastAsia="Calibri" w:hAnsi="Times New Roman" w:cs="Times New Roman"/>
          <w:kern w:val="0"/>
          <w:sz w:val="20"/>
          <w:szCs w:val="20"/>
          <w:lang w:val="en-GB"/>
          <w14:ligatures w14:val="none"/>
        </w:rPr>
        <w:t xml:space="preserve"> oil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752525" w:rsidRPr="009E1ECB" w:rsidTr="00535B8B">
        <w:trPr>
          <w:tblCellSpacing w:w="15" w:type="dxa"/>
        </w:trPr>
        <w:tc>
          <w:tcPr>
            <w:tcW w:w="0" w:type="auto"/>
            <w:tcBorders>
              <w:top w:val="single" w:sz="4" w:space="0" w:color="auto"/>
              <w:bottom w:val="single" w:sz="4" w:space="0" w:color="auto"/>
            </w:tcBorders>
            <w:shd w:val="clear" w:color="auto" w:fill="FFFFFF"/>
            <w:vAlign w:val="center"/>
            <w:hideMark/>
          </w:tcPr>
          <w:p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Source</w:t>
            </w:r>
          </w:p>
        </w:tc>
        <w:tc>
          <w:tcPr>
            <w:tcW w:w="0" w:type="auto"/>
            <w:tcBorders>
              <w:top w:val="single" w:sz="4" w:space="0" w:color="auto"/>
              <w:bottom w:val="single" w:sz="4" w:space="0" w:color="auto"/>
            </w:tcBorders>
            <w:shd w:val="clear" w:color="auto" w:fill="FFFFFF"/>
            <w:vAlign w:val="center"/>
            <w:hideMark/>
          </w:tcPr>
          <w:p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single" w:sz="4" w:space="0" w:color="auto"/>
              <w:bottom w:val="single" w:sz="4" w:space="0" w:color="auto"/>
            </w:tcBorders>
            <w:shd w:val="clear" w:color="auto" w:fill="FFFFFF"/>
            <w:vAlign w:val="center"/>
            <w:hideMark/>
          </w:tcPr>
          <w:p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df</w:t>
            </w:r>
          </w:p>
        </w:tc>
        <w:tc>
          <w:tcPr>
            <w:tcW w:w="0" w:type="auto"/>
            <w:tcBorders>
              <w:top w:val="single" w:sz="4" w:space="0" w:color="auto"/>
              <w:bottom w:val="single" w:sz="4" w:space="0" w:color="auto"/>
            </w:tcBorders>
            <w:shd w:val="clear" w:color="auto" w:fill="FFFFFF"/>
            <w:vAlign w:val="center"/>
            <w:hideMark/>
          </w:tcPr>
          <w:p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single" w:sz="4" w:space="0" w:color="auto"/>
              <w:bottom w:val="single" w:sz="4" w:space="0" w:color="auto"/>
            </w:tcBorders>
            <w:shd w:val="clear" w:color="auto" w:fill="FFFFFF"/>
            <w:vAlign w:val="center"/>
            <w:hideMark/>
          </w:tcPr>
          <w:p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F-value</w:t>
            </w:r>
          </w:p>
        </w:tc>
        <w:tc>
          <w:tcPr>
            <w:tcW w:w="0" w:type="auto"/>
            <w:tcBorders>
              <w:top w:val="single" w:sz="4" w:space="0" w:color="auto"/>
              <w:bottom w:val="single" w:sz="4" w:space="0" w:color="auto"/>
            </w:tcBorders>
            <w:shd w:val="clear" w:color="auto" w:fill="FFFFFF"/>
            <w:vAlign w:val="center"/>
            <w:hideMark/>
          </w:tcPr>
          <w:p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p-value</w:t>
            </w:r>
          </w:p>
        </w:tc>
        <w:tc>
          <w:tcPr>
            <w:tcW w:w="0" w:type="auto"/>
            <w:tcBorders>
              <w:top w:val="single" w:sz="4" w:space="0" w:color="auto"/>
              <w:bottom w:val="single" w:sz="4" w:space="0" w:color="auto"/>
            </w:tcBorders>
            <w:shd w:val="clear" w:color="auto" w:fill="FFFFFF"/>
            <w:vAlign w:val="center"/>
            <w:hideMark/>
          </w:tcPr>
          <w:p w:rsidR="00752525" w:rsidRPr="009E1ECB" w:rsidRDefault="00752525"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20.36</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2.26</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4.32</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0.0160</w:t>
            </w: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significant</w:t>
            </w: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2.71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2.71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5.18</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0.0461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0.4663</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0.4663</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0.8908</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0.3675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lastRenderedPageBreak/>
              <w:t>C-Time</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0.6278</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0.6278</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1.20</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0.2991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0.4095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0.4095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0.7823</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0.3972</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0.0055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0.0055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0.9203</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0.0105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0.0201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0.8901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4.25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4.25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8.12</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0.0173</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11.45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11.45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21.87</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0.0009</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3.14</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3.14</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6.00</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0.0342</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5.23</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0.5235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2.59</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0.5181</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0.9794</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0.5088</w:t>
            </w: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not significant</w:t>
            </w: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2.64</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0.5289</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r w:rsidR="00752525" w:rsidRPr="009E1ECB" w:rsidTr="00535B8B">
        <w:trPr>
          <w:tblCellSpacing w:w="15" w:type="dxa"/>
        </w:trPr>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9E1ECB">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25.59</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9E1ECB">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rsidR="00752525" w:rsidRPr="009E1ECB" w:rsidRDefault="00752525"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752525" w:rsidRPr="009E1ECB" w:rsidRDefault="00752525" w:rsidP="00535B8B">
            <w:pPr>
              <w:spacing w:after="0" w:line="240" w:lineRule="auto"/>
              <w:rPr>
                <w:rFonts w:ascii="Times New Roman" w:eastAsia="Times New Roman" w:hAnsi="Times New Roman" w:cs="Times New Roman"/>
                <w:kern w:val="0"/>
                <w:sz w:val="20"/>
                <w:szCs w:val="20"/>
                <w:lang w:val="en-GB"/>
                <w14:ligatures w14:val="none"/>
              </w:rPr>
            </w:pPr>
          </w:p>
        </w:tc>
      </w:tr>
    </w:tbl>
    <w:p w:rsidR="00752525" w:rsidRPr="009E1ECB" w:rsidRDefault="00752525" w:rsidP="00752525">
      <w:pPr>
        <w:rPr>
          <w:rFonts w:ascii="Times New Roman" w:eastAsia="Calibri" w:hAnsi="Times New Roman" w:cs="Times New Roman"/>
          <w:kern w:val="0"/>
          <w:sz w:val="20"/>
          <w:szCs w:val="20"/>
          <w:lang w:val="en-GB"/>
          <w14:ligatures w14:val="none"/>
        </w:rPr>
      </w:pPr>
    </w:p>
    <w:p w:rsidR="00752525" w:rsidRPr="00004096" w:rsidRDefault="00535B8B"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Iodine value </w:t>
      </w:r>
    </w:p>
    <w:p w:rsidR="00535B8B" w:rsidRDefault="00535B8B" w:rsidP="00392BFE">
      <w:pPr>
        <w:autoSpaceDE w:val="0"/>
        <w:autoSpaceDN w:val="0"/>
        <w:adjustRightInd w:val="0"/>
        <w:spacing w:after="0" w:line="240" w:lineRule="auto"/>
        <w:jc w:val="both"/>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final quadratic equation, Iodine value,</w:t>
      </w:r>
      <w:r>
        <w:rPr>
          <w:rFonts w:ascii="Times New Roman" w:hAnsi="Times New Roman" w:cs="Times New Roman"/>
          <w:kern w:val="0"/>
          <w:sz w:val="13"/>
          <w:szCs w:val="13"/>
          <w14:ligatures w14:val="none"/>
        </w:rPr>
        <w:t xml:space="preserve"> </w:t>
      </w:r>
      <w:r>
        <w:rPr>
          <w:rFonts w:ascii="Times New Roman" w:hAnsi="Times New Roman" w:cs="Times New Roman"/>
          <w:kern w:val="0"/>
          <w:sz w:val="20"/>
          <w:szCs w:val="20"/>
          <w14:ligatures w14:val="none"/>
        </w:rPr>
        <w:t>in terms of coded factors was given as in equation 7.</w:t>
      </w:r>
      <w:r w:rsidR="00392BFE" w:rsidRPr="00392BFE">
        <w:t xml:space="preserve"> </w:t>
      </w:r>
      <w:r w:rsidR="00392BFE" w:rsidRPr="00392BFE">
        <w:rPr>
          <w:rFonts w:ascii="Times New Roman" w:hAnsi="Times New Roman" w:cs="Times New Roman"/>
          <w:kern w:val="0"/>
          <w:sz w:val="20"/>
          <w:szCs w:val="20"/>
          <w14:ligatures w14:val="none"/>
        </w:rPr>
        <w:t>The coded factor equation for iodine value describes the combined influence of A (solid-to-solvent ratio), B (temperature), and C (time) on the iodine value of Cassia fistula seed oil. The linear terms show how each factor individually affects the iodine value, while the interaction terms (AB, AC, BC) indicate the combined effects of solid–solvent ratio, temperature, and extraction time when varied together. The negative quadratic terms (A², B², C²) reveal curvature in the response, suggesting the existence of optimum extraction conditions for achieving a desirable iodine value in biodiesel production.</w:t>
      </w:r>
    </w:p>
    <w:p w:rsid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p>
    <w:p w:rsid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Iodine value =22.48+0.0504A+0.1838B-0,.8641C-0.866AB-0.75AC+0.41BC-0.7377A</w:t>
      </w:r>
      <w:r w:rsidRPr="00392BFE">
        <w:rPr>
          <w:rFonts w:ascii="Times New Roman" w:hAnsi="Times New Roman" w:cs="Times New Roman"/>
          <w:kern w:val="0"/>
          <w:sz w:val="20"/>
          <w:szCs w:val="20"/>
          <w:vertAlign w:val="superscript"/>
          <w14:ligatures w14:val="none"/>
        </w:rPr>
        <w:t>2</w:t>
      </w:r>
      <w:r>
        <w:rPr>
          <w:rFonts w:ascii="Times New Roman" w:hAnsi="Times New Roman" w:cs="Times New Roman"/>
          <w:kern w:val="0"/>
          <w:sz w:val="20"/>
          <w:szCs w:val="20"/>
          <w14:ligatures w14:val="none"/>
        </w:rPr>
        <w:t>-0.1119B</w:t>
      </w:r>
      <w:r w:rsidRPr="00392BFE">
        <w:rPr>
          <w:rFonts w:ascii="Times New Roman" w:hAnsi="Times New Roman" w:cs="Times New Roman"/>
          <w:kern w:val="0"/>
          <w:sz w:val="20"/>
          <w:szCs w:val="20"/>
          <w:vertAlign w:val="superscript"/>
          <w14:ligatures w14:val="none"/>
        </w:rPr>
        <w:t>2</w:t>
      </w:r>
      <w:r>
        <w:rPr>
          <w:rFonts w:ascii="Times New Roman" w:hAnsi="Times New Roman" w:cs="Times New Roman"/>
          <w:kern w:val="0"/>
          <w:sz w:val="20"/>
          <w:szCs w:val="20"/>
          <w14:ligatures w14:val="none"/>
        </w:rPr>
        <w:t>-2.51C</w:t>
      </w:r>
      <w:r w:rsidRPr="00392BFE">
        <w:rPr>
          <w:rFonts w:ascii="Times New Roman" w:hAnsi="Times New Roman" w:cs="Times New Roman"/>
          <w:kern w:val="0"/>
          <w:sz w:val="20"/>
          <w:szCs w:val="20"/>
          <w:vertAlign w:val="superscript"/>
          <w14:ligatures w14:val="none"/>
        </w:rPr>
        <w:t>2</w:t>
      </w:r>
      <w:r w:rsidR="00392BFE">
        <w:rPr>
          <w:rFonts w:ascii="Times New Roman" w:hAnsi="Times New Roman" w:cs="Times New Roman"/>
          <w:kern w:val="0"/>
          <w:sz w:val="20"/>
          <w:szCs w:val="20"/>
          <w14:ligatures w14:val="none"/>
        </w:rPr>
        <w:t xml:space="preserve">        7</w:t>
      </w:r>
    </w:p>
    <w:p w:rsidR="00535B8B" w:rsidRPr="00535B8B" w:rsidRDefault="00535B8B" w:rsidP="00535B8B">
      <w:pPr>
        <w:autoSpaceDE w:val="0"/>
        <w:autoSpaceDN w:val="0"/>
        <w:adjustRightInd w:val="0"/>
        <w:spacing w:after="0" w:line="240" w:lineRule="auto"/>
        <w:rPr>
          <w:rFonts w:ascii="Times New Roman" w:hAnsi="Times New Roman" w:cs="Times New Roman"/>
          <w:kern w:val="0"/>
          <w:sz w:val="20"/>
          <w:szCs w:val="20"/>
          <w14:ligatures w14:val="none"/>
        </w:rPr>
      </w:pPr>
    </w:p>
    <w:p w:rsidR="00392BFE"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ANOVA Table </w:t>
      </w:r>
      <w:r w:rsidR="00535B8B">
        <w:rPr>
          <w:rFonts w:ascii="Times New Roman" w:eastAsia="Calibri" w:hAnsi="Times New Roman" w:cs="Times New Roman"/>
          <w:sz w:val="20"/>
          <w:szCs w:val="20"/>
        </w:rPr>
        <w:t>5</w:t>
      </w:r>
      <w:r w:rsidRPr="00004096">
        <w:rPr>
          <w:rFonts w:ascii="Times New Roman" w:eastAsia="Calibri" w:hAnsi="Times New Roman" w:cs="Times New Roman"/>
          <w:sz w:val="20"/>
          <w:szCs w:val="20"/>
        </w:rPr>
        <w:t xml:space="preserve"> for the iodine value indicates a significant model (</w:t>
      </w:r>
      <w:r w:rsidRPr="00004096">
        <w:rPr>
          <w:rFonts w:ascii="Times New Roman" w:eastAsia="Calibri" w:hAnsi="Times New Roman" w:cs="Times New Roman"/>
          <w:bCs/>
          <w:sz w:val="20"/>
          <w:szCs w:val="20"/>
        </w:rPr>
        <w:t>p = 0.0279</w:t>
      </w:r>
      <w:r w:rsidRPr="00004096">
        <w:rPr>
          <w:rFonts w:ascii="Times New Roman" w:eastAsia="Calibri" w:hAnsi="Times New Roman" w:cs="Times New Roman"/>
          <w:sz w:val="20"/>
          <w:szCs w:val="20"/>
        </w:rPr>
        <w:t xml:space="preserve">), meaning that the experimental factors collectively influence iodine value. However, none of the linear or interaction terms were individually significant, except for the </w:t>
      </w:r>
      <w:r w:rsidRPr="00004096">
        <w:rPr>
          <w:rFonts w:ascii="Times New Roman" w:eastAsia="Calibri" w:hAnsi="Times New Roman" w:cs="Times New Roman"/>
          <w:bCs/>
          <w:sz w:val="20"/>
          <w:szCs w:val="20"/>
        </w:rPr>
        <w:t>quadratic term of time (C²)</w:t>
      </w:r>
      <w:r w:rsidRPr="00004096">
        <w:rPr>
          <w:rFonts w:ascii="Times New Roman" w:eastAsia="Calibri" w:hAnsi="Times New Roman" w:cs="Times New Roman"/>
          <w:sz w:val="20"/>
          <w:szCs w:val="20"/>
        </w:rPr>
        <w:t>, which showed a strong effect (</w:t>
      </w:r>
      <w:r w:rsidRPr="00004096">
        <w:rPr>
          <w:rFonts w:ascii="Times New Roman" w:eastAsia="Calibri" w:hAnsi="Times New Roman" w:cs="Times New Roman"/>
          <w:bCs/>
          <w:sz w:val="20"/>
          <w:szCs w:val="20"/>
        </w:rPr>
        <w:t>p = 0.0005</w:t>
      </w:r>
      <w:r w:rsidRPr="00004096">
        <w:rPr>
          <w:rFonts w:ascii="Times New Roman" w:eastAsia="Calibri" w:hAnsi="Times New Roman" w:cs="Times New Roman"/>
          <w:sz w:val="20"/>
          <w:szCs w:val="20"/>
        </w:rPr>
        <w:t>). This suggests that the iodine value is primarily affected by nonlinear changes in extraction time rather than by simple increases or decreases in temperature or solvent ratio. The nonsignificant lack of fit (</w:t>
      </w:r>
      <w:r w:rsidRPr="00004096">
        <w:rPr>
          <w:rFonts w:ascii="Times New Roman" w:eastAsia="Calibri" w:hAnsi="Times New Roman" w:cs="Times New Roman"/>
          <w:bCs/>
          <w:sz w:val="20"/>
          <w:szCs w:val="20"/>
        </w:rPr>
        <w:t>p = 0.6017</w:t>
      </w:r>
      <w:r w:rsidRPr="00004096">
        <w:rPr>
          <w:rFonts w:ascii="Times New Roman" w:eastAsia="Calibri" w:hAnsi="Times New Roman" w:cs="Times New Roman"/>
          <w:sz w:val="20"/>
          <w:szCs w:val="20"/>
        </w:rPr>
        <w:t>) implies that the model adequately represents the experimental data.</w:t>
      </w:r>
    </w:p>
    <w:p w:rsidR="00535B8B" w:rsidRPr="00535B8B" w:rsidRDefault="00535B8B" w:rsidP="00535B8B">
      <w:pPr>
        <w:rPr>
          <w:rFonts w:ascii="Times New Roman" w:eastAsia="Calibri" w:hAnsi="Times New Roman" w:cs="Times New Roman"/>
          <w:kern w:val="0"/>
          <w:sz w:val="20"/>
          <w:szCs w:val="20"/>
          <w:lang w:val="en-GB"/>
          <w14:ligatures w14:val="none"/>
        </w:rPr>
      </w:pPr>
      <w:proofErr w:type="gramStart"/>
      <w:r w:rsidRPr="00535B8B">
        <w:rPr>
          <w:rFonts w:ascii="Times New Roman" w:eastAsia="Calibri" w:hAnsi="Times New Roman" w:cs="Times New Roman"/>
          <w:kern w:val="0"/>
          <w:sz w:val="20"/>
          <w:szCs w:val="20"/>
          <w:lang w:val="en-GB"/>
          <w14:ligatures w14:val="none"/>
        </w:rPr>
        <w:t xml:space="preserve">Table  </w:t>
      </w:r>
      <w:r>
        <w:rPr>
          <w:rFonts w:ascii="Times New Roman" w:eastAsia="Calibri" w:hAnsi="Times New Roman" w:cs="Times New Roman"/>
          <w:kern w:val="0"/>
          <w:sz w:val="20"/>
          <w:szCs w:val="20"/>
          <w:lang w:val="en-GB"/>
          <w14:ligatures w14:val="none"/>
        </w:rPr>
        <w:t>5</w:t>
      </w:r>
      <w:proofErr w:type="gramEnd"/>
      <w:r w:rsidRPr="00535B8B">
        <w:rPr>
          <w:rFonts w:ascii="Times New Roman" w:eastAsia="Calibri" w:hAnsi="Times New Roman" w:cs="Times New Roman"/>
          <w:kern w:val="0"/>
          <w:sz w:val="20"/>
          <w:szCs w:val="20"/>
          <w:lang w:val="en-GB"/>
          <w14:ligatures w14:val="none"/>
        </w:rPr>
        <w:t xml:space="preserve"> :ANOVA for iodine value for the </w:t>
      </w:r>
      <w:r w:rsidRPr="00535B8B">
        <w:rPr>
          <w:rFonts w:ascii="Times New Roman" w:eastAsia="Calibri" w:hAnsi="Times New Roman" w:cs="Times New Roman"/>
          <w:i/>
          <w:kern w:val="0"/>
          <w:sz w:val="20"/>
          <w:szCs w:val="20"/>
          <w:lang w:val="en-GB"/>
          <w14:ligatures w14:val="none"/>
        </w:rPr>
        <w:t>cassia fistula</w:t>
      </w:r>
      <w:r w:rsidRPr="00535B8B">
        <w:rPr>
          <w:rFonts w:ascii="Times New Roman" w:eastAsia="Calibri" w:hAnsi="Times New Roman" w:cs="Times New Roman"/>
          <w:kern w:val="0"/>
          <w:sz w:val="20"/>
          <w:szCs w:val="20"/>
          <w:lang w:val="en-GB"/>
          <w14:ligatures w14:val="none"/>
        </w:rPr>
        <w:t xml:space="preserve"> oil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535B8B" w:rsidRPr="00535B8B" w:rsidTr="00535B8B">
        <w:trPr>
          <w:tblCellSpacing w:w="15" w:type="dxa"/>
        </w:trPr>
        <w:tc>
          <w:tcPr>
            <w:tcW w:w="0" w:type="auto"/>
            <w:tcBorders>
              <w:top w:val="nil"/>
              <w:bottom w:val="single" w:sz="4" w:space="0" w:color="auto"/>
            </w:tcBorders>
            <w:shd w:val="clear" w:color="auto" w:fill="FFFFFF"/>
            <w:vAlign w:val="center"/>
            <w:hideMark/>
          </w:tcPr>
          <w:p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Source</w:t>
            </w:r>
          </w:p>
        </w:tc>
        <w:tc>
          <w:tcPr>
            <w:tcW w:w="0" w:type="auto"/>
            <w:tcBorders>
              <w:top w:val="nil"/>
              <w:bottom w:val="single" w:sz="4" w:space="0" w:color="auto"/>
            </w:tcBorders>
            <w:shd w:val="clear" w:color="auto" w:fill="FFFFFF"/>
            <w:vAlign w:val="center"/>
            <w:hideMark/>
          </w:tcPr>
          <w:p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nil"/>
              <w:bottom w:val="single" w:sz="4" w:space="0" w:color="auto"/>
            </w:tcBorders>
            <w:shd w:val="clear" w:color="auto" w:fill="FFFFFF"/>
            <w:vAlign w:val="center"/>
            <w:hideMark/>
          </w:tcPr>
          <w:p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df</w:t>
            </w:r>
          </w:p>
        </w:tc>
        <w:tc>
          <w:tcPr>
            <w:tcW w:w="0" w:type="auto"/>
            <w:tcBorders>
              <w:top w:val="nil"/>
              <w:bottom w:val="single" w:sz="4" w:space="0" w:color="auto"/>
            </w:tcBorders>
            <w:shd w:val="clear" w:color="auto" w:fill="FFFFFF"/>
            <w:vAlign w:val="center"/>
            <w:hideMark/>
          </w:tcPr>
          <w:p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nil"/>
              <w:bottom w:val="single" w:sz="4" w:space="0" w:color="auto"/>
            </w:tcBorders>
            <w:shd w:val="clear" w:color="auto" w:fill="FFFFFF"/>
            <w:vAlign w:val="center"/>
            <w:hideMark/>
          </w:tcPr>
          <w:p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F-value</w:t>
            </w:r>
          </w:p>
        </w:tc>
        <w:tc>
          <w:tcPr>
            <w:tcW w:w="0" w:type="auto"/>
            <w:tcBorders>
              <w:top w:val="nil"/>
              <w:bottom w:val="single" w:sz="4" w:space="0" w:color="auto"/>
            </w:tcBorders>
            <w:shd w:val="clear" w:color="auto" w:fill="FFFFFF"/>
            <w:vAlign w:val="center"/>
            <w:hideMark/>
          </w:tcPr>
          <w:p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p-value</w:t>
            </w:r>
          </w:p>
        </w:tc>
        <w:tc>
          <w:tcPr>
            <w:tcW w:w="0" w:type="auto"/>
            <w:tcBorders>
              <w:top w:val="nil"/>
              <w:bottom w:val="single" w:sz="4" w:space="0" w:color="auto"/>
            </w:tcBorders>
            <w:shd w:val="clear" w:color="auto" w:fill="FFFFFF"/>
            <w:vAlign w:val="center"/>
            <w:hideMark/>
          </w:tcPr>
          <w:p w:rsidR="00535B8B" w:rsidRPr="00535B8B" w:rsidRDefault="00535B8B" w:rsidP="00535B8B">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116.88</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12.99</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3.65</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0.0279</w:t>
            </w: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significant</w:t>
            </w: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0.0346</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0.0346</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0.0097</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0.9233</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0.4611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0.4611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0.1297</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0.7262</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C-Time</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10.20</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10.20</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2.87</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0.1212</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5.92</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5.92</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1.66</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0.2260</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4.50</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4.50</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1.27</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0.2868</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1.34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1.34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0.3784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0.5522</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7.84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7.84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2.21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0.1683</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0.1804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0.1804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0.0507</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0.8263</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90.46</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90.46</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25.45</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0.0005</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35.54</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3.55</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15.63</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3.13</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0.7845</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0.6017</w:t>
            </w: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not significant</w:t>
            </w: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19.92</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3.98</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r w:rsidR="00535B8B" w:rsidRPr="00535B8B" w:rsidTr="00535B8B">
        <w:trPr>
          <w:tblCellSpacing w:w="15" w:type="dxa"/>
        </w:trPr>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b/>
                <w:bCs/>
                <w:color w:val="000000"/>
                <w:kern w:val="0"/>
                <w:sz w:val="20"/>
                <w:szCs w:val="20"/>
                <w:lang w:val="en-GB"/>
                <w14:ligatures w14:val="none"/>
              </w:rPr>
            </w:pPr>
            <w:r w:rsidRPr="00535B8B">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152.42</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r w:rsidRPr="00535B8B">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rsidR="00535B8B" w:rsidRPr="00535B8B" w:rsidRDefault="00535B8B" w:rsidP="00535B8B">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535B8B" w:rsidRPr="00535B8B" w:rsidRDefault="00535B8B" w:rsidP="00535B8B">
            <w:pPr>
              <w:spacing w:after="0" w:line="240" w:lineRule="auto"/>
              <w:rPr>
                <w:rFonts w:ascii="Times New Roman" w:eastAsia="Times New Roman" w:hAnsi="Times New Roman" w:cs="Times New Roman"/>
                <w:kern w:val="0"/>
                <w:sz w:val="20"/>
                <w:szCs w:val="20"/>
                <w:lang w:val="en-GB"/>
                <w14:ligatures w14:val="none"/>
              </w:rPr>
            </w:pPr>
          </w:p>
        </w:tc>
      </w:tr>
    </w:tbl>
    <w:p w:rsidR="00A42595" w:rsidRDefault="00A42595" w:rsidP="00004096">
      <w:pPr>
        <w:spacing w:line="240" w:lineRule="auto"/>
        <w:jc w:val="both"/>
        <w:rPr>
          <w:rFonts w:ascii="Times New Roman" w:eastAsia="Calibri" w:hAnsi="Times New Roman" w:cs="Times New Roman"/>
          <w:sz w:val="20"/>
          <w:szCs w:val="20"/>
        </w:rPr>
      </w:pPr>
    </w:p>
    <w:p w:rsidR="00392BFE" w:rsidRDefault="00392BFE"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Saponification value </w:t>
      </w:r>
    </w:p>
    <w:p w:rsidR="00392BFE" w:rsidRDefault="00392BFE" w:rsidP="00392BFE">
      <w:pPr>
        <w:jc w:val="both"/>
        <w:rPr>
          <w:rFonts w:ascii="Times New Roman" w:eastAsia="Calibri" w:hAnsi="Times New Roman" w:cs="Times New Roman"/>
          <w:kern w:val="0"/>
          <w:sz w:val="20"/>
          <w:szCs w:val="20"/>
          <w:lang w:val="en-GB"/>
          <w14:ligatures w14:val="none"/>
        </w:rPr>
      </w:pPr>
      <w:r w:rsidRPr="00392BFE">
        <w:rPr>
          <w:rFonts w:ascii="Times New Roman" w:eastAsia="Calibri" w:hAnsi="Times New Roman" w:cs="Times New Roman"/>
          <w:kern w:val="0"/>
          <w:sz w:val="20"/>
          <w:szCs w:val="20"/>
          <w:lang w:val="en-GB"/>
          <w14:ligatures w14:val="none"/>
        </w:rPr>
        <w:t xml:space="preserve">The coded equation for saponification value </w:t>
      </w:r>
      <w:r w:rsidR="005658B1">
        <w:rPr>
          <w:rFonts w:ascii="Times New Roman" w:eastAsia="Calibri" w:hAnsi="Times New Roman" w:cs="Times New Roman"/>
          <w:kern w:val="0"/>
          <w:sz w:val="20"/>
          <w:szCs w:val="20"/>
          <w:lang w:val="en-GB"/>
          <w14:ligatures w14:val="none"/>
        </w:rPr>
        <w:t>in equation 8 explains</w:t>
      </w:r>
      <w:r w:rsidRPr="00392BFE">
        <w:rPr>
          <w:rFonts w:ascii="Times New Roman" w:eastAsia="Calibri" w:hAnsi="Times New Roman" w:cs="Times New Roman"/>
          <w:kern w:val="0"/>
          <w:sz w:val="20"/>
          <w:szCs w:val="20"/>
          <w:lang w:val="en-GB"/>
          <w14:ligatures w14:val="none"/>
        </w:rPr>
        <w:t xml:space="preserve"> how A (solid-to-solvent ratio), B (temperature), and C (time) influence the saponification value of </w:t>
      </w:r>
      <w:r w:rsidRPr="005658B1">
        <w:rPr>
          <w:rFonts w:ascii="Times New Roman" w:eastAsia="Calibri" w:hAnsi="Times New Roman" w:cs="Times New Roman"/>
          <w:i/>
          <w:kern w:val="0"/>
          <w:sz w:val="20"/>
          <w:szCs w:val="20"/>
          <w:lang w:val="en-GB"/>
          <w14:ligatures w14:val="none"/>
        </w:rPr>
        <w:t>Cassia fistula</w:t>
      </w:r>
      <w:r w:rsidRPr="00392BFE">
        <w:rPr>
          <w:rFonts w:ascii="Times New Roman" w:eastAsia="Calibri" w:hAnsi="Times New Roman" w:cs="Times New Roman"/>
          <w:kern w:val="0"/>
          <w:sz w:val="20"/>
          <w:szCs w:val="20"/>
          <w:lang w:val="en-GB"/>
          <w14:ligatures w14:val="none"/>
        </w:rPr>
        <w:t xml:space="preserve"> seed oil during extraction. The intercept 204.67 represents the predicted saponification value at the </w:t>
      </w:r>
      <w:proofErr w:type="spellStart"/>
      <w:r w:rsidRPr="00392BFE">
        <w:rPr>
          <w:rFonts w:ascii="Times New Roman" w:eastAsia="Calibri" w:hAnsi="Times New Roman" w:cs="Times New Roman"/>
          <w:kern w:val="0"/>
          <w:sz w:val="20"/>
          <w:szCs w:val="20"/>
          <w:lang w:val="en-GB"/>
          <w14:ligatures w14:val="none"/>
        </w:rPr>
        <w:t>center</w:t>
      </w:r>
      <w:proofErr w:type="spellEnd"/>
      <w:r w:rsidRPr="00392BFE">
        <w:rPr>
          <w:rFonts w:ascii="Times New Roman" w:eastAsia="Calibri" w:hAnsi="Times New Roman" w:cs="Times New Roman"/>
          <w:kern w:val="0"/>
          <w:sz w:val="20"/>
          <w:szCs w:val="20"/>
          <w:lang w:val="en-GB"/>
          <w14:ligatures w14:val="none"/>
        </w:rPr>
        <w:t xml:space="preserve"> levels of all variables, while the linear terms (−3.30A, +4.26B, +0.9048C) indicate that temperature and time increase the value, whereas the solid-to-solvent ratio has a decreasing effect. The interaction terms (+5.45AB, −1.41AC, −3.80BC) show how combinations of variables jointly affect the response, with AB having a strong positive combined influence. The quadratic terms (+3.55A², −0.9389B², −3.81C²) indicate curvature effects, suggesting that optimal conditions exist for maximizing the saponification value for improved biodiesel quality.</w:t>
      </w:r>
    </w:p>
    <w:p w:rsidR="00392BFE" w:rsidRDefault="00392BFE" w:rsidP="00392BFE">
      <w:pPr>
        <w:rPr>
          <w:rFonts w:ascii="Times New Roman" w:eastAsia="Calibri" w:hAnsi="Times New Roman" w:cs="Times New Roman"/>
          <w:kern w:val="0"/>
          <w:sz w:val="20"/>
          <w:szCs w:val="20"/>
          <w:lang w:val="en-GB"/>
          <w14:ligatures w14:val="none"/>
        </w:rPr>
      </w:pPr>
      <w:proofErr w:type="spellStart"/>
      <w:r>
        <w:rPr>
          <w:rFonts w:ascii="Times New Roman" w:eastAsia="Calibri" w:hAnsi="Times New Roman" w:cs="Times New Roman"/>
          <w:kern w:val="0"/>
          <w:sz w:val="20"/>
          <w:szCs w:val="20"/>
          <w:lang w:val="en-GB"/>
          <w14:ligatures w14:val="none"/>
        </w:rPr>
        <w:t>Sapanification</w:t>
      </w:r>
      <w:proofErr w:type="spellEnd"/>
      <w:r>
        <w:rPr>
          <w:rFonts w:ascii="Times New Roman" w:eastAsia="Calibri" w:hAnsi="Times New Roman" w:cs="Times New Roman"/>
          <w:kern w:val="0"/>
          <w:sz w:val="20"/>
          <w:szCs w:val="20"/>
          <w:lang w:val="en-GB"/>
          <w14:ligatures w14:val="none"/>
        </w:rPr>
        <w:t xml:space="preserve"> value=204.67-3.30A+4.26B+0.9048C+5.45AB-1.41AC-3.80BC+3.55A</w:t>
      </w:r>
      <w:r w:rsidRPr="00392BFE">
        <w:rPr>
          <w:rFonts w:ascii="Times New Roman" w:eastAsia="Calibri" w:hAnsi="Times New Roman" w:cs="Times New Roman"/>
          <w:kern w:val="0"/>
          <w:sz w:val="20"/>
          <w:szCs w:val="20"/>
          <w:vertAlign w:val="superscript"/>
          <w:lang w:val="en-GB"/>
          <w14:ligatures w14:val="none"/>
        </w:rPr>
        <w:t>2</w:t>
      </w:r>
      <w:r>
        <w:rPr>
          <w:rFonts w:ascii="Times New Roman" w:eastAsia="Calibri" w:hAnsi="Times New Roman" w:cs="Times New Roman"/>
          <w:kern w:val="0"/>
          <w:sz w:val="20"/>
          <w:szCs w:val="20"/>
          <w:lang w:val="en-GB"/>
          <w14:ligatures w14:val="none"/>
        </w:rPr>
        <w:t>-0.9389B</w:t>
      </w:r>
      <w:r w:rsidRPr="00392BFE">
        <w:rPr>
          <w:rFonts w:ascii="Times New Roman" w:eastAsia="Calibri" w:hAnsi="Times New Roman" w:cs="Times New Roman"/>
          <w:kern w:val="0"/>
          <w:sz w:val="20"/>
          <w:szCs w:val="20"/>
          <w:vertAlign w:val="superscript"/>
          <w:lang w:val="en-GB"/>
          <w14:ligatures w14:val="none"/>
        </w:rPr>
        <w:t>2</w:t>
      </w:r>
      <w:r>
        <w:rPr>
          <w:rFonts w:ascii="Times New Roman" w:eastAsia="Calibri" w:hAnsi="Times New Roman" w:cs="Times New Roman"/>
          <w:kern w:val="0"/>
          <w:sz w:val="20"/>
          <w:szCs w:val="20"/>
          <w:lang w:val="en-GB"/>
          <w14:ligatures w14:val="none"/>
        </w:rPr>
        <w:t>-3.81C</w:t>
      </w:r>
      <w:r w:rsidRPr="00392BFE">
        <w:rPr>
          <w:rFonts w:ascii="Times New Roman" w:eastAsia="Calibri" w:hAnsi="Times New Roman" w:cs="Times New Roman"/>
          <w:kern w:val="0"/>
          <w:sz w:val="20"/>
          <w:szCs w:val="20"/>
          <w:vertAlign w:val="superscript"/>
          <w:lang w:val="en-GB"/>
          <w14:ligatures w14:val="none"/>
        </w:rPr>
        <w:t>2</w:t>
      </w:r>
      <w:r>
        <w:rPr>
          <w:rFonts w:ascii="Times New Roman" w:eastAsia="Calibri" w:hAnsi="Times New Roman" w:cs="Times New Roman"/>
          <w:kern w:val="0"/>
          <w:sz w:val="20"/>
          <w:szCs w:val="20"/>
          <w:lang w:val="en-GB"/>
          <w14:ligatures w14:val="none"/>
        </w:rPr>
        <w:t xml:space="preserve">       8</w:t>
      </w:r>
    </w:p>
    <w:p w:rsidR="00392BFE" w:rsidRPr="00392BFE" w:rsidRDefault="00392BFE" w:rsidP="00392BFE">
      <w:pPr>
        <w:rPr>
          <w:rFonts w:ascii="Times New Roman" w:eastAsia="Calibri" w:hAnsi="Times New Roman" w:cs="Times New Roman"/>
          <w:kern w:val="0"/>
          <w:sz w:val="20"/>
          <w:szCs w:val="20"/>
          <w:lang w:val="en-GB"/>
          <w14:ligatures w14:val="none"/>
        </w:rPr>
      </w:pPr>
      <w:r w:rsidRPr="00392BFE">
        <w:rPr>
          <w:rFonts w:ascii="Times New Roman" w:eastAsia="Calibri" w:hAnsi="Times New Roman" w:cs="Times New Roman"/>
          <w:kern w:val="0"/>
          <w:sz w:val="20"/>
          <w:szCs w:val="20"/>
          <w:lang w:val="en-GB"/>
          <w14:ligatures w14:val="none"/>
        </w:rPr>
        <w:t xml:space="preserve">Table </w:t>
      </w:r>
      <w:proofErr w:type="gramStart"/>
      <w:r>
        <w:rPr>
          <w:rFonts w:ascii="Times New Roman" w:eastAsia="Calibri" w:hAnsi="Times New Roman" w:cs="Times New Roman"/>
          <w:kern w:val="0"/>
          <w:sz w:val="20"/>
          <w:szCs w:val="20"/>
          <w:lang w:val="en-GB"/>
          <w14:ligatures w14:val="none"/>
        </w:rPr>
        <w:t>6</w:t>
      </w:r>
      <w:r w:rsidRPr="00392BFE">
        <w:rPr>
          <w:rFonts w:ascii="Times New Roman" w:eastAsia="Calibri" w:hAnsi="Times New Roman" w:cs="Times New Roman"/>
          <w:kern w:val="0"/>
          <w:sz w:val="20"/>
          <w:szCs w:val="20"/>
          <w:lang w:val="en-GB"/>
          <w14:ligatures w14:val="none"/>
        </w:rPr>
        <w:t xml:space="preserve"> :ANOVA</w:t>
      </w:r>
      <w:proofErr w:type="gramEnd"/>
      <w:r w:rsidRPr="00392BFE">
        <w:rPr>
          <w:rFonts w:ascii="Times New Roman" w:eastAsia="Calibri" w:hAnsi="Times New Roman" w:cs="Times New Roman"/>
          <w:kern w:val="0"/>
          <w:sz w:val="20"/>
          <w:szCs w:val="20"/>
          <w:lang w:val="en-GB"/>
          <w14:ligatures w14:val="none"/>
        </w:rPr>
        <w:t xml:space="preserve"> for saponification value for the </w:t>
      </w:r>
      <w:r w:rsidRPr="00392BFE">
        <w:rPr>
          <w:rFonts w:ascii="Times New Roman" w:eastAsia="Calibri" w:hAnsi="Times New Roman" w:cs="Times New Roman"/>
          <w:i/>
          <w:kern w:val="0"/>
          <w:sz w:val="20"/>
          <w:szCs w:val="20"/>
          <w:lang w:val="en-GB"/>
          <w14:ligatures w14:val="none"/>
        </w:rPr>
        <w:t xml:space="preserve">cassia fistula </w:t>
      </w:r>
      <w:r w:rsidRPr="00392BFE">
        <w:rPr>
          <w:rFonts w:ascii="Times New Roman" w:eastAsia="Calibri" w:hAnsi="Times New Roman" w:cs="Times New Roman"/>
          <w:kern w:val="0"/>
          <w:sz w:val="20"/>
          <w:szCs w:val="20"/>
          <w:lang w:val="en-GB"/>
          <w14:ligatures w14:val="none"/>
        </w:rPr>
        <w:t xml:space="preserve">oil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405"/>
        <w:gridCol w:w="260"/>
        <w:gridCol w:w="1210"/>
        <w:gridCol w:w="705"/>
        <w:gridCol w:w="694"/>
        <w:gridCol w:w="1225"/>
      </w:tblGrid>
      <w:tr w:rsidR="00392BFE" w:rsidRPr="00392BFE" w:rsidTr="00D1087E">
        <w:trPr>
          <w:tblCellSpacing w:w="15" w:type="dxa"/>
        </w:trPr>
        <w:tc>
          <w:tcPr>
            <w:tcW w:w="0" w:type="auto"/>
            <w:tcBorders>
              <w:top w:val="nil"/>
              <w:bottom w:val="single" w:sz="4" w:space="0" w:color="auto"/>
            </w:tcBorders>
            <w:shd w:val="clear" w:color="auto" w:fill="FFFFFF"/>
            <w:vAlign w:val="center"/>
            <w:hideMark/>
          </w:tcPr>
          <w:p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Source</w:t>
            </w:r>
          </w:p>
        </w:tc>
        <w:tc>
          <w:tcPr>
            <w:tcW w:w="0" w:type="auto"/>
            <w:tcBorders>
              <w:top w:val="nil"/>
              <w:bottom w:val="single" w:sz="4" w:space="0" w:color="auto"/>
            </w:tcBorders>
            <w:shd w:val="clear" w:color="auto" w:fill="FFFFFF"/>
            <w:vAlign w:val="center"/>
            <w:hideMark/>
          </w:tcPr>
          <w:p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Sum of Squares</w:t>
            </w:r>
          </w:p>
        </w:tc>
        <w:tc>
          <w:tcPr>
            <w:tcW w:w="0" w:type="auto"/>
            <w:tcBorders>
              <w:top w:val="nil"/>
              <w:bottom w:val="single" w:sz="4" w:space="0" w:color="auto"/>
            </w:tcBorders>
            <w:shd w:val="clear" w:color="auto" w:fill="FFFFFF"/>
            <w:vAlign w:val="center"/>
            <w:hideMark/>
          </w:tcPr>
          <w:p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df</w:t>
            </w:r>
          </w:p>
        </w:tc>
        <w:tc>
          <w:tcPr>
            <w:tcW w:w="0" w:type="auto"/>
            <w:tcBorders>
              <w:top w:val="nil"/>
              <w:bottom w:val="single" w:sz="4" w:space="0" w:color="auto"/>
            </w:tcBorders>
            <w:shd w:val="clear" w:color="auto" w:fill="FFFFFF"/>
            <w:vAlign w:val="center"/>
            <w:hideMark/>
          </w:tcPr>
          <w:p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Mean Square</w:t>
            </w:r>
          </w:p>
        </w:tc>
        <w:tc>
          <w:tcPr>
            <w:tcW w:w="0" w:type="auto"/>
            <w:tcBorders>
              <w:top w:val="nil"/>
              <w:bottom w:val="single" w:sz="4" w:space="0" w:color="auto"/>
            </w:tcBorders>
            <w:shd w:val="clear" w:color="auto" w:fill="FFFFFF"/>
            <w:vAlign w:val="center"/>
            <w:hideMark/>
          </w:tcPr>
          <w:p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F-value</w:t>
            </w:r>
          </w:p>
        </w:tc>
        <w:tc>
          <w:tcPr>
            <w:tcW w:w="0" w:type="auto"/>
            <w:tcBorders>
              <w:top w:val="nil"/>
              <w:bottom w:val="single" w:sz="4" w:space="0" w:color="auto"/>
            </w:tcBorders>
            <w:shd w:val="clear" w:color="auto" w:fill="FFFFFF"/>
            <w:vAlign w:val="center"/>
            <w:hideMark/>
          </w:tcPr>
          <w:p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p-value</w:t>
            </w:r>
          </w:p>
        </w:tc>
        <w:tc>
          <w:tcPr>
            <w:tcW w:w="0" w:type="auto"/>
            <w:tcBorders>
              <w:top w:val="nil"/>
              <w:bottom w:val="single" w:sz="4" w:space="0" w:color="auto"/>
            </w:tcBorders>
            <w:shd w:val="clear" w:color="auto" w:fill="FFFFFF"/>
            <w:vAlign w:val="center"/>
            <w:hideMark/>
          </w:tcPr>
          <w:p w:rsidR="00392BFE" w:rsidRPr="00392BFE" w:rsidRDefault="00392BFE" w:rsidP="00392BFE">
            <w:pPr>
              <w:spacing w:after="0" w:line="240" w:lineRule="auto"/>
              <w:jc w:val="center"/>
              <w:rPr>
                <w:rFonts w:ascii="Times New Roman" w:eastAsia="Times New Roman" w:hAnsi="Times New Roman" w:cs="Times New Roman"/>
                <w:b/>
                <w:bCs/>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Model</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1222.05</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135.78</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4.02</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0.0203</w:t>
            </w: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significant</w:t>
            </w: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A-Solid/solvent</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148.85</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148.85</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4.41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0.0620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B-Temperature</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247.44</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247.44</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7.33</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0.0220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C-Time</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11.18</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11.18</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0.3314</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0.5776</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AB</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237.29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237.29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7.03</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0.0242</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AC</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15.99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15.99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0.4739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0.5068</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BC</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115.29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115.29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3.42</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0.0943</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A²</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181.20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181.20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5.37</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0.0430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B²</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12.70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12.70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0.3765</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0.5532</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C²</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209.56</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209.56</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6.21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0.0319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Residual</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337.37</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10</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33.74</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Lack of Fit</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136.55</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27.31</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0.6799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0.6588</w:t>
            </w: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not significant</w:t>
            </w: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Pure Error</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200.83</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5</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40.17</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r w:rsidR="00392BFE" w:rsidRPr="00392BFE" w:rsidTr="00D1087E">
        <w:trPr>
          <w:tblCellSpacing w:w="15" w:type="dxa"/>
        </w:trPr>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b/>
                <w:bCs/>
                <w:color w:val="000000"/>
                <w:kern w:val="0"/>
                <w:sz w:val="20"/>
                <w:szCs w:val="20"/>
                <w:lang w:val="en-GB"/>
                <w14:ligatures w14:val="none"/>
              </w:rPr>
            </w:pPr>
            <w:r w:rsidRPr="00392BFE">
              <w:rPr>
                <w:rFonts w:ascii="Times New Roman" w:eastAsia="Times New Roman" w:hAnsi="Times New Roman" w:cs="Times New Roman"/>
                <w:b/>
                <w:bCs/>
                <w:color w:val="000000"/>
                <w:kern w:val="0"/>
                <w:sz w:val="20"/>
                <w:szCs w:val="20"/>
                <w:lang w:val="en-GB"/>
                <w14:ligatures w14:val="none"/>
              </w:rPr>
              <w:t>Cor Total</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1559.43</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r w:rsidRPr="00392BFE">
              <w:rPr>
                <w:rFonts w:ascii="Times New Roman" w:eastAsia="Times New Roman" w:hAnsi="Times New Roman" w:cs="Times New Roman"/>
                <w:color w:val="000000"/>
                <w:kern w:val="0"/>
                <w:sz w:val="20"/>
                <w:szCs w:val="20"/>
                <w:lang w:val="en-GB"/>
                <w14:ligatures w14:val="none"/>
              </w:rPr>
              <w:t>19</w:t>
            </w:r>
          </w:p>
        </w:tc>
        <w:tc>
          <w:tcPr>
            <w:tcW w:w="0" w:type="auto"/>
            <w:shd w:val="clear" w:color="auto" w:fill="FFFFFF"/>
            <w:vAlign w:val="center"/>
            <w:hideMark/>
          </w:tcPr>
          <w:p w:rsidR="00392BFE" w:rsidRPr="00392BFE" w:rsidRDefault="00392BFE" w:rsidP="00392BFE">
            <w:pPr>
              <w:spacing w:after="0" w:line="240" w:lineRule="auto"/>
              <w:jc w:val="right"/>
              <w:rPr>
                <w:rFonts w:ascii="Times New Roman" w:eastAsia="Times New Roman" w:hAnsi="Times New Roman" w:cs="Times New Roman"/>
                <w:color w:val="000000"/>
                <w:kern w:val="0"/>
                <w:sz w:val="20"/>
                <w:szCs w:val="20"/>
                <w:lang w:val="en-GB"/>
                <w14:ligatures w14:val="none"/>
              </w:rPr>
            </w:pP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c>
          <w:tcPr>
            <w:tcW w:w="0" w:type="auto"/>
            <w:shd w:val="clear" w:color="auto" w:fill="FFFFFF"/>
            <w:vAlign w:val="center"/>
            <w:hideMark/>
          </w:tcPr>
          <w:p w:rsidR="00392BFE" w:rsidRPr="00392BFE" w:rsidRDefault="00392BFE" w:rsidP="00392BFE">
            <w:pPr>
              <w:spacing w:after="0" w:line="240" w:lineRule="auto"/>
              <w:rPr>
                <w:rFonts w:ascii="Times New Roman" w:eastAsia="Times New Roman" w:hAnsi="Times New Roman" w:cs="Times New Roman"/>
                <w:kern w:val="0"/>
                <w:sz w:val="20"/>
                <w:szCs w:val="20"/>
                <w:lang w:val="en-GB"/>
                <w14:ligatures w14:val="none"/>
              </w:rPr>
            </w:pPr>
          </w:p>
        </w:tc>
      </w:tr>
    </w:tbl>
    <w:p w:rsidR="00004096" w:rsidRPr="00004096" w:rsidRDefault="00392BFE" w:rsidP="00004096">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004096" w:rsidRPr="00004096">
        <w:rPr>
          <w:rFonts w:ascii="Times New Roman" w:eastAsia="Calibri" w:hAnsi="Times New Roman" w:cs="Times New Roman"/>
          <w:sz w:val="20"/>
          <w:szCs w:val="20"/>
        </w:rPr>
        <w:t xml:space="preserve">For saponification value ANOVA in Table </w:t>
      </w:r>
      <w:proofErr w:type="gramStart"/>
      <w:r>
        <w:rPr>
          <w:rFonts w:ascii="Times New Roman" w:eastAsia="Calibri" w:hAnsi="Times New Roman" w:cs="Times New Roman"/>
          <w:sz w:val="20"/>
          <w:szCs w:val="20"/>
        </w:rPr>
        <w:t xml:space="preserve">6 </w:t>
      </w:r>
      <w:r w:rsidR="00004096" w:rsidRPr="00004096">
        <w:rPr>
          <w:rFonts w:ascii="Times New Roman" w:eastAsia="Calibri" w:hAnsi="Times New Roman" w:cs="Times New Roman"/>
          <w:sz w:val="20"/>
          <w:szCs w:val="20"/>
        </w:rPr>
        <w:t>,</w:t>
      </w:r>
      <w:proofErr w:type="gramEnd"/>
      <w:r w:rsidR="00004096" w:rsidRPr="00004096">
        <w:rPr>
          <w:rFonts w:ascii="Times New Roman" w:eastAsia="Calibri" w:hAnsi="Times New Roman" w:cs="Times New Roman"/>
          <w:sz w:val="20"/>
          <w:szCs w:val="20"/>
        </w:rPr>
        <w:t xml:space="preserve"> the model was also significant (</w:t>
      </w:r>
      <w:r w:rsidR="00004096" w:rsidRPr="00004096">
        <w:rPr>
          <w:rFonts w:ascii="Times New Roman" w:eastAsia="Calibri" w:hAnsi="Times New Roman" w:cs="Times New Roman"/>
          <w:bCs/>
          <w:sz w:val="20"/>
          <w:szCs w:val="20"/>
        </w:rPr>
        <w:t>p = 0.0203</w:t>
      </w:r>
      <w:r w:rsidR="00004096" w:rsidRPr="00004096">
        <w:rPr>
          <w:rFonts w:ascii="Times New Roman" w:eastAsia="Calibri" w:hAnsi="Times New Roman" w:cs="Times New Roman"/>
          <w:sz w:val="20"/>
          <w:szCs w:val="20"/>
        </w:rPr>
        <w:t xml:space="preserve">), confirming that the variables had a considerable impact on the response. Both </w:t>
      </w:r>
      <w:r w:rsidR="00004096" w:rsidRPr="00004096">
        <w:rPr>
          <w:rFonts w:ascii="Times New Roman" w:eastAsia="Calibri" w:hAnsi="Times New Roman" w:cs="Times New Roman"/>
          <w:bCs/>
          <w:sz w:val="20"/>
          <w:szCs w:val="20"/>
        </w:rPr>
        <w:t>temperature (B)</w:t>
      </w:r>
      <w:r w:rsidR="00004096" w:rsidRPr="00004096">
        <w:rPr>
          <w:rFonts w:ascii="Times New Roman" w:eastAsia="Calibri" w:hAnsi="Times New Roman" w:cs="Times New Roman"/>
          <w:sz w:val="20"/>
          <w:szCs w:val="20"/>
        </w:rPr>
        <w:t xml:space="preserve"> and the </w:t>
      </w:r>
      <w:r w:rsidR="00004096" w:rsidRPr="00004096">
        <w:rPr>
          <w:rFonts w:ascii="Times New Roman" w:eastAsia="Calibri" w:hAnsi="Times New Roman" w:cs="Times New Roman"/>
          <w:bCs/>
          <w:sz w:val="20"/>
          <w:szCs w:val="20"/>
        </w:rPr>
        <w:t>interaction between solid-to-solvent ratio and temperature (AB)</w:t>
      </w:r>
      <w:r w:rsidR="00004096" w:rsidRPr="00004096">
        <w:rPr>
          <w:rFonts w:ascii="Times New Roman" w:eastAsia="Calibri" w:hAnsi="Times New Roman" w:cs="Times New Roman"/>
          <w:sz w:val="20"/>
          <w:szCs w:val="20"/>
        </w:rPr>
        <w:t xml:space="preserve"> were significant (p &lt; 0.05), indicating that increasing temperature and its interaction with solvent ratio enhance saponification. The quadratic terms </w:t>
      </w:r>
      <w:r w:rsidR="00004096" w:rsidRPr="00004096">
        <w:rPr>
          <w:rFonts w:ascii="Times New Roman" w:eastAsia="Calibri" w:hAnsi="Times New Roman" w:cs="Times New Roman"/>
          <w:bCs/>
          <w:sz w:val="20"/>
          <w:szCs w:val="20"/>
        </w:rPr>
        <w:t>A²</w:t>
      </w:r>
      <w:r w:rsidR="00004096" w:rsidRPr="00004096">
        <w:rPr>
          <w:rFonts w:ascii="Times New Roman" w:eastAsia="Calibri" w:hAnsi="Times New Roman" w:cs="Times New Roman"/>
          <w:b/>
          <w:sz w:val="20"/>
          <w:szCs w:val="20"/>
        </w:rPr>
        <w:t xml:space="preserve"> </w:t>
      </w:r>
      <w:r w:rsidR="00004096" w:rsidRPr="00004096">
        <w:rPr>
          <w:rFonts w:ascii="Times New Roman" w:eastAsia="Calibri" w:hAnsi="Times New Roman" w:cs="Times New Roman"/>
          <w:sz w:val="20"/>
          <w:szCs w:val="20"/>
        </w:rPr>
        <w:t>and</w:t>
      </w:r>
      <w:r w:rsidR="00004096" w:rsidRPr="00004096">
        <w:rPr>
          <w:rFonts w:ascii="Times New Roman" w:eastAsia="Calibri" w:hAnsi="Times New Roman" w:cs="Times New Roman"/>
          <w:b/>
          <w:sz w:val="20"/>
          <w:szCs w:val="20"/>
        </w:rPr>
        <w:t xml:space="preserve"> </w:t>
      </w:r>
      <w:r w:rsidR="00004096" w:rsidRPr="00004096">
        <w:rPr>
          <w:rFonts w:ascii="Times New Roman" w:eastAsia="Calibri" w:hAnsi="Times New Roman" w:cs="Times New Roman"/>
          <w:bCs/>
          <w:sz w:val="20"/>
          <w:szCs w:val="20"/>
        </w:rPr>
        <w:t>C²</w:t>
      </w:r>
      <w:r w:rsidR="00004096" w:rsidRPr="00004096">
        <w:rPr>
          <w:rFonts w:ascii="Times New Roman" w:eastAsia="Calibri" w:hAnsi="Times New Roman" w:cs="Times New Roman"/>
          <w:sz w:val="20"/>
          <w:szCs w:val="20"/>
        </w:rPr>
        <w:t xml:space="preserve"> were also significant, highlighting nonlinear effects of these parameters. The lack-of-fit value (</w:t>
      </w:r>
      <w:r w:rsidR="00004096" w:rsidRPr="00004096">
        <w:rPr>
          <w:rFonts w:ascii="Times New Roman" w:eastAsia="Calibri" w:hAnsi="Times New Roman" w:cs="Times New Roman"/>
          <w:bCs/>
          <w:sz w:val="20"/>
          <w:szCs w:val="20"/>
        </w:rPr>
        <w:t>p = 0.6588</w:t>
      </w:r>
      <w:r w:rsidR="00004096" w:rsidRPr="00004096">
        <w:rPr>
          <w:rFonts w:ascii="Times New Roman" w:eastAsia="Calibri" w:hAnsi="Times New Roman" w:cs="Times New Roman"/>
          <w:b/>
          <w:sz w:val="20"/>
          <w:szCs w:val="20"/>
        </w:rPr>
        <w:t>)</w:t>
      </w:r>
      <w:r w:rsidR="00004096" w:rsidRPr="00004096">
        <w:rPr>
          <w:rFonts w:ascii="Times New Roman" w:eastAsia="Calibri" w:hAnsi="Times New Roman" w:cs="Times New Roman"/>
          <w:sz w:val="20"/>
          <w:szCs w:val="20"/>
        </w:rPr>
        <w:t xml:space="preserve"> was not significant, validating the adequacy of the model to describe the observed </w:t>
      </w:r>
      <w:proofErr w:type="spellStart"/>
      <w:r w:rsidR="00004096" w:rsidRPr="00004096">
        <w:rPr>
          <w:rFonts w:ascii="Times New Roman" w:eastAsia="Calibri" w:hAnsi="Times New Roman" w:cs="Times New Roman"/>
          <w:sz w:val="20"/>
          <w:szCs w:val="20"/>
        </w:rPr>
        <w:t>behaviour</w:t>
      </w:r>
      <w:proofErr w:type="spellEnd"/>
      <w:r w:rsidR="00004096" w:rsidRPr="00004096">
        <w:rPr>
          <w:rFonts w:ascii="Times New Roman" w:eastAsia="Calibri" w:hAnsi="Times New Roman" w:cs="Times New Roman"/>
          <w:sz w:val="20"/>
          <w:szCs w:val="20"/>
        </w:rPr>
        <w:t>.</w:t>
      </w:r>
    </w:p>
    <w:p w:rsidR="00004096" w:rsidRPr="00004096" w:rsidRDefault="00004096" w:rsidP="00004096">
      <w:pPr>
        <w:spacing w:line="240" w:lineRule="auto"/>
        <w:jc w:val="both"/>
        <w:rPr>
          <w:rFonts w:ascii="Times New Roman" w:eastAsia="Calibri" w:hAnsi="Times New Roman" w:cs="Times New Roman"/>
          <w:b/>
          <w:sz w:val="20"/>
          <w:szCs w:val="20"/>
        </w:rPr>
      </w:pPr>
      <w:r w:rsidRPr="00004096">
        <w:rPr>
          <w:rFonts w:ascii="Times New Roman" w:eastAsia="Calibri" w:hAnsi="Times New Roman" w:cs="Times New Roman"/>
          <w:b/>
          <w:sz w:val="20"/>
          <w:szCs w:val="20"/>
        </w:rPr>
        <w:t xml:space="preserve">Table </w:t>
      </w:r>
      <w:r w:rsidR="005658B1">
        <w:rPr>
          <w:rFonts w:ascii="Times New Roman" w:eastAsia="Calibri" w:hAnsi="Times New Roman" w:cs="Times New Roman"/>
          <w:b/>
          <w:sz w:val="20"/>
          <w:szCs w:val="20"/>
        </w:rPr>
        <w:t>7</w:t>
      </w:r>
      <w:r w:rsidRPr="00004096">
        <w:rPr>
          <w:rFonts w:ascii="Times New Roman" w:eastAsia="Calibri" w:hAnsi="Times New Roman" w:cs="Times New Roman"/>
          <w:b/>
          <w:sz w:val="20"/>
          <w:szCs w:val="20"/>
        </w:rPr>
        <w:t xml:space="preserve">: Fit Statistics summaries on the FFA, Iodine and Saponification value </w:t>
      </w:r>
    </w:p>
    <w:tbl>
      <w:tblPr>
        <w:tblStyle w:val="TableGrid1"/>
        <w:tblW w:w="9588" w:type="dxa"/>
        <w:tblLook w:val="04A0" w:firstRow="1" w:lastRow="0" w:firstColumn="1" w:lastColumn="0" w:noHBand="0" w:noVBand="1"/>
      </w:tblPr>
      <w:tblGrid>
        <w:gridCol w:w="698"/>
        <w:gridCol w:w="766"/>
        <w:gridCol w:w="1020"/>
        <w:gridCol w:w="766"/>
        <w:gridCol w:w="688"/>
        <w:gridCol w:w="666"/>
        <w:gridCol w:w="999"/>
        <w:gridCol w:w="766"/>
        <w:gridCol w:w="688"/>
        <w:gridCol w:w="766"/>
        <w:gridCol w:w="999"/>
        <w:gridCol w:w="766"/>
      </w:tblGrid>
      <w:tr w:rsidR="00004096" w:rsidRPr="00004096" w:rsidTr="00004096">
        <w:trPr>
          <w:trHeight w:val="442"/>
        </w:trPr>
        <w:tc>
          <w:tcPr>
            <w:tcW w:w="0" w:type="auto"/>
            <w:gridSpan w:val="4"/>
          </w:tcPr>
          <w:p w:rsidR="00004096" w:rsidRPr="00004096" w:rsidRDefault="00004096" w:rsidP="00004096">
            <w:pPr>
              <w:jc w:val="center"/>
              <w:rPr>
                <w:rFonts w:ascii="Times New Roman" w:eastAsia="Times New Roman" w:hAnsi="Times New Roman" w:cs="Times New Roman"/>
                <w:b/>
                <w:color w:val="000000"/>
                <w:sz w:val="20"/>
                <w:szCs w:val="20"/>
              </w:rPr>
            </w:pPr>
            <w:r w:rsidRPr="00004096">
              <w:rPr>
                <w:rFonts w:ascii="Times New Roman" w:eastAsia="Times New Roman" w:hAnsi="Times New Roman" w:cs="Times New Roman"/>
                <w:b/>
                <w:color w:val="000000"/>
                <w:sz w:val="20"/>
                <w:szCs w:val="20"/>
              </w:rPr>
              <w:t>Free fatty acid (FFA)</w:t>
            </w:r>
          </w:p>
        </w:tc>
        <w:tc>
          <w:tcPr>
            <w:tcW w:w="0" w:type="auto"/>
            <w:gridSpan w:val="4"/>
            <w:vAlign w:val="center"/>
          </w:tcPr>
          <w:p w:rsidR="00004096" w:rsidRPr="00004096" w:rsidRDefault="00004096" w:rsidP="00004096">
            <w:pPr>
              <w:jc w:val="center"/>
              <w:rPr>
                <w:rFonts w:ascii="Times New Roman" w:eastAsia="Times New Roman" w:hAnsi="Times New Roman" w:cs="Times New Roman"/>
                <w:color w:val="000000"/>
                <w:sz w:val="20"/>
                <w:szCs w:val="20"/>
              </w:rPr>
            </w:pPr>
            <w:r w:rsidRPr="00004096">
              <w:rPr>
                <w:rFonts w:ascii="Times New Roman" w:eastAsia="Calibri" w:hAnsi="Times New Roman" w:cs="Times New Roman"/>
                <w:b/>
                <w:sz w:val="20"/>
                <w:szCs w:val="20"/>
              </w:rPr>
              <w:t>Iodine value</w:t>
            </w:r>
          </w:p>
        </w:tc>
        <w:tc>
          <w:tcPr>
            <w:tcW w:w="0" w:type="auto"/>
            <w:gridSpan w:val="4"/>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Calibri" w:hAnsi="Times New Roman" w:cs="Times New Roman"/>
                <w:b/>
                <w:sz w:val="20"/>
                <w:szCs w:val="20"/>
              </w:rPr>
              <w:t>Saponification value</w:t>
            </w:r>
          </w:p>
        </w:tc>
      </w:tr>
      <w:tr w:rsidR="00004096" w:rsidRPr="00004096" w:rsidTr="00004096">
        <w:trPr>
          <w:trHeight w:val="442"/>
        </w:trPr>
        <w:tc>
          <w:tcPr>
            <w:tcW w:w="697" w:type="dxa"/>
            <w:hideMark/>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Std. Dev.</w:t>
            </w:r>
          </w:p>
        </w:tc>
        <w:tc>
          <w:tcPr>
            <w:tcW w:w="755" w:type="dxa"/>
            <w:hideMark/>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0.7235</w:t>
            </w:r>
          </w:p>
        </w:tc>
        <w:tc>
          <w:tcPr>
            <w:tcW w:w="1020" w:type="dxa"/>
            <w:hideMark/>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R²</w:t>
            </w:r>
          </w:p>
        </w:tc>
        <w:tc>
          <w:tcPr>
            <w:tcW w:w="0" w:type="auto"/>
            <w:hideMark/>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0.7955</w:t>
            </w:r>
          </w:p>
        </w:tc>
        <w:tc>
          <w:tcPr>
            <w:tcW w:w="0" w:type="auto"/>
            <w:vAlign w:val="center"/>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Std. Dev.</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1.89</w:t>
            </w:r>
          </w:p>
        </w:tc>
        <w:tc>
          <w:tcPr>
            <w:tcW w:w="0" w:type="auto"/>
            <w:vAlign w:val="center"/>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R²</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0.7668</w:t>
            </w:r>
          </w:p>
        </w:tc>
        <w:tc>
          <w:tcPr>
            <w:tcW w:w="0" w:type="auto"/>
            <w:shd w:val="clear" w:color="auto" w:fill="FFFFFF"/>
            <w:vAlign w:val="center"/>
          </w:tcPr>
          <w:p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Std. Dev.</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5.81</w:t>
            </w:r>
          </w:p>
        </w:tc>
        <w:tc>
          <w:tcPr>
            <w:tcW w:w="0" w:type="auto"/>
            <w:shd w:val="clear" w:color="auto" w:fill="FFFFFF"/>
            <w:vAlign w:val="center"/>
          </w:tcPr>
          <w:p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R²</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0.7837</w:t>
            </w:r>
          </w:p>
        </w:tc>
      </w:tr>
      <w:tr w:rsidR="00004096" w:rsidRPr="00004096" w:rsidTr="00004096">
        <w:trPr>
          <w:trHeight w:val="536"/>
        </w:trPr>
        <w:tc>
          <w:tcPr>
            <w:tcW w:w="697" w:type="dxa"/>
            <w:hideMark/>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Mean</w:t>
            </w:r>
          </w:p>
        </w:tc>
        <w:tc>
          <w:tcPr>
            <w:tcW w:w="755" w:type="dxa"/>
            <w:hideMark/>
          </w:tcPr>
          <w:p w:rsidR="00004096" w:rsidRPr="00004096" w:rsidRDefault="00004096" w:rsidP="00004096">
            <w:pPr>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2.15</w:t>
            </w:r>
          </w:p>
        </w:tc>
        <w:tc>
          <w:tcPr>
            <w:tcW w:w="1020" w:type="dxa"/>
            <w:hideMark/>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Adjusted R²</w:t>
            </w:r>
          </w:p>
        </w:tc>
        <w:tc>
          <w:tcPr>
            <w:tcW w:w="0" w:type="auto"/>
            <w:hideMark/>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0.6114</w:t>
            </w:r>
          </w:p>
        </w:tc>
        <w:tc>
          <w:tcPr>
            <w:tcW w:w="0" w:type="auto"/>
            <w:vAlign w:val="center"/>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Mean</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20.19</w:t>
            </w:r>
          </w:p>
        </w:tc>
        <w:tc>
          <w:tcPr>
            <w:tcW w:w="0" w:type="auto"/>
            <w:vAlign w:val="center"/>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Adjusted R²</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0.5569</w:t>
            </w:r>
          </w:p>
        </w:tc>
        <w:tc>
          <w:tcPr>
            <w:tcW w:w="0" w:type="auto"/>
            <w:shd w:val="clear" w:color="auto" w:fill="FFFFFF"/>
            <w:vAlign w:val="center"/>
          </w:tcPr>
          <w:p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Mean</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203.85</w:t>
            </w:r>
          </w:p>
        </w:tc>
        <w:tc>
          <w:tcPr>
            <w:tcW w:w="0" w:type="auto"/>
            <w:shd w:val="clear" w:color="auto" w:fill="FFFFFF"/>
            <w:vAlign w:val="center"/>
          </w:tcPr>
          <w:p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Adjusted R²</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0.5889</w:t>
            </w:r>
          </w:p>
        </w:tc>
      </w:tr>
      <w:tr w:rsidR="00004096" w:rsidRPr="00004096" w:rsidTr="00004096">
        <w:trPr>
          <w:trHeight w:val="521"/>
        </w:trPr>
        <w:tc>
          <w:tcPr>
            <w:tcW w:w="697" w:type="dxa"/>
            <w:hideMark/>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C.V. %</w:t>
            </w:r>
          </w:p>
        </w:tc>
        <w:tc>
          <w:tcPr>
            <w:tcW w:w="755" w:type="dxa"/>
            <w:hideMark/>
          </w:tcPr>
          <w:p w:rsidR="00004096" w:rsidRPr="00004096" w:rsidRDefault="00004096" w:rsidP="00004096">
            <w:pPr>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33.66</w:t>
            </w:r>
          </w:p>
        </w:tc>
        <w:tc>
          <w:tcPr>
            <w:tcW w:w="1020" w:type="dxa"/>
            <w:hideMark/>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Predicted R²</w:t>
            </w:r>
          </w:p>
        </w:tc>
        <w:tc>
          <w:tcPr>
            <w:tcW w:w="0" w:type="auto"/>
            <w:hideMark/>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0.0147</w:t>
            </w:r>
          </w:p>
        </w:tc>
        <w:tc>
          <w:tcPr>
            <w:tcW w:w="0" w:type="auto"/>
            <w:vAlign w:val="center"/>
          </w:tcPr>
          <w:p w:rsidR="00004096" w:rsidRPr="00004096" w:rsidRDefault="00004096" w:rsidP="00004096">
            <w:pP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C.V. %</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9.34</w:t>
            </w:r>
          </w:p>
        </w:tc>
        <w:tc>
          <w:tcPr>
            <w:tcW w:w="0" w:type="auto"/>
            <w:vAlign w:val="center"/>
          </w:tcPr>
          <w:p w:rsidR="00004096" w:rsidRPr="00004096" w:rsidRDefault="00004096" w:rsidP="00004096">
            <w:pPr>
              <w:jc w:val="center"/>
              <w:rPr>
                <w:rFonts w:ascii="Times New Roman" w:eastAsia="Times New Roman" w:hAnsi="Times New Roman" w:cs="Times New Roman"/>
                <w:bCs/>
                <w:color w:val="000000"/>
                <w:sz w:val="20"/>
                <w:szCs w:val="20"/>
              </w:rPr>
            </w:pPr>
            <w:r w:rsidRPr="00004096">
              <w:rPr>
                <w:rFonts w:ascii="Times New Roman" w:eastAsia="Times New Roman" w:hAnsi="Times New Roman" w:cs="Times New Roman"/>
                <w:bCs/>
                <w:color w:val="000000"/>
                <w:sz w:val="20"/>
                <w:szCs w:val="20"/>
              </w:rPr>
              <w:t>Predicted R²</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0.0124</w:t>
            </w:r>
          </w:p>
        </w:tc>
        <w:tc>
          <w:tcPr>
            <w:tcW w:w="0" w:type="auto"/>
            <w:shd w:val="clear" w:color="auto" w:fill="FFFFFF"/>
            <w:vAlign w:val="center"/>
          </w:tcPr>
          <w:p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C.V. %</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2.85</w:t>
            </w:r>
          </w:p>
        </w:tc>
        <w:tc>
          <w:tcPr>
            <w:tcW w:w="0" w:type="auto"/>
            <w:shd w:val="clear" w:color="auto" w:fill="FFFFFF"/>
            <w:vAlign w:val="center"/>
          </w:tcPr>
          <w:p w:rsidR="00004096" w:rsidRPr="00004096" w:rsidRDefault="00004096" w:rsidP="00004096">
            <w:pPr>
              <w:rPr>
                <w:rFonts w:ascii="Times New Roman" w:eastAsia="Calibri" w:hAnsi="Times New Roman" w:cs="Times New Roman"/>
                <w:bCs/>
                <w:color w:val="000000"/>
                <w:sz w:val="20"/>
                <w:szCs w:val="20"/>
              </w:rPr>
            </w:pPr>
            <w:r w:rsidRPr="00004096">
              <w:rPr>
                <w:rFonts w:ascii="Times New Roman" w:eastAsia="Calibri" w:hAnsi="Times New Roman" w:cs="Times New Roman"/>
                <w:bCs/>
                <w:color w:val="000000"/>
                <w:sz w:val="20"/>
                <w:szCs w:val="20"/>
              </w:rPr>
              <w:t>Predicted R²</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0.1283</w:t>
            </w:r>
          </w:p>
        </w:tc>
      </w:tr>
      <w:tr w:rsidR="00004096" w:rsidRPr="00004096" w:rsidTr="00004096">
        <w:trPr>
          <w:trHeight w:val="798"/>
        </w:trPr>
        <w:tc>
          <w:tcPr>
            <w:tcW w:w="697" w:type="dxa"/>
            <w:hideMark/>
          </w:tcPr>
          <w:p w:rsidR="00004096" w:rsidRPr="00004096" w:rsidRDefault="00004096" w:rsidP="00004096">
            <w:pPr>
              <w:jc w:val="right"/>
              <w:rPr>
                <w:rFonts w:ascii="Times New Roman" w:eastAsia="Times New Roman" w:hAnsi="Times New Roman" w:cs="Times New Roman"/>
                <w:color w:val="000000"/>
                <w:sz w:val="20"/>
                <w:szCs w:val="20"/>
              </w:rPr>
            </w:pPr>
          </w:p>
        </w:tc>
        <w:tc>
          <w:tcPr>
            <w:tcW w:w="755" w:type="dxa"/>
            <w:hideMark/>
          </w:tcPr>
          <w:p w:rsidR="00004096" w:rsidRPr="00004096" w:rsidRDefault="00004096" w:rsidP="00004096">
            <w:pPr>
              <w:rPr>
                <w:rFonts w:ascii="Times New Roman" w:eastAsia="Times New Roman" w:hAnsi="Times New Roman" w:cs="Times New Roman"/>
                <w:sz w:val="20"/>
                <w:szCs w:val="20"/>
              </w:rPr>
            </w:pPr>
          </w:p>
        </w:tc>
        <w:tc>
          <w:tcPr>
            <w:tcW w:w="1020" w:type="dxa"/>
            <w:hideMark/>
          </w:tcPr>
          <w:p w:rsidR="00004096" w:rsidRPr="00004096" w:rsidRDefault="00004096" w:rsidP="00004096">
            <w:pPr>
              <w:rPr>
                <w:rFonts w:ascii="Times New Roman" w:eastAsia="Times New Roman" w:hAnsi="Times New Roman" w:cs="Times New Roman"/>
                <w:bCs/>
                <w:color w:val="000000"/>
                <w:sz w:val="20"/>
                <w:szCs w:val="20"/>
              </w:rPr>
            </w:pPr>
            <w:proofErr w:type="spellStart"/>
            <w:r w:rsidRPr="00004096">
              <w:rPr>
                <w:rFonts w:ascii="Times New Roman" w:eastAsia="Times New Roman" w:hAnsi="Times New Roman" w:cs="Times New Roman"/>
                <w:bCs/>
                <w:color w:val="000000"/>
                <w:sz w:val="20"/>
                <w:szCs w:val="20"/>
              </w:rPr>
              <w:t>Adeq</w:t>
            </w:r>
            <w:proofErr w:type="spellEnd"/>
            <w:r w:rsidRPr="00004096">
              <w:rPr>
                <w:rFonts w:ascii="Times New Roman" w:eastAsia="Times New Roman" w:hAnsi="Times New Roman" w:cs="Times New Roman"/>
                <w:bCs/>
                <w:color w:val="000000"/>
                <w:sz w:val="20"/>
                <w:szCs w:val="20"/>
              </w:rPr>
              <w:t xml:space="preserve"> Precision</w:t>
            </w:r>
          </w:p>
        </w:tc>
        <w:tc>
          <w:tcPr>
            <w:tcW w:w="0" w:type="auto"/>
            <w:hideMark/>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5.9320</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p>
        </w:tc>
        <w:tc>
          <w:tcPr>
            <w:tcW w:w="0" w:type="auto"/>
            <w:vAlign w:val="center"/>
          </w:tcPr>
          <w:p w:rsidR="00004096" w:rsidRPr="00004096" w:rsidRDefault="00004096" w:rsidP="00004096">
            <w:pPr>
              <w:rPr>
                <w:rFonts w:ascii="Times New Roman" w:eastAsia="Times New Roman" w:hAnsi="Times New Roman" w:cs="Times New Roman"/>
                <w:sz w:val="20"/>
                <w:szCs w:val="20"/>
              </w:rPr>
            </w:pPr>
          </w:p>
        </w:tc>
        <w:tc>
          <w:tcPr>
            <w:tcW w:w="0" w:type="auto"/>
            <w:vAlign w:val="center"/>
          </w:tcPr>
          <w:p w:rsidR="00004096" w:rsidRPr="00004096" w:rsidRDefault="00004096" w:rsidP="00004096">
            <w:pPr>
              <w:rPr>
                <w:rFonts w:ascii="Times New Roman" w:eastAsia="Times New Roman" w:hAnsi="Times New Roman" w:cs="Times New Roman"/>
                <w:bCs/>
                <w:color w:val="000000"/>
                <w:sz w:val="20"/>
                <w:szCs w:val="20"/>
              </w:rPr>
            </w:pPr>
            <w:proofErr w:type="spellStart"/>
            <w:r w:rsidRPr="00004096">
              <w:rPr>
                <w:rFonts w:ascii="Times New Roman" w:eastAsia="Times New Roman" w:hAnsi="Times New Roman" w:cs="Times New Roman"/>
                <w:bCs/>
                <w:color w:val="000000"/>
                <w:sz w:val="20"/>
                <w:szCs w:val="20"/>
              </w:rPr>
              <w:t>Adeq</w:t>
            </w:r>
            <w:proofErr w:type="spellEnd"/>
            <w:r w:rsidRPr="00004096">
              <w:rPr>
                <w:rFonts w:ascii="Times New Roman" w:eastAsia="Times New Roman" w:hAnsi="Times New Roman" w:cs="Times New Roman"/>
                <w:bCs/>
                <w:color w:val="000000"/>
                <w:sz w:val="20"/>
                <w:szCs w:val="20"/>
              </w:rPr>
              <w:t xml:space="preserve"> Precision</w:t>
            </w:r>
          </w:p>
        </w:tc>
        <w:tc>
          <w:tcPr>
            <w:tcW w:w="0" w:type="auto"/>
            <w:vAlign w:val="center"/>
          </w:tcPr>
          <w:p w:rsidR="00004096" w:rsidRPr="00004096" w:rsidRDefault="00004096" w:rsidP="00004096">
            <w:pPr>
              <w:jc w:val="right"/>
              <w:rPr>
                <w:rFonts w:ascii="Times New Roman" w:eastAsia="Times New Roman" w:hAnsi="Times New Roman" w:cs="Times New Roman"/>
                <w:color w:val="000000"/>
                <w:sz w:val="20"/>
                <w:szCs w:val="20"/>
              </w:rPr>
            </w:pPr>
            <w:r w:rsidRPr="00004096">
              <w:rPr>
                <w:rFonts w:ascii="Times New Roman" w:eastAsia="Times New Roman" w:hAnsi="Times New Roman" w:cs="Times New Roman"/>
                <w:color w:val="000000"/>
                <w:sz w:val="20"/>
                <w:szCs w:val="20"/>
              </w:rPr>
              <w:t>6.4059</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p>
        </w:tc>
        <w:tc>
          <w:tcPr>
            <w:tcW w:w="0" w:type="auto"/>
            <w:shd w:val="clear" w:color="auto" w:fill="FFFFFF"/>
            <w:vAlign w:val="center"/>
          </w:tcPr>
          <w:p w:rsidR="00004096" w:rsidRPr="00004096" w:rsidRDefault="00004096" w:rsidP="00004096">
            <w:pPr>
              <w:rPr>
                <w:rFonts w:ascii="Times New Roman" w:eastAsia="Calibri" w:hAnsi="Times New Roman" w:cs="Times New Roman"/>
                <w:sz w:val="20"/>
                <w:szCs w:val="20"/>
              </w:rPr>
            </w:pPr>
          </w:p>
        </w:tc>
        <w:tc>
          <w:tcPr>
            <w:tcW w:w="0" w:type="auto"/>
            <w:shd w:val="clear" w:color="auto" w:fill="FFFFFF"/>
            <w:vAlign w:val="center"/>
          </w:tcPr>
          <w:p w:rsidR="00004096" w:rsidRPr="00004096" w:rsidRDefault="00004096" w:rsidP="00004096">
            <w:pPr>
              <w:rPr>
                <w:rFonts w:ascii="Times New Roman" w:eastAsia="Calibri" w:hAnsi="Times New Roman" w:cs="Times New Roman"/>
                <w:bCs/>
                <w:color w:val="000000"/>
                <w:sz w:val="20"/>
                <w:szCs w:val="20"/>
              </w:rPr>
            </w:pPr>
            <w:proofErr w:type="spellStart"/>
            <w:r w:rsidRPr="00004096">
              <w:rPr>
                <w:rFonts w:ascii="Times New Roman" w:eastAsia="Calibri" w:hAnsi="Times New Roman" w:cs="Times New Roman"/>
                <w:bCs/>
                <w:color w:val="000000"/>
                <w:sz w:val="20"/>
                <w:szCs w:val="20"/>
              </w:rPr>
              <w:t>Adeq</w:t>
            </w:r>
            <w:proofErr w:type="spellEnd"/>
            <w:r w:rsidRPr="00004096">
              <w:rPr>
                <w:rFonts w:ascii="Times New Roman" w:eastAsia="Calibri" w:hAnsi="Times New Roman" w:cs="Times New Roman"/>
                <w:bCs/>
                <w:color w:val="000000"/>
                <w:sz w:val="20"/>
                <w:szCs w:val="20"/>
              </w:rPr>
              <w:t xml:space="preserve"> Precision</w:t>
            </w:r>
          </w:p>
        </w:tc>
        <w:tc>
          <w:tcPr>
            <w:tcW w:w="0" w:type="auto"/>
            <w:shd w:val="clear" w:color="auto" w:fill="FFFFFF"/>
            <w:vAlign w:val="center"/>
          </w:tcPr>
          <w:p w:rsidR="00004096" w:rsidRPr="00004096" w:rsidRDefault="00004096" w:rsidP="00004096">
            <w:pPr>
              <w:jc w:val="right"/>
              <w:rPr>
                <w:rFonts w:ascii="Times New Roman" w:eastAsia="Calibri" w:hAnsi="Times New Roman" w:cs="Times New Roman"/>
                <w:color w:val="000000"/>
                <w:sz w:val="20"/>
                <w:szCs w:val="20"/>
              </w:rPr>
            </w:pPr>
            <w:r w:rsidRPr="00004096">
              <w:rPr>
                <w:rFonts w:ascii="Times New Roman" w:eastAsia="Calibri" w:hAnsi="Times New Roman" w:cs="Times New Roman"/>
                <w:color w:val="000000"/>
                <w:sz w:val="20"/>
                <w:szCs w:val="20"/>
              </w:rPr>
              <w:t>8.0541</w:t>
            </w:r>
          </w:p>
        </w:tc>
      </w:tr>
    </w:tbl>
    <w:p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lastRenderedPageBreak/>
        <w:t xml:space="preserve">The statistical summary in Table </w:t>
      </w:r>
      <w:r w:rsidR="005658B1">
        <w:rPr>
          <w:rFonts w:ascii="Times New Roman" w:eastAsia="Times New Roman" w:hAnsi="Times New Roman" w:cs="Times New Roman"/>
          <w:sz w:val="20"/>
          <w:szCs w:val="20"/>
        </w:rPr>
        <w:t xml:space="preserve">7 </w:t>
      </w:r>
      <w:r w:rsidRPr="00004096">
        <w:rPr>
          <w:rFonts w:ascii="Times New Roman" w:eastAsia="Times New Roman" w:hAnsi="Times New Roman" w:cs="Times New Roman"/>
          <w:sz w:val="20"/>
          <w:szCs w:val="20"/>
        </w:rPr>
        <w:t xml:space="preserve">of the models for </w:t>
      </w:r>
      <w:r w:rsidRPr="00004096">
        <w:rPr>
          <w:rFonts w:ascii="Times New Roman" w:eastAsia="Times New Roman" w:hAnsi="Times New Roman" w:cs="Times New Roman"/>
          <w:bCs/>
          <w:sz w:val="20"/>
          <w:szCs w:val="20"/>
        </w:rPr>
        <w:t>FFA</w:t>
      </w:r>
      <w:r w:rsidRPr="00004096">
        <w:rPr>
          <w:rFonts w:ascii="Times New Roman" w:eastAsia="Times New Roman" w:hAnsi="Times New Roman" w:cs="Times New Roman"/>
          <w:sz w:val="20"/>
          <w:szCs w:val="20"/>
        </w:rPr>
        <w:t xml:space="preserve">, </w:t>
      </w:r>
      <w:r w:rsidRPr="00004096">
        <w:rPr>
          <w:rFonts w:ascii="Times New Roman" w:eastAsia="Times New Roman" w:hAnsi="Times New Roman" w:cs="Times New Roman"/>
          <w:bCs/>
          <w:sz w:val="20"/>
          <w:szCs w:val="20"/>
        </w:rPr>
        <w:t>iodine value</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saponification value</w:t>
      </w:r>
      <w:r w:rsidRPr="00004096">
        <w:rPr>
          <w:rFonts w:ascii="Times New Roman" w:eastAsia="Times New Roman" w:hAnsi="Times New Roman" w:cs="Times New Roman"/>
          <w:sz w:val="20"/>
          <w:szCs w:val="20"/>
        </w:rPr>
        <w:t xml:space="preserve"> indicates that all three models provided reasonably good fits to the experimental data, though with varying levels of precision and predictive strength.</w:t>
      </w:r>
    </w:p>
    <w:p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FFA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standard deviation (0.72)</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mean (2.15)</w:t>
      </w:r>
      <w:r w:rsidRPr="00004096">
        <w:rPr>
          <w:rFonts w:ascii="Times New Roman" w:eastAsia="Times New Roman" w:hAnsi="Times New Roman" w:cs="Times New Roman"/>
          <w:sz w:val="20"/>
          <w:szCs w:val="20"/>
        </w:rPr>
        <w:t xml:space="preserve"> produced a relatively high </w:t>
      </w:r>
      <w:r w:rsidRPr="00004096">
        <w:rPr>
          <w:rFonts w:ascii="Times New Roman" w:eastAsia="Times New Roman" w:hAnsi="Times New Roman" w:cs="Times New Roman"/>
          <w:bCs/>
          <w:sz w:val="20"/>
          <w:szCs w:val="20"/>
        </w:rPr>
        <w:t>coefficient of variation (C.V.) of 33.66%</w:t>
      </w:r>
      <w:r w:rsidRPr="00004096">
        <w:rPr>
          <w:rFonts w:ascii="Times New Roman" w:eastAsia="Times New Roman" w:hAnsi="Times New Roman" w:cs="Times New Roman"/>
          <w:sz w:val="20"/>
          <w:szCs w:val="20"/>
        </w:rPr>
        <w:t xml:space="preserve">, suggesting moderate variability in the responses. The </w:t>
      </w:r>
      <w:r w:rsidRPr="00004096">
        <w:rPr>
          <w:rFonts w:ascii="Times New Roman" w:eastAsia="Times New Roman" w:hAnsi="Times New Roman" w:cs="Times New Roman"/>
          <w:bCs/>
          <w:sz w:val="20"/>
          <w:szCs w:val="20"/>
        </w:rPr>
        <w:t>R² value of 0.7955</w:t>
      </w:r>
      <w:r w:rsidRPr="00004096">
        <w:rPr>
          <w:rFonts w:ascii="Times New Roman" w:eastAsia="Times New Roman" w:hAnsi="Times New Roman" w:cs="Times New Roman"/>
          <w:sz w:val="20"/>
          <w:szCs w:val="20"/>
        </w:rPr>
        <w:t xml:space="preserve"> shows that about </w:t>
      </w:r>
      <w:r w:rsidRPr="00004096">
        <w:rPr>
          <w:rFonts w:ascii="Times New Roman" w:eastAsia="Times New Roman" w:hAnsi="Times New Roman" w:cs="Times New Roman"/>
          <w:bCs/>
          <w:sz w:val="20"/>
          <w:szCs w:val="20"/>
        </w:rPr>
        <w:t>79.55% of the variation</w:t>
      </w:r>
      <w:r w:rsidRPr="00004096">
        <w:rPr>
          <w:rFonts w:ascii="Times New Roman" w:eastAsia="Times New Roman" w:hAnsi="Times New Roman" w:cs="Times New Roman"/>
          <w:sz w:val="20"/>
          <w:szCs w:val="20"/>
        </w:rPr>
        <w:t xml:space="preserve"> in FFA content was explained by the model, while the </w:t>
      </w:r>
      <w:r w:rsidRPr="00004096">
        <w:rPr>
          <w:rFonts w:ascii="Times New Roman" w:eastAsia="Times New Roman" w:hAnsi="Times New Roman" w:cs="Times New Roman"/>
          <w:bCs/>
          <w:sz w:val="20"/>
          <w:szCs w:val="20"/>
        </w:rPr>
        <w:t>adjusted R² (0.6114)</w:t>
      </w:r>
      <w:r w:rsidRPr="00004096">
        <w:rPr>
          <w:rFonts w:ascii="Times New Roman" w:eastAsia="Times New Roman" w:hAnsi="Times New Roman" w:cs="Times New Roman"/>
          <w:sz w:val="20"/>
          <w:szCs w:val="20"/>
        </w:rPr>
        <w:t xml:space="preserve"> indicates some non-significant model terms. The </w:t>
      </w:r>
      <w:r w:rsidRPr="00004096">
        <w:rPr>
          <w:rFonts w:ascii="Times New Roman" w:eastAsia="Times New Roman" w:hAnsi="Times New Roman" w:cs="Times New Roman"/>
          <w:bCs/>
          <w:sz w:val="20"/>
          <w:szCs w:val="20"/>
        </w:rPr>
        <w:t>predicted R² (0.0147)</w:t>
      </w:r>
      <w:r w:rsidRPr="00004096">
        <w:rPr>
          <w:rFonts w:ascii="Times New Roman" w:eastAsia="Times New Roman" w:hAnsi="Times New Roman" w:cs="Times New Roman"/>
          <w:sz w:val="20"/>
          <w:szCs w:val="20"/>
        </w:rPr>
        <w:t xml:space="preserve"> was very low, implying weak predictive ability outside the experimental range. However, the </w:t>
      </w:r>
      <w:r w:rsidRPr="00004096">
        <w:rPr>
          <w:rFonts w:ascii="Times New Roman" w:eastAsia="Times New Roman" w:hAnsi="Times New Roman" w:cs="Times New Roman"/>
          <w:bCs/>
          <w:sz w:val="20"/>
          <w:szCs w:val="20"/>
        </w:rPr>
        <w:t>Adequate Precision value (5.93)</w:t>
      </w:r>
      <w:r w:rsidRPr="00004096">
        <w:rPr>
          <w:rFonts w:ascii="Times New Roman" w:eastAsia="Times New Roman" w:hAnsi="Times New Roman" w:cs="Times New Roman"/>
          <w:sz w:val="20"/>
          <w:szCs w:val="20"/>
        </w:rPr>
        <w:t>, being greater than 4, confirms that the model has an acceptable signal-to-noise ratio and can be used for process optimization within the studied range.</w:t>
      </w:r>
    </w:p>
    <w:p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iodine value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R² of 0.7668</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adjusted R² of 0.5569</w:t>
      </w:r>
      <w:r w:rsidRPr="00004096">
        <w:rPr>
          <w:rFonts w:ascii="Times New Roman" w:eastAsia="Times New Roman" w:hAnsi="Times New Roman" w:cs="Times New Roman"/>
          <w:sz w:val="20"/>
          <w:szCs w:val="20"/>
        </w:rPr>
        <w:t xml:space="preserve"> suggest a moderate correlation between experimental and predicted values. The </w:t>
      </w:r>
      <w:r w:rsidRPr="00004096">
        <w:rPr>
          <w:rFonts w:ascii="Times New Roman" w:eastAsia="Times New Roman" w:hAnsi="Times New Roman" w:cs="Times New Roman"/>
          <w:bCs/>
          <w:sz w:val="20"/>
          <w:szCs w:val="20"/>
        </w:rPr>
        <w:t>low standard deviation (1.89)</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C.V. of 9.34%</w:t>
      </w:r>
      <w:r w:rsidRPr="00004096">
        <w:rPr>
          <w:rFonts w:ascii="Times New Roman" w:eastAsia="Times New Roman" w:hAnsi="Times New Roman" w:cs="Times New Roman"/>
          <w:sz w:val="20"/>
          <w:szCs w:val="20"/>
        </w:rPr>
        <w:t xml:space="preserve"> indicate that the model predictions are fairly consistent. Like the FFA model, the </w:t>
      </w:r>
      <w:r w:rsidRPr="00004096">
        <w:rPr>
          <w:rFonts w:ascii="Times New Roman" w:eastAsia="Times New Roman" w:hAnsi="Times New Roman" w:cs="Times New Roman"/>
          <w:bCs/>
          <w:sz w:val="20"/>
          <w:szCs w:val="20"/>
        </w:rPr>
        <w:t>predicted R² (0.0124)</w:t>
      </w:r>
      <w:r w:rsidRPr="00004096">
        <w:rPr>
          <w:rFonts w:ascii="Times New Roman" w:eastAsia="Times New Roman" w:hAnsi="Times New Roman" w:cs="Times New Roman"/>
          <w:sz w:val="20"/>
          <w:szCs w:val="20"/>
        </w:rPr>
        <w:t xml:space="preserve"> was low, suggesting limited predictive power beyond the experimental conditions. The </w:t>
      </w:r>
      <w:r w:rsidRPr="00004096">
        <w:rPr>
          <w:rFonts w:ascii="Times New Roman" w:eastAsia="Times New Roman" w:hAnsi="Times New Roman" w:cs="Times New Roman"/>
          <w:bCs/>
          <w:sz w:val="20"/>
          <w:szCs w:val="20"/>
        </w:rPr>
        <w:t>Adequate Precision value (6.41)</w:t>
      </w:r>
      <w:r w:rsidRPr="00004096">
        <w:rPr>
          <w:rFonts w:ascii="Times New Roman" w:eastAsia="Times New Roman" w:hAnsi="Times New Roman" w:cs="Times New Roman"/>
          <w:sz w:val="20"/>
          <w:szCs w:val="20"/>
        </w:rPr>
        <w:t xml:space="preserve"> exceeded the benchmark of 4, signifying that the model can adequately describe the observed responses.</w:t>
      </w:r>
    </w:p>
    <w:p w:rsidR="00004096" w:rsidRPr="00004096" w:rsidRDefault="00004096" w:rsidP="00004096">
      <w:pPr>
        <w:spacing w:before="100" w:beforeAutospacing="1" w:after="100" w:afterAutospacing="1" w:line="240" w:lineRule="auto"/>
        <w:jc w:val="both"/>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For the </w:t>
      </w:r>
      <w:r w:rsidRPr="00004096">
        <w:rPr>
          <w:rFonts w:ascii="Times New Roman" w:eastAsia="Times New Roman" w:hAnsi="Times New Roman" w:cs="Times New Roman"/>
          <w:bCs/>
          <w:sz w:val="20"/>
          <w:szCs w:val="20"/>
        </w:rPr>
        <w:t>saponification value model</w:t>
      </w:r>
      <w:r w:rsidRPr="00004096">
        <w:rPr>
          <w:rFonts w:ascii="Times New Roman" w:eastAsia="Times New Roman" w:hAnsi="Times New Roman" w:cs="Times New Roman"/>
          <w:sz w:val="20"/>
          <w:szCs w:val="20"/>
        </w:rPr>
        <w:t xml:space="preserve">, the </w:t>
      </w:r>
      <w:r w:rsidRPr="00004096">
        <w:rPr>
          <w:rFonts w:ascii="Times New Roman" w:eastAsia="Times New Roman" w:hAnsi="Times New Roman" w:cs="Times New Roman"/>
          <w:bCs/>
          <w:sz w:val="20"/>
          <w:szCs w:val="20"/>
        </w:rPr>
        <w:t>R² (0.7837)</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adjusted R² (0.5889)</w:t>
      </w:r>
      <w:r w:rsidRPr="00004096">
        <w:rPr>
          <w:rFonts w:ascii="Times New Roman" w:eastAsia="Times New Roman" w:hAnsi="Times New Roman" w:cs="Times New Roman"/>
          <w:sz w:val="20"/>
          <w:szCs w:val="20"/>
        </w:rPr>
        <w:t xml:space="preserve"> values demonstrate a fairly strong fit, explaining about </w:t>
      </w:r>
      <w:r w:rsidRPr="00004096">
        <w:rPr>
          <w:rFonts w:ascii="Times New Roman" w:eastAsia="Times New Roman" w:hAnsi="Times New Roman" w:cs="Times New Roman"/>
          <w:bCs/>
          <w:sz w:val="20"/>
          <w:szCs w:val="20"/>
        </w:rPr>
        <w:t>78% of the variation</w:t>
      </w:r>
      <w:r w:rsidRPr="00004096">
        <w:rPr>
          <w:rFonts w:ascii="Times New Roman" w:eastAsia="Times New Roman" w:hAnsi="Times New Roman" w:cs="Times New Roman"/>
          <w:sz w:val="20"/>
          <w:szCs w:val="20"/>
        </w:rPr>
        <w:t xml:space="preserve"> in the data. The </w:t>
      </w:r>
      <w:r w:rsidRPr="00004096">
        <w:rPr>
          <w:rFonts w:ascii="Times New Roman" w:eastAsia="Times New Roman" w:hAnsi="Times New Roman" w:cs="Times New Roman"/>
          <w:bCs/>
          <w:sz w:val="20"/>
          <w:szCs w:val="20"/>
        </w:rPr>
        <w:t>low standard deviation (5.81)</w:t>
      </w:r>
      <w:r w:rsidRPr="00004096">
        <w:rPr>
          <w:rFonts w:ascii="Times New Roman" w:eastAsia="Times New Roman" w:hAnsi="Times New Roman" w:cs="Times New Roman"/>
          <w:sz w:val="20"/>
          <w:szCs w:val="20"/>
        </w:rPr>
        <w:t xml:space="preserve"> and </w:t>
      </w:r>
      <w:r w:rsidRPr="00004096">
        <w:rPr>
          <w:rFonts w:ascii="Times New Roman" w:eastAsia="Times New Roman" w:hAnsi="Times New Roman" w:cs="Times New Roman"/>
          <w:bCs/>
          <w:sz w:val="20"/>
          <w:szCs w:val="20"/>
        </w:rPr>
        <w:t>very low C.V. (2.85%)</w:t>
      </w:r>
      <w:r w:rsidRPr="00004096">
        <w:rPr>
          <w:rFonts w:ascii="Times New Roman" w:eastAsia="Times New Roman" w:hAnsi="Times New Roman" w:cs="Times New Roman"/>
          <w:sz w:val="20"/>
          <w:szCs w:val="20"/>
        </w:rPr>
        <w:t xml:space="preserve"> indicate excellent precision and model reproducibility. The </w:t>
      </w:r>
      <w:r w:rsidRPr="00004096">
        <w:rPr>
          <w:rFonts w:ascii="Times New Roman" w:eastAsia="Times New Roman" w:hAnsi="Times New Roman" w:cs="Times New Roman"/>
          <w:bCs/>
          <w:sz w:val="20"/>
          <w:szCs w:val="20"/>
        </w:rPr>
        <w:t>predicted R² (0.1283)</w:t>
      </w:r>
      <w:r w:rsidRPr="00004096">
        <w:rPr>
          <w:rFonts w:ascii="Times New Roman" w:eastAsia="Times New Roman" w:hAnsi="Times New Roman" w:cs="Times New Roman"/>
          <w:sz w:val="20"/>
          <w:szCs w:val="20"/>
        </w:rPr>
        <w:t xml:space="preserve"> was also higher than those of the other two models, showing comparatively better predictive reliability. The </w:t>
      </w:r>
      <w:r w:rsidRPr="00004096">
        <w:rPr>
          <w:rFonts w:ascii="Times New Roman" w:eastAsia="Times New Roman" w:hAnsi="Times New Roman" w:cs="Times New Roman"/>
          <w:bCs/>
          <w:sz w:val="20"/>
          <w:szCs w:val="20"/>
        </w:rPr>
        <w:t>Adequate Precision value (8.05)</w:t>
      </w:r>
      <w:r w:rsidRPr="00004096">
        <w:rPr>
          <w:rFonts w:ascii="Times New Roman" w:eastAsia="Times New Roman" w:hAnsi="Times New Roman" w:cs="Times New Roman"/>
          <w:sz w:val="20"/>
          <w:szCs w:val="20"/>
        </w:rPr>
        <w:t xml:space="preserve"> being well above 4 confirms that the model has a strong signal and is suitable for navigating the experimental design space effectively.</w:t>
      </w:r>
    </w:p>
    <w:p w:rsidR="00004096" w:rsidRPr="00004096" w:rsidRDefault="005658B1" w:rsidP="00004096">
      <w:pPr>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w:t>
      </w:r>
      <w:r>
        <w:rPr>
          <w:rFonts w:ascii="Times New Roman" w:eastAsia="Calibri" w:hAnsi="Times New Roman" w:cs="Times New Roman"/>
          <w:sz w:val="20"/>
          <w:szCs w:val="20"/>
        </w:rPr>
        <w:t>5.1</w:t>
      </w:r>
      <w:r w:rsidR="00004096" w:rsidRPr="00004096">
        <w:rPr>
          <w:rFonts w:ascii="Times New Roman" w:eastAsia="Calibri" w:hAnsi="Times New Roman" w:cs="Times New Roman"/>
          <w:sz w:val="20"/>
          <w:szCs w:val="20"/>
        </w:rPr>
        <w:t xml:space="preserve"> Diagnostic plot on the FFA, Iodine value and saponification value</w:t>
      </w:r>
    </w:p>
    <w:p w:rsidR="00004096" w:rsidRPr="00004096" w:rsidRDefault="00004096" w:rsidP="00004096">
      <w:pPr>
        <w:spacing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2</w:t>
      </w:r>
      <w:r w:rsidRPr="00004096">
        <w:rPr>
          <w:rFonts w:ascii="Times New Roman" w:eastAsia="Calibri" w:hAnsi="Times New Roman" w:cs="Times New Roman"/>
          <w:sz w:val="20"/>
          <w:szCs w:val="20"/>
        </w:rPr>
        <w:t xml:space="preserve"> presents normal probability plots of the residuals for cassia fistula oil’s free fatty acid (FFA) content (A), saponification value (B), and iodine value (C), allowing an assessment of model adequacy and error distribution. In each plot, the residual points are compared against a theoretical straight line representing a perfectly normal distribution. When the points fall closely along this line with minimal deviation, it indicates that the residuals are approximately normally distributed, supporting the validity of the underlying statistical models used for analysis. Any noticeable curvature, clustering, or systematic deviation would suggest non-normality, potential model misspecification, or the presence of outliers. Overall, these normal plots help confirm whether the assumptions of linear regression or ANOVA are satisfied for the physicochemical parameters of cassia fistula oil.</w:t>
      </w:r>
    </w:p>
    <w:p w:rsidR="00004096" w:rsidRPr="00004096" w:rsidRDefault="00004096" w:rsidP="00004096">
      <w:pPr>
        <w:spacing w:line="240" w:lineRule="auto"/>
        <w:jc w:val="both"/>
        <w:rPr>
          <w:rFonts w:ascii="Times New Roman" w:eastAsia="Calibri" w:hAnsi="Times New Roman" w:cs="Times New Roman"/>
          <w:sz w:val="20"/>
          <w:szCs w:val="20"/>
        </w:rPr>
      </w:pPr>
    </w:p>
    <w:p w:rsidR="00004096" w:rsidRPr="00004096" w:rsidRDefault="00004096" w:rsidP="00004096">
      <w:pPr>
        <w:spacing w:before="100" w:beforeAutospacing="1" w:after="100" w:afterAutospacing="1" w:line="240" w:lineRule="auto"/>
        <w:jc w:val="center"/>
        <w:rPr>
          <w:rFonts w:ascii="Calibri" w:eastAsia="Calibri" w:hAnsi="Calibri" w:cs="Times New Roman"/>
          <w:sz w:val="20"/>
          <w:szCs w:val="20"/>
        </w:rPr>
      </w:pPr>
      <w:r w:rsidRPr="00004096">
        <w:rPr>
          <w:rFonts w:ascii="Calibri" w:eastAsia="Calibri" w:hAnsi="Calibri" w:cs="Times New Roman"/>
          <w:noProof/>
          <w:sz w:val="20"/>
          <w:szCs w:val="20"/>
        </w:rPr>
        <mc:AlternateContent>
          <mc:Choice Requires="wps">
            <w:drawing>
              <wp:anchor distT="0" distB="0" distL="114300" distR="114300" simplePos="0" relativeHeight="251665408" behindDoc="0" locked="0" layoutInCell="1" allowOverlap="1" wp14:anchorId="5B813474" wp14:editId="06C62467">
                <wp:simplePos x="0" y="0"/>
                <wp:positionH relativeFrom="column">
                  <wp:posOffset>4048125</wp:posOffset>
                </wp:positionH>
                <wp:positionV relativeFrom="paragraph">
                  <wp:posOffset>1924050</wp:posOffset>
                </wp:positionV>
                <wp:extent cx="304800" cy="2571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rsidR="00535B8B" w:rsidRPr="00AB6178" w:rsidRDefault="00535B8B" w:rsidP="0000409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3474" id="Text Box 19" o:spid="_x0000_s1028" type="#_x0000_t202" style="position:absolute;left:0;text-align:left;margin-left:318.75pt;margin-top:151.5pt;width:2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" fillcolor="window" strokecolor="window" strokeweight=".5pt">
                <v:textbox>
                  <w:txbxContent>
                    <w:p w:rsidR="00535B8B" w:rsidRPr="00AB6178" w:rsidRDefault="00535B8B" w:rsidP="00004096">
                      <w:r>
                        <w:t>B</w:t>
                      </w:r>
                    </w:p>
                  </w:txbxContent>
                </v:textbox>
              </v:shape>
            </w:pict>
          </mc:Fallback>
        </mc:AlternateContent>
      </w:r>
      <w:r w:rsidRPr="00004096">
        <w:rPr>
          <w:rFonts w:ascii="Calibri" w:eastAsia="Calibri" w:hAnsi="Calibri" w:cs="Times New Roman"/>
          <w:noProof/>
          <w:sz w:val="20"/>
          <w:szCs w:val="20"/>
        </w:rPr>
        <mc:AlternateContent>
          <mc:Choice Requires="wps">
            <w:drawing>
              <wp:anchor distT="0" distB="0" distL="114300" distR="114300" simplePos="0" relativeHeight="251664384" behindDoc="0" locked="0" layoutInCell="1" allowOverlap="1" wp14:anchorId="7A6F4A39" wp14:editId="1A7F5F80">
                <wp:simplePos x="0" y="0"/>
                <wp:positionH relativeFrom="column">
                  <wp:posOffset>1838326</wp:posOffset>
                </wp:positionH>
                <wp:positionV relativeFrom="paragraph">
                  <wp:posOffset>1905000</wp:posOffset>
                </wp:positionV>
                <wp:extent cx="304800" cy="2571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rsidR="00535B8B" w:rsidRPr="00AB6178" w:rsidRDefault="00535B8B" w:rsidP="0000409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F4A39" id="Text Box 18" o:spid="_x0000_s1029" type="#_x0000_t202" style="position:absolute;left:0;text-align:left;margin-left:144.75pt;margin-top:150pt;width:24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" fillcolor="window" strokecolor="window" strokeweight=".5pt">
                <v:textbox>
                  <w:txbxContent>
                    <w:p w:rsidR="00535B8B" w:rsidRPr="00AB6178" w:rsidRDefault="00535B8B" w:rsidP="00004096">
                      <w:r>
                        <w:t>A</w:t>
                      </w:r>
                    </w:p>
                  </w:txbxContent>
                </v:textbox>
              </v:shape>
            </w:pict>
          </mc:Fallback>
        </mc:AlternateContent>
      </w:r>
      <w:r w:rsidRPr="00004096">
        <w:rPr>
          <w:rFonts w:ascii="Calibri" w:eastAsia="Calibri" w:hAnsi="Calibri" w:cs="Times New Roman"/>
          <w:sz w:val="20"/>
          <w:szCs w:val="20"/>
        </w:rPr>
        <w:t xml:space="preserve"> </w:t>
      </w:r>
      <w:r w:rsidRPr="00004096">
        <w:rPr>
          <w:rFonts w:ascii="Calibri" w:eastAsia="Calibri" w:hAnsi="Calibri" w:cs="Times New Roman"/>
          <w:noProof/>
          <w:sz w:val="20"/>
          <w:szCs w:val="20"/>
        </w:rPr>
        <w:drawing>
          <wp:inline distT="0" distB="0" distL="0" distR="0" wp14:anchorId="237F6F78" wp14:editId="6AE40A62">
            <wp:extent cx="2759075" cy="1895808"/>
            <wp:effectExtent l="0" t="0" r="317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4956" cy="1954818"/>
                    </a:xfrm>
                    <a:prstGeom prst="rect">
                      <a:avLst/>
                    </a:prstGeom>
                  </pic:spPr>
                </pic:pic>
              </a:graphicData>
            </a:graphic>
          </wp:inline>
        </w:drawing>
      </w:r>
      <w:r w:rsidRPr="00004096">
        <w:rPr>
          <w:rFonts w:ascii="Calibri" w:eastAsia="Calibri" w:hAnsi="Calibri" w:cs="Times New Roman"/>
          <w:noProof/>
          <w:sz w:val="20"/>
          <w:szCs w:val="20"/>
        </w:rPr>
        <w:drawing>
          <wp:inline distT="0" distB="0" distL="0" distR="0" wp14:anchorId="496F4FDB" wp14:editId="4E5760F2">
            <wp:extent cx="2331217" cy="19030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1215" cy="1919421"/>
                    </a:xfrm>
                    <a:prstGeom prst="rect">
                      <a:avLst/>
                    </a:prstGeom>
                  </pic:spPr>
                </pic:pic>
              </a:graphicData>
            </a:graphic>
          </wp:inline>
        </w:drawing>
      </w:r>
    </w:p>
    <w:p w:rsidR="00004096" w:rsidRPr="00004096" w:rsidRDefault="00004096" w:rsidP="00004096">
      <w:pPr>
        <w:spacing w:before="100" w:beforeAutospacing="1" w:after="100" w:afterAutospacing="1" w:line="240" w:lineRule="auto"/>
        <w:jc w:val="center"/>
        <w:rPr>
          <w:rFonts w:ascii="Calibri" w:eastAsia="Calibri" w:hAnsi="Calibri" w:cs="Times New Roman"/>
          <w:sz w:val="20"/>
          <w:szCs w:val="20"/>
        </w:rPr>
      </w:pPr>
      <w:r w:rsidRPr="00004096">
        <w:rPr>
          <w:rFonts w:ascii="Calibri" w:eastAsia="Calibri" w:hAnsi="Calibri" w:cs="Times New Roman"/>
          <w:noProof/>
          <w:sz w:val="20"/>
          <w:szCs w:val="20"/>
        </w:rPr>
        <w:lastRenderedPageBreak/>
        <mc:AlternateContent>
          <mc:Choice Requires="wps">
            <w:drawing>
              <wp:anchor distT="0" distB="0" distL="114300" distR="114300" simplePos="0" relativeHeight="251666432" behindDoc="0" locked="0" layoutInCell="1" allowOverlap="1" wp14:anchorId="092EFC55" wp14:editId="6A93093D">
                <wp:simplePos x="0" y="0"/>
                <wp:positionH relativeFrom="column">
                  <wp:posOffset>2887645</wp:posOffset>
                </wp:positionH>
                <wp:positionV relativeFrom="paragraph">
                  <wp:posOffset>1500491</wp:posOffset>
                </wp:positionV>
                <wp:extent cx="304800" cy="2571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sysClr val="window" lastClr="FFFFFF"/>
                          </a:solidFill>
                        </a:ln>
                      </wps:spPr>
                      <wps:txbx>
                        <w:txbxContent>
                          <w:p w:rsidR="00535B8B" w:rsidRPr="00AB6178" w:rsidRDefault="00535B8B" w:rsidP="0000409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EFC55" id="Text Box 22" o:spid="_x0000_s1030" type="#_x0000_t202" style="position:absolute;left:0;text-align:left;margin-left:227.35pt;margin-top:118.15pt;width:24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" fillcolor="window" strokecolor="window" strokeweight=".5pt">
                <v:textbox>
                  <w:txbxContent>
                    <w:p w:rsidR="00535B8B" w:rsidRPr="00AB6178" w:rsidRDefault="00535B8B" w:rsidP="00004096">
                      <w:r>
                        <w:t>C</w:t>
                      </w:r>
                    </w:p>
                  </w:txbxContent>
                </v:textbox>
              </v:shape>
            </w:pict>
          </mc:Fallback>
        </mc:AlternateContent>
      </w:r>
      <w:r w:rsidRPr="00004096">
        <w:rPr>
          <w:rFonts w:ascii="Calibri" w:eastAsia="Calibri" w:hAnsi="Calibri" w:cs="Times New Roman"/>
          <w:noProof/>
          <w:sz w:val="20"/>
          <w:szCs w:val="20"/>
        </w:rPr>
        <w:drawing>
          <wp:inline distT="0" distB="0" distL="0" distR="0" wp14:anchorId="25D66A7D" wp14:editId="2DC00485">
            <wp:extent cx="2305899" cy="162744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1474" cy="1652550"/>
                    </a:xfrm>
                    <a:prstGeom prst="rect">
                      <a:avLst/>
                    </a:prstGeom>
                  </pic:spPr>
                </pic:pic>
              </a:graphicData>
            </a:graphic>
          </wp:inline>
        </w:drawing>
      </w:r>
    </w:p>
    <w:p w:rsidR="00004096" w:rsidRPr="00004096" w:rsidRDefault="00004096" w:rsidP="00004096">
      <w:pPr>
        <w:spacing w:before="100" w:beforeAutospacing="1" w:after="100" w:afterAutospacing="1" w:line="240" w:lineRule="auto"/>
        <w:jc w:val="center"/>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2</w:t>
      </w:r>
      <w:r w:rsidRPr="00004096">
        <w:rPr>
          <w:rFonts w:ascii="Times New Roman" w:eastAsia="Calibri" w:hAnsi="Times New Roman" w:cs="Times New Roman"/>
          <w:sz w:val="20"/>
          <w:szCs w:val="20"/>
        </w:rPr>
        <w:t xml:space="preserve">: Normal plots of residues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FFA (A</w:t>
      </w:r>
      <w:proofErr w:type="gramStart"/>
      <w:r w:rsidRPr="00004096">
        <w:rPr>
          <w:rFonts w:ascii="Times New Roman" w:eastAsia="Calibri" w:hAnsi="Times New Roman" w:cs="Times New Roman"/>
          <w:sz w:val="20"/>
          <w:szCs w:val="20"/>
        </w:rPr>
        <w:t>) ,saponification</w:t>
      </w:r>
      <w:proofErr w:type="gramEnd"/>
      <w:r w:rsidRPr="00004096">
        <w:rPr>
          <w:rFonts w:ascii="Times New Roman" w:eastAsia="Calibri" w:hAnsi="Times New Roman" w:cs="Times New Roman"/>
          <w:sz w:val="20"/>
          <w:szCs w:val="20"/>
        </w:rPr>
        <w:t xml:space="preserve"> (B) and Iodine value (C)</w:t>
      </w:r>
    </w:p>
    <w:p w:rsidR="00004096" w:rsidRPr="00004096" w:rsidRDefault="005658B1" w:rsidP="00004096">
      <w:pPr>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.5.2: The residuals graph runs plot of FFA (E), Iodine (F) and Saponification (G) value</w:t>
      </w:r>
    </w:p>
    <w:p w:rsidR="00004096" w:rsidRPr="00004096" w:rsidRDefault="00004096" w:rsidP="00004096">
      <w:pPr>
        <w:spacing w:before="100" w:beforeAutospacing="1" w:after="100" w:afterAutospacing="1"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residuals versus runs plots for the FFA (E), iodine value (F), and saponification value (G)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oil shown in Figure </w:t>
      </w:r>
      <w:r w:rsidR="00D12765">
        <w:rPr>
          <w:rFonts w:ascii="Times New Roman" w:eastAsia="Calibri" w:hAnsi="Times New Roman" w:cs="Times New Roman"/>
          <w:sz w:val="20"/>
          <w:szCs w:val="20"/>
        </w:rPr>
        <w:t>3</w:t>
      </w:r>
      <w:r w:rsidRPr="00004096">
        <w:rPr>
          <w:rFonts w:ascii="Times New Roman" w:eastAsia="Calibri" w:hAnsi="Times New Roman" w:cs="Times New Roman"/>
          <w:sz w:val="20"/>
          <w:szCs w:val="20"/>
        </w:rPr>
        <w:t>, providing insight into the stability and randomness of experimental errors across the sequence of runs. In well-behaved data, residuals should scatter randomly around zero without exhibiting any visible pattern, trend, or systematic shift; such randomness indicates that the experimental process remained consistent and that no time-related or run-order effects influenced the results. If the plots display clustering, gradual increases or decreases, or repeating waves, this would suggest potential issues such as instrument drift, operator bias, or changes in experimental conditions over time. Therefore, these residual-versus-runs plots help verify that the analytical measurements for FFA, iodine value, and saponification value were reliable and not affected by order-dependent variability.</w:t>
      </w:r>
    </w:p>
    <w:p w:rsidR="00004096" w:rsidRPr="00004096" w:rsidRDefault="00004096" w:rsidP="00004096">
      <w:pPr>
        <w:spacing w:before="100" w:beforeAutospacing="1" w:after="100" w:afterAutospacing="1" w:line="240" w:lineRule="auto"/>
        <w:jc w:val="center"/>
        <w:rPr>
          <w:rFonts w:ascii="Calibri" w:eastAsia="Calibri" w:hAnsi="Calibri" w:cs="Times New Roman"/>
          <w:noProof/>
          <w:sz w:val="20"/>
          <w:szCs w:val="20"/>
        </w:rPr>
      </w:pPr>
      <w:r w:rsidRPr="00004096">
        <w:rPr>
          <w:rFonts w:ascii="Calibri" w:eastAsia="Calibri" w:hAnsi="Calibri" w:cs="Times New Roman"/>
          <w:noProof/>
          <w:sz w:val="20"/>
          <w:szCs w:val="20"/>
        </w:rPr>
        <w:drawing>
          <wp:inline distT="0" distB="0" distL="0" distR="0" wp14:anchorId="22ECE463" wp14:editId="75027AA9">
            <wp:extent cx="1974215" cy="1684561"/>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89045" cy="1697215"/>
                    </a:xfrm>
                    <a:prstGeom prst="rect">
                      <a:avLst/>
                    </a:prstGeom>
                  </pic:spPr>
                </pic:pic>
              </a:graphicData>
            </a:graphic>
          </wp:inline>
        </w:drawing>
      </w:r>
      <w:r w:rsidRPr="00004096">
        <w:rPr>
          <w:rFonts w:ascii="Calibri" w:eastAsia="Calibri" w:hAnsi="Calibri" w:cs="Times New Roman"/>
          <w:noProof/>
          <w:sz w:val="20"/>
          <w:szCs w:val="20"/>
        </w:rPr>
        <w:t xml:space="preserve"> </w:t>
      </w:r>
      <w:r w:rsidRPr="00004096">
        <w:rPr>
          <w:rFonts w:ascii="Calibri" w:eastAsia="Calibri" w:hAnsi="Calibri" w:cs="Times New Roman"/>
          <w:noProof/>
          <w:sz w:val="20"/>
          <w:szCs w:val="20"/>
        </w:rPr>
        <w:drawing>
          <wp:inline distT="0" distB="0" distL="0" distR="0" wp14:anchorId="7B289748" wp14:editId="5F40A8F4">
            <wp:extent cx="1755775" cy="174265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72491" cy="1759249"/>
                    </a:xfrm>
                    <a:prstGeom prst="rect">
                      <a:avLst/>
                    </a:prstGeom>
                  </pic:spPr>
                </pic:pic>
              </a:graphicData>
            </a:graphic>
          </wp:inline>
        </w:drawing>
      </w:r>
      <w:r w:rsidR="005658B1" w:rsidRPr="00004096">
        <w:rPr>
          <w:rFonts w:ascii="Calibri" w:eastAsia="Calibri" w:hAnsi="Calibri" w:cs="Times New Roman"/>
          <w:noProof/>
          <w:sz w:val="20"/>
          <w:szCs w:val="20"/>
        </w:rPr>
        <w:drawing>
          <wp:inline distT="0" distB="0" distL="0" distR="0" wp14:anchorId="2C036E19" wp14:editId="1AA36F01">
            <wp:extent cx="1752600" cy="1657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93349" cy="1695884"/>
                    </a:xfrm>
                    <a:prstGeom prst="rect">
                      <a:avLst/>
                    </a:prstGeom>
                  </pic:spPr>
                </pic:pic>
              </a:graphicData>
            </a:graphic>
          </wp:inline>
        </w:drawing>
      </w:r>
    </w:p>
    <w:p w:rsidR="00004096" w:rsidRPr="00D12765" w:rsidRDefault="005658B1" w:rsidP="00D12765">
      <w:pPr>
        <w:spacing w:before="100" w:beforeAutospacing="1"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E</w:t>
      </w: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 xml:space="preserve"> F </w:t>
      </w:r>
      <w:r>
        <w:rPr>
          <w:rFonts w:ascii="Times New Roman" w:eastAsia="Calibri" w:hAnsi="Times New Roman" w:cs="Times New Roman"/>
          <w:sz w:val="20"/>
          <w:szCs w:val="20"/>
        </w:rPr>
        <w:t xml:space="preserve">                                                </w:t>
      </w:r>
      <w:r w:rsidRPr="005658B1">
        <w:rPr>
          <w:rFonts w:ascii="Times New Roman" w:eastAsia="Calibri" w:hAnsi="Times New Roman" w:cs="Times New Roman"/>
          <w:sz w:val="20"/>
          <w:szCs w:val="20"/>
        </w:rPr>
        <w:t>G</w:t>
      </w:r>
      <w:r w:rsidR="00004096" w:rsidRPr="00004096">
        <w:rPr>
          <w:rFonts w:ascii="Calibri" w:eastAsia="Calibri" w:hAnsi="Calibri" w:cs="Times New Roman"/>
          <w:sz w:val="20"/>
          <w:szCs w:val="20"/>
        </w:rPr>
        <w:t xml:space="preserve">              </w:t>
      </w:r>
    </w:p>
    <w:p w:rsidR="00004096" w:rsidRPr="00004096" w:rsidRDefault="00004096" w:rsidP="00004096">
      <w:pPr>
        <w:spacing w:after="0" w:line="240" w:lineRule="auto"/>
        <w:jc w:val="center"/>
        <w:rPr>
          <w:rFonts w:ascii="Times New Roman" w:eastAsia="Calibri" w:hAnsi="Times New Roman" w:cs="Times New Roman"/>
          <w:sz w:val="20"/>
          <w:szCs w:val="20"/>
        </w:rPr>
      </w:pPr>
      <w:r w:rsidRPr="00004096">
        <w:rPr>
          <w:rFonts w:ascii="Calibri" w:eastAsia="Calibri" w:hAnsi="Calibri" w:cs="Times New Roman"/>
          <w:sz w:val="20"/>
          <w:szCs w:val="20"/>
        </w:rPr>
        <w:t xml:space="preserve"> </w:t>
      </w: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3</w:t>
      </w:r>
      <w:r w:rsidRPr="00004096">
        <w:rPr>
          <w:rFonts w:ascii="Times New Roman" w:eastAsia="Calibri" w:hAnsi="Times New Roman" w:cs="Times New Roman"/>
          <w:sz w:val="20"/>
          <w:szCs w:val="20"/>
        </w:rPr>
        <w:t>: The residuals versus runs plot of FFA (E), Iodine (F) and Saponification (G) value</w:t>
      </w:r>
    </w:p>
    <w:p w:rsidR="00004096" w:rsidRPr="00004096" w:rsidRDefault="00004096" w:rsidP="00004096">
      <w:pPr>
        <w:jc w:val="both"/>
        <w:rPr>
          <w:rFonts w:ascii="Times New Roman" w:eastAsia="Calibri" w:hAnsi="Times New Roman" w:cs="Times New Roman"/>
          <w:sz w:val="20"/>
          <w:szCs w:val="20"/>
        </w:rPr>
      </w:pPr>
    </w:p>
    <w:p w:rsidR="00004096" w:rsidRPr="00004096" w:rsidRDefault="005658B1" w:rsidP="00004096">
      <w:pPr>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00004096" w:rsidRPr="00004096">
        <w:rPr>
          <w:rFonts w:ascii="Times New Roman" w:eastAsia="Calibri" w:hAnsi="Times New Roman" w:cs="Times New Roman"/>
          <w:sz w:val="20"/>
          <w:szCs w:val="20"/>
        </w:rPr>
        <w:t xml:space="preserve">.5.3 The yield prediction model on the </w:t>
      </w:r>
      <w:r w:rsidR="00004096" w:rsidRPr="00004096">
        <w:rPr>
          <w:rFonts w:ascii="Times New Roman" w:eastAsia="Calibri" w:hAnsi="Times New Roman" w:cs="Times New Roman"/>
          <w:i/>
          <w:sz w:val="20"/>
          <w:szCs w:val="20"/>
        </w:rPr>
        <w:t xml:space="preserve">Cassia fistula </w:t>
      </w:r>
      <w:r w:rsidR="00004096" w:rsidRPr="00004096">
        <w:rPr>
          <w:rFonts w:ascii="Times New Roman" w:eastAsia="Calibri" w:hAnsi="Times New Roman" w:cs="Times New Roman"/>
          <w:sz w:val="20"/>
          <w:szCs w:val="20"/>
        </w:rPr>
        <w:t>seed FFA, Iodine value and saponification values</w:t>
      </w:r>
    </w:p>
    <w:p w:rsidR="00004096" w:rsidRPr="00004096" w:rsidRDefault="00004096" w:rsidP="00004096">
      <w:pPr>
        <w:spacing w:before="100" w:beforeAutospacing="1" w:after="100" w:afterAutospacing="1"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The 3D surface plots used to visualize the yield prediction models for the free fatty acid (FFA) content (I), iodine value (J), and saponification value (K)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seed oil shown in Figure </w:t>
      </w:r>
      <w:r w:rsidR="00D12765">
        <w:rPr>
          <w:rFonts w:ascii="Times New Roman" w:eastAsia="Calibri" w:hAnsi="Times New Roman" w:cs="Times New Roman"/>
          <w:sz w:val="20"/>
          <w:szCs w:val="20"/>
        </w:rPr>
        <w:t>4</w:t>
      </w:r>
      <w:r w:rsidRPr="00004096">
        <w:rPr>
          <w:rFonts w:ascii="Times New Roman" w:eastAsia="Calibri" w:hAnsi="Times New Roman" w:cs="Times New Roman"/>
          <w:sz w:val="20"/>
          <w:szCs w:val="20"/>
        </w:rPr>
        <w:t xml:space="preserve">, illustrating how each response varies with the experimental factors. These surfaces help demonstrate the interaction effects between variables and reveal the conditions that lead to either optimal or undesirable outcomes for each quality parameter. Smooth, well-defined surfaces indicate that the model fits the data appropriately, while any irregularities may suggest complex interactions or variability in the system. The 3D plots also make it easier to identify regions where the oil exhibits </w:t>
      </w:r>
      <w:proofErr w:type="spellStart"/>
      <w:r w:rsidRPr="00004096">
        <w:rPr>
          <w:rFonts w:ascii="Times New Roman" w:eastAsia="Calibri" w:hAnsi="Times New Roman" w:cs="Times New Roman"/>
          <w:sz w:val="20"/>
          <w:szCs w:val="20"/>
        </w:rPr>
        <w:t>favourable</w:t>
      </w:r>
      <w:proofErr w:type="spellEnd"/>
      <w:r w:rsidRPr="00004096">
        <w:rPr>
          <w:rFonts w:ascii="Times New Roman" w:eastAsia="Calibri" w:hAnsi="Times New Roman" w:cs="Times New Roman"/>
          <w:sz w:val="20"/>
          <w:szCs w:val="20"/>
        </w:rPr>
        <w:t xml:space="preserve"> characteristics—such as lower FFA for better stability, suitable iodine values indicating desirable unsaturation levels, and appropriate saponification values reflecting fatty acid composition. Overall, these visual </w:t>
      </w:r>
      <w:r w:rsidRPr="00004096">
        <w:rPr>
          <w:rFonts w:ascii="Times New Roman" w:eastAsia="Calibri" w:hAnsi="Times New Roman" w:cs="Times New Roman"/>
          <w:sz w:val="20"/>
          <w:szCs w:val="20"/>
        </w:rPr>
        <w:lastRenderedPageBreak/>
        <w:t>models provide a clear and intuitive representation of how processing conditions influence the physicochemical properties of Cassia fistula oil, supporting optimization and improved process control.</w:t>
      </w:r>
    </w:p>
    <w:p w:rsidR="00004096" w:rsidRPr="00004096" w:rsidRDefault="00004096" w:rsidP="00004096">
      <w:pPr>
        <w:spacing w:before="100" w:beforeAutospacing="1" w:after="100" w:afterAutospacing="1" w:line="240" w:lineRule="auto"/>
        <w:jc w:val="both"/>
        <w:rPr>
          <w:rFonts w:ascii="Calibri" w:eastAsia="Calibri" w:hAnsi="Calibri" w:cs="Times New Roman"/>
          <w:sz w:val="20"/>
          <w:szCs w:val="20"/>
        </w:rPr>
      </w:pPr>
      <w:r w:rsidRPr="00004096">
        <w:rPr>
          <w:rFonts w:ascii="Calibri" w:eastAsia="Calibri" w:hAnsi="Calibri" w:cs="Times New Roman"/>
          <w:noProof/>
          <w:sz w:val="20"/>
          <w:szCs w:val="20"/>
        </w:rPr>
        <w:drawing>
          <wp:inline distT="0" distB="0" distL="0" distR="0" wp14:anchorId="5FF9FE0E" wp14:editId="1494388E">
            <wp:extent cx="1992584" cy="180975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5202" cy="1839375"/>
                    </a:xfrm>
                    <a:prstGeom prst="rect">
                      <a:avLst/>
                    </a:prstGeom>
                  </pic:spPr>
                </pic:pic>
              </a:graphicData>
            </a:graphic>
          </wp:inline>
        </w:drawing>
      </w:r>
      <w:r w:rsidRPr="00004096">
        <w:rPr>
          <w:rFonts w:ascii="Calibri" w:eastAsia="Calibri" w:hAnsi="Calibri" w:cs="Times New Roman"/>
          <w:noProof/>
          <w:sz w:val="20"/>
          <w:szCs w:val="20"/>
        </w:rPr>
        <w:drawing>
          <wp:inline distT="0" distB="0" distL="0" distR="0" wp14:anchorId="387965E3" wp14:editId="24467502">
            <wp:extent cx="2000250" cy="15680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5697" cy="1611527"/>
                    </a:xfrm>
                    <a:prstGeom prst="rect">
                      <a:avLst/>
                    </a:prstGeom>
                  </pic:spPr>
                </pic:pic>
              </a:graphicData>
            </a:graphic>
          </wp:inline>
        </w:drawing>
      </w:r>
      <w:r w:rsidR="005658B1" w:rsidRPr="00004096">
        <w:rPr>
          <w:rFonts w:ascii="Calibri" w:eastAsia="Calibri" w:hAnsi="Calibri" w:cs="Times New Roman"/>
          <w:noProof/>
          <w:sz w:val="20"/>
          <w:szCs w:val="20"/>
        </w:rPr>
        <w:drawing>
          <wp:inline distT="0" distB="0" distL="0" distR="0" wp14:anchorId="4C6AEBE6" wp14:editId="3CE8A169">
            <wp:extent cx="1753653" cy="15297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67766" cy="1542026"/>
                    </a:xfrm>
                    <a:prstGeom prst="rect">
                      <a:avLst/>
                    </a:prstGeom>
                  </pic:spPr>
                </pic:pic>
              </a:graphicData>
            </a:graphic>
          </wp:inline>
        </w:drawing>
      </w:r>
    </w:p>
    <w:p w:rsidR="00004096" w:rsidRPr="00004096" w:rsidRDefault="005658B1" w:rsidP="005658B1">
      <w:pPr>
        <w:spacing w:line="240" w:lineRule="auto"/>
        <w:rPr>
          <w:rFonts w:ascii="Calibri" w:eastAsia="Calibri" w:hAnsi="Calibri" w:cs="Times New Roman"/>
          <w:sz w:val="20"/>
          <w:szCs w:val="20"/>
        </w:rPr>
      </w:pPr>
      <w:r>
        <w:rPr>
          <w:rFonts w:ascii="Calibri" w:eastAsia="Calibri" w:hAnsi="Calibri" w:cs="Times New Roman"/>
          <w:sz w:val="20"/>
          <w:szCs w:val="20"/>
        </w:rPr>
        <w:t xml:space="preserve">                                   I                                                                       J                                                                 K</w:t>
      </w:r>
    </w:p>
    <w:p w:rsidR="00004096" w:rsidRPr="00004096" w:rsidRDefault="00004096" w:rsidP="00004096">
      <w:pPr>
        <w:spacing w:after="0" w:line="240" w:lineRule="auto"/>
        <w:jc w:val="center"/>
        <w:rPr>
          <w:rFonts w:ascii="Times New Roman" w:eastAsia="Calibri" w:hAnsi="Times New Roman" w:cs="Times New Roman"/>
          <w:sz w:val="20"/>
          <w:szCs w:val="20"/>
        </w:rPr>
      </w:pPr>
    </w:p>
    <w:p w:rsidR="00004096" w:rsidRDefault="00004096" w:rsidP="00004096">
      <w:pPr>
        <w:spacing w:after="0" w:line="240" w:lineRule="auto"/>
        <w:jc w:val="center"/>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Figure </w:t>
      </w:r>
      <w:r w:rsidR="00D12765">
        <w:rPr>
          <w:rFonts w:ascii="Times New Roman" w:eastAsia="Calibri" w:hAnsi="Times New Roman" w:cs="Times New Roman"/>
          <w:sz w:val="20"/>
          <w:szCs w:val="20"/>
        </w:rPr>
        <w:t>4</w:t>
      </w:r>
      <w:r w:rsidRPr="00004096">
        <w:rPr>
          <w:rFonts w:ascii="Times New Roman" w:eastAsia="Calibri" w:hAnsi="Times New Roman" w:cs="Times New Roman"/>
          <w:sz w:val="20"/>
          <w:szCs w:val="20"/>
        </w:rPr>
        <w:t xml:space="preserve"> The 3D plot on FFA (I), Iodine value (J) and saponification value (K) of </w:t>
      </w:r>
      <w:r w:rsidRPr="00004096">
        <w:rPr>
          <w:rFonts w:ascii="Times New Roman" w:eastAsia="Calibri" w:hAnsi="Times New Roman" w:cs="Times New Roman"/>
          <w:i/>
          <w:sz w:val="20"/>
          <w:szCs w:val="20"/>
        </w:rPr>
        <w:t>Cassia fistula</w:t>
      </w:r>
      <w:r w:rsidRPr="00004096">
        <w:rPr>
          <w:rFonts w:ascii="Times New Roman" w:eastAsia="Calibri" w:hAnsi="Times New Roman" w:cs="Times New Roman"/>
          <w:sz w:val="20"/>
          <w:szCs w:val="20"/>
        </w:rPr>
        <w:t xml:space="preserve"> oil</w:t>
      </w:r>
    </w:p>
    <w:p w:rsidR="00D12765" w:rsidRDefault="00D12765" w:rsidP="00004096">
      <w:pPr>
        <w:spacing w:after="0" w:line="240" w:lineRule="auto"/>
        <w:jc w:val="center"/>
        <w:rPr>
          <w:rFonts w:ascii="Times New Roman" w:eastAsia="Calibri" w:hAnsi="Times New Roman" w:cs="Times New Roman"/>
          <w:sz w:val="20"/>
          <w:szCs w:val="20"/>
        </w:rPr>
      </w:pPr>
    </w:p>
    <w:p w:rsidR="00D12765" w:rsidRDefault="00D12765" w:rsidP="00004096">
      <w:pPr>
        <w:spacing w:after="0" w:line="240" w:lineRule="auto"/>
        <w:jc w:val="center"/>
        <w:rPr>
          <w:rFonts w:ascii="Times New Roman" w:eastAsia="Calibri" w:hAnsi="Times New Roman" w:cs="Times New Roman"/>
          <w:sz w:val="20"/>
          <w:szCs w:val="20"/>
        </w:rPr>
      </w:pPr>
    </w:p>
    <w:p w:rsidR="00D12765" w:rsidRDefault="00D12765" w:rsidP="00004096">
      <w:pPr>
        <w:spacing w:after="0" w:line="240" w:lineRule="auto"/>
        <w:jc w:val="center"/>
        <w:rPr>
          <w:rFonts w:ascii="Times New Roman" w:eastAsia="Calibri" w:hAnsi="Times New Roman" w:cs="Times New Roman"/>
          <w:sz w:val="20"/>
          <w:szCs w:val="20"/>
        </w:rPr>
      </w:pPr>
    </w:p>
    <w:p w:rsidR="00D12765" w:rsidRDefault="00D12765" w:rsidP="00004096">
      <w:pPr>
        <w:spacing w:after="0" w:line="240" w:lineRule="auto"/>
        <w:jc w:val="center"/>
        <w:rPr>
          <w:rFonts w:ascii="Times New Roman" w:eastAsia="Calibri" w:hAnsi="Times New Roman" w:cs="Times New Roman"/>
          <w:sz w:val="20"/>
          <w:szCs w:val="20"/>
        </w:rPr>
      </w:pPr>
    </w:p>
    <w:p w:rsidR="00D12765" w:rsidRPr="00004096" w:rsidRDefault="00D12765" w:rsidP="00004096">
      <w:pPr>
        <w:spacing w:after="0" w:line="240" w:lineRule="auto"/>
        <w:jc w:val="center"/>
        <w:rPr>
          <w:rFonts w:ascii="Times New Roman" w:eastAsia="Calibri" w:hAnsi="Times New Roman" w:cs="Times New Roman"/>
          <w:sz w:val="20"/>
          <w:szCs w:val="20"/>
        </w:rPr>
      </w:pPr>
    </w:p>
    <w:p w:rsidR="00004096" w:rsidRPr="00004096" w:rsidRDefault="00004096" w:rsidP="00004096">
      <w:pPr>
        <w:spacing w:after="0" w:line="240" w:lineRule="auto"/>
        <w:jc w:val="both"/>
        <w:rPr>
          <w:rFonts w:ascii="Times New Roman" w:eastAsia="Calibri" w:hAnsi="Times New Roman" w:cs="Times New Roman"/>
          <w:sz w:val="20"/>
          <w:szCs w:val="20"/>
        </w:rPr>
      </w:pPr>
    </w:p>
    <w:p w:rsidR="00004096" w:rsidRPr="00004096" w:rsidRDefault="005658B1" w:rsidP="00004096">
      <w:pPr>
        <w:spacing w:before="100" w:beforeAutospacing="1" w:after="100" w:afterAutospacing="1" w:line="240" w:lineRule="auto"/>
        <w:jc w:val="both"/>
        <w:outlineLvl w:val="1"/>
        <w:rPr>
          <w:rFonts w:ascii="Times New Roman" w:eastAsia="Times New Roman" w:hAnsi="Times New Roman" w:cs="Times New Roman"/>
          <w:b/>
          <w:bCs/>
          <w:sz w:val="20"/>
          <w:szCs w:val="20"/>
        </w:rPr>
      </w:pPr>
      <w:bookmarkStart w:id="12" w:name="_Toc214534812"/>
      <w:r>
        <w:rPr>
          <w:rFonts w:ascii="Times New Roman" w:eastAsia="Times New Roman" w:hAnsi="Times New Roman" w:cs="Times New Roman"/>
          <w:b/>
          <w:bCs/>
          <w:sz w:val="20"/>
          <w:szCs w:val="20"/>
        </w:rPr>
        <w:t>3</w:t>
      </w:r>
      <w:r w:rsidR="00004096" w:rsidRPr="00004096">
        <w:rPr>
          <w:rFonts w:ascii="Times New Roman" w:eastAsia="Times New Roman" w:hAnsi="Times New Roman" w:cs="Times New Roman"/>
          <w:b/>
          <w:bCs/>
          <w:sz w:val="20"/>
          <w:szCs w:val="20"/>
        </w:rPr>
        <w:t>.6 Experimental outcome for the optimum yield on oil, FFA, iodine value and saponification value as specified by design expert</w:t>
      </w:r>
      <w:bookmarkEnd w:id="12"/>
    </w:p>
    <w:p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At the optimized extraction condition of </w:t>
      </w:r>
      <w:r w:rsidRPr="00004096">
        <w:rPr>
          <w:rFonts w:ascii="Times New Roman" w:eastAsia="Calibri" w:hAnsi="Times New Roman" w:cs="Times New Roman"/>
          <w:bCs/>
          <w:sz w:val="20"/>
          <w:szCs w:val="20"/>
        </w:rPr>
        <w:t>7 g solid-to-solvent ratio, 67.5 °C, and 3 hours</w:t>
      </w:r>
      <w:r w:rsidRPr="00004096">
        <w:rPr>
          <w:rFonts w:ascii="Times New Roman" w:eastAsia="Calibri" w:hAnsi="Times New Roman" w:cs="Times New Roman"/>
          <w:sz w:val="20"/>
          <w:szCs w:val="20"/>
        </w:rPr>
        <w:t xml:space="preserve">, </w:t>
      </w:r>
      <w:r w:rsidRPr="00004096">
        <w:rPr>
          <w:rFonts w:ascii="Times New Roman" w:eastAsia="Calibri" w:hAnsi="Times New Roman" w:cs="Times New Roman"/>
          <w:i/>
          <w:iCs/>
          <w:sz w:val="20"/>
          <w:szCs w:val="20"/>
        </w:rPr>
        <w:t>Cassia fistula</w:t>
      </w:r>
      <w:r w:rsidRPr="00004096">
        <w:rPr>
          <w:rFonts w:ascii="Times New Roman" w:eastAsia="Calibri" w:hAnsi="Times New Roman" w:cs="Times New Roman"/>
          <w:sz w:val="20"/>
          <w:szCs w:val="20"/>
        </w:rPr>
        <w:t xml:space="preserve"> seed oil as shown in Table </w:t>
      </w:r>
      <w:r w:rsidR="00D12765">
        <w:rPr>
          <w:rFonts w:ascii="Times New Roman" w:eastAsia="Calibri" w:hAnsi="Times New Roman" w:cs="Times New Roman"/>
          <w:sz w:val="20"/>
          <w:szCs w:val="20"/>
        </w:rPr>
        <w:t>8</w:t>
      </w:r>
      <w:r w:rsidRPr="00004096">
        <w:rPr>
          <w:rFonts w:ascii="Times New Roman" w:eastAsia="Calibri" w:hAnsi="Times New Roman" w:cs="Times New Roman"/>
          <w:sz w:val="20"/>
          <w:szCs w:val="20"/>
        </w:rPr>
        <w:t xml:space="preserve"> produced an </w:t>
      </w:r>
      <w:r w:rsidRPr="00004096">
        <w:rPr>
          <w:rFonts w:ascii="Times New Roman" w:eastAsia="Calibri" w:hAnsi="Times New Roman" w:cs="Times New Roman"/>
          <w:bCs/>
          <w:sz w:val="20"/>
          <w:szCs w:val="20"/>
        </w:rPr>
        <w:t>oil yield of 67.6%</w:t>
      </w:r>
      <w:r w:rsidRPr="00004096">
        <w:rPr>
          <w:rFonts w:ascii="Times New Roman" w:eastAsia="Calibri" w:hAnsi="Times New Roman" w:cs="Times New Roman"/>
          <w:b/>
          <w:sz w:val="20"/>
          <w:szCs w:val="20"/>
        </w:rPr>
        <w:t>,</w:t>
      </w:r>
      <w:r w:rsidRPr="00004096">
        <w:rPr>
          <w:rFonts w:ascii="Times New Roman" w:eastAsia="Calibri" w:hAnsi="Times New Roman" w:cs="Times New Roman"/>
          <w:sz w:val="20"/>
          <w:szCs w:val="20"/>
        </w:rPr>
        <w:t xml:space="preserve"> indicating efficient solvent penetration and lipid solubilization. The </w:t>
      </w:r>
      <w:r w:rsidRPr="00004096">
        <w:rPr>
          <w:rFonts w:ascii="Times New Roman" w:eastAsia="Calibri" w:hAnsi="Times New Roman" w:cs="Times New Roman"/>
          <w:bCs/>
          <w:sz w:val="20"/>
          <w:szCs w:val="20"/>
        </w:rPr>
        <w:t>FFA content (2.15%)</w:t>
      </w:r>
      <w:r w:rsidRPr="00004096">
        <w:rPr>
          <w:rFonts w:ascii="Times New Roman" w:eastAsia="Calibri" w:hAnsi="Times New Roman" w:cs="Times New Roman"/>
          <w:sz w:val="20"/>
          <w:szCs w:val="20"/>
        </w:rPr>
        <w:t xml:space="preserve"> falls within the acceptable range for non-rancid crude oils, suggesting minimal hydrolytic degradation during extraction. The </w:t>
      </w:r>
      <w:r w:rsidRPr="00004096">
        <w:rPr>
          <w:rFonts w:ascii="Times New Roman" w:eastAsia="Calibri" w:hAnsi="Times New Roman" w:cs="Times New Roman"/>
          <w:bCs/>
          <w:sz w:val="20"/>
          <w:szCs w:val="20"/>
        </w:rPr>
        <w:t>iodine value (20.19 g I₂/100 g)</w:t>
      </w:r>
      <w:r w:rsidRPr="00004096">
        <w:rPr>
          <w:rFonts w:ascii="Times New Roman" w:eastAsia="Calibri" w:hAnsi="Times New Roman" w:cs="Times New Roman"/>
          <w:b/>
          <w:sz w:val="20"/>
          <w:szCs w:val="20"/>
        </w:rPr>
        <w:t xml:space="preserve"> </w:t>
      </w:r>
      <w:r w:rsidRPr="00004096">
        <w:rPr>
          <w:rFonts w:ascii="Times New Roman" w:eastAsia="Calibri" w:hAnsi="Times New Roman" w:cs="Times New Roman"/>
          <w:sz w:val="20"/>
          <w:szCs w:val="20"/>
        </w:rPr>
        <w:t xml:space="preserve">reflects a low degree of unsaturation, classifying the oil as a non-drying type, which is typical of seed oils rich in saturated fatty acids. Meanwhile, the </w:t>
      </w:r>
      <w:r w:rsidRPr="00004096">
        <w:rPr>
          <w:rFonts w:ascii="Times New Roman" w:eastAsia="Calibri" w:hAnsi="Times New Roman" w:cs="Times New Roman"/>
          <w:bCs/>
          <w:sz w:val="20"/>
          <w:szCs w:val="20"/>
        </w:rPr>
        <w:t>saponification value (203.85 mg KOH/g)</w:t>
      </w:r>
      <w:r w:rsidRPr="00004096">
        <w:rPr>
          <w:rFonts w:ascii="Times New Roman" w:eastAsia="Calibri" w:hAnsi="Times New Roman" w:cs="Times New Roman"/>
          <w:sz w:val="20"/>
          <w:szCs w:val="20"/>
        </w:rPr>
        <w:t xml:space="preserve"> is relatively high, implying the presence of short- to medium-chain fatty acids suitable for soap and cosmetic applications. Overall, these results show that the chosen extraction conditions </w:t>
      </w:r>
      <w:proofErr w:type="spellStart"/>
      <w:r w:rsidRPr="00004096">
        <w:rPr>
          <w:rFonts w:ascii="Times New Roman" w:eastAsia="Calibri" w:hAnsi="Times New Roman" w:cs="Times New Roman"/>
          <w:sz w:val="20"/>
          <w:szCs w:val="20"/>
        </w:rPr>
        <w:t>favour</w:t>
      </w:r>
      <w:proofErr w:type="spellEnd"/>
      <w:r w:rsidRPr="00004096">
        <w:rPr>
          <w:rFonts w:ascii="Times New Roman" w:eastAsia="Calibri" w:hAnsi="Times New Roman" w:cs="Times New Roman"/>
          <w:sz w:val="20"/>
          <w:szCs w:val="20"/>
        </w:rPr>
        <w:t xml:space="preserve"> the recovery of high-quality oil with desirable physicochemical characteristics for industrial use.</w:t>
      </w:r>
    </w:p>
    <w:p w:rsidR="00004096" w:rsidRPr="00004096" w:rsidRDefault="00004096" w:rsidP="00004096">
      <w:pPr>
        <w:spacing w:after="0" w:line="240" w:lineRule="auto"/>
        <w:jc w:val="both"/>
        <w:rPr>
          <w:rFonts w:ascii="Times New Roman" w:eastAsia="Calibri" w:hAnsi="Times New Roman" w:cs="Times New Roman"/>
          <w:sz w:val="20"/>
          <w:szCs w:val="20"/>
        </w:rPr>
      </w:pPr>
    </w:p>
    <w:p w:rsidR="00004096" w:rsidRPr="00004096" w:rsidRDefault="00004096" w:rsidP="00004096">
      <w:pPr>
        <w:spacing w:after="0" w:line="240" w:lineRule="auto"/>
        <w:jc w:val="both"/>
        <w:rPr>
          <w:rFonts w:ascii="Times New Roman" w:eastAsia="Calibri" w:hAnsi="Times New Roman" w:cs="Times New Roman"/>
          <w:sz w:val="20"/>
          <w:szCs w:val="20"/>
        </w:rPr>
      </w:pPr>
      <w:r w:rsidRPr="00004096">
        <w:rPr>
          <w:rFonts w:ascii="Times New Roman" w:eastAsia="Calibri" w:hAnsi="Times New Roman" w:cs="Times New Roman"/>
          <w:sz w:val="20"/>
          <w:szCs w:val="20"/>
        </w:rPr>
        <w:t xml:space="preserve">Table </w:t>
      </w:r>
      <w:r w:rsidR="00D12765">
        <w:rPr>
          <w:rFonts w:ascii="Times New Roman" w:eastAsia="Calibri" w:hAnsi="Times New Roman" w:cs="Times New Roman"/>
          <w:sz w:val="20"/>
          <w:szCs w:val="20"/>
        </w:rPr>
        <w:t>8</w:t>
      </w:r>
      <w:r w:rsidRPr="00004096">
        <w:rPr>
          <w:rFonts w:ascii="Times New Roman" w:eastAsia="Calibri" w:hAnsi="Times New Roman" w:cs="Times New Roman"/>
          <w:sz w:val="20"/>
          <w:szCs w:val="20"/>
        </w:rPr>
        <w:t>: The experimental confirmation table from the design expert</w:t>
      </w:r>
    </w:p>
    <w:p w:rsidR="00004096" w:rsidRPr="00004096" w:rsidRDefault="00004096" w:rsidP="00004096">
      <w:pPr>
        <w:spacing w:after="0" w:line="240" w:lineRule="auto"/>
        <w:jc w:val="both"/>
        <w:rPr>
          <w:rFonts w:ascii="Times New Roman" w:eastAsia="Calibri" w:hAnsi="Times New Roman" w:cs="Times New Roman"/>
          <w:sz w:val="20"/>
          <w:szCs w:val="20"/>
        </w:rPr>
      </w:pPr>
    </w:p>
    <w:tbl>
      <w:tblPr>
        <w:tblStyle w:val="TableGrid1"/>
        <w:tblW w:w="9437" w:type="dxa"/>
        <w:tblLook w:val="04A0" w:firstRow="1" w:lastRow="0" w:firstColumn="1" w:lastColumn="0" w:noHBand="0" w:noVBand="1"/>
      </w:tblPr>
      <w:tblGrid>
        <w:gridCol w:w="1334"/>
        <w:gridCol w:w="1379"/>
        <w:gridCol w:w="1373"/>
        <w:gridCol w:w="884"/>
        <w:gridCol w:w="1255"/>
        <w:gridCol w:w="1258"/>
        <w:gridCol w:w="1954"/>
      </w:tblGrid>
      <w:tr w:rsidR="00004096" w:rsidRPr="00004096" w:rsidTr="00004096">
        <w:trPr>
          <w:trHeight w:val="764"/>
        </w:trPr>
        <w:tc>
          <w:tcPr>
            <w:tcW w:w="0" w:type="auto"/>
            <w:gridSpan w:val="3"/>
          </w:tcPr>
          <w:p w:rsidR="00004096" w:rsidRPr="00004096" w:rsidRDefault="00004096" w:rsidP="00004096">
            <w:pPr>
              <w:rPr>
                <w:rFonts w:ascii="Times New Roman" w:eastAsia="Times New Roman" w:hAnsi="Times New Roman" w:cs="Times New Roman"/>
                <w:b/>
                <w:bCs/>
                <w:sz w:val="20"/>
                <w:szCs w:val="20"/>
              </w:rPr>
            </w:pPr>
            <w:r w:rsidRPr="00004096">
              <w:rPr>
                <w:rFonts w:ascii="Times New Roman" w:eastAsia="Times New Roman" w:hAnsi="Times New Roman" w:cs="Times New Roman"/>
                <w:b/>
                <w:bCs/>
                <w:sz w:val="20"/>
                <w:szCs w:val="20"/>
              </w:rPr>
              <w:t>Extraction parameters</w:t>
            </w:r>
          </w:p>
        </w:tc>
        <w:tc>
          <w:tcPr>
            <w:tcW w:w="0" w:type="auto"/>
            <w:vMerge w:val="restart"/>
            <w:hideMark/>
          </w:tcPr>
          <w:p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Oil Yield (%)</w:t>
            </w:r>
          </w:p>
        </w:tc>
        <w:tc>
          <w:tcPr>
            <w:tcW w:w="0" w:type="auto"/>
            <w:vMerge w:val="restart"/>
            <w:hideMark/>
          </w:tcPr>
          <w:p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Free Fatty Acid (FFA, %)</w:t>
            </w:r>
          </w:p>
        </w:tc>
        <w:tc>
          <w:tcPr>
            <w:tcW w:w="0" w:type="auto"/>
            <w:vMerge w:val="restart"/>
            <w:hideMark/>
          </w:tcPr>
          <w:p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Iodine Value (g I₂/100 g)</w:t>
            </w:r>
          </w:p>
        </w:tc>
        <w:tc>
          <w:tcPr>
            <w:tcW w:w="0" w:type="auto"/>
            <w:vMerge w:val="restart"/>
            <w:hideMark/>
          </w:tcPr>
          <w:p w:rsidR="00004096" w:rsidRPr="00004096" w:rsidRDefault="00004096" w:rsidP="00004096">
            <w:pPr>
              <w:jc w:val="center"/>
              <w:rPr>
                <w:rFonts w:ascii="Times New Roman" w:eastAsia="Times New Roman" w:hAnsi="Times New Roman" w:cs="Times New Roman"/>
                <w:bCs/>
                <w:sz w:val="20"/>
                <w:szCs w:val="20"/>
              </w:rPr>
            </w:pPr>
            <w:r w:rsidRPr="00004096">
              <w:rPr>
                <w:rFonts w:ascii="Times New Roman" w:eastAsia="Times New Roman" w:hAnsi="Times New Roman" w:cs="Times New Roman"/>
                <w:bCs/>
                <w:sz w:val="20"/>
                <w:szCs w:val="20"/>
              </w:rPr>
              <w:t>Saponification Value (mg KOH/g)</w:t>
            </w:r>
          </w:p>
        </w:tc>
      </w:tr>
      <w:tr w:rsidR="00004096" w:rsidRPr="00004096" w:rsidTr="00004096">
        <w:trPr>
          <w:trHeight w:val="620"/>
        </w:trPr>
        <w:tc>
          <w:tcPr>
            <w:tcW w:w="0" w:type="auto"/>
          </w:tcPr>
          <w:p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Solid-to-Solvent Ratio: </w:t>
            </w:r>
            <w:r w:rsidRPr="00004096">
              <w:rPr>
                <w:rFonts w:ascii="Times New Roman" w:eastAsia="Times New Roman" w:hAnsi="Times New Roman" w:cs="Times New Roman"/>
                <w:b/>
                <w:bCs/>
                <w:sz w:val="20"/>
                <w:szCs w:val="20"/>
              </w:rPr>
              <w:t>g</w:t>
            </w:r>
          </w:p>
        </w:tc>
        <w:tc>
          <w:tcPr>
            <w:tcW w:w="0" w:type="auto"/>
          </w:tcPr>
          <w:p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Temperature: </w:t>
            </w:r>
            <w:r w:rsidRPr="00004096">
              <w:rPr>
                <w:rFonts w:ascii="Times New Roman" w:eastAsia="Times New Roman" w:hAnsi="Times New Roman" w:cs="Times New Roman"/>
                <w:b/>
                <w:bCs/>
                <w:sz w:val="20"/>
                <w:szCs w:val="20"/>
              </w:rPr>
              <w:t>°C</w:t>
            </w:r>
          </w:p>
        </w:tc>
        <w:tc>
          <w:tcPr>
            <w:tcW w:w="0" w:type="auto"/>
          </w:tcPr>
          <w:p w:rsidR="00004096" w:rsidRPr="00004096" w:rsidRDefault="00004096" w:rsidP="00004096">
            <w:pPr>
              <w:rPr>
                <w:rFonts w:ascii="Times New Roman" w:eastAsia="Times New Roman" w:hAnsi="Times New Roman" w:cs="Times New Roman"/>
                <w:sz w:val="20"/>
                <w:szCs w:val="20"/>
              </w:rPr>
            </w:pPr>
            <w:r w:rsidRPr="00004096">
              <w:rPr>
                <w:rFonts w:ascii="Times New Roman" w:eastAsia="Times New Roman" w:hAnsi="Times New Roman" w:cs="Times New Roman"/>
                <w:sz w:val="20"/>
                <w:szCs w:val="20"/>
              </w:rPr>
              <w:t xml:space="preserve">Extraction Time: </w:t>
            </w:r>
            <w:r w:rsidRPr="00004096">
              <w:rPr>
                <w:rFonts w:ascii="Times New Roman" w:eastAsia="Times New Roman" w:hAnsi="Times New Roman" w:cs="Times New Roman"/>
                <w:b/>
                <w:bCs/>
                <w:sz w:val="20"/>
                <w:szCs w:val="20"/>
              </w:rPr>
              <w:t>hrs.</w:t>
            </w:r>
          </w:p>
        </w:tc>
        <w:tc>
          <w:tcPr>
            <w:tcW w:w="0" w:type="auto"/>
            <w:vMerge/>
          </w:tcPr>
          <w:p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rsidR="00004096" w:rsidRPr="00004096" w:rsidRDefault="00004096" w:rsidP="00004096">
            <w:pPr>
              <w:jc w:val="center"/>
              <w:rPr>
                <w:rFonts w:ascii="Times New Roman" w:eastAsia="Times New Roman" w:hAnsi="Times New Roman" w:cs="Times New Roman"/>
                <w:bCs/>
                <w:sz w:val="20"/>
                <w:szCs w:val="20"/>
              </w:rPr>
            </w:pPr>
          </w:p>
        </w:tc>
        <w:tc>
          <w:tcPr>
            <w:tcW w:w="0" w:type="auto"/>
            <w:vMerge/>
          </w:tcPr>
          <w:p w:rsidR="00004096" w:rsidRPr="00004096" w:rsidRDefault="00004096" w:rsidP="00004096">
            <w:pPr>
              <w:jc w:val="center"/>
              <w:rPr>
                <w:rFonts w:ascii="Times New Roman" w:eastAsia="Times New Roman" w:hAnsi="Times New Roman" w:cs="Times New Roman"/>
                <w:bCs/>
                <w:sz w:val="20"/>
                <w:szCs w:val="20"/>
              </w:rPr>
            </w:pPr>
          </w:p>
        </w:tc>
      </w:tr>
      <w:tr w:rsidR="00004096" w:rsidRPr="00004096" w:rsidTr="00004096">
        <w:trPr>
          <w:trHeight w:val="512"/>
        </w:trPr>
        <w:tc>
          <w:tcPr>
            <w:tcW w:w="0" w:type="auto"/>
          </w:tcPr>
          <w:p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7</w:t>
            </w:r>
          </w:p>
        </w:tc>
        <w:tc>
          <w:tcPr>
            <w:tcW w:w="0" w:type="auto"/>
          </w:tcPr>
          <w:p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67.5</w:t>
            </w:r>
          </w:p>
        </w:tc>
        <w:tc>
          <w:tcPr>
            <w:tcW w:w="0" w:type="auto"/>
            <w:hideMark/>
          </w:tcPr>
          <w:p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3</w:t>
            </w:r>
          </w:p>
        </w:tc>
        <w:tc>
          <w:tcPr>
            <w:tcW w:w="0" w:type="auto"/>
            <w:hideMark/>
          </w:tcPr>
          <w:p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67.6</w:t>
            </w:r>
          </w:p>
        </w:tc>
        <w:tc>
          <w:tcPr>
            <w:tcW w:w="0" w:type="auto"/>
            <w:hideMark/>
          </w:tcPr>
          <w:p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2.15</w:t>
            </w:r>
          </w:p>
        </w:tc>
        <w:tc>
          <w:tcPr>
            <w:tcW w:w="0" w:type="auto"/>
            <w:hideMark/>
          </w:tcPr>
          <w:p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20.19</w:t>
            </w:r>
          </w:p>
        </w:tc>
        <w:tc>
          <w:tcPr>
            <w:tcW w:w="0" w:type="auto"/>
            <w:hideMark/>
          </w:tcPr>
          <w:p w:rsidR="00004096" w:rsidRPr="00004096" w:rsidRDefault="00004096" w:rsidP="00004096">
            <w:pPr>
              <w:jc w:val="center"/>
              <w:rPr>
                <w:rFonts w:ascii="Times New Roman" w:eastAsia="Times New Roman" w:hAnsi="Times New Roman" w:cs="Times New Roman"/>
                <w:sz w:val="20"/>
                <w:szCs w:val="20"/>
              </w:rPr>
            </w:pPr>
            <w:r w:rsidRPr="00004096">
              <w:rPr>
                <w:rFonts w:ascii="Times New Roman" w:eastAsia="Times New Roman" w:hAnsi="Times New Roman" w:cs="Times New Roman"/>
                <w:bCs/>
                <w:sz w:val="20"/>
                <w:szCs w:val="20"/>
              </w:rPr>
              <w:t>203.85</w:t>
            </w:r>
          </w:p>
        </w:tc>
      </w:tr>
    </w:tbl>
    <w:p w:rsidR="00004096" w:rsidRPr="00EA5864" w:rsidRDefault="00004096" w:rsidP="00004096">
      <w:pPr>
        <w:spacing w:line="240" w:lineRule="auto"/>
        <w:jc w:val="both"/>
        <w:rPr>
          <w:rFonts w:ascii="Times New Roman" w:eastAsia="Times New Roman" w:hAnsi="Times New Roman" w:cs="Times New Roman"/>
          <w:kern w:val="0"/>
          <w:sz w:val="10"/>
          <w:szCs w:val="10"/>
          <w14:ligatures w14:val="none"/>
        </w:rPr>
      </w:pPr>
    </w:p>
    <w:p w:rsidR="00876A34" w:rsidRPr="00FC7872" w:rsidRDefault="00876A34" w:rsidP="00876A34">
      <w:pPr>
        <w:spacing w:after="0" w:line="240" w:lineRule="auto"/>
        <w:jc w:val="both"/>
        <w:rPr>
          <w:rFonts w:ascii="Times New Roman" w:hAnsi="Times New Roman" w:cs="Times New Roman"/>
          <w:sz w:val="20"/>
          <w:szCs w:val="20"/>
        </w:rPr>
      </w:pPr>
    </w:p>
    <w:p w:rsidR="00876A34" w:rsidRPr="00C371B7" w:rsidRDefault="00876A34" w:rsidP="00876A34">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
          <w:bCs/>
          <w:kern w:val="0"/>
          <w:sz w:val="20"/>
          <w:szCs w:val="20"/>
          <w14:ligatures w14:val="none"/>
        </w:rPr>
        <w:t xml:space="preserve">4.    </w:t>
      </w:r>
      <w:r w:rsidRPr="00911CA9">
        <w:rPr>
          <w:rFonts w:ascii="Times New Roman" w:eastAsia="Times New Roman" w:hAnsi="Times New Roman" w:cs="Times New Roman"/>
          <w:b/>
          <w:bCs/>
          <w:kern w:val="0"/>
          <w:sz w:val="20"/>
          <w:szCs w:val="20"/>
          <w14:ligatures w14:val="none"/>
        </w:rPr>
        <w:t>CONCLUSIONS</w:t>
      </w:r>
      <w:r>
        <w:rPr>
          <w:rFonts w:ascii="Times New Roman" w:eastAsia="Times New Roman" w:hAnsi="Times New Roman" w:cs="Times New Roman"/>
          <w:b/>
          <w:bCs/>
          <w:kern w:val="0"/>
          <w:sz w:val="20"/>
          <w:szCs w:val="20"/>
          <w14:ligatures w14:val="none"/>
        </w:rPr>
        <w:t xml:space="preserve"> </w:t>
      </w:r>
    </w:p>
    <w:p w:rsidR="00876A34" w:rsidRDefault="00172E67" w:rsidP="00D12765">
      <w:pPr>
        <w:spacing w:after="0" w:line="240" w:lineRule="auto"/>
        <w:jc w:val="both"/>
        <w:rPr>
          <w:rFonts w:ascii="Times New Roman" w:eastAsia="Times New Roman" w:hAnsi="Times New Roman" w:cs="Times New Roman"/>
          <w:sz w:val="20"/>
          <w:szCs w:val="20"/>
        </w:rPr>
      </w:pPr>
      <w:r w:rsidRPr="00172E67">
        <w:rPr>
          <w:rFonts w:ascii="Times New Roman" w:eastAsia="Times New Roman" w:hAnsi="Times New Roman" w:cs="Times New Roman"/>
          <w:sz w:val="20"/>
          <w:szCs w:val="20"/>
        </w:rPr>
        <w:t xml:space="preserve">Extraction parameters significantly influenced the physicochemical properties of </w:t>
      </w:r>
      <w:r w:rsidRPr="00172E67">
        <w:rPr>
          <w:rFonts w:ascii="Times New Roman" w:eastAsia="Times New Roman" w:hAnsi="Times New Roman" w:cs="Times New Roman"/>
          <w:i/>
          <w:sz w:val="20"/>
          <w:szCs w:val="20"/>
        </w:rPr>
        <w:t>Cassia fistula</w:t>
      </w:r>
      <w:r w:rsidRPr="00172E67">
        <w:rPr>
          <w:rFonts w:ascii="Times New Roman" w:eastAsia="Times New Roman" w:hAnsi="Times New Roman" w:cs="Times New Roman"/>
          <w:sz w:val="20"/>
          <w:szCs w:val="20"/>
        </w:rPr>
        <w:t xml:space="preserve"> seed oil, particularly FFA, iodine value, and saponification value, which are critical for biodiesel suitability. FFA values 0.56–4.10%</w:t>
      </w:r>
      <w:r>
        <w:rPr>
          <w:rFonts w:ascii="Times New Roman" w:eastAsia="Times New Roman" w:hAnsi="Times New Roman" w:cs="Times New Roman"/>
          <w:sz w:val="20"/>
          <w:szCs w:val="20"/>
        </w:rPr>
        <w:t xml:space="preserve"> </w:t>
      </w:r>
      <w:r w:rsidRPr="00172E67">
        <w:rPr>
          <w:rFonts w:ascii="Times New Roman" w:eastAsia="Times New Roman" w:hAnsi="Times New Roman" w:cs="Times New Roman"/>
          <w:sz w:val="20"/>
          <w:szCs w:val="20"/>
        </w:rPr>
        <w:lastRenderedPageBreak/>
        <w:t>showed that proper control of temperature and solvent ratio minimizes hydrolysis and improves oil stability. The iodine value 14.9–25.0 g I₂/100 g indicated that higher temperatures enhanced unsaturation levels, affecting oxidative stability and fuel quality. Meanwhile, the saponification value 170.8–210.3 mg KOH/g reflected fatty acid chain length variations, and ANOVA confirmed that the quadratic models adequately predicted these responses under optimized conditions</w:t>
      </w:r>
      <w:r w:rsidRPr="00D1276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Further work on </w:t>
      </w:r>
      <w:r w:rsidRPr="00172E67">
        <w:rPr>
          <w:rFonts w:ascii="Times New Roman" w:eastAsia="Times New Roman" w:hAnsi="Times New Roman" w:cs="Times New Roman"/>
          <w:i/>
          <w:sz w:val="20"/>
          <w:szCs w:val="20"/>
        </w:rPr>
        <w:t>cassia fistula</w:t>
      </w:r>
      <w:r>
        <w:rPr>
          <w:rFonts w:ascii="Times New Roman" w:eastAsia="Times New Roman" w:hAnsi="Times New Roman" w:cs="Times New Roman"/>
          <w:sz w:val="20"/>
          <w:szCs w:val="20"/>
        </w:rPr>
        <w:t xml:space="preserve"> can be done to refine and use for biodiesel production. </w:t>
      </w:r>
    </w:p>
    <w:p w:rsidR="00172E67" w:rsidRPr="004D15E0" w:rsidRDefault="00172E67" w:rsidP="00D12765">
      <w:pPr>
        <w:spacing w:after="0" w:line="240" w:lineRule="auto"/>
        <w:jc w:val="both"/>
        <w:rPr>
          <w:rFonts w:ascii="Times New Roman" w:eastAsia="Times New Roman" w:hAnsi="Times New Roman" w:cs="Times New Roman"/>
          <w:sz w:val="20"/>
          <w:szCs w:val="20"/>
        </w:rPr>
      </w:pPr>
    </w:p>
    <w:p w:rsidR="00876A34" w:rsidRPr="004D15E0" w:rsidRDefault="00876A34" w:rsidP="00876A34">
      <w:pPr>
        <w:spacing w:after="0" w:line="240" w:lineRule="auto"/>
        <w:jc w:val="both"/>
        <w:rPr>
          <w:rFonts w:ascii="Times New Roman" w:eastAsia="Times New Roman" w:hAnsi="Times New Roman" w:cs="Times New Roman"/>
          <w:sz w:val="20"/>
          <w:szCs w:val="20"/>
        </w:rPr>
      </w:pPr>
      <w:r w:rsidRPr="004D15E0">
        <w:rPr>
          <w:rFonts w:ascii="Times New Roman" w:eastAsia="Times New Roman" w:hAnsi="Times New Roman" w:cs="Times New Roman"/>
          <w:b/>
          <w:bCs/>
          <w:sz w:val="20"/>
          <w:szCs w:val="20"/>
        </w:rPr>
        <w:t xml:space="preserve">ACKNOWLEDGEMENT </w:t>
      </w:r>
    </w:p>
    <w:p w:rsidR="00876A34" w:rsidRPr="009C01E9" w:rsidRDefault="00876A34" w:rsidP="00876A34">
      <w:pPr>
        <w:spacing w:after="0" w:line="240" w:lineRule="auto"/>
        <w:jc w:val="both"/>
        <w:rPr>
          <w:rFonts w:ascii="Times New Roman" w:eastAsia="Times New Roman" w:hAnsi="Times New Roman" w:cs="Times New Roman"/>
          <w:sz w:val="20"/>
          <w:szCs w:val="20"/>
        </w:rPr>
      </w:pPr>
      <w:r w:rsidRPr="004D15E0">
        <w:rPr>
          <w:rFonts w:ascii="Times New Roman" w:eastAsia="Times New Roman" w:hAnsi="Times New Roman" w:cs="Times New Roman"/>
          <w:sz w:val="20"/>
          <w:szCs w:val="20"/>
        </w:rPr>
        <w:t xml:space="preserve">Acknowledgement of the </w:t>
      </w:r>
      <w:r w:rsidR="00172E67">
        <w:rPr>
          <w:rFonts w:ascii="Times New Roman" w:eastAsia="Times New Roman" w:hAnsi="Times New Roman" w:cs="Times New Roman"/>
          <w:sz w:val="20"/>
          <w:szCs w:val="20"/>
        </w:rPr>
        <w:t xml:space="preserve">PTDF for funding support is well gratefully appreciated </w:t>
      </w:r>
      <w:bookmarkStart w:id="13" w:name="_GoBack"/>
      <w:bookmarkEnd w:id="13"/>
    </w:p>
    <w:p w:rsidR="00876A34" w:rsidRDefault="00876A34" w:rsidP="00876A34">
      <w:pPr>
        <w:spacing w:after="0" w:line="240" w:lineRule="auto"/>
        <w:jc w:val="both"/>
        <w:rPr>
          <w:rFonts w:ascii="Times New Roman" w:eastAsia="Times New Roman" w:hAnsi="Times New Roman" w:cs="Times New Roman"/>
          <w:sz w:val="20"/>
          <w:szCs w:val="20"/>
        </w:rPr>
      </w:pPr>
    </w:p>
    <w:sdt>
      <w:sdtPr>
        <w:id w:val="-2024232912"/>
        <w:docPartObj>
          <w:docPartGallery w:val="Bibliographies"/>
          <w:docPartUnique/>
        </w:docPartObj>
      </w:sdtPr>
      <w:sdtContent>
        <w:p w:rsidR="00172E67" w:rsidRPr="00A42595" w:rsidRDefault="00A42595" w:rsidP="00A42595">
          <w:pPr>
            <w:spacing w:after="0" w:line="240" w:lineRule="auto"/>
            <w:jc w:val="both"/>
            <w:rPr>
              <w:rFonts w:ascii="Times New Roman" w:hAnsi="Times New Roman" w:cs="Times New Roman"/>
              <w:b/>
              <w:bCs/>
              <w:sz w:val="20"/>
              <w:szCs w:val="20"/>
            </w:rPr>
          </w:pPr>
          <w:r w:rsidRPr="00911CA9">
            <w:rPr>
              <w:rFonts w:ascii="Times New Roman" w:hAnsi="Times New Roman" w:cs="Times New Roman"/>
              <w:b/>
              <w:bCs/>
              <w:sz w:val="20"/>
              <w:szCs w:val="20"/>
            </w:rPr>
            <w:t>REFERENCES</w:t>
          </w:r>
          <w:r>
            <w:rPr>
              <w:rFonts w:ascii="Times New Roman" w:hAnsi="Times New Roman" w:cs="Times New Roman"/>
              <w:b/>
              <w:bCs/>
              <w:sz w:val="20"/>
              <w:szCs w:val="20"/>
            </w:rPr>
            <w:t xml:space="preserve"> </w:t>
          </w:r>
        </w:p>
        <w:sdt>
          <w:sdtPr>
            <w:rPr>
              <w:rFonts w:ascii="Times New Roman" w:hAnsi="Times New Roman" w:cs="Times New Roman"/>
              <w:sz w:val="20"/>
              <w:szCs w:val="20"/>
            </w:rPr>
            <w:id w:val="-573587230"/>
            <w:bibliography/>
          </w:sdtPr>
          <w:sdtEndPr>
            <w:rPr>
              <w:rFonts w:asciiTheme="minorHAnsi" w:hAnsiTheme="minorHAnsi" w:cstheme="minorBidi"/>
              <w:sz w:val="22"/>
              <w:szCs w:val="22"/>
            </w:rPr>
          </w:sdtEndPr>
          <w:sdtContent>
            <w:p w:rsidR="00A42595" w:rsidRPr="00A42595" w:rsidRDefault="00172E67"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sz w:val="20"/>
                  <w:szCs w:val="20"/>
                </w:rPr>
                <w:fldChar w:fldCharType="begin"/>
              </w:r>
              <w:r w:rsidRPr="00A42595">
                <w:rPr>
                  <w:rFonts w:ascii="Times New Roman" w:hAnsi="Times New Roman" w:cs="Times New Roman"/>
                  <w:sz w:val="20"/>
                  <w:szCs w:val="20"/>
                </w:rPr>
                <w:instrText xml:space="preserve"> BIBLIOGRAPHY </w:instrText>
              </w:r>
              <w:r w:rsidRPr="00A42595">
                <w:rPr>
                  <w:rFonts w:ascii="Times New Roman" w:hAnsi="Times New Roman" w:cs="Times New Roman"/>
                  <w:sz w:val="20"/>
                  <w:szCs w:val="20"/>
                </w:rPr>
                <w:fldChar w:fldCharType="separate"/>
              </w:r>
              <w:r w:rsidR="00A42595" w:rsidRPr="00A42595">
                <w:rPr>
                  <w:rFonts w:ascii="Times New Roman" w:hAnsi="Times New Roman" w:cs="Times New Roman"/>
                  <w:noProof/>
                  <w:sz w:val="20"/>
                  <w:szCs w:val="20"/>
                </w:rPr>
                <w:t xml:space="preserve">Holechek, J. L., Geli, H. M., Sawalhah, M. N., &amp; Valdez, R. (2022). A global assessment: can renewable energy replace fossil fuels by 2050. </w:t>
              </w:r>
              <w:r w:rsidR="00A42595" w:rsidRPr="00A42595">
                <w:rPr>
                  <w:rFonts w:ascii="Times New Roman" w:hAnsi="Times New Roman" w:cs="Times New Roman"/>
                  <w:i/>
                  <w:iCs/>
                  <w:noProof/>
                  <w:sz w:val="20"/>
                  <w:szCs w:val="20"/>
                </w:rPr>
                <w:t>Sustainability, 14</w:t>
              </w:r>
              <w:r w:rsidR="00A42595" w:rsidRPr="00A42595">
                <w:rPr>
                  <w:rFonts w:ascii="Times New Roman" w:hAnsi="Times New Roman" w:cs="Times New Roman"/>
                  <w:noProof/>
                  <w:sz w:val="20"/>
                  <w:szCs w:val="20"/>
                </w:rPr>
                <w:t>(8), 4792.</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Kanwal, H., Anwar, F., Tanvir, A., Abidi, S. H., &amp; Mumtaz, M. W. (2025). Optimization of trimetallic Cu–Cr–Ca nanoparticle-catalyzed transesterification of amla (Phyllanthus emblica L.) seed oil: analytical characterization and fuel properties of biodiesel. </w:t>
              </w:r>
              <w:r w:rsidRPr="00A42595">
                <w:rPr>
                  <w:rFonts w:ascii="Times New Roman" w:hAnsi="Times New Roman" w:cs="Times New Roman"/>
                  <w:i/>
                  <w:iCs/>
                  <w:noProof/>
                  <w:sz w:val="20"/>
                  <w:szCs w:val="20"/>
                </w:rPr>
                <w:t>RSC advances, 15</w:t>
              </w:r>
              <w:r w:rsidRPr="00A42595">
                <w:rPr>
                  <w:rFonts w:ascii="Times New Roman" w:hAnsi="Times New Roman" w:cs="Times New Roman"/>
                  <w:noProof/>
                  <w:sz w:val="20"/>
                  <w:szCs w:val="20"/>
                </w:rPr>
                <w:t>(18), 13838-13856.</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Masjudin., &amp; Chang, W. C. (2025). Comparative study on saturated and unsaturated fatty acid methyl esters (FAME) composition in biodiesel production from waste soybean, sunflower, and canola oils. . </w:t>
              </w:r>
              <w:r w:rsidRPr="00A42595">
                <w:rPr>
                  <w:rFonts w:ascii="Times New Roman" w:hAnsi="Times New Roman" w:cs="Times New Roman"/>
                  <w:i/>
                  <w:iCs/>
                  <w:noProof/>
                  <w:sz w:val="20"/>
                  <w:szCs w:val="20"/>
                </w:rPr>
                <w:t>Biofuels</w:t>
              </w:r>
              <w:r w:rsidRPr="00A42595">
                <w:rPr>
                  <w:rFonts w:ascii="Times New Roman" w:hAnsi="Times New Roman" w:cs="Times New Roman"/>
                  <w:noProof/>
                  <w:sz w:val="20"/>
                  <w:szCs w:val="20"/>
                </w:rPr>
                <w:t>, 1-24.</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Muhammed Raji, A., Manescau, B., Chetehouna, K., &amp; Ogabi, R. (2025). Overview of thermal and analytical characterization techniques for biofuels and its blends. </w:t>
              </w:r>
              <w:r w:rsidRPr="00A42595">
                <w:rPr>
                  <w:rFonts w:ascii="Times New Roman" w:hAnsi="Times New Roman" w:cs="Times New Roman"/>
                  <w:i/>
                  <w:iCs/>
                  <w:noProof/>
                  <w:sz w:val="20"/>
                  <w:szCs w:val="20"/>
                </w:rPr>
                <w:t>Journal of Thermal Analysis and Calorimetry, 150</w:t>
              </w:r>
              <w:r w:rsidRPr="00A42595">
                <w:rPr>
                  <w:rFonts w:ascii="Times New Roman" w:hAnsi="Times New Roman" w:cs="Times New Roman"/>
                  <w:noProof/>
                  <w:sz w:val="20"/>
                  <w:szCs w:val="20"/>
                </w:rPr>
                <w:t>(5), 3007-3036.</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Odetoye, T. E., Afolabi, T. J., Onifade, K. R., &amp; . (2016). Effects of extraction process parameters on the quality characteristics of Parinari polyandra B. seed oil. </w:t>
              </w:r>
              <w:r w:rsidRPr="00A42595">
                <w:rPr>
                  <w:rFonts w:ascii="Times New Roman" w:hAnsi="Times New Roman" w:cs="Times New Roman"/>
                  <w:i/>
                  <w:iCs/>
                  <w:noProof/>
                  <w:sz w:val="20"/>
                  <w:szCs w:val="20"/>
                </w:rPr>
                <w:t>Nigerian Journal of Technological Development,, 13</w:t>
              </w:r>
              <w:r w:rsidRPr="00A42595">
                <w:rPr>
                  <w:rFonts w:ascii="Times New Roman" w:hAnsi="Times New Roman" w:cs="Times New Roman"/>
                  <w:noProof/>
                  <w:sz w:val="20"/>
                  <w:szCs w:val="20"/>
                </w:rPr>
                <w:t>(2), 40-49.</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Ogunkunle, O., &amp; Enweremadu, C. C. (2025). Optimization of Blighia sapida Seed Oil Biodiesel Production: A Sustainable Approach to Renewable Biofuels. </w:t>
              </w:r>
              <w:r w:rsidRPr="00A42595">
                <w:rPr>
                  <w:rFonts w:ascii="Times New Roman" w:hAnsi="Times New Roman" w:cs="Times New Roman"/>
                  <w:i/>
                  <w:iCs/>
                  <w:noProof/>
                  <w:sz w:val="20"/>
                  <w:szCs w:val="20"/>
                </w:rPr>
                <w:t>Resources, 14</w:t>
              </w:r>
              <w:r w:rsidRPr="00A42595">
                <w:rPr>
                  <w:rFonts w:ascii="Times New Roman" w:hAnsi="Times New Roman" w:cs="Times New Roman"/>
                  <w:noProof/>
                  <w:sz w:val="20"/>
                  <w:szCs w:val="20"/>
                </w:rPr>
                <w:t>(6), 89.</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Paavani, K., Agarwal, K., Alam, S. S., Dinda, S., &amp; Abrar, I. (2025). Advances in plastic to fuel conversion: reactor design, operational optimization, and machine learning integration. </w:t>
              </w:r>
              <w:r w:rsidRPr="00A42595">
                <w:rPr>
                  <w:rFonts w:ascii="Times New Roman" w:hAnsi="Times New Roman" w:cs="Times New Roman"/>
                  <w:i/>
                  <w:iCs/>
                  <w:noProof/>
                  <w:sz w:val="20"/>
                  <w:szCs w:val="20"/>
                </w:rPr>
                <w:t>Sustainable Energy and Fuels, 9</w:t>
              </w:r>
              <w:r w:rsidRPr="00A42595">
                <w:rPr>
                  <w:rFonts w:ascii="Times New Roman" w:hAnsi="Times New Roman" w:cs="Times New Roman"/>
                  <w:noProof/>
                  <w:sz w:val="20"/>
                  <w:szCs w:val="20"/>
                </w:rPr>
                <w:t>(1), 54-71.</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Raj, S. P., Solomon, P. R., &amp; Thangaraj, B. (2022). Standards for Biodiesel. In Biodiesel from Flowering Plants. </w:t>
              </w:r>
              <w:r w:rsidRPr="00A42595">
                <w:rPr>
                  <w:rFonts w:ascii="Times New Roman" w:hAnsi="Times New Roman" w:cs="Times New Roman"/>
                  <w:i/>
                  <w:iCs/>
                  <w:noProof/>
                  <w:sz w:val="20"/>
                  <w:szCs w:val="20"/>
                </w:rPr>
                <w:t>Springer Singapore.</w:t>
              </w:r>
              <w:r w:rsidRPr="00A42595">
                <w:rPr>
                  <w:rFonts w:ascii="Times New Roman" w:hAnsi="Times New Roman" w:cs="Times New Roman"/>
                  <w:noProof/>
                  <w:sz w:val="20"/>
                  <w:szCs w:val="20"/>
                </w:rPr>
                <w:t>, 633-663.</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Soeder, D. J. (2025). Greenhouse gas and climate change. In Energy futures: The story of fossil fuel, greenhouse gas, and climate change . </w:t>
              </w:r>
              <w:r w:rsidRPr="00A42595">
                <w:rPr>
                  <w:rFonts w:ascii="Times New Roman" w:hAnsi="Times New Roman" w:cs="Times New Roman"/>
                  <w:i/>
                  <w:iCs/>
                  <w:noProof/>
                  <w:sz w:val="20"/>
                  <w:szCs w:val="20"/>
                </w:rPr>
                <w:t>Cham: Springer Nature Switzerland</w:t>
              </w:r>
              <w:r w:rsidRPr="00A42595">
                <w:rPr>
                  <w:rFonts w:ascii="Times New Roman" w:hAnsi="Times New Roman" w:cs="Times New Roman"/>
                  <w:noProof/>
                  <w:sz w:val="20"/>
                  <w:szCs w:val="20"/>
                </w:rPr>
                <w:t>, 97-141.</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Subramaniam, M., Sarip, S., Kaidi, H. M., &amp; Muhammad-Sukki, F. (2025). Enhancing base-diesel fuel specification for optimized biodiesel blending in Malaysia. </w:t>
              </w:r>
              <w:r w:rsidRPr="00A42595">
                <w:rPr>
                  <w:rFonts w:ascii="Times New Roman" w:hAnsi="Times New Roman" w:cs="Times New Roman"/>
                  <w:i/>
                  <w:iCs/>
                  <w:noProof/>
                  <w:sz w:val="20"/>
                  <w:szCs w:val="20"/>
                </w:rPr>
                <w:t>Sustainable Futures, 10</w:t>
              </w:r>
              <w:r w:rsidRPr="00A42595">
                <w:rPr>
                  <w:rFonts w:ascii="Times New Roman" w:hAnsi="Times New Roman" w:cs="Times New Roman"/>
                  <w:noProof/>
                  <w:sz w:val="20"/>
                  <w:szCs w:val="20"/>
                </w:rPr>
                <w:t>, 101428.</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Suhara, A., Karyadi, H. S., Tirta, A., Idris, M., Roslan, M. F., &amp; Veza, I. (2024). Biodiesel sustainability: review of progress and challenges of biodiesel as sustainable biofuel. </w:t>
              </w:r>
              <w:r w:rsidRPr="00A42595">
                <w:rPr>
                  <w:rFonts w:ascii="Times New Roman" w:hAnsi="Times New Roman" w:cs="Times New Roman"/>
                  <w:i/>
                  <w:iCs/>
                  <w:noProof/>
                  <w:sz w:val="20"/>
                  <w:szCs w:val="20"/>
                </w:rPr>
                <w:t>Clean Technologies, 6</w:t>
              </w:r>
              <w:r w:rsidRPr="00A42595">
                <w:rPr>
                  <w:rFonts w:ascii="Times New Roman" w:hAnsi="Times New Roman" w:cs="Times New Roman"/>
                  <w:noProof/>
                  <w:sz w:val="20"/>
                  <w:szCs w:val="20"/>
                </w:rPr>
                <w:t>(3), 886-906.</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Ulakpa, W. C., Ulakpa, R. O., Egwunyenga, M. C., &amp; Egbosiuba, T. C. (2022). Transesterification of non-edible oil and effects of process parameters on biodiesel yield. </w:t>
              </w:r>
              <w:r w:rsidRPr="00A42595">
                <w:rPr>
                  <w:rFonts w:ascii="Times New Roman" w:hAnsi="Times New Roman" w:cs="Times New Roman"/>
                  <w:i/>
                  <w:iCs/>
                  <w:noProof/>
                  <w:sz w:val="20"/>
                  <w:szCs w:val="20"/>
                </w:rPr>
                <w:t>Cleaner Waste Systems, 3</w:t>
              </w:r>
              <w:r w:rsidRPr="00A42595">
                <w:rPr>
                  <w:rFonts w:ascii="Times New Roman" w:hAnsi="Times New Roman" w:cs="Times New Roman"/>
                  <w:noProof/>
                  <w:sz w:val="20"/>
                  <w:szCs w:val="20"/>
                </w:rPr>
                <w:t>, 100047.</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Umeh, S. I., &amp; Okonkwo, P. A. (2025). The essential properties of oils for biodiesel production. </w:t>
              </w:r>
              <w:r w:rsidRPr="00A42595">
                <w:rPr>
                  <w:rFonts w:ascii="Times New Roman" w:hAnsi="Times New Roman" w:cs="Times New Roman"/>
                  <w:i/>
                  <w:iCs/>
                  <w:noProof/>
                  <w:sz w:val="20"/>
                  <w:szCs w:val="20"/>
                </w:rPr>
                <w:t>Biodiesel Plants-Fueling the Sustainable Outlooks</w:t>
              </w:r>
              <w:r w:rsidRPr="00A42595">
                <w:rPr>
                  <w:rFonts w:ascii="Times New Roman" w:hAnsi="Times New Roman" w:cs="Times New Roman"/>
                  <w:noProof/>
                  <w:sz w:val="20"/>
                  <w:szCs w:val="20"/>
                </w:rPr>
                <w:t>, 2.</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t xml:space="preserve">Vatsha, P., &amp; Alam, M. R. (2025). Environmental aspects of biofuels used as sustainable energy resources: Current situation and future trends. . </w:t>
              </w:r>
              <w:r w:rsidRPr="00A42595">
                <w:rPr>
                  <w:rFonts w:ascii="Times New Roman" w:hAnsi="Times New Roman" w:cs="Times New Roman"/>
                  <w:i/>
                  <w:iCs/>
                  <w:noProof/>
                  <w:sz w:val="20"/>
                  <w:szCs w:val="20"/>
                </w:rPr>
                <w:t>Biofuels and Sustainability</w:t>
              </w:r>
              <w:r w:rsidRPr="00A42595">
                <w:rPr>
                  <w:rFonts w:ascii="Times New Roman" w:hAnsi="Times New Roman" w:cs="Times New Roman"/>
                  <w:noProof/>
                  <w:sz w:val="20"/>
                  <w:szCs w:val="20"/>
                </w:rPr>
                <w:t>, 19-31.</w:t>
              </w:r>
            </w:p>
            <w:p w:rsidR="00A42595" w:rsidRPr="00A42595" w:rsidRDefault="00A42595" w:rsidP="00A42595">
              <w:pPr>
                <w:pStyle w:val="Bibliography"/>
                <w:ind w:left="720" w:hanging="720"/>
                <w:jc w:val="both"/>
                <w:rPr>
                  <w:rFonts w:ascii="Times New Roman" w:hAnsi="Times New Roman" w:cs="Times New Roman"/>
                  <w:noProof/>
                  <w:sz w:val="20"/>
                  <w:szCs w:val="20"/>
                </w:rPr>
              </w:pPr>
              <w:r w:rsidRPr="00A42595">
                <w:rPr>
                  <w:rFonts w:ascii="Times New Roman" w:hAnsi="Times New Roman" w:cs="Times New Roman"/>
                  <w:noProof/>
                  <w:sz w:val="20"/>
                  <w:szCs w:val="20"/>
                </w:rPr>
                <w:lastRenderedPageBreak/>
                <w:t xml:space="preserve">Zhang, J., &amp; Usman, M. (2025). Redefining energy policy for sustainable growth: The interplay of fossil fuel subsidies, energy security risks, and energy balances in shaping geopolitical stability. </w:t>
              </w:r>
              <w:r w:rsidRPr="00A42595">
                <w:rPr>
                  <w:rFonts w:ascii="Times New Roman" w:hAnsi="Times New Roman" w:cs="Times New Roman"/>
                  <w:i/>
                  <w:iCs/>
                  <w:noProof/>
                  <w:sz w:val="20"/>
                  <w:szCs w:val="20"/>
                </w:rPr>
                <w:t>Energy, 322</w:t>
              </w:r>
              <w:r w:rsidRPr="00A42595">
                <w:rPr>
                  <w:rFonts w:ascii="Times New Roman" w:hAnsi="Times New Roman" w:cs="Times New Roman"/>
                  <w:noProof/>
                  <w:sz w:val="20"/>
                  <w:szCs w:val="20"/>
                </w:rPr>
                <w:t>, 135620.</w:t>
              </w:r>
            </w:p>
            <w:p w:rsidR="00172E67" w:rsidRDefault="00172E67" w:rsidP="00A42595">
              <w:pPr>
                <w:jc w:val="both"/>
              </w:pPr>
              <w:r w:rsidRPr="00A42595">
                <w:rPr>
                  <w:rFonts w:ascii="Times New Roman" w:hAnsi="Times New Roman" w:cs="Times New Roman"/>
                  <w:b/>
                  <w:bCs/>
                  <w:noProof/>
                  <w:sz w:val="20"/>
                  <w:szCs w:val="20"/>
                </w:rPr>
                <w:fldChar w:fldCharType="end"/>
              </w:r>
            </w:p>
          </w:sdtContent>
        </w:sdt>
      </w:sdtContent>
    </w:sdt>
    <w:p w:rsidR="007136A7" w:rsidRDefault="007136A7"/>
    <w:sectPr w:rsidR="007136A7" w:rsidSect="00004096">
      <w:headerReference w:type="default" r:id="rId18"/>
      <w:footerReference w:type="default" r:id="rId19"/>
      <w:pgSz w:w="12240" w:h="15840"/>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755569"/>
      <w:docPartObj>
        <w:docPartGallery w:val="Page Numbers (Bottom of Page)"/>
        <w:docPartUnique/>
      </w:docPartObj>
    </w:sdtPr>
    <w:sdtEndPr>
      <w:rPr>
        <w:noProof/>
      </w:rPr>
    </w:sdtEndPr>
    <w:sdtContent>
      <w:p w:rsidR="00535B8B" w:rsidRDefault="00535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5B8B" w:rsidRDefault="00535B8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B8B" w:rsidRDefault="00535B8B" w:rsidP="00004096">
    <w:pPr>
      <w:tabs>
        <w:tab w:val="center" w:pos="4513"/>
        <w:tab w:val="right" w:pos="9026"/>
      </w:tabs>
      <w:spacing w:after="0"/>
      <w:jc w:val="right"/>
      <w:rPr>
        <w:rFonts w:eastAsia="Times New Roman"/>
        <w:b/>
        <w:i/>
        <w:lang w:val="en-GB"/>
      </w:rPr>
    </w:pPr>
    <w:bookmarkStart w:id="14" w:name="_Hlk200539868"/>
    <w:bookmarkStart w:id="15" w:name="_Hlk200539869"/>
    <w:r>
      <w:rPr>
        <w:rFonts w:eastAsia="Times New Roman"/>
        <w:b/>
        <w:i/>
        <w:lang w:val="en-GB"/>
      </w:rPr>
      <w:t>4</w:t>
    </w:r>
    <w:r w:rsidRPr="00F500AF">
      <w:rPr>
        <w:rFonts w:eastAsia="Times New Roman"/>
        <w:b/>
        <w:i/>
        <w:vertAlign w:val="superscript"/>
        <w:lang w:val="en-GB"/>
      </w:rPr>
      <w:t>th</w:t>
    </w:r>
    <w:r w:rsidRPr="00A6172C">
      <w:rPr>
        <w:rFonts w:eastAsia="Times New Roman"/>
        <w:b/>
        <w:i/>
        <w:lang w:val="en-GB"/>
      </w:rPr>
      <w:t xml:space="preserve"> Faculty of Engineering and Technology </w:t>
    </w:r>
    <w:r>
      <w:rPr>
        <w:rFonts w:eastAsia="Times New Roman"/>
        <w:b/>
        <w:i/>
        <w:lang w:val="en-GB"/>
      </w:rPr>
      <w:t xml:space="preserve">International </w:t>
    </w:r>
    <w:r w:rsidRPr="00A6172C">
      <w:rPr>
        <w:rFonts w:eastAsia="Times New Roman"/>
        <w:b/>
        <w:i/>
        <w:lang w:val="en-GB"/>
      </w:rPr>
      <w:t>Conference (</w:t>
    </w:r>
    <w:proofErr w:type="spellStart"/>
    <w:r w:rsidRPr="00A6172C">
      <w:rPr>
        <w:rFonts w:eastAsia="Times New Roman"/>
        <w:b/>
        <w:i/>
        <w:lang w:val="en-GB"/>
      </w:rPr>
      <w:t>FETiCON</w:t>
    </w:r>
    <w:proofErr w:type="spellEnd"/>
    <w:r w:rsidRPr="00A6172C">
      <w:rPr>
        <w:rFonts w:eastAsia="Times New Roman"/>
        <w:b/>
        <w:i/>
        <w:lang w:val="en-GB"/>
      </w:rPr>
      <w:t xml:space="preserve"> 202</w:t>
    </w:r>
    <w:r>
      <w:rPr>
        <w:rFonts w:eastAsia="Times New Roman"/>
        <w:b/>
        <w:i/>
        <w:lang w:val="en-GB"/>
      </w:rPr>
      <w:t>6</w:t>
    </w:r>
    <w:r w:rsidRPr="00A6172C">
      <w:rPr>
        <w:rFonts w:eastAsia="Times New Roman"/>
        <w:b/>
        <w:i/>
        <w:lang w:val="en-GB"/>
      </w:rPr>
      <w:t>), Jun. 1 - 5, 202</w:t>
    </w:r>
    <w:r>
      <w:rPr>
        <w:rFonts w:eastAsia="Times New Roman"/>
        <w:b/>
        <w:i/>
        <w:lang w:val="en-GB"/>
      </w:rPr>
      <w:t>6</w:t>
    </w:r>
    <w:r w:rsidRPr="00A6172C">
      <w:rPr>
        <w:rFonts w:eastAsia="Times New Roman"/>
        <w:b/>
        <w:i/>
        <w:lang w:val="en-GB"/>
      </w:rPr>
      <w:t xml:space="preserve">, </w:t>
    </w:r>
  </w:p>
  <w:p w:rsidR="00535B8B" w:rsidRPr="008B7AA9" w:rsidRDefault="00535B8B" w:rsidP="00004096">
    <w:pPr>
      <w:tabs>
        <w:tab w:val="center" w:pos="4513"/>
        <w:tab w:val="right" w:pos="9026"/>
      </w:tabs>
      <w:jc w:val="right"/>
      <w:rPr>
        <w:rFonts w:eastAsia="Times New Roman"/>
        <w:b/>
        <w:i/>
        <w:lang w:val="en-GB"/>
      </w:rPr>
    </w:pPr>
    <w:r w:rsidRPr="00A6172C">
      <w:rPr>
        <w:rFonts w:eastAsia="Times New Roman"/>
        <w:b/>
        <w:i/>
        <w:lang w:val="en-GB"/>
      </w:rPr>
      <w:t>University of Ilorin, Nigeria</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1692"/>
    <w:multiLevelType w:val="hybridMultilevel"/>
    <w:tmpl w:val="050E5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106C94"/>
    <w:multiLevelType w:val="hybridMultilevel"/>
    <w:tmpl w:val="B1D4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34"/>
    <w:rsid w:val="00004096"/>
    <w:rsid w:val="000B3B6C"/>
    <w:rsid w:val="0016192F"/>
    <w:rsid w:val="00172E67"/>
    <w:rsid w:val="001774F5"/>
    <w:rsid w:val="0035598D"/>
    <w:rsid w:val="00392BFE"/>
    <w:rsid w:val="003E412C"/>
    <w:rsid w:val="00434CC2"/>
    <w:rsid w:val="004C5F76"/>
    <w:rsid w:val="00535B8B"/>
    <w:rsid w:val="00556502"/>
    <w:rsid w:val="005658B1"/>
    <w:rsid w:val="00670704"/>
    <w:rsid w:val="006F6414"/>
    <w:rsid w:val="00713471"/>
    <w:rsid w:val="007136A7"/>
    <w:rsid w:val="00752525"/>
    <w:rsid w:val="00876A34"/>
    <w:rsid w:val="0091550B"/>
    <w:rsid w:val="00A023F3"/>
    <w:rsid w:val="00A2716E"/>
    <w:rsid w:val="00A42595"/>
    <w:rsid w:val="00A75890"/>
    <w:rsid w:val="00B32307"/>
    <w:rsid w:val="00C5075B"/>
    <w:rsid w:val="00D00653"/>
    <w:rsid w:val="00D12765"/>
    <w:rsid w:val="00D44BEF"/>
    <w:rsid w:val="00D82204"/>
    <w:rsid w:val="00F3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FEF6"/>
  <w15:chartTrackingRefBased/>
  <w15:docId w15:val="{7279F281-6954-4459-A3FA-3DF3377D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525"/>
    <w:rPr>
      <w:kern w:val="2"/>
      <w14:ligatures w14:val="standardContextual"/>
    </w:rPr>
  </w:style>
  <w:style w:type="paragraph" w:styleId="Heading1">
    <w:name w:val="heading 1"/>
    <w:basedOn w:val="Normal"/>
    <w:next w:val="Normal"/>
    <w:link w:val="Heading1Char"/>
    <w:uiPriority w:val="9"/>
    <w:qFormat/>
    <w:rsid w:val="00876A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34"/>
    <w:rPr>
      <w:rFonts w:asciiTheme="majorHAnsi" w:eastAsiaTheme="majorEastAsia" w:hAnsiTheme="majorHAnsi" w:cstheme="majorBidi"/>
      <w:color w:val="2F5496" w:themeColor="accent1" w:themeShade="BF"/>
      <w:kern w:val="2"/>
      <w:sz w:val="32"/>
      <w:szCs w:val="32"/>
      <w14:ligatures w14:val="standardContextual"/>
    </w:rPr>
  </w:style>
  <w:style w:type="paragraph" w:styleId="NormalWeb">
    <w:name w:val="Normal (Web)"/>
    <w:basedOn w:val="Normal"/>
    <w:uiPriority w:val="99"/>
    <w:unhideWhenUsed/>
    <w:qFormat/>
    <w:rsid w:val="00876A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76A3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76A34"/>
    <w:rPr>
      <w:color w:val="0000FF"/>
      <w:u w:val="single"/>
    </w:rPr>
  </w:style>
  <w:style w:type="paragraph" w:styleId="ListParagraph">
    <w:name w:val="List Paragraph"/>
    <w:basedOn w:val="Normal"/>
    <w:uiPriority w:val="34"/>
    <w:qFormat/>
    <w:rsid w:val="00876A34"/>
    <w:pPr>
      <w:ind w:left="720"/>
      <w:contextualSpacing/>
    </w:pPr>
  </w:style>
  <w:style w:type="paragraph" w:styleId="Footer">
    <w:name w:val="footer"/>
    <w:basedOn w:val="Normal"/>
    <w:link w:val="FooterChar"/>
    <w:uiPriority w:val="99"/>
    <w:unhideWhenUsed/>
    <w:rsid w:val="0087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A34"/>
    <w:rPr>
      <w:kern w:val="2"/>
      <w14:ligatures w14:val="standardContextual"/>
    </w:rPr>
  </w:style>
  <w:style w:type="paragraph" w:customStyle="1" w:styleId="EndNoteBibliography">
    <w:name w:val="EndNote Bibliography"/>
    <w:basedOn w:val="Normal"/>
    <w:link w:val="EndNoteBibliographyChar"/>
    <w:rsid w:val="00876A34"/>
    <w:pPr>
      <w:spacing w:line="240" w:lineRule="auto"/>
    </w:pPr>
    <w:rPr>
      <w:rFonts w:ascii="Calibri" w:hAnsi="Calibri" w:cs="Calibri"/>
      <w:noProof/>
      <w:sz w:val="24"/>
      <w:szCs w:val="24"/>
    </w:rPr>
  </w:style>
  <w:style w:type="character" w:customStyle="1" w:styleId="EndNoteBibliographyChar">
    <w:name w:val="EndNote Bibliography Char"/>
    <w:basedOn w:val="DefaultParagraphFont"/>
    <w:link w:val="EndNoteBibliography"/>
    <w:rsid w:val="00876A34"/>
    <w:rPr>
      <w:rFonts w:ascii="Calibri" w:hAnsi="Calibri" w:cs="Calibri"/>
      <w:noProof/>
      <w:kern w:val="2"/>
      <w:sz w:val="24"/>
      <w:szCs w:val="24"/>
      <w14:ligatures w14:val="standardContextual"/>
    </w:rPr>
  </w:style>
  <w:style w:type="character" w:styleId="Strong">
    <w:name w:val="Strong"/>
    <w:basedOn w:val="DefaultParagraphFont"/>
    <w:uiPriority w:val="22"/>
    <w:qFormat/>
    <w:rsid w:val="004C5F76"/>
    <w:rPr>
      <w:b/>
      <w:bCs/>
    </w:rPr>
  </w:style>
  <w:style w:type="character" w:styleId="Emphasis">
    <w:name w:val="Emphasis"/>
    <w:basedOn w:val="DefaultParagraphFont"/>
    <w:uiPriority w:val="20"/>
    <w:qFormat/>
    <w:rsid w:val="004C5F76"/>
    <w:rPr>
      <w:i/>
      <w:iCs/>
    </w:rPr>
  </w:style>
  <w:style w:type="paragraph" w:styleId="NoSpacing">
    <w:name w:val="No Spacing"/>
    <w:uiPriority w:val="1"/>
    <w:qFormat/>
    <w:rsid w:val="004C5F76"/>
    <w:pPr>
      <w:spacing w:after="0" w:line="240" w:lineRule="auto"/>
    </w:pPr>
    <w:rPr>
      <w:lang w:val="en-GB"/>
    </w:rPr>
  </w:style>
  <w:style w:type="table" w:customStyle="1" w:styleId="TableGrid1">
    <w:name w:val="Table Grid1"/>
    <w:basedOn w:val="TableNormal"/>
    <w:next w:val="TableGrid"/>
    <w:uiPriority w:val="59"/>
    <w:rsid w:val="0000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2307"/>
    <w:rPr>
      <w:color w:val="808080"/>
    </w:rPr>
  </w:style>
  <w:style w:type="paragraph" w:styleId="Bibliography">
    <w:name w:val="Bibliography"/>
    <w:basedOn w:val="Normal"/>
    <w:next w:val="Normal"/>
    <w:uiPriority w:val="37"/>
    <w:unhideWhenUsed/>
    <w:rsid w:val="0017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1885">
      <w:bodyDiv w:val="1"/>
      <w:marLeft w:val="0"/>
      <w:marRight w:val="0"/>
      <w:marTop w:val="0"/>
      <w:marBottom w:val="0"/>
      <w:divBdr>
        <w:top w:val="none" w:sz="0" w:space="0" w:color="auto"/>
        <w:left w:val="none" w:sz="0" w:space="0" w:color="auto"/>
        <w:bottom w:val="none" w:sz="0" w:space="0" w:color="auto"/>
        <w:right w:val="none" w:sz="0" w:space="0" w:color="auto"/>
      </w:divBdr>
    </w:div>
    <w:div w:id="234241645">
      <w:bodyDiv w:val="1"/>
      <w:marLeft w:val="0"/>
      <w:marRight w:val="0"/>
      <w:marTop w:val="0"/>
      <w:marBottom w:val="0"/>
      <w:divBdr>
        <w:top w:val="none" w:sz="0" w:space="0" w:color="auto"/>
        <w:left w:val="none" w:sz="0" w:space="0" w:color="auto"/>
        <w:bottom w:val="none" w:sz="0" w:space="0" w:color="auto"/>
        <w:right w:val="none" w:sz="0" w:space="0" w:color="auto"/>
      </w:divBdr>
    </w:div>
    <w:div w:id="261105704">
      <w:bodyDiv w:val="1"/>
      <w:marLeft w:val="0"/>
      <w:marRight w:val="0"/>
      <w:marTop w:val="0"/>
      <w:marBottom w:val="0"/>
      <w:divBdr>
        <w:top w:val="none" w:sz="0" w:space="0" w:color="auto"/>
        <w:left w:val="none" w:sz="0" w:space="0" w:color="auto"/>
        <w:bottom w:val="none" w:sz="0" w:space="0" w:color="auto"/>
        <w:right w:val="none" w:sz="0" w:space="0" w:color="auto"/>
      </w:divBdr>
    </w:div>
    <w:div w:id="349988001">
      <w:bodyDiv w:val="1"/>
      <w:marLeft w:val="0"/>
      <w:marRight w:val="0"/>
      <w:marTop w:val="0"/>
      <w:marBottom w:val="0"/>
      <w:divBdr>
        <w:top w:val="none" w:sz="0" w:space="0" w:color="auto"/>
        <w:left w:val="none" w:sz="0" w:space="0" w:color="auto"/>
        <w:bottom w:val="none" w:sz="0" w:space="0" w:color="auto"/>
        <w:right w:val="none" w:sz="0" w:space="0" w:color="auto"/>
      </w:divBdr>
    </w:div>
    <w:div w:id="394082656">
      <w:bodyDiv w:val="1"/>
      <w:marLeft w:val="0"/>
      <w:marRight w:val="0"/>
      <w:marTop w:val="0"/>
      <w:marBottom w:val="0"/>
      <w:divBdr>
        <w:top w:val="none" w:sz="0" w:space="0" w:color="auto"/>
        <w:left w:val="none" w:sz="0" w:space="0" w:color="auto"/>
        <w:bottom w:val="none" w:sz="0" w:space="0" w:color="auto"/>
        <w:right w:val="none" w:sz="0" w:space="0" w:color="auto"/>
      </w:divBdr>
    </w:div>
    <w:div w:id="432671041">
      <w:bodyDiv w:val="1"/>
      <w:marLeft w:val="0"/>
      <w:marRight w:val="0"/>
      <w:marTop w:val="0"/>
      <w:marBottom w:val="0"/>
      <w:divBdr>
        <w:top w:val="none" w:sz="0" w:space="0" w:color="auto"/>
        <w:left w:val="none" w:sz="0" w:space="0" w:color="auto"/>
        <w:bottom w:val="none" w:sz="0" w:space="0" w:color="auto"/>
        <w:right w:val="none" w:sz="0" w:space="0" w:color="auto"/>
      </w:divBdr>
    </w:div>
    <w:div w:id="449518992">
      <w:bodyDiv w:val="1"/>
      <w:marLeft w:val="0"/>
      <w:marRight w:val="0"/>
      <w:marTop w:val="0"/>
      <w:marBottom w:val="0"/>
      <w:divBdr>
        <w:top w:val="none" w:sz="0" w:space="0" w:color="auto"/>
        <w:left w:val="none" w:sz="0" w:space="0" w:color="auto"/>
        <w:bottom w:val="none" w:sz="0" w:space="0" w:color="auto"/>
        <w:right w:val="none" w:sz="0" w:space="0" w:color="auto"/>
      </w:divBdr>
    </w:div>
    <w:div w:id="460684274">
      <w:bodyDiv w:val="1"/>
      <w:marLeft w:val="0"/>
      <w:marRight w:val="0"/>
      <w:marTop w:val="0"/>
      <w:marBottom w:val="0"/>
      <w:divBdr>
        <w:top w:val="none" w:sz="0" w:space="0" w:color="auto"/>
        <w:left w:val="none" w:sz="0" w:space="0" w:color="auto"/>
        <w:bottom w:val="none" w:sz="0" w:space="0" w:color="auto"/>
        <w:right w:val="none" w:sz="0" w:space="0" w:color="auto"/>
      </w:divBdr>
    </w:div>
    <w:div w:id="464547937">
      <w:bodyDiv w:val="1"/>
      <w:marLeft w:val="0"/>
      <w:marRight w:val="0"/>
      <w:marTop w:val="0"/>
      <w:marBottom w:val="0"/>
      <w:divBdr>
        <w:top w:val="none" w:sz="0" w:space="0" w:color="auto"/>
        <w:left w:val="none" w:sz="0" w:space="0" w:color="auto"/>
        <w:bottom w:val="none" w:sz="0" w:space="0" w:color="auto"/>
        <w:right w:val="none" w:sz="0" w:space="0" w:color="auto"/>
      </w:divBdr>
    </w:div>
    <w:div w:id="549460150">
      <w:bodyDiv w:val="1"/>
      <w:marLeft w:val="0"/>
      <w:marRight w:val="0"/>
      <w:marTop w:val="0"/>
      <w:marBottom w:val="0"/>
      <w:divBdr>
        <w:top w:val="none" w:sz="0" w:space="0" w:color="auto"/>
        <w:left w:val="none" w:sz="0" w:space="0" w:color="auto"/>
        <w:bottom w:val="none" w:sz="0" w:space="0" w:color="auto"/>
        <w:right w:val="none" w:sz="0" w:space="0" w:color="auto"/>
      </w:divBdr>
    </w:div>
    <w:div w:id="719548310">
      <w:bodyDiv w:val="1"/>
      <w:marLeft w:val="0"/>
      <w:marRight w:val="0"/>
      <w:marTop w:val="0"/>
      <w:marBottom w:val="0"/>
      <w:divBdr>
        <w:top w:val="none" w:sz="0" w:space="0" w:color="auto"/>
        <w:left w:val="none" w:sz="0" w:space="0" w:color="auto"/>
        <w:bottom w:val="none" w:sz="0" w:space="0" w:color="auto"/>
        <w:right w:val="none" w:sz="0" w:space="0" w:color="auto"/>
      </w:divBdr>
    </w:div>
    <w:div w:id="726684449">
      <w:bodyDiv w:val="1"/>
      <w:marLeft w:val="0"/>
      <w:marRight w:val="0"/>
      <w:marTop w:val="0"/>
      <w:marBottom w:val="0"/>
      <w:divBdr>
        <w:top w:val="none" w:sz="0" w:space="0" w:color="auto"/>
        <w:left w:val="none" w:sz="0" w:space="0" w:color="auto"/>
        <w:bottom w:val="none" w:sz="0" w:space="0" w:color="auto"/>
        <w:right w:val="none" w:sz="0" w:space="0" w:color="auto"/>
      </w:divBdr>
    </w:div>
    <w:div w:id="918976843">
      <w:bodyDiv w:val="1"/>
      <w:marLeft w:val="0"/>
      <w:marRight w:val="0"/>
      <w:marTop w:val="0"/>
      <w:marBottom w:val="0"/>
      <w:divBdr>
        <w:top w:val="none" w:sz="0" w:space="0" w:color="auto"/>
        <w:left w:val="none" w:sz="0" w:space="0" w:color="auto"/>
        <w:bottom w:val="none" w:sz="0" w:space="0" w:color="auto"/>
        <w:right w:val="none" w:sz="0" w:space="0" w:color="auto"/>
      </w:divBdr>
    </w:div>
    <w:div w:id="950430090">
      <w:bodyDiv w:val="1"/>
      <w:marLeft w:val="0"/>
      <w:marRight w:val="0"/>
      <w:marTop w:val="0"/>
      <w:marBottom w:val="0"/>
      <w:divBdr>
        <w:top w:val="none" w:sz="0" w:space="0" w:color="auto"/>
        <w:left w:val="none" w:sz="0" w:space="0" w:color="auto"/>
        <w:bottom w:val="none" w:sz="0" w:space="0" w:color="auto"/>
        <w:right w:val="none" w:sz="0" w:space="0" w:color="auto"/>
      </w:divBdr>
    </w:div>
    <w:div w:id="1022239694">
      <w:bodyDiv w:val="1"/>
      <w:marLeft w:val="0"/>
      <w:marRight w:val="0"/>
      <w:marTop w:val="0"/>
      <w:marBottom w:val="0"/>
      <w:divBdr>
        <w:top w:val="none" w:sz="0" w:space="0" w:color="auto"/>
        <w:left w:val="none" w:sz="0" w:space="0" w:color="auto"/>
        <w:bottom w:val="none" w:sz="0" w:space="0" w:color="auto"/>
        <w:right w:val="none" w:sz="0" w:space="0" w:color="auto"/>
      </w:divBdr>
    </w:div>
    <w:div w:id="1028025060">
      <w:bodyDiv w:val="1"/>
      <w:marLeft w:val="0"/>
      <w:marRight w:val="0"/>
      <w:marTop w:val="0"/>
      <w:marBottom w:val="0"/>
      <w:divBdr>
        <w:top w:val="none" w:sz="0" w:space="0" w:color="auto"/>
        <w:left w:val="none" w:sz="0" w:space="0" w:color="auto"/>
        <w:bottom w:val="none" w:sz="0" w:space="0" w:color="auto"/>
        <w:right w:val="none" w:sz="0" w:space="0" w:color="auto"/>
      </w:divBdr>
    </w:div>
    <w:div w:id="1046103156">
      <w:bodyDiv w:val="1"/>
      <w:marLeft w:val="0"/>
      <w:marRight w:val="0"/>
      <w:marTop w:val="0"/>
      <w:marBottom w:val="0"/>
      <w:divBdr>
        <w:top w:val="none" w:sz="0" w:space="0" w:color="auto"/>
        <w:left w:val="none" w:sz="0" w:space="0" w:color="auto"/>
        <w:bottom w:val="none" w:sz="0" w:space="0" w:color="auto"/>
        <w:right w:val="none" w:sz="0" w:space="0" w:color="auto"/>
      </w:divBdr>
    </w:div>
    <w:div w:id="1076056185">
      <w:bodyDiv w:val="1"/>
      <w:marLeft w:val="0"/>
      <w:marRight w:val="0"/>
      <w:marTop w:val="0"/>
      <w:marBottom w:val="0"/>
      <w:divBdr>
        <w:top w:val="none" w:sz="0" w:space="0" w:color="auto"/>
        <w:left w:val="none" w:sz="0" w:space="0" w:color="auto"/>
        <w:bottom w:val="none" w:sz="0" w:space="0" w:color="auto"/>
        <w:right w:val="none" w:sz="0" w:space="0" w:color="auto"/>
      </w:divBdr>
    </w:div>
    <w:div w:id="1191183273">
      <w:bodyDiv w:val="1"/>
      <w:marLeft w:val="0"/>
      <w:marRight w:val="0"/>
      <w:marTop w:val="0"/>
      <w:marBottom w:val="0"/>
      <w:divBdr>
        <w:top w:val="none" w:sz="0" w:space="0" w:color="auto"/>
        <w:left w:val="none" w:sz="0" w:space="0" w:color="auto"/>
        <w:bottom w:val="none" w:sz="0" w:space="0" w:color="auto"/>
        <w:right w:val="none" w:sz="0" w:space="0" w:color="auto"/>
      </w:divBdr>
    </w:div>
    <w:div w:id="1221404124">
      <w:bodyDiv w:val="1"/>
      <w:marLeft w:val="0"/>
      <w:marRight w:val="0"/>
      <w:marTop w:val="0"/>
      <w:marBottom w:val="0"/>
      <w:divBdr>
        <w:top w:val="none" w:sz="0" w:space="0" w:color="auto"/>
        <w:left w:val="none" w:sz="0" w:space="0" w:color="auto"/>
        <w:bottom w:val="none" w:sz="0" w:space="0" w:color="auto"/>
        <w:right w:val="none" w:sz="0" w:space="0" w:color="auto"/>
      </w:divBdr>
    </w:div>
    <w:div w:id="1231618801">
      <w:bodyDiv w:val="1"/>
      <w:marLeft w:val="0"/>
      <w:marRight w:val="0"/>
      <w:marTop w:val="0"/>
      <w:marBottom w:val="0"/>
      <w:divBdr>
        <w:top w:val="none" w:sz="0" w:space="0" w:color="auto"/>
        <w:left w:val="none" w:sz="0" w:space="0" w:color="auto"/>
        <w:bottom w:val="none" w:sz="0" w:space="0" w:color="auto"/>
        <w:right w:val="none" w:sz="0" w:space="0" w:color="auto"/>
      </w:divBdr>
    </w:div>
    <w:div w:id="1313021205">
      <w:bodyDiv w:val="1"/>
      <w:marLeft w:val="0"/>
      <w:marRight w:val="0"/>
      <w:marTop w:val="0"/>
      <w:marBottom w:val="0"/>
      <w:divBdr>
        <w:top w:val="none" w:sz="0" w:space="0" w:color="auto"/>
        <w:left w:val="none" w:sz="0" w:space="0" w:color="auto"/>
        <w:bottom w:val="none" w:sz="0" w:space="0" w:color="auto"/>
        <w:right w:val="none" w:sz="0" w:space="0" w:color="auto"/>
      </w:divBdr>
    </w:div>
    <w:div w:id="1367757164">
      <w:bodyDiv w:val="1"/>
      <w:marLeft w:val="0"/>
      <w:marRight w:val="0"/>
      <w:marTop w:val="0"/>
      <w:marBottom w:val="0"/>
      <w:divBdr>
        <w:top w:val="none" w:sz="0" w:space="0" w:color="auto"/>
        <w:left w:val="none" w:sz="0" w:space="0" w:color="auto"/>
        <w:bottom w:val="none" w:sz="0" w:space="0" w:color="auto"/>
        <w:right w:val="none" w:sz="0" w:space="0" w:color="auto"/>
      </w:divBdr>
    </w:div>
    <w:div w:id="1371150847">
      <w:bodyDiv w:val="1"/>
      <w:marLeft w:val="0"/>
      <w:marRight w:val="0"/>
      <w:marTop w:val="0"/>
      <w:marBottom w:val="0"/>
      <w:divBdr>
        <w:top w:val="none" w:sz="0" w:space="0" w:color="auto"/>
        <w:left w:val="none" w:sz="0" w:space="0" w:color="auto"/>
        <w:bottom w:val="none" w:sz="0" w:space="0" w:color="auto"/>
        <w:right w:val="none" w:sz="0" w:space="0" w:color="auto"/>
      </w:divBdr>
    </w:div>
    <w:div w:id="1434395971">
      <w:bodyDiv w:val="1"/>
      <w:marLeft w:val="0"/>
      <w:marRight w:val="0"/>
      <w:marTop w:val="0"/>
      <w:marBottom w:val="0"/>
      <w:divBdr>
        <w:top w:val="none" w:sz="0" w:space="0" w:color="auto"/>
        <w:left w:val="none" w:sz="0" w:space="0" w:color="auto"/>
        <w:bottom w:val="none" w:sz="0" w:space="0" w:color="auto"/>
        <w:right w:val="none" w:sz="0" w:space="0" w:color="auto"/>
      </w:divBdr>
    </w:div>
    <w:div w:id="1469786389">
      <w:bodyDiv w:val="1"/>
      <w:marLeft w:val="0"/>
      <w:marRight w:val="0"/>
      <w:marTop w:val="0"/>
      <w:marBottom w:val="0"/>
      <w:divBdr>
        <w:top w:val="none" w:sz="0" w:space="0" w:color="auto"/>
        <w:left w:val="none" w:sz="0" w:space="0" w:color="auto"/>
        <w:bottom w:val="none" w:sz="0" w:space="0" w:color="auto"/>
        <w:right w:val="none" w:sz="0" w:space="0" w:color="auto"/>
      </w:divBdr>
    </w:div>
    <w:div w:id="1508516231">
      <w:bodyDiv w:val="1"/>
      <w:marLeft w:val="0"/>
      <w:marRight w:val="0"/>
      <w:marTop w:val="0"/>
      <w:marBottom w:val="0"/>
      <w:divBdr>
        <w:top w:val="none" w:sz="0" w:space="0" w:color="auto"/>
        <w:left w:val="none" w:sz="0" w:space="0" w:color="auto"/>
        <w:bottom w:val="none" w:sz="0" w:space="0" w:color="auto"/>
        <w:right w:val="none" w:sz="0" w:space="0" w:color="auto"/>
      </w:divBdr>
    </w:div>
    <w:div w:id="1578976573">
      <w:bodyDiv w:val="1"/>
      <w:marLeft w:val="0"/>
      <w:marRight w:val="0"/>
      <w:marTop w:val="0"/>
      <w:marBottom w:val="0"/>
      <w:divBdr>
        <w:top w:val="none" w:sz="0" w:space="0" w:color="auto"/>
        <w:left w:val="none" w:sz="0" w:space="0" w:color="auto"/>
        <w:bottom w:val="none" w:sz="0" w:space="0" w:color="auto"/>
        <w:right w:val="none" w:sz="0" w:space="0" w:color="auto"/>
      </w:divBdr>
    </w:div>
    <w:div w:id="1607494460">
      <w:bodyDiv w:val="1"/>
      <w:marLeft w:val="0"/>
      <w:marRight w:val="0"/>
      <w:marTop w:val="0"/>
      <w:marBottom w:val="0"/>
      <w:divBdr>
        <w:top w:val="none" w:sz="0" w:space="0" w:color="auto"/>
        <w:left w:val="none" w:sz="0" w:space="0" w:color="auto"/>
        <w:bottom w:val="none" w:sz="0" w:space="0" w:color="auto"/>
        <w:right w:val="none" w:sz="0" w:space="0" w:color="auto"/>
      </w:divBdr>
    </w:div>
    <w:div w:id="1718509295">
      <w:bodyDiv w:val="1"/>
      <w:marLeft w:val="0"/>
      <w:marRight w:val="0"/>
      <w:marTop w:val="0"/>
      <w:marBottom w:val="0"/>
      <w:divBdr>
        <w:top w:val="none" w:sz="0" w:space="0" w:color="auto"/>
        <w:left w:val="none" w:sz="0" w:space="0" w:color="auto"/>
        <w:bottom w:val="none" w:sz="0" w:space="0" w:color="auto"/>
        <w:right w:val="none" w:sz="0" w:space="0" w:color="auto"/>
      </w:divBdr>
    </w:div>
    <w:div w:id="1776443651">
      <w:bodyDiv w:val="1"/>
      <w:marLeft w:val="0"/>
      <w:marRight w:val="0"/>
      <w:marTop w:val="0"/>
      <w:marBottom w:val="0"/>
      <w:divBdr>
        <w:top w:val="none" w:sz="0" w:space="0" w:color="auto"/>
        <w:left w:val="none" w:sz="0" w:space="0" w:color="auto"/>
        <w:bottom w:val="none" w:sz="0" w:space="0" w:color="auto"/>
        <w:right w:val="none" w:sz="0" w:space="0" w:color="auto"/>
      </w:divBdr>
    </w:div>
    <w:div w:id="1783652231">
      <w:bodyDiv w:val="1"/>
      <w:marLeft w:val="0"/>
      <w:marRight w:val="0"/>
      <w:marTop w:val="0"/>
      <w:marBottom w:val="0"/>
      <w:divBdr>
        <w:top w:val="none" w:sz="0" w:space="0" w:color="auto"/>
        <w:left w:val="none" w:sz="0" w:space="0" w:color="auto"/>
        <w:bottom w:val="none" w:sz="0" w:space="0" w:color="auto"/>
        <w:right w:val="none" w:sz="0" w:space="0" w:color="auto"/>
      </w:divBdr>
    </w:div>
    <w:div w:id="1954821848">
      <w:bodyDiv w:val="1"/>
      <w:marLeft w:val="0"/>
      <w:marRight w:val="0"/>
      <w:marTop w:val="0"/>
      <w:marBottom w:val="0"/>
      <w:divBdr>
        <w:top w:val="none" w:sz="0" w:space="0" w:color="auto"/>
        <w:left w:val="none" w:sz="0" w:space="0" w:color="auto"/>
        <w:bottom w:val="none" w:sz="0" w:space="0" w:color="auto"/>
        <w:right w:val="none" w:sz="0" w:space="0" w:color="auto"/>
      </w:divBdr>
    </w:div>
    <w:div w:id="2078629066">
      <w:bodyDiv w:val="1"/>
      <w:marLeft w:val="0"/>
      <w:marRight w:val="0"/>
      <w:marTop w:val="0"/>
      <w:marBottom w:val="0"/>
      <w:divBdr>
        <w:top w:val="none" w:sz="0" w:space="0" w:color="auto"/>
        <w:left w:val="none" w:sz="0" w:space="0" w:color="auto"/>
        <w:bottom w:val="none" w:sz="0" w:space="0" w:color="auto"/>
        <w:right w:val="none" w:sz="0" w:space="0" w:color="auto"/>
      </w:divBdr>
    </w:div>
    <w:div w:id="20865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amsonogundipe@pgschool.edu.ng,samsonogundipe81@gmail.com"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Kan25</b:Tag>
    <b:SourceType>JournalArticle</b:SourceType>
    <b:Guid>{609C3DE5-E4A9-4EBC-9D2A-F29C4E6D477C}</b:Guid>
    <b:Author>
      <b:Author>
        <b:NameList>
          <b:Person>
            <b:Last>Kanwal</b:Last>
            <b:First>H.</b:First>
          </b:Person>
          <b:Person>
            <b:Last>Anwar</b:Last>
            <b:First>F.</b:First>
          </b:Person>
          <b:Person>
            <b:Last>Tanvir</b:Last>
            <b:First>A.</b:First>
          </b:Person>
          <b:Person>
            <b:Last>Abidi</b:Last>
            <b:First>S.</b:First>
            <b:Middle>H. I.</b:Middle>
          </b:Person>
          <b:Person>
            <b:Last>Mumtaz</b:Last>
            <b:First>M.</b:First>
            <b:Middle>W.</b:Middle>
          </b:Person>
        </b:NameList>
      </b:Author>
    </b:Author>
    <b:Title>Optimization of trimetallic Cu–Cr–Ca nanoparticle-catalyzed transesterification of amla (Phyllanthus emblica L.) seed oil: analytical characterization and fuel properties of biodiesel</b:Title>
    <b:JournalName>RSC advances</b:JournalName>
    <b:Year>2025</b:Year>
    <b:Pages>13838-13856</b:Pages>
    <b:Volume> 15</b:Volume>
    <b:Issue>18</b:Issue>
    <b:RefOrder>15</b:RefOrder>
  </b:Source>
  <b:Source>
    <b:Tag>Ode16</b:Tag>
    <b:SourceType>JournalArticle</b:SourceType>
    <b:Guid>{CE0E164B-8345-44C4-8E84-D32E7AB31AE3}</b:Guid>
    <b:Author>
      <b:Author>
        <b:NameList>
          <b:Person>
            <b:Last>Odetoye</b:Last>
            <b:First>T.</b:First>
            <b:Middle>E.</b:Middle>
          </b:Person>
          <b:Person>
            <b:Last>Afolabi</b:Last>
            <b:First>T.</b:First>
            <b:Middle>J.</b:Middle>
          </b:Person>
          <b:Person>
            <b:Last>Onifade</b:Last>
            <b:First>K.</b:First>
            <b:Middle>R.</b:Middle>
          </b:Person>
          <b:Person>
            <b:Last>.</b:Last>
          </b:Person>
        </b:NameList>
      </b:Author>
    </b:Author>
    <b:Title>Effects of extraction process parameters on the quality characteristics of Parinari polyandra B. seed oil.</b:Title>
    <b:JournalName>Nigerian Journal of Technological Development,</b:JournalName>
    <b:Year>2016</b:Year>
    <b:Pages>40-49.</b:Pages>
    <b:Volume>13</b:Volume>
    <b:Issue>2</b:Issue>
    <b:RefOrder>14</b:RefOrder>
  </b:Source>
  <b:Source>
    <b:Tag>Hol221</b:Tag>
    <b:SourceType>JournalArticle</b:SourceType>
    <b:Guid>{54B6B7F4-872F-4A9A-B2BD-359325A424EE}</b:Guid>
    <b:Author>
      <b:Author>
        <b:NameList>
          <b:Person>
            <b:Last>Holechek</b:Last>
            <b:First>J.</b:First>
            <b:Middle>L.</b:Middle>
          </b:Person>
          <b:Person>
            <b:Last>Geli</b:Last>
            <b:First>H.</b:First>
            <b:Middle>M.</b:Middle>
          </b:Person>
          <b:Person>
            <b:Last>Sawalhah</b:Last>
            <b:First>M.</b:First>
            <b:Middle>N.</b:Middle>
          </b:Person>
          <b:Person>
            <b:Last>Valdez</b:Last>
            <b:First>R.</b:First>
          </b:Person>
        </b:NameList>
      </b:Author>
    </b:Author>
    <b:Title>A global assessment: can renewable energy replace fossil fuels by 2050</b:Title>
    <b:JournalName>Sustainability</b:JournalName>
    <b:Year>2022</b:Year>
    <b:Pages>4792</b:Pages>
    <b:Volume>14</b:Volume>
    <b:Issue>8</b:Issue>
    <b:RefOrder>1</b:RefOrder>
  </b:Source>
  <b:Source>
    <b:Tag>Zha256</b:Tag>
    <b:SourceType>JournalArticle</b:SourceType>
    <b:Guid>{4D34B62E-7331-40B2-886F-8DFBACE630A5}</b:Guid>
    <b:Author>
      <b:Author>
        <b:NameList>
          <b:Person>
            <b:Last>Zhang</b:Last>
            <b:First>J.</b:First>
          </b:Person>
          <b:Person>
            <b:Last>Usman</b:Last>
            <b:First>M.</b:First>
          </b:Person>
        </b:NameList>
      </b:Author>
    </b:Author>
    <b:Title>Redefining energy policy for sustainable growth: The interplay of fossil fuel subsidies, energy security risks, and energy balances in shaping geopolitical stability</b:Title>
    <b:JournalName>Energy</b:JournalName>
    <b:Year>2025</b:Year>
    <b:Pages>135620.</b:Pages>
    <b:Volume>322</b:Volume>
    <b:RefOrder>2</b:RefOrder>
  </b:Source>
  <b:Source>
    <b:Tag>Soe25</b:Tag>
    <b:SourceType>JournalArticle</b:SourceType>
    <b:Guid>{69A64703-6451-48BD-8C7E-37B4468D2B7E}</b:Guid>
    <b:Author>
      <b:Author>
        <b:NameList>
          <b:Person>
            <b:Last>Soeder</b:Last>
            <b:First>D.</b:First>
            <b:Middle>J.</b:Middle>
          </b:Person>
        </b:NameList>
      </b:Author>
    </b:Author>
    <b:Title>Greenhouse gas and climate change. In Energy futures: The story of fossil fuel, greenhouse gas, and climate change </b:Title>
    <b:JournalName>Cham: Springer Nature Switzerland</b:JournalName>
    <b:Year>2025</b:Year>
    <b:Pages>97-141</b:Pages>
    <b:RefOrder>3</b:RefOrder>
  </b:Source>
  <b:Source>
    <b:Tag>Vat251</b:Tag>
    <b:SourceType>JournalArticle</b:SourceType>
    <b:Guid>{BC646BBC-D799-4DE0-97A1-86DFE9A8BAD1}</b:Guid>
    <b:Author>
      <b:Author>
        <b:NameList>
          <b:Person>
            <b:Last>Vatsha</b:Last>
            <b:First>P.</b:First>
          </b:Person>
          <b:Person>
            <b:Last>Alam</b:Last>
            <b:First>M.</b:First>
            <b:Middle>R.</b:Middle>
          </b:Person>
        </b:NameList>
      </b:Author>
    </b:Author>
    <b:Title>Environmental aspects of biofuels used as sustainable energy resources: Current situation and future trends. </b:Title>
    <b:JournalName>Biofuels and Sustainability</b:JournalName>
    <b:Year>2025</b:Year>
    <b:Pages> 19-31</b:Pages>
    <b:RefOrder>4</b:RefOrder>
  </b:Source>
  <b:Source>
    <b:Tag>Muh251</b:Tag>
    <b:SourceType>JournalArticle</b:SourceType>
    <b:Guid>{6264C706-4248-49AC-BAA8-F54B4D6772D8}</b:Guid>
    <b:Author>
      <b:Author>
        <b:NameList>
          <b:Person>
            <b:Last>Muhammed Raji</b:Last>
            <b:First>A.</b:First>
          </b:Person>
          <b:Person>
            <b:Last>Manescau</b:Last>
            <b:First>B.</b:First>
          </b:Person>
          <b:Person>
            <b:Last>Chetehouna</b:Last>
            <b:First>K.</b:First>
          </b:Person>
          <b:Person>
            <b:Last>Ogabi</b:Last>
            <b:First>R.</b:First>
          </b:Person>
        </b:NameList>
      </b:Author>
    </b:Author>
    <b:Title>Overview of thermal and analytical characterization techniques for biofuels and its blends</b:Title>
    <b:JournalName>Journal of Thermal Analysis and Calorimetry</b:JournalName>
    <b:Year>2025</b:Year>
    <b:Pages>3007-3036.</b:Pages>
    <b:Volume>150</b:Volume>
    <b:Issue>5</b:Issue>
    <b:RefOrder>5</b:RefOrder>
  </b:Source>
  <b:Source>
    <b:Tag>Suh241</b:Tag>
    <b:SourceType>JournalArticle</b:SourceType>
    <b:Guid>{37282BA9-C894-442D-8DA1-83B7A359A459}</b:Guid>
    <b:Author>
      <b:Author>
        <b:NameList>
          <b:Person>
            <b:Last>Suhara</b:Last>
            <b:First>A.</b:First>
          </b:Person>
          <b:Person>
            <b:Last>Karyadi</b:Last>
            <b:First>Herawan,</b:First>
            <b:Middle>S. G.</b:Middle>
          </b:Person>
          <b:Person>
            <b:Last>Tirta</b:Last>
            <b:First>A.</b:First>
          </b:Person>
          <b:Person>
            <b:Last>Idris</b:Last>
            <b:First>M.</b:First>
          </b:Person>
          <b:Person>
            <b:Last>Roslan</b:Last>
            <b:First>M.</b:First>
            <b:Middle>F.</b:Middle>
          </b:Person>
          <b:Person>
            <b:Last>Veza</b:Last>
            <b:First>I.</b:First>
          </b:Person>
        </b:NameList>
      </b:Author>
    </b:Author>
    <b:Title>Biodiesel sustainability: review of progress and challenges of biodiesel as sustainable biofuel</b:Title>
    <b:JournalName>Clean Technologies</b:JournalName>
    <b:Year>2024</b:Year>
    <b:Pages>886-906.</b:Pages>
    <b:Volume>6</b:Volume>
    <b:Issue>3</b:Issue>
    <b:RefOrder>6</b:RefOrder>
  </b:Source>
  <b:Source>
    <b:Tag>Ume25</b:Tag>
    <b:SourceType>JournalArticle</b:SourceType>
    <b:Guid>{80F05838-E25B-4879-B835-EF7FA2395274}</b:Guid>
    <b:Author>
      <b:Author>
        <b:NameList>
          <b:Person>
            <b:Last>Umeh</b:Last>
            <b:First>S.</b:First>
            <b:Middle>I.</b:Middle>
          </b:Person>
          <b:Person>
            <b:Last>Okonkwo</b:Last>
            <b:First>P.</b:First>
            <b:Middle>A.</b:Middle>
          </b:Person>
        </b:NameList>
      </b:Author>
    </b:Author>
    <b:Title>The essential properties of oils for biodiesel production</b:Title>
    <b:JournalName>Biodiesel Plants-Fueling the Sustainable Outlooks</b:JournalName>
    <b:Year>2025</b:Year>
    <b:Pages>2</b:Pages>
    <b:RefOrder>7</b:RefOrder>
  </b:Source>
  <b:Source>
    <b:Tag>Ula22</b:Tag>
    <b:SourceType>JournalArticle</b:SourceType>
    <b:Guid>{966E9317-4C56-4EB1-B630-C31DB83B9440}</b:Guid>
    <b:Author>
      <b:Author>
        <b:NameList>
          <b:Person>
            <b:Last>Ulakpa</b:Last>
            <b:First>W.</b:First>
            <b:Middle>C.</b:Middle>
          </b:Person>
          <b:Person>
            <b:Last>Ulakpa</b:Last>
            <b:First>R.</b:First>
            <b:Middle>O.</b:Middle>
          </b:Person>
          <b:Person>
            <b:Last>Egwunyenga</b:Last>
            <b:First>M.</b:First>
            <b:Middle>C.</b:Middle>
          </b:Person>
          <b:Person>
            <b:Last>Egbosiuba</b:Last>
            <b:First>T.</b:First>
            <b:Middle>C.</b:Middle>
          </b:Person>
        </b:NameList>
      </b:Author>
    </b:Author>
    <b:Title>Transesterification of non-edible oil and effects of process parameters on biodiesel yield</b:Title>
    <b:JournalName>Cleaner Waste Systems</b:JournalName>
    <b:Year>2022</b:Year>
    <b:Pages>100047</b:Pages>
    <b:Volume>3</b:Volume>
    <b:RefOrder>8</b:RefOrder>
  </b:Source>
  <b:Source>
    <b:Tag>Mas25</b:Tag>
    <b:SourceType>JournalArticle</b:SourceType>
    <b:Guid>{03769A73-6BD3-40C7-892B-2E54DCA5061E}</b:Guid>
    <b:Author>
      <b:Author>
        <b:NameList>
          <b:Person>
            <b:Last>Masjudin.</b:Last>
          </b:Person>
          <b:Person>
            <b:Last>Chang</b:Last>
            <b:First>W.</b:First>
            <b:Middle>C.</b:Middle>
          </b:Person>
        </b:NameList>
      </b:Author>
    </b:Author>
    <b:Title> Comparative study on saturated and unsaturated fatty acid methyl esters (FAME) composition in biodiesel production from waste soybean, sunflower, and canola oils. </b:Title>
    <b:JournalName>Biofuels</b:JournalName>
    <b:Year>2025</b:Year>
    <b:Pages>1-24.</b:Pages>
    <b:RefOrder>9</b:RefOrder>
  </b:Source>
  <b:Source>
    <b:Tag>Raj224</b:Tag>
    <b:SourceType>JournalArticle</b:SourceType>
    <b:Guid>{9AD05E64-4AA9-4646-BB4D-D2FCEFE9A57C}</b:Guid>
    <b:Author>
      <b:Author>
        <b:NameList>
          <b:Person>
            <b:Last>Raj</b:Last>
            <b:First>S.</b:First>
            <b:Middle>P.</b:Middle>
          </b:Person>
          <b:Person>
            <b:Last>Solomon</b:Last>
            <b:First>P.</b:First>
            <b:Middle>R.</b:Middle>
          </b:Person>
          <b:Person>
            <b:Last>Thangaraj</b:Last>
            <b:First>B.</b:First>
          </b:Person>
        </b:NameList>
      </b:Author>
    </b:Author>
    <b:Title>Standards for Biodiesel. In Biodiesel from Flowering Plants</b:Title>
    <b:JournalName>Springer Singapore.</b:JournalName>
    <b:Year>2022</b:Year>
    <b:Pages>633-663</b:Pages>
    <b:RefOrder>10</b:RefOrder>
  </b:Source>
  <b:Source>
    <b:Tag>Sub25</b:Tag>
    <b:SourceType>JournalArticle</b:SourceType>
    <b:Guid>{9B269C79-6E08-44E1-8C95-06B365ACC375}</b:Guid>
    <b:Author>
      <b:Author>
        <b:NameList>
          <b:Person>
            <b:Last>Subramaniam</b:Last>
            <b:First>M.</b:First>
          </b:Person>
          <b:Person>
            <b:Last>Sarip</b:Last>
            <b:First>S.</b:First>
          </b:Person>
          <b:Person>
            <b:Last>Kaidi</b:Last>
            <b:First>H.</b:First>
            <b:Middle>M.</b:Middle>
          </b:Person>
          <b:Person>
            <b:Last>Muhammad-Sukki</b:Last>
            <b:First>F.</b:First>
          </b:Person>
        </b:NameList>
      </b:Author>
    </b:Author>
    <b:Title>Enhancing base-diesel fuel specification for optimized biodiesel blending in Malaysia</b:Title>
    <b:JournalName>Sustainable Futures</b:JournalName>
    <b:Year>2025</b:Year>
    <b:Pages>101428</b:Pages>
    <b:Volume>10</b:Volume>
    <b:RefOrder>11</b:RefOrder>
  </b:Source>
  <b:Source>
    <b:Tag>Ogu252</b:Tag>
    <b:SourceType>JournalArticle</b:SourceType>
    <b:Guid>{8E172861-BB65-4732-82F1-9E06B8068690}</b:Guid>
    <b:Author>
      <b:Author>
        <b:NameList>
          <b:Person>
            <b:Last>Ogunkunle</b:Last>
            <b:First>O.</b:First>
          </b:Person>
          <b:Person>
            <b:Last>Enweremadu</b:Last>
            <b:First>C.</b:First>
            <b:Middle>C.</b:Middle>
          </b:Person>
        </b:NameList>
      </b:Author>
    </b:Author>
    <b:Title>Optimization of Blighia sapida Seed Oil Biodiesel Production: A Sustainable Approach to Renewable Biofuels</b:Title>
    <b:JournalName>Resources</b:JournalName>
    <b:Year>2025</b:Year>
    <b:Pages>89</b:Pages>
    <b:Volume>14</b:Volume>
    <b:Issue>6</b:Issue>
    <b:RefOrder>12</b:RefOrder>
  </b:Source>
  <b:Source>
    <b:Tag>Paa25</b:Tag>
    <b:SourceType>JournalArticle</b:SourceType>
    <b:Guid>{A3EFA012-ED3F-465D-9DAC-966009188811}</b:Guid>
    <b:Author>
      <b:Author>
        <b:NameList>
          <b:Person>
            <b:Last>Paavani</b:Last>
            <b:First>K.</b:First>
          </b:Person>
          <b:Person>
            <b:Last>Agarwal</b:Last>
            <b:First>K.</b:First>
          </b:Person>
          <b:Person>
            <b:Last>Alam</b:Last>
            <b:First>S.</b:First>
            <b:Middle>S.</b:Middle>
          </b:Person>
          <b:Person>
            <b:Last>Dinda</b:Last>
            <b:First>S.</b:First>
          </b:Person>
          <b:Person>
            <b:Last>Abrar</b:Last>
            <b:First>I.</b:First>
          </b:Person>
        </b:NameList>
      </b:Author>
    </b:Author>
    <b:Title>Advances in plastic to fuel conversion: reactor design, operational optimization, and machine learning integration.</b:Title>
    <b:JournalName>Sustainable Energy and  Fuels</b:JournalName>
    <b:Year>2025</b:Year>
    <b:Pages>54-71</b:Pages>
    <b:Volume>9</b:Volume>
    <b:Issue>1</b:Issue>
    <b:RefOrder>13</b:RefOrder>
  </b:Source>
</b:Sources>
</file>

<file path=customXml/itemProps1.xml><?xml version="1.0" encoding="utf-8"?>
<ds:datastoreItem xmlns:ds="http://schemas.openxmlformats.org/officeDocument/2006/customXml" ds:itemID="{7E8B192A-2422-48B4-A621-E0170D2A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2026-02-20T15:39:00Z</dcterms:created>
  <dcterms:modified xsi:type="dcterms:W3CDTF">2026-02-20T18:28:00Z</dcterms:modified>
</cp:coreProperties>
</file>