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54F87" w:rsidRDefault="00000000" w:rsidP="005C5254">
      <w:pPr>
        <w:pStyle w:val="Heading1"/>
        <w:jc w:val="center"/>
        <w:rPr>
          <w:rFonts w:ascii="Times New Roman" w:eastAsia="Google Sans" w:hAnsi="Times New Roman" w:cs="Times New Roman"/>
          <w:sz w:val="36"/>
          <w:szCs w:val="36"/>
        </w:rPr>
      </w:pPr>
      <w:r w:rsidRPr="001735DD">
        <w:rPr>
          <w:rFonts w:ascii="Times New Roman" w:eastAsia="Google Sans" w:hAnsi="Times New Roman" w:cs="Times New Roman"/>
          <w:sz w:val="36"/>
          <w:szCs w:val="36"/>
        </w:rPr>
        <w:t>ENSURING FOOD INTEGRITY AND SECURITY THROUGH MACRO AND MICRO ANALYSIS: CURRENT TRENDS AND INDUSTRIAL APPLICATIONS</w:t>
      </w:r>
    </w:p>
    <w:p w14:paraId="31555C6D" w14:textId="2CD7F846" w:rsidR="001735DD" w:rsidRPr="001735DD" w:rsidRDefault="001735DD" w:rsidP="005C5254">
      <w:pPr>
        <w:spacing w:before="240" w:after="240"/>
        <w:jc w:val="center"/>
        <w:outlineLvl w:val="1"/>
        <w:rPr>
          <w:rFonts w:ascii="Times New Roman" w:hAnsi="Times New Roman" w:cs="Times New Roman"/>
          <w:b/>
          <w:bCs/>
          <w:sz w:val="24"/>
          <w:szCs w:val="24"/>
        </w:rPr>
      </w:pPr>
      <w:r w:rsidRPr="001735DD">
        <w:rPr>
          <w:rFonts w:ascii="Times New Roman" w:hAnsi="Times New Roman" w:cs="Times New Roman"/>
          <w:b/>
          <w:bCs/>
          <w:sz w:val="24"/>
          <w:szCs w:val="24"/>
        </w:rPr>
        <w:t xml:space="preserve">Norhashimah Hussin, </w:t>
      </w:r>
      <w:proofErr w:type="spellStart"/>
      <w:r w:rsidRPr="001735DD">
        <w:rPr>
          <w:rFonts w:ascii="Times New Roman" w:hAnsi="Times New Roman" w:cs="Times New Roman"/>
          <w:b/>
          <w:bCs/>
          <w:sz w:val="24"/>
          <w:szCs w:val="24"/>
        </w:rPr>
        <w:t>Thathram</w:t>
      </w:r>
      <w:proofErr w:type="spellEnd"/>
      <w:r w:rsidRPr="001735DD">
        <w:rPr>
          <w:rFonts w:ascii="Times New Roman" w:hAnsi="Times New Roman" w:cs="Times New Roman"/>
          <w:b/>
          <w:bCs/>
          <w:sz w:val="24"/>
          <w:szCs w:val="24"/>
        </w:rPr>
        <w:t xml:space="preserve"> Palli Adil Mubarak, Harisun Yaakob</w:t>
      </w:r>
      <w:r w:rsidRPr="001A15A5">
        <w:rPr>
          <w:rFonts w:ascii="Times New Roman" w:hAnsi="Times New Roman" w:cs="Times New Roman"/>
          <w:b/>
          <w:bCs/>
          <w:sz w:val="24"/>
          <w:szCs w:val="24"/>
        </w:rPr>
        <w:t>*</w:t>
      </w:r>
      <w:r w:rsidRPr="001735DD">
        <w:rPr>
          <w:rFonts w:ascii="Times New Roman" w:hAnsi="Times New Roman" w:cs="Times New Roman"/>
          <w:b/>
          <w:bCs/>
          <w:sz w:val="24"/>
          <w:szCs w:val="24"/>
        </w:rPr>
        <w:t xml:space="preserve">, Wong Hui Lin, </w:t>
      </w:r>
      <w:proofErr w:type="spellStart"/>
      <w:r w:rsidRPr="001735DD">
        <w:rPr>
          <w:rFonts w:ascii="Times New Roman" w:hAnsi="Times New Roman" w:cs="Times New Roman"/>
          <w:b/>
          <w:bCs/>
          <w:sz w:val="24"/>
          <w:szCs w:val="24"/>
        </w:rPr>
        <w:t>Heeswari</w:t>
      </w:r>
      <w:proofErr w:type="spellEnd"/>
      <w:r w:rsidRPr="001735DD">
        <w:rPr>
          <w:rFonts w:ascii="Times New Roman" w:hAnsi="Times New Roman" w:cs="Times New Roman"/>
          <w:b/>
          <w:bCs/>
          <w:sz w:val="24"/>
          <w:szCs w:val="24"/>
        </w:rPr>
        <w:t xml:space="preserve"> A/P </w:t>
      </w:r>
      <w:proofErr w:type="spellStart"/>
      <w:r w:rsidRPr="001735DD">
        <w:rPr>
          <w:rFonts w:ascii="Times New Roman" w:hAnsi="Times New Roman" w:cs="Times New Roman"/>
          <w:b/>
          <w:bCs/>
          <w:sz w:val="24"/>
          <w:szCs w:val="24"/>
        </w:rPr>
        <w:t>Logamoorthy</w:t>
      </w:r>
      <w:proofErr w:type="spellEnd"/>
      <w:r w:rsidRPr="001735DD">
        <w:rPr>
          <w:rFonts w:ascii="Times New Roman" w:hAnsi="Times New Roman" w:cs="Times New Roman"/>
          <w:b/>
          <w:bCs/>
          <w:sz w:val="24"/>
          <w:szCs w:val="24"/>
        </w:rPr>
        <w:t xml:space="preserve"> </w:t>
      </w:r>
    </w:p>
    <w:p w14:paraId="63EBC60C" w14:textId="494E3662" w:rsidR="00CC11A4" w:rsidRPr="001735DD" w:rsidRDefault="001735DD" w:rsidP="005B38E1">
      <w:pPr>
        <w:spacing w:before="240" w:after="240"/>
        <w:jc w:val="center"/>
        <w:outlineLvl w:val="1"/>
        <w:rPr>
          <w:rFonts w:ascii="Times New Roman" w:hAnsi="Times New Roman" w:cs="Times New Roman"/>
          <w:b/>
          <w:bCs/>
          <w:sz w:val="24"/>
          <w:szCs w:val="24"/>
        </w:rPr>
      </w:pPr>
      <w:r w:rsidRPr="001735DD">
        <w:rPr>
          <w:rFonts w:ascii="Times New Roman" w:hAnsi="Times New Roman" w:cs="Times New Roman"/>
          <w:b/>
          <w:bCs/>
          <w:sz w:val="24"/>
          <w:szCs w:val="24"/>
        </w:rPr>
        <w:t>Department of Bioprocess, Faculty of Chemical &amp; Energy Engineering, Universiti Teknologi Malaysia, 81310, Skudai Johor</w:t>
      </w:r>
    </w:p>
    <w:p w14:paraId="3E549F0D" w14:textId="2EAEA239" w:rsidR="0030743F" w:rsidRPr="007B4326" w:rsidRDefault="001735DD" w:rsidP="007B4326">
      <w:pPr>
        <w:spacing w:before="240" w:after="240"/>
        <w:jc w:val="center"/>
        <w:outlineLvl w:val="1"/>
        <w:rPr>
          <w:rFonts w:ascii="Times New Roman" w:eastAsia="Times New Roman" w:hAnsi="Times New Roman" w:cs="Times New Roman"/>
          <w:b/>
          <w:bCs/>
          <w:sz w:val="24"/>
          <w:szCs w:val="24"/>
        </w:rPr>
      </w:pPr>
      <w:r w:rsidRPr="001A15A5">
        <w:rPr>
          <w:rFonts w:ascii="Times New Roman" w:eastAsia="Times New Roman" w:hAnsi="Times New Roman" w:cs="Times New Roman"/>
          <w:b/>
          <w:bCs/>
          <w:sz w:val="24"/>
          <w:szCs w:val="24"/>
        </w:rPr>
        <w:t>*</w:t>
      </w:r>
      <w:r w:rsidRPr="001735DD">
        <w:rPr>
          <w:rFonts w:ascii="Times New Roman" w:eastAsia="Times New Roman" w:hAnsi="Times New Roman" w:cs="Times New Roman"/>
          <w:b/>
          <w:bCs/>
          <w:sz w:val="24"/>
          <w:szCs w:val="24"/>
        </w:rPr>
        <w:t xml:space="preserve">Corresponding Author: </w:t>
      </w:r>
      <w:hyperlink r:id="rId8" w:history="1">
        <w:r w:rsidRPr="001735DD">
          <w:rPr>
            <w:rStyle w:val="Hyperlink"/>
            <w:rFonts w:ascii="Times New Roman" w:eastAsia="Times New Roman" w:hAnsi="Times New Roman" w:cs="Times New Roman"/>
            <w:b/>
            <w:bCs/>
            <w:sz w:val="24"/>
            <w:szCs w:val="24"/>
          </w:rPr>
          <w:t>harisun@utm.my</w:t>
        </w:r>
      </w:hyperlink>
      <w:r w:rsidRPr="001735DD">
        <w:rPr>
          <w:rFonts w:ascii="Times New Roman" w:eastAsia="Times New Roman" w:hAnsi="Times New Roman" w:cs="Times New Roman"/>
          <w:b/>
          <w:bCs/>
          <w:sz w:val="24"/>
          <w:szCs w:val="24"/>
        </w:rPr>
        <w:t xml:space="preserve"> </w:t>
      </w:r>
    </w:p>
    <w:p w14:paraId="00000005" w14:textId="6DC51F74" w:rsidR="00254F87" w:rsidRPr="00DD7A84" w:rsidRDefault="00000000" w:rsidP="005C5254">
      <w:pPr>
        <w:pStyle w:val="Heading3"/>
        <w:jc w:val="both"/>
        <w:rPr>
          <w:rFonts w:ascii="Times New Roman" w:eastAsia="Google Sans" w:hAnsi="Times New Roman" w:cs="Times New Roman"/>
        </w:rPr>
      </w:pPr>
      <w:r w:rsidRPr="00DD7A84">
        <w:rPr>
          <w:rFonts w:ascii="Times New Roman" w:eastAsia="Google Sans" w:hAnsi="Times New Roman" w:cs="Times New Roman"/>
        </w:rPr>
        <w:t>ABSTRACT</w:t>
      </w:r>
    </w:p>
    <w:p w14:paraId="6BE44797" w14:textId="3F144577" w:rsidR="00FB5DAC" w:rsidRPr="00FB5DAC" w:rsidRDefault="00FB5DAC" w:rsidP="00FB5DAC">
      <w:pPr>
        <w:pBdr>
          <w:top w:val="nil"/>
          <w:left w:val="nil"/>
          <w:bottom w:val="nil"/>
          <w:right w:val="nil"/>
          <w:between w:val="nil"/>
        </w:pBdr>
        <w:spacing w:before="240" w:after="240"/>
        <w:jc w:val="both"/>
        <w:rPr>
          <w:rFonts w:ascii="Times New Roman" w:eastAsia="Google Sans" w:hAnsi="Times New Roman" w:cs="Times New Roman"/>
          <w:sz w:val="24"/>
          <w:szCs w:val="24"/>
        </w:rPr>
      </w:pPr>
      <w:r w:rsidRPr="00FB5DAC">
        <w:rPr>
          <w:rFonts w:ascii="Times New Roman" w:eastAsia="Google Sans" w:hAnsi="Times New Roman" w:cs="Times New Roman"/>
          <w:sz w:val="24"/>
          <w:szCs w:val="24"/>
        </w:rPr>
        <w:t xml:space="preserve">This review critically reassesses the analytical dichotomy between Macro and Micro-parameters to propose a validated, synergistic Data Fusion framework that bypasses the </w:t>
      </w:r>
      <w:r w:rsidR="001A15A5">
        <w:rPr>
          <w:rFonts w:ascii="Times New Roman" w:eastAsia="Google Sans" w:hAnsi="Times New Roman" w:cs="Times New Roman"/>
          <w:sz w:val="24"/>
          <w:szCs w:val="24"/>
        </w:rPr>
        <w:t>“</w:t>
      </w:r>
      <w:r w:rsidRPr="00FB5DAC">
        <w:rPr>
          <w:rFonts w:ascii="Times New Roman" w:eastAsia="Google Sans" w:hAnsi="Times New Roman" w:cs="Times New Roman"/>
          <w:sz w:val="24"/>
          <w:szCs w:val="24"/>
        </w:rPr>
        <w:t>Adulteration Gap</w:t>
      </w:r>
      <w:r w:rsidR="001A15A5">
        <w:rPr>
          <w:rFonts w:ascii="Times New Roman" w:eastAsia="Google Sans" w:hAnsi="Times New Roman" w:cs="Times New Roman"/>
          <w:sz w:val="24"/>
          <w:szCs w:val="24"/>
        </w:rPr>
        <w:t>”</w:t>
      </w:r>
      <w:r w:rsidRPr="00FB5DAC">
        <w:rPr>
          <w:rFonts w:ascii="Times New Roman" w:eastAsia="Google Sans" w:hAnsi="Times New Roman" w:cs="Times New Roman"/>
          <w:sz w:val="24"/>
          <w:szCs w:val="24"/>
        </w:rPr>
        <w:t xml:space="preserve"> and the </w:t>
      </w:r>
      <w:r w:rsidR="001A15A5">
        <w:rPr>
          <w:rFonts w:ascii="Times New Roman" w:eastAsia="Google Sans" w:hAnsi="Times New Roman" w:cs="Times New Roman"/>
          <w:sz w:val="24"/>
          <w:szCs w:val="24"/>
        </w:rPr>
        <w:t>“</w:t>
      </w:r>
      <w:r w:rsidRPr="00FB5DAC">
        <w:rPr>
          <w:rFonts w:ascii="Times New Roman" w:eastAsia="Google Sans" w:hAnsi="Times New Roman" w:cs="Times New Roman"/>
          <w:sz w:val="24"/>
          <w:szCs w:val="24"/>
        </w:rPr>
        <w:t>Economic Wall</w:t>
      </w:r>
      <w:r w:rsidR="001A15A5">
        <w:rPr>
          <w:rFonts w:ascii="Times New Roman" w:eastAsia="Google Sans" w:hAnsi="Times New Roman" w:cs="Times New Roman"/>
          <w:sz w:val="24"/>
          <w:szCs w:val="24"/>
        </w:rPr>
        <w:t>”</w:t>
      </w:r>
      <w:r w:rsidRPr="00FB5DAC">
        <w:rPr>
          <w:rFonts w:ascii="Times New Roman" w:eastAsia="Google Sans" w:hAnsi="Times New Roman" w:cs="Times New Roman"/>
          <w:sz w:val="24"/>
          <w:szCs w:val="24"/>
        </w:rPr>
        <w:t xml:space="preserve"> in global food systems. A systematic review was conducted utilizing a tiered search strategy across Scopus, Web of Science, and Google Scholar. The methodology progressed from macro-level contextual filtering (drivers like the </w:t>
      </w:r>
      <w:r>
        <w:rPr>
          <w:rFonts w:ascii="Times New Roman" w:eastAsia="Google Sans" w:hAnsi="Times New Roman" w:cs="Times New Roman"/>
          <w:sz w:val="24"/>
          <w:szCs w:val="24"/>
        </w:rPr>
        <w:t>“</w:t>
      </w:r>
      <w:r w:rsidRPr="00FB5DAC">
        <w:rPr>
          <w:rFonts w:ascii="Times New Roman" w:eastAsia="Google Sans" w:hAnsi="Times New Roman" w:cs="Times New Roman"/>
          <w:sz w:val="24"/>
          <w:szCs w:val="24"/>
        </w:rPr>
        <w:t>Three Lethal Cs</w:t>
      </w:r>
      <w:r>
        <w:rPr>
          <w:rFonts w:ascii="Times New Roman" w:eastAsia="Google Sans" w:hAnsi="Times New Roman" w:cs="Times New Roman"/>
          <w:sz w:val="24"/>
          <w:szCs w:val="24"/>
        </w:rPr>
        <w:t>”</w:t>
      </w:r>
      <w:r w:rsidRPr="00FB5DAC">
        <w:rPr>
          <w:rFonts w:ascii="Times New Roman" w:eastAsia="Google Sans" w:hAnsi="Times New Roman" w:cs="Times New Roman"/>
          <w:sz w:val="24"/>
          <w:szCs w:val="24"/>
        </w:rPr>
        <w:t>) to micro-level technical validation of instrumental data, culminating in a nexus integration that cross-references socio-economic impacts with forensic protocols.</w:t>
      </w:r>
      <w:r>
        <w:rPr>
          <w:rFonts w:ascii="Times New Roman" w:eastAsia="Google Sans" w:hAnsi="Times New Roman" w:cs="Times New Roman"/>
          <w:sz w:val="24"/>
          <w:szCs w:val="24"/>
        </w:rPr>
        <w:t xml:space="preserve"> </w:t>
      </w:r>
      <w:r w:rsidRPr="00FB5DAC">
        <w:rPr>
          <w:rFonts w:ascii="Times New Roman" w:eastAsia="Google Sans" w:hAnsi="Times New Roman" w:cs="Times New Roman"/>
          <w:sz w:val="24"/>
          <w:szCs w:val="24"/>
        </w:rPr>
        <w:t>The study identifies that traditional Macro analysis (proximate composition) is vulnerable to sophisticated fraud, as demonstrated by the melamine nitrogen loophole in milk. Conversely, Micro analysis (HPLC, IRMS) provides essential forensic specificity</w:t>
      </w:r>
      <w:r>
        <w:rPr>
          <w:rFonts w:ascii="Times New Roman" w:eastAsia="Google Sans" w:hAnsi="Times New Roman" w:cs="Times New Roman"/>
          <w:sz w:val="24"/>
          <w:szCs w:val="24"/>
        </w:rPr>
        <w:t xml:space="preserve">, </w:t>
      </w:r>
      <w:r w:rsidRPr="00FB5DAC">
        <w:rPr>
          <w:rFonts w:ascii="Times New Roman" w:eastAsia="Google Sans" w:hAnsi="Times New Roman" w:cs="Times New Roman"/>
          <w:sz w:val="24"/>
          <w:szCs w:val="24"/>
        </w:rPr>
        <w:t>identifying isotopic fingerprints in honey</w:t>
      </w:r>
      <w:r>
        <w:rPr>
          <w:rFonts w:ascii="Times New Roman" w:eastAsia="Google Sans" w:hAnsi="Times New Roman" w:cs="Times New Roman"/>
          <w:sz w:val="24"/>
          <w:szCs w:val="24"/>
        </w:rPr>
        <w:t xml:space="preserve">, </w:t>
      </w:r>
      <w:r w:rsidRPr="00FB5DAC">
        <w:rPr>
          <w:rFonts w:ascii="Times New Roman" w:eastAsia="Google Sans" w:hAnsi="Times New Roman" w:cs="Times New Roman"/>
          <w:sz w:val="24"/>
          <w:szCs w:val="24"/>
        </w:rPr>
        <w:t xml:space="preserve">but is often hindered by high operational costs. Industrial applications reveal that transitioning from </w:t>
      </w:r>
      <w:r w:rsidR="001A15A5">
        <w:rPr>
          <w:rFonts w:ascii="Times New Roman" w:eastAsia="Google Sans" w:hAnsi="Times New Roman" w:cs="Times New Roman"/>
          <w:sz w:val="24"/>
          <w:szCs w:val="24"/>
        </w:rPr>
        <w:t>“</w:t>
      </w:r>
      <w:r w:rsidRPr="00FB5DAC">
        <w:rPr>
          <w:rFonts w:ascii="Times New Roman" w:eastAsia="Google Sans" w:hAnsi="Times New Roman" w:cs="Times New Roman"/>
          <w:sz w:val="24"/>
          <w:szCs w:val="24"/>
        </w:rPr>
        <w:t>Lab</w:t>
      </w:r>
      <w:r w:rsidR="001A15A5">
        <w:rPr>
          <w:rFonts w:ascii="Times New Roman" w:eastAsia="Google Sans" w:hAnsi="Times New Roman" w:cs="Times New Roman"/>
          <w:sz w:val="24"/>
          <w:szCs w:val="24"/>
        </w:rPr>
        <w:t>”</w:t>
      </w:r>
      <w:r w:rsidRPr="00FB5DAC">
        <w:rPr>
          <w:rFonts w:ascii="Times New Roman" w:eastAsia="Google Sans" w:hAnsi="Times New Roman" w:cs="Times New Roman"/>
          <w:sz w:val="24"/>
          <w:szCs w:val="24"/>
        </w:rPr>
        <w:t xml:space="preserve"> to </w:t>
      </w:r>
      <w:r w:rsidR="001A15A5">
        <w:rPr>
          <w:rFonts w:ascii="Times New Roman" w:eastAsia="Google Sans" w:hAnsi="Times New Roman" w:cs="Times New Roman"/>
          <w:sz w:val="24"/>
          <w:szCs w:val="24"/>
        </w:rPr>
        <w:t>“</w:t>
      </w:r>
      <w:r w:rsidRPr="00FB5DAC">
        <w:rPr>
          <w:rFonts w:ascii="Times New Roman" w:eastAsia="Google Sans" w:hAnsi="Times New Roman" w:cs="Times New Roman"/>
          <w:sz w:val="24"/>
          <w:szCs w:val="24"/>
        </w:rPr>
        <w:t>Line</w:t>
      </w:r>
      <w:r w:rsidR="001A15A5">
        <w:rPr>
          <w:rFonts w:ascii="Times New Roman" w:eastAsia="Google Sans" w:hAnsi="Times New Roman" w:cs="Times New Roman"/>
          <w:sz w:val="24"/>
          <w:szCs w:val="24"/>
        </w:rPr>
        <w:t>”</w:t>
      </w:r>
      <w:r w:rsidRPr="00FB5DAC">
        <w:rPr>
          <w:rFonts w:ascii="Times New Roman" w:eastAsia="Google Sans" w:hAnsi="Times New Roman" w:cs="Times New Roman"/>
          <w:sz w:val="24"/>
          <w:szCs w:val="24"/>
        </w:rPr>
        <w:t xml:space="preserve"> via Process Analytical Technology (PAT) and utilizing Green Chemistry (NADES) effectively mitigates matrix interference and reduces waste. An integrated Nexus approach, employing rapid Macro-sensors as a first line of defense followed by targeted Micro-verification, provides a legally defensible and commercially viable standard. This framework contributes significantly to socio-economic protection, public health safety, and global environmental sustainability by bridging the divide between bulk composition and trace molecular integrity.</w:t>
      </w:r>
    </w:p>
    <w:p w14:paraId="0C20368F" w14:textId="21E6170B" w:rsidR="005C5254" w:rsidRDefault="00000000" w:rsidP="005C5254">
      <w:pPr>
        <w:pBdr>
          <w:top w:val="nil"/>
          <w:left w:val="nil"/>
          <w:bottom w:val="nil"/>
          <w:right w:val="nil"/>
          <w:between w:val="nil"/>
        </w:pBdr>
        <w:spacing w:before="240" w:after="240"/>
        <w:jc w:val="both"/>
        <w:rPr>
          <w:rFonts w:ascii="Times New Roman" w:eastAsia="Google Sans" w:hAnsi="Times New Roman" w:cs="Times New Roman"/>
          <w:sz w:val="24"/>
          <w:szCs w:val="24"/>
        </w:rPr>
      </w:pPr>
      <w:r w:rsidRPr="001735DD">
        <w:rPr>
          <w:rFonts w:ascii="Times New Roman" w:eastAsia="Google Sans" w:hAnsi="Times New Roman" w:cs="Times New Roman"/>
          <w:b/>
          <w:bCs/>
          <w:sz w:val="24"/>
          <w:szCs w:val="24"/>
        </w:rPr>
        <w:t>Keywords</w:t>
      </w:r>
      <w:r w:rsidR="00DD7A84">
        <w:rPr>
          <w:rFonts w:ascii="Times New Roman" w:eastAsia="Google Sans" w:hAnsi="Times New Roman" w:cs="Times New Roman"/>
          <w:b/>
          <w:bCs/>
          <w:sz w:val="24"/>
          <w:szCs w:val="24"/>
        </w:rPr>
        <w:t xml:space="preserve">: </w:t>
      </w:r>
      <w:r w:rsidR="00FB5DAC" w:rsidRPr="00FB5DAC">
        <w:rPr>
          <w:rFonts w:ascii="Times New Roman" w:eastAsia="Google Sans" w:hAnsi="Times New Roman" w:cs="Times New Roman"/>
          <w:sz w:val="24"/>
          <w:szCs w:val="24"/>
        </w:rPr>
        <w:t>Food Integrity-Security</w:t>
      </w:r>
      <w:r w:rsidR="00DD7A84">
        <w:rPr>
          <w:rFonts w:ascii="Times New Roman" w:eastAsia="Google Sans" w:hAnsi="Times New Roman" w:cs="Times New Roman"/>
          <w:sz w:val="24"/>
          <w:szCs w:val="24"/>
        </w:rPr>
        <w:t xml:space="preserve">, </w:t>
      </w:r>
      <w:r w:rsidR="00FB5DAC" w:rsidRPr="00FB5DAC">
        <w:rPr>
          <w:rFonts w:ascii="Times New Roman" w:eastAsia="Google Sans" w:hAnsi="Times New Roman" w:cs="Times New Roman"/>
          <w:sz w:val="24"/>
          <w:szCs w:val="24"/>
        </w:rPr>
        <w:t>Economically Motivated Adulteration (EMA</w:t>
      </w:r>
      <w:r w:rsidR="00FB5DAC" w:rsidRPr="00FB5DAC">
        <w:rPr>
          <w:rFonts w:ascii="Times New Roman" w:eastAsia="Google Sans" w:hAnsi="Times New Roman" w:cs="Times New Roman"/>
          <w:b/>
          <w:bCs/>
          <w:sz w:val="24"/>
          <w:szCs w:val="24"/>
        </w:rPr>
        <w:t>)</w:t>
      </w:r>
      <w:r w:rsidR="00FB5DAC" w:rsidRPr="00FB5DAC">
        <w:rPr>
          <w:rFonts w:ascii="Times New Roman" w:eastAsia="Google Sans" w:hAnsi="Times New Roman" w:cs="Times New Roman"/>
          <w:sz w:val="24"/>
          <w:szCs w:val="24"/>
        </w:rPr>
        <w:t>,</w:t>
      </w:r>
      <w:r w:rsidR="00FB5DAC">
        <w:rPr>
          <w:rFonts w:ascii="Times New Roman" w:eastAsia="Google Sans" w:hAnsi="Times New Roman" w:cs="Times New Roman"/>
          <w:b/>
          <w:bCs/>
          <w:sz w:val="24"/>
          <w:szCs w:val="24"/>
        </w:rPr>
        <w:t xml:space="preserve"> </w:t>
      </w:r>
      <w:r w:rsidRPr="001735DD">
        <w:rPr>
          <w:rFonts w:ascii="Times New Roman" w:eastAsia="Google Sans" w:hAnsi="Times New Roman" w:cs="Times New Roman"/>
          <w:sz w:val="24"/>
          <w:szCs w:val="24"/>
        </w:rPr>
        <w:t>Process Analytical Technology (PAT)</w:t>
      </w:r>
      <w:r w:rsidR="00DD7A84">
        <w:rPr>
          <w:rFonts w:ascii="Times New Roman" w:eastAsia="Google Sans" w:hAnsi="Times New Roman" w:cs="Times New Roman"/>
          <w:sz w:val="24"/>
          <w:szCs w:val="24"/>
        </w:rPr>
        <w:t xml:space="preserve">, </w:t>
      </w:r>
      <w:r w:rsidRPr="001735DD">
        <w:rPr>
          <w:rFonts w:ascii="Times New Roman" w:eastAsia="Google Sans" w:hAnsi="Times New Roman" w:cs="Times New Roman"/>
          <w:sz w:val="24"/>
          <w:szCs w:val="24"/>
        </w:rPr>
        <w:t xml:space="preserve">Macro-Micro </w:t>
      </w:r>
      <w:r w:rsidR="00AF5C40">
        <w:rPr>
          <w:rFonts w:ascii="Times New Roman" w:eastAsia="Google Sans" w:hAnsi="Times New Roman" w:cs="Times New Roman"/>
          <w:sz w:val="24"/>
          <w:szCs w:val="24"/>
        </w:rPr>
        <w:t xml:space="preserve">Analysis </w:t>
      </w:r>
      <w:r w:rsidRPr="001735DD">
        <w:rPr>
          <w:rFonts w:ascii="Times New Roman" w:eastAsia="Google Sans" w:hAnsi="Times New Roman" w:cs="Times New Roman"/>
          <w:sz w:val="24"/>
          <w:szCs w:val="24"/>
        </w:rPr>
        <w:t>Dichotomy</w:t>
      </w:r>
      <w:r w:rsidR="00DD7A84">
        <w:rPr>
          <w:rFonts w:ascii="Times New Roman" w:eastAsia="Google Sans" w:hAnsi="Times New Roman" w:cs="Times New Roman"/>
          <w:sz w:val="24"/>
          <w:szCs w:val="24"/>
        </w:rPr>
        <w:t>,</w:t>
      </w:r>
      <w:r w:rsidR="00FB5DAC">
        <w:rPr>
          <w:rFonts w:ascii="Times New Roman" w:eastAsia="Google Sans" w:hAnsi="Times New Roman" w:cs="Times New Roman"/>
          <w:sz w:val="24"/>
          <w:szCs w:val="24"/>
        </w:rPr>
        <w:t xml:space="preserve"> </w:t>
      </w:r>
      <w:r w:rsidR="00FB5DAC" w:rsidRPr="00FB5DAC">
        <w:rPr>
          <w:rFonts w:ascii="Times New Roman" w:eastAsia="Google Sans" w:hAnsi="Times New Roman" w:cs="Times New Roman"/>
          <w:sz w:val="24"/>
          <w:szCs w:val="24"/>
        </w:rPr>
        <w:t>Analytical Data Fusion</w:t>
      </w:r>
      <w:r w:rsidRPr="001735DD">
        <w:rPr>
          <w:rFonts w:ascii="Times New Roman" w:eastAsia="Google Sans" w:hAnsi="Times New Roman" w:cs="Times New Roman"/>
          <w:sz w:val="24"/>
          <w:szCs w:val="24"/>
        </w:rPr>
        <w:t>.</w:t>
      </w:r>
    </w:p>
    <w:p w14:paraId="00000008" w14:textId="2F3B2C53" w:rsidR="00254F87" w:rsidRPr="005C5254" w:rsidRDefault="00000000" w:rsidP="005C5254">
      <w:pPr>
        <w:pBdr>
          <w:top w:val="nil"/>
          <w:left w:val="nil"/>
          <w:bottom w:val="nil"/>
          <w:right w:val="nil"/>
          <w:between w:val="nil"/>
        </w:pBdr>
        <w:spacing w:before="240" w:after="240"/>
        <w:jc w:val="both"/>
        <w:rPr>
          <w:rFonts w:ascii="Times New Roman" w:eastAsia="Google Sans" w:hAnsi="Times New Roman" w:cs="Times New Roman"/>
          <w:b/>
          <w:bCs/>
          <w:sz w:val="24"/>
          <w:szCs w:val="24"/>
        </w:rPr>
      </w:pPr>
      <w:r w:rsidRPr="005C5254">
        <w:rPr>
          <w:rFonts w:ascii="Times New Roman" w:eastAsia="Google Sans" w:hAnsi="Times New Roman" w:cs="Times New Roman"/>
          <w:b/>
          <w:bCs/>
          <w:sz w:val="28"/>
          <w:szCs w:val="28"/>
        </w:rPr>
        <w:t>INTRODUCTION</w:t>
      </w:r>
    </w:p>
    <w:p w14:paraId="3A6E7FCB" w14:textId="77777777" w:rsidR="005C5254" w:rsidRDefault="00000000" w:rsidP="005C5254">
      <w:pPr>
        <w:pBdr>
          <w:top w:val="nil"/>
          <w:left w:val="nil"/>
          <w:bottom w:val="nil"/>
          <w:right w:val="nil"/>
          <w:between w:val="nil"/>
        </w:pBdr>
        <w:spacing w:before="240" w:after="240"/>
        <w:jc w:val="both"/>
        <w:rPr>
          <w:rFonts w:ascii="Times New Roman" w:eastAsia="Google Sans" w:hAnsi="Times New Roman" w:cs="Times New Roman"/>
          <w:sz w:val="24"/>
          <w:szCs w:val="24"/>
        </w:rPr>
      </w:pPr>
      <w:r w:rsidRPr="001735DD">
        <w:rPr>
          <w:rFonts w:ascii="Times New Roman" w:eastAsia="Google Sans" w:hAnsi="Times New Roman" w:cs="Times New Roman"/>
          <w:sz w:val="24"/>
          <w:szCs w:val="24"/>
        </w:rPr>
        <w:t xml:space="preserve">In an era characterized by global instability, food systems are increasingly susceptible to the </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Three Lethal Cs</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 xml:space="preserve">: COVID-19, Conflict, and Climate Change (Munialo &amp; Mellor, 2024). These disruptions have transformed food integrity from a static quality issue into a fluid and dynamic attribute of global food security, where extended and complex supply chains create opaque entry points for Economically Motivated Adulteration (EMA) (Robson et al., 2021). The current analytical landscape is divided by a significant trade-off: an </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Adulteration Gap</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 xml:space="preserve"> where cost-effective Macro analysis fails to detect sophisticated mimics like melamine, and an </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Economic Wall</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 xml:space="preserve"> where precise Micro analysis remains too resource-intensive for universal application (Abedini et al., 2021; Shi et al., 2025). Understanding the relationship between these two analytical planes is essential for developing a synergistic framework that protects the global food supply chain.</w:t>
      </w:r>
    </w:p>
    <w:p w14:paraId="0000000A" w14:textId="20B0D1D4" w:rsidR="00254F87" w:rsidRPr="005C5254" w:rsidRDefault="00000000" w:rsidP="005C5254">
      <w:pPr>
        <w:pBdr>
          <w:top w:val="nil"/>
          <w:left w:val="nil"/>
          <w:bottom w:val="nil"/>
          <w:right w:val="nil"/>
          <w:between w:val="nil"/>
        </w:pBdr>
        <w:spacing w:before="240" w:after="240"/>
        <w:jc w:val="both"/>
        <w:rPr>
          <w:rFonts w:ascii="Times New Roman" w:eastAsia="Google Sans" w:hAnsi="Times New Roman" w:cs="Times New Roman"/>
          <w:b/>
          <w:bCs/>
          <w:sz w:val="24"/>
          <w:szCs w:val="24"/>
        </w:rPr>
      </w:pPr>
      <w:r w:rsidRPr="005C5254">
        <w:rPr>
          <w:rFonts w:ascii="Times New Roman" w:eastAsia="Google Sans" w:hAnsi="Times New Roman" w:cs="Times New Roman"/>
          <w:b/>
          <w:bCs/>
          <w:sz w:val="28"/>
          <w:szCs w:val="28"/>
        </w:rPr>
        <w:t>METHODOLOGY</w:t>
      </w:r>
    </w:p>
    <w:p w14:paraId="4E1B9E3B" w14:textId="77777777" w:rsidR="005C5254" w:rsidRDefault="00000000" w:rsidP="005C5254">
      <w:pPr>
        <w:pBdr>
          <w:top w:val="nil"/>
          <w:left w:val="nil"/>
          <w:bottom w:val="nil"/>
          <w:right w:val="nil"/>
          <w:between w:val="nil"/>
        </w:pBdr>
        <w:spacing w:before="240" w:after="240"/>
        <w:jc w:val="both"/>
        <w:rPr>
          <w:rFonts w:ascii="Times New Roman" w:eastAsia="Google Sans" w:hAnsi="Times New Roman" w:cs="Times New Roman"/>
          <w:sz w:val="24"/>
          <w:szCs w:val="24"/>
        </w:rPr>
      </w:pPr>
      <w:r w:rsidRPr="001735DD">
        <w:rPr>
          <w:rFonts w:ascii="Times New Roman" w:eastAsia="Google Sans" w:hAnsi="Times New Roman" w:cs="Times New Roman"/>
          <w:sz w:val="24"/>
          <w:szCs w:val="24"/>
        </w:rPr>
        <w:t>This systematic review employs a rigorous filtering methodology to bridge macro-level conceptual frameworks with micro-level technical validation. The process was structured into a tiered approach to ensure a comprehensive synthesis of socio-economic and analytical data.</w:t>
      </w:r>
    </w:p>
    <w:p w14:paraId="0000000C" w14:textId="18FD726E" w:rsidR="00254F87" w:rsidRPr="005C5254" w:rsidRDefault="00000000" w:rsidP="005C5254">
      <w:pPr>
        <w:pBdr>
          <w:top w:val="nil"/>
          <w:left w:val="nil"/>
          <w:bottom w:val="nil"/>
          <w:right w:val="nil"/>
          <w:between w:val="nil"/>
        </w:pBdr>
        <w:spacing w:before="240" w:after="240"/>
        <w:jc w:val="both"/>
        <w:rPr>
          <w:rFonts w:ascii="Times New Roman" w:eastAsia="Google Sans" w:hAnsi="Times New Roman" w:cs="Times New Roman"/>
          <w:b/>
          <w:bCs/>
          <w:sz w:val="24"/>
          <w:szCs w:val="24"/>
        </w:rPr>
      </w:pPr>
      <w:r w:rsidRPr="005C5254">
        <w:rPr>
          <w:rFonts w:ascii="Times New Roman" w:eastAsia="Google Sans" w:hAnsi="Times New Roman" w:cs="Times New Roman"/>
          <w:b/>
          <w:bCs/>
          <w:sz w:val="24"/>
          <w:szCs w:val="24"/>
        </w:rPr>
        <w:t xml:space="preserve">Search Strategy </w:t>
      </w:r>
    </w:p>
    <w:p w14:paraId="7ECC8A30" w14:textId="7748CBCB" w:rsidR="005C5254" w:rsidRDefault="00000000" w:rsidP="005C5254">
      <w:pPr>
        <w:pBdr>
          <w:top w:val="nil"/>
          <w:left w:val="nil"/>
          <w:bottom w:val="nil"/>
          <w:right w:val="nil"/>
          <w:between w:val="nil"/>
        </w:pBdr>
        <w:spacing w:before="240" w:after="240"/>
        <w:jc w:val="both"/>
        <w:rPr>
          <w:rFonts w:ascii="Times New Roman" w:eastAsia="Google Sans" w:hAnsi="Times New Roman" w:cs="Times New Roman"/>
          <w:sz w:val="24"/>
          <w:szCs w:val="24"/>
        </w:rPr>
      </w:pPr>
      <w:r w:rsidRPr="001735DD">
        <w:rPr>
          <w:rFonts w:ascii="Times New Roman" w:eastAsia="Google Sans" w:hAnsi="Times New Roman" w:cs="Times New Roman"/>
          <w:sz w:val="24"/>
          <w:szCs w:val="24"/>
        </w:rPr>
        <w:lastRenderedPageBreak/>
        <w:t xml:space="preserve">The search strategy was initiated with database selection and keyword formulation, utilizing Scopus, Web of Science and Google Scholar to identify literature across two distinct domains. For the macro-domain, search terms included </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Food Security</w:t>
      </w:r>
      <w:r w:rsidR="00DD7A84">
        <w:rPr>
          <w:rFonts w:ascii="Times New Roman" w:eastAsia="Google Sans" w:hAnsi="Times New Roman" w:cs="Times New Roman"/>
          <w:sz w:val="24"/>
          <w:szCs w:val="24"/>
        </w:rPr>
        <w:t>”</w:t>
      </w:r>
      <w:r w:rsidR="00CA4140">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 xml:space="preserve"> </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Global Supply Chain Stability</w:t>
      </w:r>
      <w:r w:rsidR="00DD7A84">
        <w:rPr>
          <w:rFonts w:ascii="Times New Roman" w:eastAsia="Google Sans" w:hAnsi="Times New Roman" w:cs="Times New Roman"/>
          <w:sz w:val="24"/>
          <w:szCs w:val="24"/>
        </w:rPr>
        <w:t>”</w:t>
      </w:r>
      <w:r w:rsidR="00CA4140">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 xml:space="preserve"> and </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Halal Integrity</w:t>
      </w:r>
      <w:r w:rsidR="00DD7A84">
        <w:rPr>
          <w:rFonts w:ascii="Times New Roman" w:eastAsia="Google Sans" w:hAnsi="Times New Roman" w:cs="Times New Roman"/>
          <w:sz w:val="24"/>
          <w:szCs w:val="24"/>
        </w:rPr>
        <w:t>”</w:t>
      </w:r>
      <w:r w:rsidR="00CA4140">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 xml:space="preserve"> </w:t>
      </w:r>
      <w:r w:rsidR="00CA4140">
        <w:rPr>
          <w:rFonts w:ascii="Times New Roman" w:eastAsia="Google Sans" w:hAnsi="Times New Roman" w:cs="Times New Roman"/>
          <w:sz w:val="24"/>
          <w:szCs w:val="24"/>
        </w:rPr>
        <w:t>W</w:t>
      </w:r>
      <w:r w:rsidRPr="001735DD">
        <w:rPr>
          <w:rFonts w:ascii="Times New Roman" w:eastAsia="Google Sans" w:hAnsi="Times New Roman" w:cs="Times New Roman"/>
          <w:sz w:val="24"/>
          <w:szCs w:val="24"/>
        </w:rPr>
        <w:t xml:space="preserve">hile the micro-domain focused on technical terms such as </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NIR Spectroscopy</w:t>
      </w:r>
      <w:r w:rsidR="00DD7A84">
        <w:rPr>
          <w:rFonts w:ascii="Times New Roman" w:eastAsia="Google Sans" w:hAnsi="Times New Roman" w:cs="Times New Roman"/>
          <w:sz w:val="24"/>
          <w:szCs w:val="24"/>
        </w:rPr>
        <w:t>”</w:t>
      </w:r>
      <w:r w:rsidR="00CA4140">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 xml:space="preserve"> </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ICP-MS</w:t>
      </w:r>
      <w:r w:rsidR="00DD7A84">
        <w:rPr>
          <w:rFonts w:ascii="Times New Roman" w:eastAsia="Google Sans" w:hAnsi="Times New Roman" w:cs="Times New Roman"/>
          <w:sz w:val="24"/>
          <w:szCs w:val="24"/>
        </w:rPr>
        <w:t>”</w:t>
      </w:r>
      <w:r w:rsidR="00CA4140">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 xml:space="preserve"> </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Chemometrics</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 xml:space="preserve"> and </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Isotope Ratio Mass Spectrometry</w:t>
      </w:r>
      <w:r w:rsidR="00DD7A84">
        <w:rPr>
          <w:rFonts w:ascii="Times New Roman" w:eastAsia="Google Sans" w:hAnsi="Times New Roman" w:cs="Times New Roman"/>
          <w:sz w:val="24"/>
          <w:szCs w:val="24"/>
        </w:rPr>
        <w:t>”</w:t>
      </w:r>
      <w:r w:rsidR="00CA4140">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 xml:space="preserve"> Following this, Tier 1 filtering addressed contextual frameworks by identifying high-impact studies on the global drivers of food insecurity, specifically the </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Three Lethal Cs</w:t>
      </w:r>
      <w:r w:rsidR="00DD7A84">
        <w:rPr>
          <w:rFonts w:ascii="Times New Roman" w:eastAsia="Google Sans" w:hAnsi="Times New Roman" w:cs="Times New Roman"/>
          <w:sz w:val="24"/>
          <w:szCs w:val="24"/>
        </w:rPr>
        <w:t>”</w:t>
      </w:r>
      <w:r w:rsidR="00CA4140">
        <w:rPr>
          <w:rFonts w:ascii="Times New Roman" w:eastAsia="Google Sans" w:hAnsi="Times New Roman" w:cs="Times New Roman"/>
          <w:sz w:val="24"/>
          <w:szCs w:val="24"/>
        </w:rPr>
        <w:t xml:space="preserve">: </w:t>
      </w:r>
      <w:r w:rsidRPr="001735DD">
        <w:rPr>
          <w:rFonts w:ascii="Times New Roman" w:eastAsia="Google Sans" w:hAnsi="Times New Roman" w:cs="Times New Roman"/>
          <w:sz w:val="24"/>
          <w:szCs w:val="24"/>
        </w:rPr>
        <w:t>COVID, Conflict, and Climate</w:t>
      </w:r>
      <w:r w:rsidR="00CA4140">
        <w:rPr>
          <w:rFonts w:ascii="Times New Roman" w:eastAsia="Google Sans" w:hAnsi="Times New Roman" w:cs="Times New Roman"/>
          <w:sz w:val="24"/>
          <w:szCs w:val="24"/>
        </w:rPr>
        <w:t xml:space="preserve">, </w:t>
      </w:r>
      <w:r w:rsidRPr="001735DD">
        <w:rPr>
          <w:rFonts w:ascii="Times New Roman" w:eastAsia="Google Sans" w:hAnsi="Times New Roman" w:cs="Times New Roman"/>
          <w:sz w:val="24"/>
          <w:szCs w:val="24"/>
        </w:rPr>
        <w:t>and the six pillars of food security to establish the physical and economic landscape where food fraud occurs.</w:t>
      </w:r>
    </w:p>
    <w:p w14:paraId="76FAC7C3" w14:textId="68749B50" w:rsidR="005C5254" w:rsidRDefault="00000000" w:rsidP="005C5254">
      <w:pPr>
        <w:pBdr>
          <w:top w:val="nil"/>
          <w:left w:val="nil"/>
          <w:bottom w:val="nil"/>
          <w:right w:val="nil"/>
          <w:between w:val="nil"/>
        </w:pBdr>
        <w:spacing w:before="240" w:after="240"/>
        <w:jc w:val="both"/>
        <w:rPr>
          <w:rFonts w:ascii="Times New Roman" w:eastAsia="Google Sans" w:hAnsi="Times New Roman" w:cs="Times New Roman"/>
          <w:sz w:val="24"/>
          <w:szCs w:val="24"/>
        </w:rPr>
      </w:pPr>
      <w:r w:rsidRPr="001735DD">
        <w:rPr>
          <w:rFonts w:ascii="Times New Roman" w:eastAsia="Google Sans" w:hAnsi="Times New Roman" w:cs="Times New Roman"/>
          <w:sz w:val="24"/>
          <w:szCs w:val="24"/>
        </w:rPr>
        <w:t>In the third step, Tier 2 filtering focused on technical validation by selecting studies that provided raw instrumental data and specific analytical protocols. This included research establishing calibration ranges (e.g., 0.0</w:t>
      </w:r>
      <w:r w:rsidR="00CA4140">
        <w:rPr>
          <w:rFonts w:ascii="Times New Roman" w:eastAsia="Google Sans" w:hAnsi="Times New Roman" w:cs="Times New Roman"/>
          <w:sz w:val="24"/>
          <w:szCs w:val="24"/>
        </w:rPr>
        <w:t>1</w:t>
      </w:r>
      <w:r w:rsidRPr="001735DD">
        <w:rPr>
          <w:rFonts w:ascii="Times New Roman" w:eastAsia="Google Sans" w:hAnsi="Times New Roman" w:cs="Times New Roman"/>
          <w:sz w:val="24"/>
          <w:szCs w:val="24"/>
        </w:rPr>
        <w:t xml:space="preserve">–5.00 ppm for trace elements), detection limits for adulterants such </w:t>
      </w:r>
      <w:r w:rsidR="006E2E8B" w:rsidRPr="001735DD">
        <w:rPr>
          <w:rFonts w:ascii="Times New Roman" w:eastAsia="Google Sans" w:hAnsi="Times New Roman" w:cs="Times New Roman"/>
          <w:sz w:val="24"/>
          <w:szCs w:val="24"/>
        </w:rPr>
        <w:t xml:space="preserve">as </w:t>
      </w:r>
      <w:r w:rsidR="006E2E8B">
        <w:rPr>
          <w:rFonts w:ascii="Times New Roman" w:eastAsia="Google Sans" w:hAnsi="Times New Roman" w:cs="Times New Roman"/>
          <w:sz w:val="24"/>
          <w:szCs w:val="24"/>
        </w:rPr>
        <w:t>melamine</w:t>
      </w:r>
      <w:r w:rsidRPr="001735DD">
        <w:rPr>
          <w:rFonts w:ascii="Times New Roman" w:eastAsia="Google Sans" w:hAnsi="Times New Roman" w:cs="Times New Roman"/>
          <w:sz w:val="24"/>
          <w:szCs w:val="24"/>
        </w:rPr>
        <w:t xml:space="preserve"> and the application of chemometric models like PCA and PLS-DA to interpret complex food matrices. Tier 3 then facilitated nexus integration by cross-referencing the results from previous tiers; a source was included in the review only if it successfully bridged the gap between a micro-analytical tool and a macro-level security issue, such as using IRMS to solve honey adulteration. </w:t>
      </w:r>
    </w:p>
    <w:p w14:paraId="7592EDF0" w14:textId="77777777" w:rsidR="005C5254" w:rsidRDefault="00000000" w:rsidP="005C5254">
      <w:pPr>
        <w:pBdr>
          <w:top w:val="nil"/>
          <w:left w:val="nil"/>
          <w:bottom w:val="nil"/>
          <w:right w:val="nil"/>
          <w:between w:val="nil"/>
        </w:pBdr>
        <w:spacing w:before="240" w:after="240"/>
        <w:jc w:val="both"/>
        <w:rPr>
          <w:rFonts w:ascii="Times New Roman" w:eastAsia="Google Sans" w:hAnsi="Times New Roman" w:cs="Times New Roman"/>
          <w:sz w:val="24"/>
          <w:szCs w:val="24"/>
        </w:rPr>
      </w:pPr>
      <w:r w:rsidRPr="001735DD">
        <w:rPr>
          <w:rFonts w:ascii="Times New Roman" w:eastAsia="Google Sans" w:hAnsi="Times New Roman" w:cs="Times New Roman"/>
          <w:sz w:val="24"/>
          <w:szCs w:val="24"/>
        </w:rPr>
        <w:t>Finally, the papers were evaluated and synthesized to postulate the Data Fusion framework, ensuring that the final conclusions were grounded in both socio-economic realities and forensic scientific evidence.</w:t>
      </w:r>
    </w:p>
    <w:p w14:paraId="0B4B5DEC" w14:textId="062DE75F" w:rsidR="0095797C" w:rsidRPr="0095797C" w:rsidRDefault="0095797C" w:rsidP="005C5254">
      <w:pPr>
        <w:pBdr>
          <w:top w:val="nil"/>
          <w:left w:val="nil"/>
          <w:bottom w:val="nil"/>
          <w:right w:val="nil"/>
          <w:between w:val="nil"/>
        </w:pBdr>
        <w:spacing w:before="240" w:after="240"/>
        <w:jc w:val="both"/>
        <w:rPr>
          <w:rFonts w:ascii="Times New Roman" w:eastAsia="Google Sans" w:hAnsi="Times New Roman" w:cs="Times New Roman"/>
          <w:sz w:val="24"/>
          <w:szCs w:val="24"/>
        </w:rPr>
      </w:pPr>
      <w:r w:rsidRPr="0095797C">
        <w:rPr>
          <w:rFonts w:ascii="Times New Roman" w:eastAsia="Google Sans" w:hAnsi="Times New Roman" w:cs="Times New Roman"/>
          <w:sz w:val="24"/>
          <w:szCs w:val="24"/>
        </w:rPr>
        <w:t xml:space="preserve">Figure 1 illustrates the step-by-step search strategy used to build a robust and interdisciplinary literature review. </w:t>
      </w:r>
    </w:p>
    <w:p w14:paraId="1ADAF474" w14:textId="2410E4CF" w:rsidR="006E2E8B" w:rsidRPr="0095797C" w:rsidRDefault="0095797C" w:rsidP="0095797C">
      <w:pPr>
        <w:pStyle w:val="Caption"/>
        <w:rPr>
          <w:rFonts w:ascii="Times New Roman" w:eastAsia="Google Sans" w:hAnsi="Times New Roman" w:cs="Times New Roman"/>
          <w:b/>
          <w:bCs/>
          <w:i w:val="0"/>
          <w:iCs w:val="0"/>
          <w:color w:val="auto"/>
          <w:sz w:val="24"/>
          <w:szCs w:val="24"/>
        </w:rPr>
      </w:pPr>
      <w:r w:rsidRPr="0095797C">
        <w:rPr>
          <w:rFonts w:ascii="Times New Roman" w:hAnsi="Times New Roman" w:cs="Times New Roman"/>
          <w:b/>
          <w:bCs/>
          <w:i w:val="0"/>
          <w:iCs w:val="0"/>
          <w:color w:val="auto"/>
          <w:sz w:val="24"/>
          <w:szCs w:val="24"/>
        </w:rPr>
        <w:t xml:space="preserve">Figure </w:t>
      </w:r>
      <w:r w:rsidRPr="0095797C">
        <w:rPr>
          <w:rFonts w:ascii="Times New Roman" w:hAnsi="Times New Roman" w:cs="Times New Roman"/>
          <w:b/>
          <w:bCs/>
          <w:i w:val="0"/>
          <w:iCs w:val="0"/>
          <w:color w:val="auto"/>
          <w:sz w:val="24"/>
          <w:szCs w:val="24"/>
        </w:rPr>
        <w:fldChar w:fldCharType="begin"/>
      </w:r>
      <w:r w:rsidRPr="0095797C">
        <w:rPr>
          <w:rFonts w:ascii="Times New Roman" w:hAnsi="Times New Roman" w:cs="Times New Roman"/>
          <w:b/>
          <w:bCs/>
          <w:i w:val="0"/>
          <w:iCs w:val="0"/>
          <w:color w:val="auto"/>
          <w:sz w:val="24"/>
          <w:szCs w:val="24"/>
        </w:rPr>
        <w:instrText xml:space="preserve"> SEQ Figure \* ARABIC </w:instrText>
      </w:r>
      <w:r w:rsidRPr="0095797C">
        <w:rPr>
          <w:rFonts w:ascii="Times New Roman" w:hAnsi="Times New Roman" w:cs="Times New Roman"/>
          <w:b/>
          <w:bCs/>
          <w:i w:val="0"/>
          <w:iCs w:val="0"/>
          <w:color w:val="auto"/>
          <w:sz w:val="24"/>
          <w:szCs w:val="24"/>
        </w:rPr>
        <w:fldChar w:fldCharType="separate"/>
      </w:r>
      <w:r w:rsidR="00286916">
        <w:rPr>
          <w:rFonts w:ascii="Times New Roman" w:hAnsi="Times New Roman" w:cs="Times New Roman"/>
          <w:b/>
          <w:bCs/>
          <w:i w:val="0"/>
          <w:iCs w:val="0"/>
          <w:noProof/>
          <w:color w:val="auto"/>
          <w:sz w:val="24"/>
          <w:szCs w:val="24"/>
        </w:rPr>
        <w:t>1</w:t>
      </w:r>
      <w:r w:rsidRPr="0095797C">
        <w:rPr>
          <w:rFonts w:ascii="Times New Roman" w:hAnsi="Times New Roman" w:cs="Times New Roman"/>
          <w:b/>
          <w:bCs/>
          <w:i w:val="0"/>
          <w:iCs w:val="0"/>
          <w:color w:val="auto"/>
          <w:sz w:val="24"/>
          <w:szCs w:val="24"/>
        </w:rPr>
        <w:fldChar w:fldCharType="end"/>
      </w:r>
      <w:r w:rsidRPr="0095797C">
        <w:rPr>
          <w:rFonts w:ascii="Times New Roman" w:hAnsi="Times New Roman" w:cs="Times New Roman"/>
          <w:b/>
          <w:bCs/>
          <w:i w:val="0"/>
          <w:iCs w:val="0"/>
          <w:color w:val="auto"/>
          <w:sz w:val="24"/>
          <w:szCs w:val="24"/>
        </w:rPr>
        <w:t>. Step</w:t>
      </w:r>
      <w:r>
        <w:rPr>
          <w:rFonts w:ascii="Times New Roman" w:hAnsi="Times New Roman" w:cs="Times New Roman"/>
          <w:b/>
          <w:bCs/>
          <w:i w:val="0"/>
          <w:iCs w:val="0"/>
          <w:color w:val="auto"/>
          <w:sz w:val="24"/>
          <w:szCs w:val="24"/>
        </w:rPr>
        <w:t>-</w:t>
      </w:r>
      <w:r w:rsidRPr="0095797C">
        <w:rPr>
          <w:rFonts w:ascii="Times New Roman" w:hAnsi="Times New Roman" w:cs="Times New Roman"/>
          <w:b/>
          <w:bCs/>
          <w:i w:val="0"/>
          <w:iCs w:val="0"/>
          <w:color w:val="auto"/>
          <w:sz w:val="24"/>
          <w:szCs w:val="24"/>
        </w:rPr>
        <w:t>by</w:t>
      </w:r>
      <w:r>
        <w:rPr>
          <w:rFonts w:ascii="Times New Roman" w:hAnsi="Times New Roman" w:cs="Times New Roman"/>
          <w:b/>
          <w:bCs/>
          <w:i w:val="0"/>
          <w:iCs w:val="0"/>
          <w:color w:val="auto"/>
          <w:sz w:val="24"/>
          <w:szCs w:val="24"/>
        </w:rPr>
        <w:t>-</w:t>
      </w:r>
      <w:r w:rsidRPr="0095797C">
        <w:rPr>
          <w:rFonts w:ascii="Times New Roman" w:hAnsi="Times New Roman" w:cs="Times New Roman"/>
          <w:b/>
          <w:bCs/>
          <w:i w:val="0"/>
          <w:iCs w:val="0"/>
          <w:color w:val="auto"/>
          <w:sz w:val="24"/>
          <w:szCs w:val="24"/>
        </w:rPr>
        <w:t>Step Search Strategy</w:t>
      </w:r>
      <w:r>
        <w:rPr>
          <w:rFonts w:ascii="Times New Roman" w:hAnsi="Times New Roman" w:cs="Times New Roman"/>
          <w:b/>
          <w:bCs/>
          <w:i w:val="0"/>
          <w:iCs w:val="0"/>
          <w:color w:val="auto"/>
          <w:sz w:val="24"/>
          <w:szCs w:val="24"/>
        </w:rPr>
        <w:t xml:space="preserve"> Used</w:t>
      </w:r>
    </w:p>
    <w:p w14:paraId="69613AFC" w14:textId="5220D467" w:rsidR="0095797C" w:rsidRDefault="006E2E8B" w:rsidP="0095797C">
      <w:pPr>
        <w:pBdr>
          <w:top w:val="nil"/>
          <w:left w:val="nil"/>
          <w:bottom w:val="nil"/>
          <w:right w:val="nil"/>
          <w:between w:val="nil"/>
        </w:pBdr>
        <w:spacing w:before="240" w:after="240"/>
        <w:jc w:val="both"/>
        <w:rPr>
          <w:rFonts w:ascii="Times New Roman" w:eastAsia="Google Sans" w:hAnsi="Times New Roman" w:cs="Times New Roman"/>
          <w:sz w:val="24"/>
          <w:szCs w:val="24"/>
        </w:rPr>
      </w:pPr>
      <w:r>
        <w:rPr>
          <w:rFonts w:ascii="Times New Roman" w:eastAsia="Google Sans" w:hAnsi="Times New Roman" w:cs="Times New Roman"/>
          <w:sz w:val="24"/>
          <w:szCs w:val="24"/>
        </w:rPr>
        <w:t xml:space="preserve">      </w:t>
      </w:r>
      <w:r>
        <w:rPr>
          <w:rFonts w:ascii="Times New Roman" w:eastAsia="Google Sans" w:hAnsi="Times New Roman" w:cs="Times New Roman"/>
          <w:noProof/>
          <w:sz w:val="24"/>
          <w:szCs w:val="24"/>
        </w:rPr>
        <w:drawing>
          <wp:inline distT="0" distB="0" distL="0" distR="0" wp14:anchorId="72AF8FA1" wp14:editId="27B758A0">
            <wp:extent cx="6240780" cy="1066800"/>
            <wp:effectExtent l="19050" t="0" r="7620" b="0"/>
            <wp:docPr id="858249356"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0000000F" w14:textId="4547FBC7" w:rsidR="00254F87" w:rsidRPr="005C5254" w:rsidRDefault="00000000" w:rsidP="005C5254">
      <w:pPr>
        <w:pBdr>
          <w:top w:val="nil"/>
          <w:left w:val="nil"/>
          <w:bottom w:val="nil"/>
          <w:right w:val="nil"/>
          <w:between w:val="nil"/>
        </w:pBdr>
        <w:spacing w:before="240" w:after="240"/>
        <w:jc w:val="both"/>
        <w:rPr>
          <w:rFonts w:ascii="Times New Roman" w:eastAsia="Google Sans" w:hAnsi="Times New Roman" w:cs="Times New Roman"/>
          <w:b/>
          <w:bCs/>
          <w:sz w:val="24"/>
          <w:szCs w:val="24"/>
        </w:rPr>
      </w:pPr>
      <w:r w:rsidRPr="005C5254">
        <w:rPr>
          <w:rFonts w:ascii="Times New Roman" w:eastAsia="Google Sans" w:hAnsi="Times New Roman" w:cs="Times New Roman"/>
          <w:b/>
          <w:bCs/>
          <w:sz w:val="28"/>
          <w:szCs w:val="28"/>
        </w:rPr>
        <w:t>LITERATURE REVIEW</w:t>
      </w:r>
    </w:p>
    <w:p w14:paraId="00000010" w14:textId="0AF222C9" w:rsidR="00254F87" w:rsidRPr="001735DD" w:rsidRDefault="00000000" w:rsidP="005C5254">
      <w:pPr>
        <w:pStyle w:val="Heading4"/>
        <w:spacing w:before="240" w:after="240"/>
        <w:jc w:val="both"/>
        <w:rPr>
          <w:rFonts w:ascii="Times New Roman" w:eastAsia="Google Sans" w:hAnsi="Times New Roman" w:cs="Times New Roman"/>
        </w:rPr>
      </w:pPr>
      <w:r w:rsidRPr="001735DD">
        <w:rPr>
          <w:rFonts w:ascii="Times New Roman" w:eastAsia="Google Sans" w:hAnsi="Times New Roman" w:cs="Times New Roman"/>
        </w:rPr>
        <w:t>Definition of Food Integrity</w:t>
      </w:r>
    </w:p>
    <w:p w14:paraId="4E199607" w14:textId="77777777" w:rsidR="005C5254" w:rsidRDefault="00000000" w:rsidP="005C5254">
      <w:pPr>
        <w:pBdr>
          <w:top w:val="nil"/>
          <w:left w:val="nil"/>
          <w:bottom w:val="nil"/>
          <w:right w:val="nil"/>
          <w:between w:val="nil"/>
        </w:pBdr>
        <w:spacing w:before="240" w:after="240"/>
        <w:jc w:val="both"/>
        <w:rPr>
          <w:rFonts w:ascii="Times New Roman" w:eastAsia="Google Sans" w:hAnsi="Times New Roman" w:cs="Times New Roman"/>
          <w:sz w:val="24"/>
          <w:szCs w:val="24"/>
        </w:rPr>
      </w:pPr>
      <w:r w:rsidRPr="001735DD">
        <w:rPr>
          <w:rFonts w:ascii="Times New Roman" w:eastAsia="Google Sans" w:hAnsi="Times New Roman" w:cs="Times New Roman"/>
          <w:sz w:val="24"/>
          <w:szCs w:val="24"/>
        </w:rPr>
        <w:t>Food integrity is a multidimensional concept generally defined as the state of being whole, entire, or undiminished (Robson et al., 2021; Ling &amp; Wahab, 2020). It ensures that food offered for sale is safe and of the expected quality, while honestly capturing sourcing and distribution elements (Ali et al., 2022; Ling &amp; Wahab, 2020). Recent literature defines food integrity across four key elements: product, process, people, and data (Alrobaish et al., 2021). In the Halal industry, this extends to compliance with Islamic principles, ensuring food is free from prohibited elements like porcine DNA or alcohol (Ali et al., 2022).</w:t>
      </w:r>
    </w:p>
    <w:p w14:paraId="00000012" w14:textId="469D76F7" w:rsidR="00254F87" w:rsidRPr="001735DD" w:rsidRDefault="00000000" w:rsidP="005C5254">
      <w:pPr>
        <w:pBdr>
          <w:top w:val="nil"/>
          <w:left w:val="nil"/>
          <w:bottom w:val="nil"/>
          <w:right w:val="nil"/>
          <w:between w:val="nil"/>
        </w:pBdr>
        <w:spacing w:before="240" w:after="240"/>
        <w:jc w:val="both"/>
        <w:rPr>
          <w:rFonts w:ascii="Times New Roman" w:eastAsia="Google Sans" w:hAnsi="Times New Roman" w:cs="Times New Roman"/>
          <w:sz w:val="24"/>
          <w:szCs w:val="24"/>
        </w:rPr>
      </w:pPr>
      <w:r w:rsidRPr="001735DD">
        <w:rPr>
          <w:rFonts w:ascii="Times New Roman" w:eastAsia="Google Sans" w:hAnsi="Times New Roman" w:cs="Times New Roman"/>
          <w:sz w:val="24"/>
          <w:szCs w:val="24"/>
        </w:rPr>
        <w:t>To operationalize this, food integrity is divided into:</w:t>
      </w:r>
    </w:p>
    <w:p w14:paraId="00000013" w14:textId="77777777" w:rsidR="00254F87" w:rsidRPr="00CA4140" w:rsidRDefault="00000000" w:rsidP="005C5254">
      <w:pPr>
        <w:numPr>
          <w:ilvl w:val="0"/>
          <w:numId w:val="1"/>
        </w:numPr>
        <w:pBdr>
          <w:top w:val="nil"/>
          <w:left w:val="nil"/>
          <w:bottom w:val="nil"/>
          <w:right w:val="nil"/>
          <w:between w:val="nil"/>
        </w:pBdr>
        <w:spacing w:before="240" w:after="240"/>
        <w:jc w:val="both"/>
        <w:rPr>
          <w:rFonts w:ascii="Times New Roman" w:hAnsi="Times New Roman" w:cs="Times New Roman"/>
          <w:sz w:val="24"/>
          <w:szCs w:val="24"/>
        </w:rPr>
      </w:pPr>
      <w:r w:rsidRPr="00CA4140">
        <w:rPr>
          <w:rFonts w:ascii="Times New Roman" w:eastAsia="Google Sans" w:hAnsi="Times New Roman" w:cs="Times New Roman"/>
          <w:sz w:val="24"/>
          <w:szCs w:val="24"/>
        </w:rPr>
        <w:t>Product Integrity: Focuses on authenticity and genuine ingredients consistent with labels (Robson et al., 2021; Alrobaish et al., 2021).</w:t>
      </w:r>
    </w:p>
    <w:p w14:paraId="00000014" w14:textId="77777777" w:rsidR="00254F87" w:rsidRPr="00CA4140" w:rsidRDefault="00000000" w:rsidP="005C5254">
      <w:pPr>
        <w:numPr>
          <w:ilvl w:val="0"/>
          <w:numId w:val="1"/>
        </w:numPr>
        <w:pBdr>
          <w:top w:val="nil"/>
          <w:left w:val="nil"/>
          <w:bottom w:val="nil"/>
          <w:right w:val="nil"/>
          <w:between w:val="nil"/>
        </w:pBdr>
        <w:spacing w:before="240" w:after="240"/>
        <w:jc w:val="both"/>
        <w:rPr>
          <w:rFonts w:ascii="Times New Roman" w:hAnsi="Times New Roman" w:cs="Times New Roman"/>
          <w:sz w:val="24"/>
          <w:szCs w:val="24"/>
        </w:rPr>
      </w:pPr>
      <w:r w:rsidRPr="00CA4140">
        <w:rPr>
          <w:rFonts w:ascii="Times New Roman" w:eastAsia="Google Sans" w:hAnsi="Times New Roman" w:cs="Times New Roman"/>
          <w:sz w:val="24"/>
          <w:szCs w:val="24"/>
        </w:rPr>
        <w:t>Process Integrity: Involves verified management systems to prevent illicit imports or diversion (Fernando et al., 2021).</w:t>
      </w:r>
    </w:p>
    <w:p w14:paraId="00000015" w14:textId="77777777" w:rsidR="00254F87" w:rsidRPr="00CA4140" w:rsidRDefault="00000000" w:rsidP="005C5254">
      <w:pPr>
        <w:numPr>
          <w:ilvl w:val="0"/>
          <w:numId w:val="1"/>
        </w:numPr>
        <w:pBdr>
          <w:top w:val="nil"/>
          <w:left w:val="nil"/>
          <w:bottom w:val="nil"/>
          <w:right w:val="nil"/>
          <w:between w:val="nil"/>
        </w:pBdr>
        <w:spacing w:before="240" w:after="240"/>
        <w:jc w:val="both"/>
        <w:rPr>
          <w:rFonts w:ascii="Times New Roman" w:hAnsi="Times New Roman" w:cs="Times New Roman"/>
          <w:sz w:val="24"/>
          <w:szCs w:val="24"/>
        </w:rPr>
      </w:pPr>
      <w:r w:rsidRPr="00CA4140">
        <w:rPr>
          <w:rFonts w:ascii="Times New Roman" w:eastAsia="Google Sans" w:hAnsi="Times New Roman" w:cs="Times New Roman"/>
          <w:sz w:val="24"/>
          <w:szCs w:val="24"/>
        </w:rPr>
        <w:t>People Integrity: Addresses the honesty and ethics of supply chain actors (Robson et al., 2021).</w:t>
      </w:r>
    </w:p>
    <w:p w14:paraId="556B98AE" w14:textId="7295686A" w:rsidR="00CA4140" w:rsidRPr="005C5254" w:rsidRDefault="00000000" w:rsidP="005C5254">
      <w:pPr>
        <w:numPr>
          <w:ilvl w:val="0"/>
          <w:numId w:val="1"/>
        </w:numPr>
        <w:pBdr>
          <w:top w:val="nil"/>
          <w:left w:val="nil"/>
          <w:bottom w:val="nil"/>
          <w:right w:val="nil"/>
          <w:between w:val="nil"/>
        </w:pBdr>
        <w:spacing w:before="240" w:after="240"/>
        <w:jc w:val="both"/>
        <w:rPr>
          <w:rFonts w:ascii="Times New Roman" w:eastAsia="Google Sans" w:hAnsi="Times New Roman" w:cs="Times New Roman"/>
          <w:sz w:val="24"/>
          <w:szCs w:val="24"/>
        </w:rPr>
      </w:pPr>
      <w:r w:rsidRPr="00CA4140">
        <w:rPr>
          <w:rFonts w:ascii="Times New Roman" w:eastAsia="Google Sans" w:hAnsi="Times New Roman" w:cs="Times New Roman"/>
          <w:sz w:val="24"/>
          <w:szCs w:val="24"/>
        </w:rPr>
        <w:t>Data Integrity</w:t>
      </w:r>
      <w:r w:rsidRPr="00CA4140">
        <w:rPr>
          <w:rFonts w:ascii="Times New Roman" w:eastAsia="Google Sans" w:hAnsi="Times New Roman" w:cs="Times New Roman"/>
          <w:b/>
          <w:bCs/>
          <w:sz w:val="24"/>
          <w:szCs w:val="24"/>
        </w:rPr>
        <w:t>:</w:t>
      </w:r>
      <w:r w:rsidRPr="00CA4140">
        <w:rPr>
          <w:rFonts w:ascii="Times New Roman" w:eastAsia="Google Sans" w:hAnsi="Times New Roman" w:cs="Times New Roman"/>
          <w:sz w:val="24"/>
          <w:szCs w:val="24"/>
        </w:rPr>
        <w:t xml:space="preserve"> Ensures accurate documentation and health certificates to prevent fraud (Fernando et al., 2021).</w:t>
      </w:r>
    </w:p>
    <w:p w14:paraId="3702E457" w14:textId="68D39487" w:rsidR="00AF5C40" w:rsidRPr="005C5254" w:rsidRDefault="00000000" w:rsidP="005C5254">
      <w:pPr>
        <w:pBdr>
          <w:top w:val="nil"/>
          <w:left w:val="nil"/>
          <w:bottom w:val="nil"/>
          <w:right w:val="nil"/>
          <w:between w:val="nil"/>
        </w:pBdr>
        <w:spacing w:before="240" w:after="240"/>
        <w:jc w:val="both"/>
        <w:rPr>
          <w:rFonts w:ascii="Times New Roman" w:eastAsia="Google Sans" w:hAnsi="Times New Roman" w:cs="Times New Roman"/>
          <w:sz w:val="24"/>
          <w:szCs w:val="24"/>
        </w:rPr>
      </w:pPr>
      <w:r w:rsidRPr="00CA4140">
        <w:rPr>
          <w:rFonts w:ascii="Times New Roman" w:eastAsia="Google Sans" w:hAnsi="Times New Roman" w:cs="Times New Roman"/>
          <w:sz w:val="24"/>
          <w:szCs w:val="24"/>
        </w:rPr>
        <w:t xml:space="preserve">The </w:t>
      </w:r>
      <w:r w:rsidR="00DD7A84" w:rsidRPr="00CA4140">
        <w:rPr>
          <w:rFonts w:ascii="Times New Roman" w:eastAsia="Google Sans" w:hAnsi="Times New Roman" w:cs="Times New Roman"/>
          <w:sz w:val="24"/>
          <w:szCs w:val="24"/>
        </w:rPr>
        <w:t>“</w:t>
      </w:r>
      <w:r w:rsidRPr="00CA4140">
        <w:rPr>
          <w:rFonts w:ascii="Times New Roman" w:eastAsia="Google Sans" w:hAnsi="Times New Roman" w:cs="Times New Roman"/>
          <w:sz w:val="24"/>
          <w:szCs w:val="24"/>
        </w:rPr>
        <w:t>House of Food Integrity</w:t>
      </w:r>
      <w:r w:rsidR="00DD7A84" w:rsidRPr="00CA4140">
        <w:rPr>
          <w:rFonts w:ascii="Times New Roman" w:eastAsia="Google Sans" w:hAnsi="Times New Roman" w:cs="Times New Roman"/>
          <w:sz w:val="24"/>
          <w:szCs w:val="24"/>
        </w:rPr>
        <w:t>”</w:t>
      </w:r>
      <w:r w:rsidRPr="00CA4140">
        <w:rPr>
          <w:rFonts w:ascii="Times New Roman" w:eastAsia="Google Sans" w:hAnsi="Times New Roman" w:cs="Times New Roman"/>
          <w:sz w:val="24"/>
          <w:szCs w:val="24"/>
        </w:rPr>
        <w:t xml:space="preserve"> rests on three pillars: Food Quality, Food Safety, and Food Defence, supported </w:t>
      </w:r>
      <w:r w:rsidRPr="00CA4140">
        <w:rPr>
          <w:rFonts w:ascii="Times New Roman" w:eastAsia="Google Sans" w:hAnsi="Times New Roman" w:cs="Times New Roman"/>
          <w:sz w:val="24"/>
          <w:szCs w:val="24"/>
        </w:rPr>
        <w:lastRenderedPageBreak/>
        <w:t>by foundations of Traceability, Technology, and Assurance Systems like HACCP (Ling &amp; Wahab, 2020).</w:t>
      </w:r>
    </w:p>
    <w:p w14:paraId="00000018" w14:textId="3180D89E" w:rsidR="00254F87" w:rsidRPr="001735DD" w:rsidRDefault="00000000" w:rsidP="005C5254">
      <w:pPr>
        <w:pStyle w:val="Heading4"/>
        <w:spacing w:before="240" w:after="240"/>
        <w:jc w:val="both"/>
        <w:rPr>
          <w:rFonts w:ascii="Times New Roman" w:eastAsia="Google Sans" w:hAnsi="Times New Roman" w:cs="Times New Roman"/>
        </w:rPr>
      </w:pPr>
      <w:r w:rsidRPr="001735DD">
        <w:rPr>
          <w:rFonts w:ascii="Times New Roman" w:eastAsia="Google Sans" w:hAnsi="Times New Roman" w:cs="Times New Roman"/>
        </w:rPr>
        <w:t>Definition of Food Security</w:t>
      </w:r>
    </w:p>
    <w:p w14:paraId="00000019" w14:textId="63918FFE" w:rsidR="00254F87" w:rsidRPr="001735DD" w:rsidRDefault="00000000" w:rsidP="005C5254">
      <w:pPr>
        <w:pBdr>
          <w:top w:val="nil"/>
          <w:left w:val="nil"/>
          <w:bottom w:val="nil"/>
          <w:right w:val="nil"/>
          <w:between w:val="nil"/>
        </w:pBdr>
        <w:spacing w:before="240" w:after="240"/>
        <w:jc w:val="both"/>
        <w:rPr>
          <w:rFonts w:ascii="Times New Roman" w:eastAsia="Google Sans" w:hAnsi="Times New Roman" w:cs="Times New Roman"/>
          <w:sz w:val="24"/>
          <w:szCs w:val="24"/>
        </w:rPr>
      </w:pPr>
      <w:r w:rsidRPr="001735DD">
        <w:rPr>
          <w:rFonts w:ascii="Times New Roman" w:eastAsia="Google Sans" w:hAnsi="Times New Roman" w:cs="Times New Roman"/>
          <w:sz w:val="24"/>
          <w:szCs w:val="24"/>
        </w:rPr>
        <w:t xml:space="preserve">Food security exists when </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all people, at all times, have physical, social, and economic access to sufficient, safe, and nutritious food</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 xml:space="preserve"> (García-Díez et al., 2021; Pérez-Escamilla, 2024). Modern consensus expands this to six pillars:</w:t>
      </w:r>
    </w:p>
    <w:p w14:paraId="0000001A" w14:textId="77777777" w:rsidR="00254F87" w:rsidRPr="00C2017F" w:rsidRDefault="00000000" w:rsidP="005C5254">
      <w:pPr>
        <w:pStyle w:val="ListParagraph"/>
        <w:numPr>
          <w:ilvl w:val="0"/>
          <w:numId w:val="10"/>
        </w:numPr>
        <w:pBdr>
          <w:top w:val="nil"/>
          <w:left w:val="nil"/>
          <w:bottom w:val="nil"/>
          <w:right w:val="nil"/>
          <w:between w:val="nil"/>
        </w:pBdr>
        <w:spacing w:before="240" w:after="240"/>
        <w:jc w:val="both"/>
        <w:rPr>
          <w:rFonts w:ascii="Times New Roman" w:hAnsi="Times New Roman" w:cs="Times New Roman"/>
          <w:sz w:val="24"/>
          <w:szCs w:val="24"/>
        </w:rPr>
      </w:pPr>
      <w:r w:rsidRPr="00C2017F">
        <w:rPr>
          <w:rFonts w:ascii="Times New Roman" w:eastAsia="Google Sans" w:hAnsi="Times New Roman" w:cs="Times New Roman"/>
          <w:sz w:val="24"/>
          <w:szCs w:val="24"/>
        </w:rPr>
        <w:t>Availability: Adequate amounts of quality food (Ali, 2024).</w:t>
      </w:r>
    </w:p>
    <w:p w14:paraId="0000001B" w14:textId="77777777" w:rsidR="00254F87" w:rsidRPr="00C2017F" w:rsidRDefault="00000000" w:rsidP="005C5254">
      <w:pPr>
        <w:pStyle w:val="ListParagraph"/>
        <w:numPr>
          <w:ilvl w:val="0"/>
          <w:numId w:val="10"/>
        </w:numPr>
        <w:pBdr>
          <w:top w:val="nil"/>
          <w:left w:val="nil"/>
          <w:bottom w:val="nil"/>
          <w:right w:val="nil"/>
          <w:between w:val="nil"/>
        </w:pBdr>
        <w:spacing w:before="240" w:after="240"/>
        <w:jc w:val="both"/>
        <w:rPr>
          <w:rFonts w:ascii="Times New Roman" w:hAnsi="Times New Roman" w:cs="Times New Roman"/>
          <w:sz w:val="24"/>
          <w:szCs w:val="24"/>
        </w:rPr>
      </w:pPr>
      <w:r w:rsidRPr="00C2017F">
        <w:rPr>
          <w:rFonts w:ascii="Times New Roman" w:eastAsia="Google Sans" w:hAnsi="Times New Roman" w:cs="Times New Roman"/>
          <w:sz w:val="24"/>
          <w:szCs w:val="24"/>
        </w:rPr>
        <w:t>Access: Categorized into Physical (transport), Economic (purchasing power), and Social (acceptable means) access (Campomanes et al., 2024; Gallegos et al., 2023).</w:t>
      </w:r>
    </w:p>
    <w:p w14:paraId="0000001C" w14:textId="77777777" w:rsidR="00254F87" w:rsidRPr="00C2017F" w:rsidRDefault="00000000" w:rsidP="005C5254">
      <w:pPr>
        <w:pStyle w:val="ListParagraph"/>
        <w:numPr>
          <w:ilvl w:val="0"/>
          <w:numId w:val="10"/>
        </w:numPr>
        <w:pBdr>
          <w:top w:val="nil"/>
          <w:left w:val="nil"/>
          <w:bottom w:val="nil"/>
          <w:right w:val="nil"/>
          <w:between w:val="nil"/>
        </w:pBdr>
        <w:spacing w:before="240" w:after="240"/>
        <w:jc w:val="both"/>
        <w:rPr>
          <w:rFonts w:ascii="Times New Roman" w:hAnsi="Times New Roman" w:cs="Times New Roman"/>
          <w:sz w:val="24"/>
          <w:szCs w:val="24"/>
        </w:rPr>
      </w:pPr>
      <w:r w:rsidRPr="00C2017F">
        <w:rPr>
          <w:rFonts w:ascii="Times New Roman" w:eastAsia="Google Sans" w:hAnsi="Times New Roman" w:cs="Times New Roman"/>
          <w:sz w:val="24"/>
          <w:szCs w:val="24"/>
        </w:rPr>
        <w:t>Utilization: Biological use of food through nutrition, sanitation, and health (Gallegos et al., 2023).</w:t>
      </w:r>
    </w:p>
    <w:p w14:paraId="0000001D" w14:textId="0C1A19B5" w:rsidR="00254F87" w:rsidRPr="00C2017F" w:rsidRDefault="00000000" w:rsidP="005C5254">
      <w:pPr>
        <w:pStyle w:val="ListParagraph"/>
        <w:numPr>
          <w:ilvl w:val="0"/>
          <w:numId w:val="10"/>
        </w:numPr>
        <w:pBdr>
          <w:top w:val="nil"/>
          <w:left w:val="nil"/>
          <w:bottom w:val="nil"/>
          <w:right w:val="nil"/>
          <w:between w:val="nil"/>
        </w:pBdr>
        <w:spacing w:before="240" w:after="240"/>
        <w:jc w:val="both"/>
        <w:rPr>
          <w:rFonts w:ascii="Times New Roman" w:hAnsi="Times New Roman" w:cs="Times New Roman"/>
          <w:sz w:val="24"/>
          <w:szCs w:val="24"/>
        </w:rPr>
      </w:pPr>
      <w:r w:rsidRPr="00C2017F">
        <w:rPr>
          <w:rFonts w:ascii="Times New Roman" w:eastAsia="Google Sans" w:hAnsi="Times New Roman" w:cs="Times New Roman"/>
          <w:sz w:val="24"/>
          <w:szCs w:val="24"/>
        </w:rPr>
        <w:t xml:space="preserve">Stability: Steady access despite economic or climatic shocks like the </w:t>
      </w:r>
      <w:r w:rsidR="00DD7A84" w:rsidRPr="00C2017F">
        <w:rPr>
          <w:rFonts w:ascii="Times New Roman" w:eastAsia="Google Sans" w:hAnsi="Times New Roman" w:cs="Times New Roman"/>
          <w:sz w:val="24"/>
          <w:szCs w:val="24"/>
        </w:rPr>
        <w:t>“</w:t>
      </w:r>
      <w:r w:rsidRPr="00C2017F">
        <w:rPr>
          <w:rFonts w:ascii="Times New Roman" w:eastAsia="Google Sans" w:hAnsi="Times New Roman" w:cs="Times New Roman"/>
          <w:sz w:val="24"/>
          <w:szCs w:val="24"/>
        </w:rPr>
        <w:t>Three Lethal Cs</w:t>
      </w:r>
      <w:r w:rsidR="00DD7A84" w:rsidRPr="00C2017F">
        <w:rPr>
          <w:rFonts w:ascii="Times New Roman" w:eastAsia="Google Sans" w:hAnsi="Times New Roman" w:cs="Times New Roman"/>
          <w:sz w:val="24"/>
          <w:szCs w:val="24"/>
        </w:rPr>
        <w:t>”</w:t>
      </w:r>
      <w:r w:rsidRPr="00C2017F">
        <w:rPr>
          <w:rFonts w:ascii="Times New Roman" w:eastAsia="Google Sans" w:hAnsi="Times New Roman" w:cs="Times New Roman"/>
          <w:sz w:val="24"/>
          <w:szCs w:val="24"/>
        </w:rPr>
        <w:t xml:space="preserve"> (Munialo &amp; Mellor, 2024).</w:t>
      </w:r>
    </w:p>
    <w:p w14:paraId="0000001E" w14:textId="77777777" w:rsidR="00254F87" w:rsidRPr="00C2017F" w:rsidRDefault="00000000" w:rsidP="005C5254">
      <w:pPr>
        <w:pStyle w:val="ListParagraph"/>
        <w:numPr>
          <w:ilvl w:val="0"/>
          <w:numId w:val="10"/>
        </w:numPr>
        <w:pBdr>
          <w:top w:val="nil"/>
          <w:left w:val="nil"/>
          <w:bottom w:val="nil"/>
          <w:right w:val="nil"/>
          <w:between w:val="nil"/>
        </w:pBdr>
        <w:spacing w:before="240" w:after="240"/>
        <w:jc w:val="both"/>
        <w:rPr>
          <w:rFonts w:ascii="Times New Roman" w:hAnsi="Times New Roman" w:cs="Times New Roman"/>
          <w:sz w:val="24"/>
          <w:szCs w:val="24"/>
        </w:rPr>
      </w:pPr>
      <w:r w:rsidRPr="00C2017F">
        <w:rPr>
          <w:rFonts w:ascii="Times New Roman" w:eastAsia="Google Sans" w:hAnsi="Times New Roman" w:cs="Times New Roman"/>
          <w:sz w:val="24"/>
          <w:szCs w:val="24"/>
        </w:rPr>
        <w:t>Agency: Decision-making power of communities (Sumsion et al., 2023).</w:t>
      </w:r>
    </w:p>
    <w:p w14:paraId="1DAB7013" w14:textId="13AFAB63" w:rsidR="00AF5C40" w:rsidRPr="005C5254" w:rsidRDefault="00000000" w:rsidP="005C5254">
      <w:pPr>
        <w:pStyle w:val="ListParagraph"/>
        <w:numPr>
          <w:ilvl w:val="0"/>
          <w:numId w:val="10"/>
        </w:numPr>
        <w:pBdr>
          <w:top w:val="nil"/>
          <w:left w:val="nil"/>
          <w:bottom w:val="nil"/>
          <w:right w:val="nil"/>
          <w:between w:val="nil"/>
        </w:pBdr>
        <w:spacing w:before="240" w:after="240"/>
        <w:jc w:val="both"/>
        <w:rPr>
          <w:rFonts w:ascii="Times New Roman" w:eastAsia="Arial" w:hAnsi="Times New Roman" w:cs="Times New Roman"/>
          <w:sz w:val="24"/>
          <w:szCs w:val="24"/>
        </w:rPr>
      </w:pPr>
      <w:r w:rsidRPr="00C2017F">
        <w:rPr>
          <w:rFonts w:ascii="Times New Roman" w:eastAsia="Google Sans" w:hAnsi="Times New Roman" w:cs="Times New Roman"/>
          <w:sz w:val="24"/>
          <w:szCs w:val="24"/>
        </w:rPr>
        <w:t>Sustainability: Resource regeneration for future generations (Gallegos et al., 2023).</w:t>
      </w:r>
    </w:p>
    <w:p w14:paraId="00000020" w14:textId="04FEA744" w:rsidR="00254F87" w:rsidRPr="001735DD" w:rsidRDefault="00000000" w:rsidP="005C5254">
      <w:pPr>
        <w:pStyle w:val="Heading4"/>
        <w:spacing w:before="240" w:after="240"/>
        <w:jc w:val="both"/>
        <w:rPr>
          <w:rFonts w:ascii="Times New Roman" w:eastAsia="Google Sans" w:hAnsi="Times New Roman" w:cs="Times New Roman"/>
        </w:rPr>
      </w:pPr>
      <w:r w:rsidRPr="001735DD">
        <w:rPr>
          <w:rFonts w:ascii="Times New Roman" w:eastAsia="Google Sans" w:hAnsi="Times New Roman" w:cs="Times New Roman"/>
        </w:rPr>
        <w:t>The Intersection: Where Integrity Protects Security</w:t>
      </w:r>
    </w:p>
    <w:p w14:paraId="2F6C0907" w14:textId="4FC6FCC8" w:rsidR="00AF5C40" w:rsidRDefault="00000000" w:rsidP="005C5254">
      <w:pPr>
        <w:pBdr>
          <w:top w:val="nil"/>
          <w:left w:val="nil"/>
          <w:bottom w:val="nil"/>
          <w:right w:val="nil"/>
          <w:between w:val="nil"/>
        </w:pBdr>
        <w:spacing w:before="240" w:after="240"/>
        <w:jc w:val="both"/>
        <w:rPr>
          <w:rFonts w:ascii="Times New Roman" w:eastAsia="Google Sans" w:hAnsi="Times New Roman" w:cs="Times New Roman"/>
          <w:sz w:val="24"/>
          <w:szCs w:val="24"/>
        </w:rPr>
      </w:pPr>
      <w:r w:rsidRPr="001735DD">
        <w:rPr>
          <w:rFonts w:ascii="Times New Roman" w:eastAsia="Google Sans" w:hAnsi="Times New Roman" w:cs="Times New Roman"/>
          <w:sz w:val="24"/>
          <w:szCs w:val="24"/>
        </w:rPr>
        <w:t xml:space="preserve">Contemporary supply chains face a </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Dual Vulnerability.</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 xml:space="preserve"> Security risks involve physical spoilage and disruption due to elaborate logistics and global crises (García-Díez et al., 2021). Integrity risks involve intentional </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 xml:space="preserve">Economically </w:t>
      </w:r>
      <w:r w:rsidR="00F07EA7">
        <w:rPr>
          <w:rFonts w:ascii="Times New Roman" w:eastAsia="Google Sans" w:hAnsi="Times New Roman" w:cs="Times New Roman"/>
          <w:sz w:val="24"/>
          <w:szCs w:val="24"/>
        </w:rPr>
        <w:t>Motivated</w:t>
      </w:r>
      <w:r w:rsidRPr="001735DD">
        <w:rPr>
          <w:rFonts w:ascii="Times New Roman" w:eastAsia="Google Sans" w:hAnsi="Times New Roman" w:cs="Times New Roman"/>
          <w:sz w:val="24"/>
          <w:szCs w:val="24"/>
        </w:rPr>
        <w:t xml:space="preserve"> Adulteration</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 xml:space="preserve"> (EMA), where globalization reduces accountability across approximately 450 potential compromise points (Ling &amp; Wahab, 2020; Robson et al., 2021).</w:t>
      </w:r>
    </w:p>
    <w:p w14:paraId="6A0932F2" w14:textId="17A26474" w:rsidR="003544DB" w:rsidRPr="003544DB" w:rsidRDefault="003544DB" w:rsidP="003544DB">
      <w:pPr>
        <w:pStyle w:val="NormalWeb"/>
      </w:pPr>
      <w:r w:rsidRPr="003544DB">
        <w:t>Table 1 diagram summarizing the relationship between Food Integrity and Food Security, showing how each dimension contributes to protecting food systems.</w:t>
      </w:r>
    </w:p>
    <w:p w14:paraId="7DF44D25" w14:textId="41BB27C4" w:rsidR="003544DB" w:rsidRPr="003544DB" w:rsidRDefault="003544DB" w:rsidP="003544DB">
      <w:pPr>
        <w:pStyle w:val="Caption"/>
        <w:rPr>
          <w:rFonts w:ascii="Times New Roman" w:eastAsia="Google Sans" w:hAnsi="Times New Roman" w:cs="Times New Roman"/>
          <w:b/>
          <w:bCs/>
          <w:i w:val="0"/>
          <w:iCs w:val="0"/>
          <w:color w:val="000000" w:themeColor="text1"/>
          <w:sz w:val="24"/>
          <w:szCs w:val="24"/>
        </w:rPr>
      </w:pPr>
      <w:r w:rsidRPr="003544DB">
        <w:rPr>
          <w:rFonts w:ascii="Times New Roman" w:hAnsi="Times New Roman" w:cs="Times New Roman"/>
          <w:b/>
          <w:bCs/>
          <w:i w:val="0"/>
          <w:iCs w:val="0"/>
          <w:color w:val="000000" w:themeColor="text1"/>
          <w:sz w:val="24"/>
          <w:szCs w:val="24"/>
        </w:rPr>
        <w:t xml:space="preserve">Table </w:t>
      </w:r>
      <w:r w:rsidRPr="003544DB">
        <w:rPr>
          <w:rFonts w:ascii="Times New Roman" w:hAnsi="Times New Roman" w:cs="Times New Roman"/>
          <w:b/>
          <w:bCs/>
          <w:i w:val="0"/>
          <w:iCs w:val="0"/>
          <w:color w:val="000000" w:themeColor="text1"/>
          <w:sz w:val="24"/>
          <w:szCs w:val="24"/>
        </w:rPr>
        <w:fldChar w:fldCharType="begin"/>
      </w:r>
      <w:r w:rsidRPr="003544DB">
        <w:rPr>
          <w:rFonts w:ascii="Times New Roman" w:hAnsi="Times New Roman" w:cs="Times New Roman"/>
          <w:b/>
          <w:bCs/>
          <w:i w:val="0"/>
          <w:iCs w:val="0"/>
          <w:color w:val="000000" w:themeColor="text1"/>
          <w:sz w:val="24"/>
          <w:szCs w:val="24"/>
        </w:rPr>
        <w:instrText xml:space="preserve"> SEQ Table \* ARABIC </w:instrText>
      </w:r>
      <w:r w:rsidRPr="003544DB">
        <w:rPr>
          <w:rFonts w:ascii="Times New Roman" w:hAnsi="Times New Roman" w:cs="Times New Roman"/>
          <w:b/>
          <w:bCs/>
          <w:i w:val="0"/>
          <w:iCs w:val="0"/>
          <w:color w:val="000000" w:themeColor="text1"/>
          <w:sz w:val="24"/>
          <w:szCs w:val="24"/>
        </w:rPr>
        <w:fldChar w:fldCharType="separate"/>
      </w:r>
      <w:r w:rsidR="007B3935">
        <w:rPr>
          <w:rFonts w:ascii="Times New Roman" w:hAnsi="Times New Roman" w:cs="Times New Roman"/>
          <w:b/>
          <w:bCs/>
          <w:i w:val="0"/>
          <w:iCs w:val="0"/>
          <w:noProof/>
          <w:color w:val="000000" w:themeColor="text1"/>
          <w:sz w:val="24"/>
          <w:szCs w:val="24"/>
        </w:rPr>
        <w:t>1</w:t>
      </w:r>
      <w:r w:rsidRPr="003544DB">
        <w:rPr>
          <w:rFonts w:ascii="Times New Roman" w:hAnsi="Times New Roman" w:cs="Times New Roman"/>
          <w:b/>
          <w:bCs/>
          <w:i w:val="0"/>
          <w:iCs w:val="0"/>
          <w:color w:val="000000" w:themeColor="text1"/>
          <w:sz w:val="24"/>
          <w:szCs w:val="24"/>
        </w:rPr>
        <w:fldChar w:fldCharType="end"/>
      </w:r>
      <w:r w:rsidRPr="003544DB">
        <w:rPr>
          <w:rFonts w:ascii="Times New Roman" w:hAnsi="Times New Roman" w:cs="Times New Roman"/>
          <w:b/>
          <w:bCs/>
          <w:i w:val="0"/>
          <w:iCs w:val="0"/>
          <w:color w:val="000000" w:themeColor="text1"/>
          <w:sz w:val="24"/>
          <w:szCs w:val="24"/>
        </w:rPr>
        <w:t xml:space="preserve">. </w:t>
      </w:r>
      <w:r w:rsidRPr="003544DB">
        <w:rPr>
          <w:rFonts w:ascii="Times New Roman" w:eastAsia="Google Sans" w:hAnsi="Times New Roman" w:cs="Times New Roman"/>
          <w:b/>
          <w:bCs/>
          <w:i w:val="0"/>
          <w:iCs w:val="0"/>
          <w:color w:val="000000" w:themeColor="text1"/>
          <w:sz w:val="24"/>
          <w:szCs w:val="24"/>
        </w:rPr>
        <w:t xml:space="preserve">How Food Integrity </w:t>
      </w:r>
      <w:r w:rsidR="00AB7FBA">
        <w:rPr>
          <w:rFonts w:ascii="Times New Roman" w:eastAsia="Google Sans" w:hAnsi="Times New Roman" w:cs="Times New Roman"/>
          <w:b/>
          <w:bCs/>
          <w:i w:val="0"/>
          <w:iCs w:val="0"/>
          <w:color w:val="000000" w:themeColor="text1"/>
          <w:sz w:val="24"/>
          <w:szCs w:val="24"/>
        </w:rPr>
        <w:t xml:space="preserve">Protects </w:t>
      </w:r>
      <w:r w:rsidRPr="003544DB">
        <w:rPr>
          <w:rFonts w:ascii="Times New Roman" w:eastAsia="Google Sans" w:hAnsi="Times New Roman" w:cs="Times New Roman"/>
          <w:b/>
          <w:bCs/>
          <w:i w:val="0"/>
          <w:iCs w:val="0"/>
          <w:color w:val="000000" w:themeColor="text1"/>
          <w:sz w:val="24"/>
          <w:szCs w:val="24"/>
        </w:rPr>
        <w:t>Food Security</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91"/>
        <w:gridCol w:w="4081"/>
        <w:gridCol w:w="3914"/>
      </w:tblGrid>
      <w:tr w:rsidR="003544DB" w:rsidRPr="003544DB" w14:paraId="680AF09C" w14:textId="77777777" w:rsidTr="002A3BFC">
        <w:trPr>
          <w:tblHeader/>
          <w:tblCellSpacing w:w="15" w:type="dxa"/>
        </w:trPr>
        <w:tc>
          <w:tcPr>
            <w:tcW w:w="1238" w:type="pct"/>
            <w:vAlign w:val="center"/>
            <w:hideMark/>
          </w:tcPr>
          <w:p w14:paraId="20407F7A" w14:textId="77777777" w:rsidR="003544DB" w:rsidRPr="003544DB" w:rsidRDefault="003544DB" w:rsidP="00991818">
            <w:pPr>
              <w:pBdr>
                <w:top w:val="nil"/>
                <w:left w:val="nil"/>
                <w:bottom w:val="nil"/>
                <w:right w:val="nil"/>
                <w:between w:val="nil"/>
              </w:pBdr>
              <w:jc w:val="center"/>
              <w:rPr>
                <w:rFonts w:ascii="Times New Roman" w:eastAsia="Google Sans" w:hAnsi="Times New Roman" w:cs="Times New Roman"/>
                <w:b/>
                <w:bCs/>
                <w:sz w:val="24"/>
                <w:szCs w:val="24"/>
              </w:rPr>
            </w:pPr>
            <w:r w:rsidRPr="003544DB">
              <w:rPr>
                <w:rFonts w:ascii="Times New Roman" w:eastAsia="Google Sans" w:hAnsi="Times New Roman" w:cs="Times New Roman"/>
                <w:b/>
                <w:bCs/>
                <w:sz w:val="24"/>
                <w:szCs w:val="24"/>
              </w:rPr>
              <w:t>Food Integrity Pillar</w:t>
            </w:r>
          </w:p>
        </w:tc>
        <w:tc>
          <w:tcPr>
            <w:tcW w:w="1896" w:type="pct"/>
            <w:vAlign w:val="center"/>
            <w:hideMark/>
          </w:tcPr>
          <w:p w14:paraId="656728AF" w14:textId="77777777" w:rsidR="003544DB" w:rsidRPr="003544DB" w:rsidRDefault="003544DB" w:rsidP="00991818">
            <w:pPr>
              <w:pBdr>
                <w:top w:val="nil"/>
                <w:left w:val="nil"/>
                <w:bottom w:val="nil"/>
                <w:right w:val="nil"/>
                <w:between w:val="nil"/>
              </w:pBdr>
              <w:jc w:val="center"/>
              <w:rPr>
                <w:rFonts w:ascii="Times New Roman" w:eastAsia="Google Sans" w:hAnsi="Times New Roman" w:cs="Times New Roman"/>
                <w:b/>
                <w:bCs/>
                <w:sz w:val="24"/>
                <w:szCs w:val="24"/>
              </w:rPr>
            </w:pPr>
            <w:r w:rsidRPr="003544DB">
              <w:rPr>
                <w:rFonts w:ascii="Times New Roman" w:eastAsia="Google Sans" w:hAnsi="Times New Roman" w:cs="Times New Roman"/>
                <w:b/>
                <w:bCs/>
                <w:sz w:val="24"/>
                <w:szCs w:val="24"/>
              </w:rPr>
              <w:t>Contribution to Food Security Pillar</w:t>
            </w:r>
          </w:p>
        </w:tc>
        <w:tc>
          <w:tcPr>
            <w:tcW w:w="1810" w:type="pct"/>
            <w:vAlign w:val="center"/>
            <w:hideMark/>
          </w:tcPr>
          <w:p w14:paraId="4190B8B6" w14:textId="77777777" w:rsidR="003544DB" w:rsidRPr="003544DB" w:rsidRDefault="003544DB" w:rsidP="00991818">
            <w:pPr>
              <w:pBdr>
                <w:top w:val="nil"/>
                <w:left w:val="nil"/>
                <w:bottom w:val="nil"/>
                <w:right w:val="nil"/>
                <w:between w:val="nil"/>
              </w:pBdr>
              <w:jc w:val="center"/>
              <w:rPr>
                <w:rFonts w:ascii="Times New Roman" w:eastAsia="Google Sans" w:hAnsi="Times New Roman" w:cs="Times New Roman"/>
                <w:b/>
                <w:bCs/>
                <w:sz w:val="24"/>
                <w:szCs w:val="24"/>
              </w:rPr>
            </w:pPr>
            <w:r w:rsidRPr="003544DB">
              <w:rPr>
                <w:rFonts w:ascii="Times New Roman" w:eastAsia="Google Sans" w:hAnsi="Times New Roman" w:cs="Times New Roman"/>
                <w:b/>
                <w:bCs/>
                <w:sz w:val="24"/>
                <w:szCs w:val="24"/>
              </w:rPr>
              <w:t>Security Risk Mitigated</w:t>
            </w:r>
          </w:p>
        </w:tc>
      </w:tr>
      <w:tr w:rsidR="003544DB" w:rsidRPr="003544DB" w14:paraId="6299DE8E" w14:textId="77777777" w:rsidTr="002A3BFC">
        <w:trPr>
          <w:tblCellSpacing w:w="15" w:type="dxa"/>
        </w:trPr>
        <w:tc>
          <w:tcPr>
            <w:tcW w:w="1238" w:type="pct"/>
            <w:vAlign w:val="center"/>
            <w:hideMark/>
          </w:tcPr>
          <w:p w14:paraId="06BD905A" w14:textId="77777777" w:rsidR="003544DB" w:rsidRPr="003544DB" w:rsidRDefault="003544DB" w:rsidP="00991818">
            <w:pPr>
              <w:pBdr>
                <w:top w:val="nil"/>
                <w:left w:val="nil"/>
                <w:bottom w:val="nil"/>
                <w:right w:val="nil"/>
                <w:between w:val="nil"/>
              </w:pBdr>
              <w:jc w:val="center"/>
              <w:rPr>
                <w:rFonts w:ascii="Times New Roman" w:eastAsia="Google Sans" w:hAnsi="Times New Roman" w:cs="Times New Roman"/>
              </w:rPr>
            </w:pPr>
            <w:r w:rsidRPr="003544DB">
              <w:rPr>
                <w:rFonts w:ascii="Times New Roman" w:eastAsia="Google Sans" w:hAnsi="Times New Roman" w:cs="Times New Roman"/>
                <w:b/>
                <w:bCs/>
              </w:rPr>
              <w:t>Product Integrity</w:t>
            </w:r>
          </w:p>
        </w:tc>
        <w:tc>
          <w:tcPr>
            <w:tcW w:w="1896" w:type="pct"/>
            <w:vAlign w:val="center"/>
            <w:hideMark/>
          </w:tcPr>
          <w:p w14:paraId="315793F4" w14:textId="77777777" w:rsidR="003544DB" w:rsidRPr="003544DB" w:rsidRDefault="003544DB" w:rsidP="00991818">
            <w:pPr>
              <w:pBdr>
                <w:top w:val="nil"/>
                <w:left w:val="nil"/>
                <w:bottom w:val="nil"/>
                <w:right w:val="nil"/>
                <w:between w:val="nil"/>
              </w:pBdr>
              <w:jc w:val="center"/>
              <w:rPr>
                <w:rFonts w:ascii="Times New Roman" w:eastAsia="Google Sans" w:hAnsi="Times New Roman" w:cs="Times New Roman"/>
              </w:rPr>
            </w:pPr>
            <w:r w:rsidRPr="003544DB">
              <w:rPr>
                <w:rFonts w:ascii="Times New Roman" w:eastAsia="Google Sans" w:hAnsi="Times New Roman" w:cs="Times New Roman"/>
              </w:rPr>
              <w:t xml:space="preserve">Ensures </w:t>
            </w:r>
            <w:r w:rsidRPr="003544DB">
              <w:rPr>
                <w:rFonts w:ascii="Times New Roman" w:eastAsia="Google Sans" w:hAnsi="Times New Roman" w:cs="Times New Roman"/>
                <w:b/>
                <w:bCs/>
              </w:rPr>
              <w:t>Availability</w:t>
            </w:r>
            <w:r w:rsidRPr="003544DB">
              <w:rPr>
                <w:rFonts w:ascii="Times New Roman" w:eastAsia="Google Sans" w:hAnsi="Times New Roman" w:cs="Times New Roman"/>
              </w:rPr>
              <w:t xml:space="preserve"> of genuine, safe food</w:t>
            </w:r>
          </w:p>
        </w:tc>
        <w:tc>
          <w:tcPr>
            <w:tcW w:w="1810" w:type="pct"/>
            <w:vAlign w:val="center"/>
            <w:hideMark/>
          </w:tcPr>
          <w:p w14:paraId="07D3C785" w14:textId="77777777" w:rsidR="003544DB" w:rsidRPr="003544DB" w:rsidRDefault="003544DB" w:rsidP="00991818">
            <w:pPr>
              <w:pBdr>
                <w:top w:val="nil"/>
                <w:left w:val="nil"/>
                <w:bottom w:val="nil"/>
                <w:right w:val="nil"/>
                <w:between w:val="nil"/>
              </w:pBdr>
              <w:jc w:val="center"/>
              <w:rPr>
                <w:rFonts w:ascii="Times New Roman" w:eastAsia="Google Sans" w:hAnsi="Times New Roman" w:cs="Times New Roman"/>
              </w:rPr>
            </w:pPr>
            <w:r w:rsidRPr="003544DB">
              <w:rPr>
                <w:rFonts w:ascii="Times New Roman" w:eastAsia="Google Sans" w:hAnsi="Times New Roman" w:cs="Times New Roman"/>
              </w:rPr>
              <w:t>Prevents adulteration and counterfeit products</w:t>
            </w:r>
          </w:p>
        </w:tc>
      </w:tr>
      <w:tr w:rsidR="003544DB" w:rsidRPr="003544DB" w14:paraId="29C47552" w14:textId="77777777" w:rsidTr="002A3BFC">
        <w:trPr>
          <w:tblCellSpacing w:w="15" w:type="dxa"/>
        </w:trPr>
        <w:tc>
          <w:tcPr>
            <w:tcW w:w="1238" w:type="pct"/>
            <w:vAlign w:val="center"/>
            <w:hideMark/>
          </w:tcPr>
          <w:p w14:paraId="43FBD1FD" w14:textId="77777777" w:rsidR="003544DB" w:rsidRPr="003544DB" w:rsidRDefault="003544DB" w:rsidP="00991818">
            <w:pPr>
              <w:pBdr>
                <w:top w:val="nil"/>
                <w:left w:val="nil"/>
                <w:bottom w:val="nil"/>
                <w:right w:val="nil"/>
                <w:between w:val="nil"/>
              </w:pBdr>
              <w:jc w:val="center"/>
              <w:rPr>
                <w:rFonts w:ascii="Times New Roman" w:eastAsia="Google Sans" w:hAnsi="Times New Roman" w:cs="Times New Roman"/>
              </w:rPr>
            </w:pPr>
            <w:r w:rsidRPr="003544DB">
              <w:rPr>
                <w:rFonts w:ascii="Times New Roman" w:eastAsia="Google Sans" w:hAnsi="Times New Roman" w:cs="Times New Roman"/>
                <w:b/>
                <w:bCs/>
              </w:rPr>
              <w:t>Process Integrity</w:t>
            </w:r>
          </w:p>
        </w:tc>
        <w:tc>
          <w:tcPr>
            <w:tcW w:w="1896" w:type="pct"/>
            <w:vAlign w:val="center"/>
            <w:hideMark/>
          </w:tcPr>
          <w:p w14:paraId="2EB3C009" w14:textId="77777777" w:rsidR="003544DB" w:rsidRPr="003544DB" w:rsidRDefault="003544DB" w:rsidP="00991818">
            <w:pPr>
              <w:pBdr>
                <w:top w:val="nil"/>
                <w:left w:val="nil"/>
                <w:bottom w:val="nil"/>
                <w:right w:val="nil"/>
                <w:between w:val="nil"/>
              </w:pBdr>
              <w:jc w:val="center"/>
              <w:rPr>
                <w:rFonts w:ascii="Times New Roman" w:eastAsia="Google Sans" w:hAnsi="Times New Roman" w:cs="Times New Roman"/>
              </w:rPr>
            </w:pPr>
            <w:r w:rsidRPr="003544DB">
              <w:rPr>
                <w:rFonts w:ascii="Times New Roman" w:eastAsia="Google Sans" w:hAnsi="Times New Roman" w:cs="Times New Roman"/>
              </w:rPr>
              <w:t xml:space="preserve">Supports </w:t>
            </w:r>
            <w:r w:rsidRPr="003544DB">
              <w:rPr>
                <w:rFonts w:ascii="Times New Roman" w:eastAsia="Google Sans" w:hAnsi="Times New Roman" w:cs="Times New Roman"/>
                <w:b/>
                <w:bCs/>
              </w:rPr>
              <w:t>Stability</w:t>
            </w:r>
            <w:r w:rsidRPr="003544DB">
              <w:rPr>
                <w:rFonts w:ascii="Times New Roman" w:eastAsia="Google Sans" w:hAnsi="Times New Roman" w:cs="Times New Roman"/>
              </w:rPr>
              <w:t xml:space="preserve"> and </w:t>
            </w:r>
            <w:r w:rsidRPr="003544DB">
              <w:rPr>
                <w:rFonts w:ascii="Times New Roman" w:eastAsia="Google Sans" w:hAnsi="Times New Roman" w:cs="Times New Roman"/>
                <w:b/>
                <w:bCs/>
              </w:rPr>
              <w:t>Utilization</w:t>
            </w:r>
            <w:r w:rsidRPr="003544DB">
              <w:rPr>
                <w:rFonts w:ascii="Times New Roman" w:eastAsia="Google Sans" w:hAnsi="Times New Roman" w:cs="Times New Roman"/>
              </w:rPr>
              <w:t xml:space="preserve"> through ethical and verified handling</w:t>
            </w:r>
          </w:p>
        </w:tc>
        <w:tc>
          <w:tcPr>
            <w:tcW w:w="1810" w:type="pct"/>
            <w:vAlign w:val="center"/>
            <w:hideMark/>
          </w:tcPr>
          <w:p w14:paraId="40DAED0A" w14:textId="77777777" w:rsidR="003544DB" w:rsidRPr="003544DB" w:rsidRDefault="003544DB" w:rsidP="00991818">
            <w:pPr>
              <w:pBdr>
                <w:top w:val="nil"/>
                <w:left w:val="nil"/>
                <w:bottom w:val="nil"/>
                <w:right w:val="nil"/>
                <w:between w:val="nil"/>
              </w:pBdr>
              <w:jc w:val="center"/>
              <w:rPr>
                <w:rFonts w:ascii="Times New Roman" w:eastAsia="Google Sans" w:hAnsi="Times New Roman" w:cs="Times New Roman"/>
              </w:rPr>
            </w:pPr>
            <w:r w:rsidRPr="003544DB">
              <w:rPr>
                <w:rFonts w:ascii="Times New Roman" w:eastAsia="Google Sans" w:hAnsi="Times New Roman" w:cs="Times New Roman"/>
              </w:rPr>
              <w:t>Reduces risk of supply chain disruption and unsafe processing</w:t>
            </w:r>
          </w:p>
        </w:tc>
      </w:tr>
      <w:tr w:rsidR="003544DB" w:rsidRPr="003544DB" w14:paraId="23474A61" w14:textId="77777777" w:rsidTr="002A3BFC">
        <w:trPr>
          <w:tblCellSpacing w:w="15" w:type="dxa"/>
        </w:trPr>
        <w:tc>
          <w:tcPr>
            <w:tcW w:w="1238" w:type="pct"/>
            <w:vAlign w:val="center"/>
            <w:hideMark/>
          </w:tcPr>
          <w:p w14:paraId="70D598B6" w14:textId="77777777" w:rsidR="003544DB" w:rsidRPr="003544DB" w:rsidRDefault="003544DB" w:rsidP="00991818">
            <w:pPr>
              <w:pBdr>
                <w:top w:val="nil"/>
                <w:left w:val="nil"/>
                <w:bottom w:val="nil"/>
                <w:right w:val="nil"/>
                <w:between w:val="nil"/>
              </w:pBdr>
              <w:jc w:val="center"/>
              <w:rPr>
                <w:rFonts w:ascii="Times New Roman" w:eastAsia="Google Sans" w:hAnsi="Times New Roman" w:cs="Times New Roman"/>
              </w:rPr>
            </w:pPr>
            <w:r w:rsidRPr="003544DB">
              <w:rPr>
                <w:rFonts w:ascii="Times New Roman" w:eastAsia="Google Sans" w:hAnsi="Times New Roman" w:cs="Times New Roman"/>
                <w:b/>
                <w:bCs/>
              </w:rPr>
              <w:t>People Integrity</w:t>
            </w:r>
          </w:p>
        </w:tc>
        <w:tc>
          <w:tcPr>
            <w:tcW w:w="1896" w:type="pct"/>
            <w:vAlign w:val="center"/>
            <w:hideMark/>
          </w:tcPr>
          <w:p w14:paraId="4D507AB9" w14:textId="77777777" w:rsidR="003544DB" w:rsidRPr="003544DB" w:rsidRDefault="003544DB" w:rsidP="00991818">
            <w:pPr>
              <w:pBdr>
                <w:top w:val="nil"/>
                <w:left w:val="nil"/>
                <w:bottom w:val="nil"/>
                <w:right w:val="nil"/>
                <w:between w:val="nil"/>
              </w:pBdr>
              <w:jc w:val="center"/>
              <w:rPr>
                <w:rFonts w:ascii="Times New Roman" w:eastAsia="Google Sans" w:hAnsi="Times New Roman" w:cs="Times New Roman"/>
              </w:rPr>
            </w:pPr>
            <w:r w:rsidRPr="003544DB">
              <w:rPr>
                <w:rFonts w:ascii="Times New Roman" w:eastAsia="Google Sans" w:hAnsi="Times New Roman" w:cs="Times New Roman"/>
              </w:rPr>
              <w:t xml:space="preserve">Enhances </w:t>
            </w:r>
            <w:r w:rsidRPr="003544DB">
              <w:rPr>
                <w:rFonts w:ascii="Times New Roman" w:eastAsia="Google Sans" w:hAnsi="Times New Roman" w:cs="Times New Roman"/>
                <w:b/>
                <w:bCs/>
              </w:rPr>
              <w:t>Agency</w:t>
            </w:r>
            <w:r w:rsidRPr="003544DB">
              <w:rPr>
                <w:rFonts w:ascii="Times New Roman" w:eastAsia="Google Sans" w:hAnsi="Times New Roman" w:cs="Times New Roman"/>
              </w:rPr>
              <w:t xml:space="preserve"> and </w:t>
            </w:r>
            <w:r w:rsidRPr="003544DB">
              <w:rPr>
                <w:rFonts w:ascii="Times New Roman" w:eastAsia="Google Sans" w:hAnsi="Times New Roman" w:cs="Times New Roman"/>
                <w:b/>
                <w:bCs/>
              </w:rPr>
              <w:t>Access</w:t>
            </w:r>
            <w:r w:rsidRPr="003544DB">
              <w:rPr>
                <w:rFonts w:ascii="Times New Roman" w:eastAsia="Google Sans" w:hAnsi="Times New Roman" w:cs="Times New Roman"/>
              </w:rPr>
              <w:t xml:space="preserve"> by promoting ethical behavior and trust</w:t>
            </w:r>
          </w:p>
        </w:tc>
        <w:tc>
          <w:tcPr>
            <w:tcW w:w="1810" w:type="pct"/>
            <w:vAlign w:val="center"/>
            <w:hideMark/>
          </w:tcPr>
          <w:p w14:paraId="2380E7BF" w14:textId="77777777" w:rsidR="003544DB" w:rsidRPr="003544DB" w:rsidRDefault="003544DB" w:rsidP="00991818">
            <w:pPr>
              <w:pBdr>
                <w:top w:val="nil"/>
                <w:left w:val="nil"/>
                <w:bottom w:val="nil"/>
                <w:right w:val="nil"/>
                <w:between w:val="nil"/>
              </w:pBdr>
              <w:jc w:val="center"/>
              <w:rPr>
                <w:rFonts w:ascii="Times New Roman" w:eastAsia="Google Sans" w:hAnsi="Times New Roman" w:cs="Times New Roman"/>
              </w:rPr>
            </w:pPr>
            <w:r w:rsidRPr="003544DB">
              <w:rPr>
                <w:rFonts w:ascii="Times New Roman" w:eastAsia="Google Sans" w:hAnsi="Times New Roman" w:cs="Times New Roman"/>
              </w:rPr>
              <w:t>Mitigates fraud and corruption across the supply chain</w:t>
            </w:r>
          </w:p>
        </w:tc>
      </w:tr>
      <w:tr w:rsidR="003544DB" w:rsidRPr="003544DB" w14:paraId="4C6E453F" w14:textId="77777777" w:rsidTr="002A3BFC">
        <w:trPr>
          <w:tblCellSpacing w:w="15" w:type="dxa"/>
        </w:trPr>
        <w:tc>
          <w:tcPr>
            <w:tcW w:w="1238" w:type="pct"/>
            <w:vAlign w:val="center"/>
            <w:hideMark/>
          </w:tcPr>
          <w:p w14:paraId="00FD235D" w14:textId="77777777" w:rsidR="003544DB" w:rsidRPr="003544DB" w:rsidRDefault="003544DB" w:rsidP="00991818">
            <w:pPr>
              <w:pBdr>
                <w:top w:val="nil"/>
                <w:left w:val="nil"/>
                <w:bottom w:val="nil"/>
                <w:right w:val="nil"/>
                <w:between w:val="nil"/>
              </w:pBdr>
              <w:jc w:val="center"/>
              <w:rPr>
                <w:rFonts w:ascii="Times New Roman" w:eastAsia="Google Sans" w:hAnsi="Times New Roman" w:cs="Times New Roman"/>
              </w:rPr>
            </w:pPr>
            <w:r w:rsidRPr="003544DB">
              <w:rPr>
                <w:rFonts w:ascii="Times New Roman" w:eastAsia="Google Sans" w:hAnsi="Times New Roman" w:cs="Times New Roman"/>
                <w:b/>
                <w:bCs/>
              </w:rPr>
              <w:t>Data Integrity</w:t>
            </w:r>
          </w:p>
        </w:tc>
        <w:tc>
          <w:tcPr>
            <w:tcW w:w="1896" w:type="pct"/>
            <w:vAlign w:val="center"/>
            <w:hideMark/>
          </w:tcPr>
          <w:p w14:paraId="0A425C23" w14:textId="77777777" w:rsidR="003544DB" w:rsidRPr="003544DB" w:rsidRDefault="003544DB" w:rsidP="00991818">
            <w:pPr>
              <w:pBdr>
                <w:top w:val="nil"/>
                <w:left w:val="nil"/>
                <w:bottom w:val="nil"/>
                <w:right w:val="nil"/>
                <w:between w:val="nil"/>
              </w:pBdr>
              <w:jc w:val="center"/>
              <w:rPr>
                <w:rFonts w:ascii="Times New Roman" w:eastAsia="Google Sans" w:hAnsi="Times New Roman" w:cs="Times New Roman"/>
              </w:rPr>
            </w:pPr>
            <w:r w:rsidRPr="003544DB">
              <w:rPr>
                <w:rFonts w:ascii="Times New Roman" w:eastAsia="Google Sans" w:hAnsi="Times New Roman" w:cs="Times New Roman"/>
              </w:rPr>
              <w:t xml:space="preserve">Strengthens </w:t>
            </w:r>
            <w:r w:rsidRPr="003544DB">
              <w:rPr>
                <w:rFonts w:ascii="Times New Roman" w:eastAsia="Google Sans" w:hAnsi="Times New Roman" w:cs="Times New Roman"/>
                <w:b/>
                <w:bCs/>
              </w:rPr>
              <w:t>Sustainability</w:t>
            </w:r>
            <w:r w:rsidRPr="003544DB">
              <w:rPr>
                <w:rFonts w:ascii="Times New Roman" w:eastAsia="Google Sans" w:hAnsi="Times New Roman" w:cs="Times New Roman"/>
              </w:rPr>
              <w:t xml:space="preserve"> and </w:t>
            </w:r>
            <w:r w:rsidRPr="003544DB">
              <w:rPr>
                <w:rFonts w:ascii="Times New Roman" w:eastAsia="Google Sans" w:hAnsi="Times New Roman" w:cs="Times New Roman"/>
                <w:b/>
                <w:bCs/>
              </w:rPr>
              <w:t>Access</w:t>
            </w:r>
            <w:r w:rsidRPr="003544DB">
              <w:rPr>
                <w:rFonts w:ascii="Times New Roman" w:eastAsia="Google Sans" w:hAnsi="Times New Roman" w:cs="Times New Roman"/>
              </w:rPr>
              <w:t xml:space="preserve"> via accurate traceability and documentation</w:t>
            </w:r>
          </w:p>
        </w:tc>
        <w:tc>
          <w:tcPr>
            <w:tcW w:w="1810" w:type="pct"/>
            <w:vAlign w:val="center"/>
            <w:hideMark/>
          </w:tcPr>
          <w:p w14:paraId="2ED56AC8" w14:textId="77777777" w:rsidR="003544DB" w:rsidRPr="003544DB" w:rsidRDefault="003544DB" w:rsidP="00991818">
            <w:pPr>
              <w:pBdr>
                <w:top w:val="nil"/>
                <w:left w:val="nil"/>
                <w:bottom w:val="nil"/>
                <w:right w:val="nil"/>
                <w:between w:val="nil"/>
              </w:pBdr>
              <w:jc w:val="center"/>
              <w:rPr>
                <w:rFonts w:ascii="Times New Roman" w:eastAsia="Google Sans" w:hAnsi="Times New Roman" w:cs="Times New Roman"/>
              </w:rPr>
            </w:pPr>
            <w:r w:rsidRPr="003544DB">
              <w:rPr>
                <w:rFonts w:ascii="Times New Roman" w:eastAsia="Google Sans" w:hAnsi="Times New Roman" w:cs="Times New Roman"/>
              </w:rPr>
              <w:t>Prevents mislabeling, fraud, and loss of consumer confidence</w:t>
            </w:r>
          </w:p>
        </w:tc>
      </w:tr>
    </w:tbl>
    <w:p w14:paraId="00000022" w14:textId="52FD9355" w:rsidR="00254F87" w:rsidRPr="001735DD" w:rsidRDefault="00000000" w:rsidP="005C5254">
      <w:pPr>
        <w:pStyle w:val="Heading4"/>
        <w:spacing w:before="240" w:after="240"/>
        <w:jc w:val="both"/>
        <w:rPr>
          <w:rFonts w:ascii="Times New Roman" w:eastAsia="Google Sans" w:hAnsi="Times New Roman" w:cs="Times New Roman"/>
        </w:rPr>
      </w:pPr>
      <w:r w:rsidRPr="001735DD">
        <w:rPr>
          <w:rFonts w:ascii="Times New Roman" w:eastAsia="Google Sans" w:hAnsi="Times New Roman" w:cs="Times New Roman"/>
        </w:rPr>
        <w:t>The Analytical Dichotomy: Macro vs. Micro Analysis</w:t>
      </w:r>
    </w:p>
    <w:p w14:paraId="00000023" w14:textId="5EDAC44B" w:rsidR="00254F87" w:rsidRPr="001735DD" w:rsidRDefault="00000000" w:rsidP="005C5254">
      <w:pPr>
        <w:pBdr>
          <w:top w:val="nil"/>
          <w:left w:val="nil"/>
          <w:bottom w:val="nil"/>
          <w:right w:val="nil"/>
          <w:between w:val="nil"/>
        </w:pBdr>
        <w:spacing w:before="240" w:after="240"/>
        <w:jc w:val="both"/>
        <w:rPr>
          <w:rFonts w:ascii="Times New Roman" w:eastAsia="Google Sans" w:hAnsi="Times New Roman" w:cs="Times New Roman"/>
          <w:sz w:val="24"/>
          <w:szCs w:val="24"/>
        </w:rPr>
      </w:pPr>
      <w:r w:rsidRPr="001735DD">
        <w:rPr>
          <w:rFonts w:ascii="Times New Roman" w:eastAsia="Google Sans" w:hAnsi="Times New Roman" w:cs="Times New Roman"/>
          <w:sz w:val="24"/>
          <w:szCs w:val="24"/>
        </w:rPr>
        <w:t>The traditional separation between Macro</w:t>
      </w:r>
      <w:r w:rsidR="00B17529" w:rsidRPr="00B17529">
        <w:rPr>
          <w:rFonts w:ascii="Times New Roman" w:eastAsia="Google Sans" w:hAnsi="Times New Roman" w:cs="Times New Roman"/>
          <w:sz w:val="24"/>
          <w:szCs w:val="24"/>
        </w:rPr>
        <w:t xml:space="preserve"> </w:t>
      </w:r>
      <w:r w:rsidR="00B17529" w:rsidRPr="001735DD">
        <w:rPr>
          <w:rFonts w:ascii="Times New Roman" w:eastAsia="Google Sans" w:hAnsi="Times New Roman" w:cs="Times New Roman"/>
          <w:sz w:val="24"/>
          <w:szCs w:val="24"/>
        </w:rPr>
        <w:t>(Bulk</w:t>
      </w:r>
      <w:r w:rsidRPr="001735DD">
        <w:rPr>
          <w:rFonts w:ascii="Times New Roman" w:eastAsia="Google Sans" w:hAnsi="Times New Roman" w:cs="Times New Roman"/>
          <w:sz w:val="24"/>
          <w:szCs w:val="24"/>
        </w:rPr>
        <w:t>) and Micro</w:t>
      </w:r>
      <w:r w:rsidR="00B17529" w:rsidRPr="00B17529">
        <w:rPr>
          <w:rFonts w:ascii="Times New Roman" w:eastAsia="Google Sans" w:hAnsi="Times New Roman" w:cs="Times New Roman"/>
          <w:sz w:val="24"/>
          <w:szCs w:val="24"/>
        </w:rPr>
        <w:t xml:space="preserve"> </w:t>
      </w:r>
      <w:r w:rsidR="00B17529">
        <w:rPr>
          <w:rFonts w:ascii="Times New Roman" w:eastAsia="Google Sans" w:hAnsi="Times New Roman" w:cs="Times New Roman"/>
          <w:sz w:val="24"/>
          <w:szCs w:val="24"/>
        </w:rPr>
        <w:t>(</w:t>
      </w:r>
      <w:r w:rsidR="00B17529" w:rsidRPr="001735DD">
        <w:rPr>
          <w:rFonts w:ascii="Times New Roman" w:eastAsia="Google Sans" w:hAnsi="Times New Roman" w:cs="Times New Roman"/>
          <w:sz w:val="24"/>
          <w:szCs w:val="24"/>
        </w:rPr>
        <w:t>Trace</w:t>
      </w:r>
      <w:r w:rsidR="00B17529">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 xml:space="preserve"> analysis is established through four distinctions</w:t>
      </w:r>
      <w:r w:rsidR="00B17529">
        <w:rPr>
          <w:rFonts w:ascii="Times New Roman" w:eastAsia="Google Sans" w:hAnsi="Times New Roman" w:cs="Times New Roman"/>
          <w:sz w:val="24"/>
          <w:szCs w:val="24"/>
        </w:rPr>
        <w:t>.</w:t>
      </w:r>
    </w:p>
    <w:p w14:paraId="00000024" w14:textId="77777777" w:rsidR="00254F87" w:rsidRPr="00E24844" w:rsidRDefault="00000000" w:rsidP="005C5254">
      <w:pPr>
        <w:numPr>
          <w:ilvl w:val="0"/>
          <w:numId w:val="3"/>
        </w:numPr>
        <w:pBdr>
          <w:top w:val="nil"/>
          <w:left w:val="nil"/>
          <w:bottom w:val="nil"/>
          <w:right w:val="nil"/>
          <w:between w:val="nil"/>
        </w:pBdr>
        <w:spacing w:before="240" w:after="240"/>
        <w:jc w:val="both"/>
        <w:rPr>
          <w:rFonts w:ascii="Times New Roman" w:hAnsi="Times New Roman" w:cs="Times New Roman"/>
          <w:sz w:val="24"/>
          <w:szCs w:val="24"/>
        </w:rPr>
      </w:pPr>
      <w:r w:rsidRPr="00E24844">
        <w:rPr>
          <w:rFonts w:ascii="Times New Roman" w:eastAsia="Google Sans" w:hAnsi="Times New Roman" w:cs="Times New Roman"/>
          <w:sz w:val="24"/>
          <w:szCs w:val="24"/>
        </w:rPr>
        <w:t>Physiological Role: Macro-elements (Calcium, Magnesium) provide structural roles, while Micro-minerals (Iron, Zinc) act as enzyme co-factors (Singh et al., 2024; Wahid et al., 2022).</w:t>
      </w:r>
    </w:p>
    <w:p w14:paraId="00000025" w14:textId="33449292" w:rsidR="00254F87" w:rsidRPr="00E24844" w:rsidRDefault="00000000" w:rsidP="005C5254">
      <w:pPr>
        <w:numPr>
          <w:ilvl w:val="0"/>
          <w:numId w:val="3"/>
        </w:numPr>
        <w:pBdr>
          <w:top w:val="nil"/>
          <w:left w:val="nil"/>
          <w:bottom w:val="nil"/>
          <w:right w:val="nil"/>
          <w:between w:val="nil"/>
        </w:pBdr>
        <w:spacing w:before="240" w:after="240"/>
        <w:jc w:val="both"/>
        <w:rPr>
          <w:rFonts w:ascii="Times New Roman" w:hAnsi="Times New Roman" w:cs="Times New Roman"/>
          <w:sz w:val="24"/>
          <w:szCs w:val="24"/>
        </w:rPr>
      </w:pPr>
      <w:r w:rsidRPr="00E24844">
        <w:rPr>
          <w:rFonts w:ascii="Times New Roman" w:eastAsia="Google Sans" w:hAnsi="Times New Roman" w:cs="Times New Roman"/>
          <w:sz w:val="24"/>
          <w:szCs w:val="24"/>
        </w:rPr>
        <w:t xml:space="preserve">Concentration Abundance: Macro-units are expressed in percentages or g/kg, while Micro-units are measured in ppm or </w:t>
      </w:r>
      <w:r w:rsidR="00B17529">
        <w:rPr>
          <w:rFonts w:ascii="Times New Roman" w:eastAsia="Google Sans" w:hAnsi="Times New Roman" w:cs="Times New Roman"/>
          <w:sz w:val="24"/>
          <w:szCs w:val="24"/>
        </w:rPr>
        <w:t>µ</w:t>
      </w:r>
      <w:r w:rsidRPr="00E24844">
        <w:rPr>
          <w:rFonts w:ascii="Times New Roman" w:eastAsia="Google Sans" w:hAnsi="Times New Roman" w:cs="Times New Roman"/>
          <w:sz w:val="24"/>
          <w:szCs w:val="24"/>
        </w:rPr>
        <w:t>g/g</w:t>
      </w:r>
      <w:r w:rsidR="00B17529">
        <w:rPr>
          <w:rFonts w:ascii="Times New Roman" w:eastAsia="Google Sans" w:hAnsi="Times New Roman" w:cs="Times New Roman"/>
          <w:sz w:val="24"/>
          <w:szCs w:val="24"/>
        </w:rPr>
        <w:t xml:space="preserve"> </w:t>
      </w:r>
      <w:r w:rsidRPr="00E24844">
        <w:rPr>
          <w:rFonts w:ascii="Times New Roman" w:eastAsia="Google Sans" w:hAnsi="Times New Roman" w:cs="Times New Roman"/>
          <w:sz w:val="24"/>
          <w:szCs w:val="24"/>
        </w:rPr>
        <w:t>(Heghedűș-Mîndru et al., 2023). The gap can be as large as 19,000 ppm (K) vs 10 ppm (Cu) (Singh et al., 2024).</w:t>
      </w:r>
    </w:p>
    <w:p w14:paraId="00000026" w14:textId="1AB07933" w:rsidR="00254F87" w:rsidRPr="00E24844" w:rsidRDefault="00000000" w:rsidP="005C5254">
      <w:pPr>
        <w:numPr>
          <w:ilvl w:val="0"/>
          <w:numId w:val="3"/>
        </w:numPr>
        <w:pBdr>
          <w:top w:val="nil"/>
          <w:left w:val="nil"/>
          <w:bottom w:val="nil"/>
          <w:right w:val="nil"/>
          <w:between w:val="nil"/>
        </w:pBdr>
        <w:spacing w:before="240" w:after="240"/>
        <w:jc w:val="both"/>
        <w:rPr>
          <w:rFonts w:ascii="Times New Roman" w:hAnsi="Times New Roman" w:cs="Times New Roman"/>
          <w:sz w:val="24"/>
          <w:szCs w:val="24"/>
        </w:rPr>
      </w:pPr>
      <w:r w:rsidRPr="00E24844">
        <w:rPr>
          <w:rFonts w:ascii="Times New Roman" w:eastAsia="Google Sans" w:hAnsi="Times New Roman" w:cs="Times New Roman"/>
          <w:sz w:val="24"/>
          <w:szCs w:val="24"/>
        </w:rPr>
        <w:t xml:space="preserve">Methodology/Instrumentation: Macro analysis uses </w:t>
      </w:r>
      <w:r w:rsidR="00DD7A84" w:rsidRPr="00E24844">
        <w:rPr>
          <w:rFonts w:ascii="Times New Roman" w:eastAsia="Google Sans" w:hAnsi="Times New Roman" w:cs="Times New Roman"/>
          <w:sz w:val="24"/>
          <w:szCs w:val="24"/>
        </w:rPr>
        <w:t>“</w:t>
      </w:r>
      <w:r w:rsidRPr="00E24844">
        <w:rPr>
          <w:rFonts w:ascii="Times New Roman" w:eastAsia="Google Sans" w:hAnsi="Times New Roman" w:cs="Times New Roman"/>
          <w:sz w:val="24"/>
          <w:szCs w:val="24"/>
        </w:rPr>
        <w:t>Radial</w:t>
      </w:r>
      <w:r w:rsidR="00DD7A84" w:rsidRPr="00E24844">
        <w:rPr>
          <w:rFonts w:ascii="Times New Roman" w:eastAsia="Google Sans" w:hAnsi="Times New Roman" w:cs="Times New Roman"/>
          <w:sz w:val="24"/>
          <w:szCs w:val="24"/>
        </w:rPr>
        <w:t>”</w:t>
      </w:r>
      <w:r w:rsidRPr="00E24844">
        <w:rPr>
          <w:rFonts w:ascii="Times New Roman" w:eastAsia="Google Sans" w:hAnsi="Times New Roman" w:cs="Times New Roman"/>
          <w:sz w:val="24"/>
          <w:szCs w:val="24"/>
        </w:rPr>
        <w:t xml:space="preserve"> viewing in ICP-OES or wet lab methods (Kjeldahl). Micro analysis requires </w:t>
      </w:r>
      <w:r w:rsidR="00DD7A84" w:rsidRPr="00E24844">
        <w:rPr>
          <w:rFonts w:ascii="Times New Roman" w:eastAsia="Google Sans" w:hAnsi="Times New Roman" w:cs="Times New Roman"/>
          <w:sz w:val="24"/>
          <w:szCs w:val="24"/>
        </w:rPr>
        <w:t>“</w:t>
      </w:r>
      <w:r w:rsidRPr="00E24844">
        <w:rPr>
          <w:rFonts w:ascii="Times New Roman" w:eastAsia="Google Sans" w:hAnsi="Times New Roman" w:cs="Times New Roman"/>
          <w:sz w:val="24"/>
          <w:szCs w:val="24"/>
        </w:rPr>
        <w:t>Axial</w:t>
      </w:r>
      <w:r w:rsidR="00DD7A84" w:rsidRPr="00E24844">
        <w:rPr>
          <w:rFonts w:ascii="Times New Roman" w:eastAsia="Google Sans" w:hAnsi="Times New Roman" w:cs="Times New Roman"/>
          <w:sz w:val="24"/>
          <w:szCs w:val="24"/>
        </w:rPr>
        <w:t>”</w:t>
      </w:r>
      <w:r w:rsidRPr="00E24844">
        <w:rPr>
          <w:rFonts w:ascii="Times New Roman" w:eastAsia="Google Sans" w:hAnsi="Times New Roman" w:cs="Times New Roman"/>
          <w:sz w:val="24"/>
          <w:szCs w:val="24"/>
        </w:rPr>
        <w:t xml:space="preserve"> viewing, ICP-MS, or Atomic Absorption for sensitivity (Al-Omairi et al., 2025; Sahadi &amp; Basri, 2025).</w:t>
      </w:r>
    </w:p>
    <w:p w14:paraId="53B04E03" w14:textId="37708791" w:rsidR="00AF5C40" w:rsidRPr="005C5254" w:rsidRDefault="00000000" w:rsidP="005C5254">
      <w:pPr>
        <w:numPr>
          <w:ilvl w:val="0"/>
          <w:numId w:val="3"/>
        </w:numPr>
        <w:pBdr>
          <w:top w:val="nil"/>
          <w:left w:val="nil"/>
          <w:bottom w:val="nil"/>
          <w:right w:val="nil"/>
          <w:between w:val="nil"/>
        </w:pBdr>
        <w:spacing w:before="240" w:after="240"/>
        <w:jc w:val="both"/>
        <w:rPr>
          <w:rFonts w:ascii="Times New Roman" w:hAnsi="Times New Roman" w:cs="Times New Roman"/>
          <w:sz w:val="24"/>
          <w:szCs w:val="24"/>
        </w:rPr>
      </w:pPr>
      <w:r w:rsidRPr="00E24844">
        <w:rPr>
          <w:rFonts w:ascii="Times New Roman" w:eastAsia="Google Sans" w:hAnsi="Times New Roman" w:cs="Times New Roman"/>
          <w:sz w:val="24"/>
          <w:szCs w:val="24"/>
        </w:rPr>
        <w:lastRenderedPageBreak/>
        <w:t>Transfer and Stability:</w:t>
      </w:r>
      <w:r w:rsidRPr="001735DD">
        <w:rPr>
          <w:rFonts w:ascii="Times New Roman" w:eastAsia="Google Sans" w:hAnsi="Times New Roman" w:cs="Times New Roman"/>
          <w:sz w:val="24"/>
          <w:szCs w:val="24"/>
        </w:rPr>
        <w:t xml:space="preserve"> Macro elements are physiologically constant in animal products, whereas trace elements show higher variability in transfer rates (Trziszka et al., 2021).</w:t>
      </w:r>
    </w:p>
    <w:p w14:paraId="1843B926" w14:textId="0779E3CD" w:rsidR="00AF5C40" w:rsidRPr="00AF5C40" w:rsidRDefault="00000000" w:rsidP="005C5254">
      <w:pPr>
        <w:pStyle w:val="Heading4"/>
        <w:spacing w:before="240" w:after="240"/>
        <w:jc w:val="both"/>
        <w:rPr>
          <w:rFonts w:ascii="Times New Roman" w:eastAsia="Google Sans" w:hAnsi="Times New Roman" w:cs="Times New Roman"/>
        </w:rPr>
      </w:pPr>
      <w:r w:rsidRPr="001735DD">
        <w:rPr>
          <w:rFonts w:ascii="Times New Roman" w:eastAsia="Google Sans" w:hAnsi="Times New Roman" w:cs="Times New Roman"/>
        </w:rPr>
        <w:t xml:space="preserve">Macro Analysis </w:t>
      </w:r>
    </w:p>
    <w:p w14:paraId="32E226D6" w14:textId="5848820F" w:rsidR="005D6239" w:rsidRPr="001735DD" w:rsidRDefault="00000000" w:rsidP="005C5254">
      <w:pPr>
        <w:pBdr>
          <w:top w:val="nil"/>
          <w:left w:val="nil"/>
          <w:bottom w:val="nil"/>
          <w:right w:val="nil"/>
          <w:between w:val="nil"/>
        </w:pBdr>
        <w:spacing w:before="240" w:after="240"/>
        <w:jc w:val="both"/>
        <w:rPr>
          <w:rFonts w:ascii="Times New Roman" w:eastAsia="Google Sans" w:hAnsi="Times New Roman" w:cs="Times New Roman"/>
          <w:sz w:val="24"/>
          <w:szCs w:val="24"/>
        </w:rPr>
      </w:pPr>
      <w:r w:rsidRPr="001735DD">
        <w:rPr>
          <w:rFonts w:ascii="Times New Roman" w:eastAsia="Google Sans" w:hAnsi="Times New Roman" w:cs="Times New Roman"/>
          <w:sz w:val="24"/>
          <w:szCs w:val="24"/>
        </w:rPr>
        <w:t>Focuses on proximate or bulk composition</w:t>
      </w:r>
      <w:r w:rsidR="00B17529">
        <w:rPr>
          <w:rFonts w:ascii="Times New Roman" w:eastAsia="Google Sans" w:hAnsi="Times New Roman" w:cs="Times New Roman"/>
          <w:sz w:val="24"/>
          <w:szCs w:val="24"/>
        </w:rPr>
        <w:t xml:space="preserve">: </w:t>
      </w:r>
      <w:r w:rsidRPr="001735DD">
        <w:rPr>
          <w:rFonts w:ascii="Times New Roman" w:eastAsia="Google Sans" w:hAnsi="Times New Roman" w:cs="Times New Roman"/>
          <w:sz w:val="24"/>
          <w:szCs w:val="24"/>
        </w:rPr>
        <w:t>moisture, ash, fat, protein, and carbohydrates (Campos et al., 2022). These establish the physicochemical state, energy content, and shelf life (Kpalo et al., 2020). In authenticity testing, these include primary metabolites like sugars and organic acids (Carrillo et al., 2023).</w:t>
      </w:r>
    </w:p>
    <w:p w14:paraId="0000002A" w14:textId="4814959D" w:rsidR="00254F87" w:rsidRPr="001735DD" w:rsidRDefault="00000000" w:rsidP="005C5254">
      <w:pPr>
        <w:pStyle w:val="Heading4"/>
        <w:spacing w:before="240" w:after="240"/>
        <w:jc w:val="both"/>
        <w:rPr>
          <w:rFonts w:ascii="Times New Roman" w:eastAsia="Google Sans" w:hAnsi="Times New Roman" w:cs="Times New Roman"/>
        </w:rPr>
      </w:pPr>
      <w:r w:rsidRPr="001735DD">
        <w:rPr>
          <w:rFonts w:ascii="Times New Roman" w:eastAsia="Google Sans" w:hAnsi="Times New Roman" w:cs="Times New Roman"/>
        </w:rPr>
        <w:t xml:space="preserve">Micro Analysis </w:t>
      </w:r>
    </w:p>
    <w:p w14:paraId="6FB1CADB" w14:textId="6A3D98B0" w:rsidR="005D6239" w:rsidRDefault="00000000" w:rsidP="005C5254">
      <w:pPr>
        <w:pBdr>
          <w:top w:val="nil"/>
          <w:left w:val="nil"/>
          <w:bottom w:val="nil"/>
          <w:right w:val="nil"/>
          <w:between w:val="nil"/>
        </w:pBdr>
        <w:spacing w:before="240" w:after="240"/>
        <w:jc w:val="both"/>
        <w:rPr>
          <w:rFonts w:ascii="Times New Roman" w:eastAsia="Google Sans" w:hAnsi="Times New Roman" w:cs="Times New Roman"/>
          <w:sz w:val="24"/>
          <w:szCs w:val="24"/>
        </w:rPr>
      </w:pPr>
      <w:r w:rsidRPr="001735DD">
        <w:rPr>
          <w:rFonts w:ascii="Times New Roman" w:eastAsia="Google Sans" w:hAnsi="Times New Roman" w:cs="Times New Roman"/>
          <w:sz w:val="24"/>
          <w:szCs w:val="24"/>
        </w:rPr>
        <w:t>Targets elements and compounds in minute quantities critical for safety and origin tracing. This includes trace element fingerprinting (ICP-MS) to identify soil of origin and micro-structural analysis using SEM (Carrillo et al., 2022; Kpalo et al., 2020). It also covers bioactive compounds (anthocyanins), invisible toxins (microplastics), and metabolic support markers (Chaudhary et al., 2022).</w:t>
      </w:r>
    </w:p>
    <w:p w14:paraId="58B8C846" w14:textId="5AC113E5" w:rsidR="00AB7FBA" w:rsidRPr="00AB7FBA" w:rsidRDefault="00AB7FBA" w:rsidP="00AB7FBA">
      <w:pPr>
        <w:pStyle w:val="Heading3"/>
        <w:jc w:val="both"/>
        <w:rPr>
          <w:rFonts w:ascii="Times New Roman" w:eastAsia="Google Sans" w:hAnsi="Times New Roman" w:cs="Times New Roman"/>
          <w:b w:val="0"/>
          <w:bCs w:val="0"/>
          <w:color w:val="000000" w:themeColor="text1"/>
          <w:sz w:val="24"/>
          <w:szCs w:val="24"/>
        </w:rPr>
      </w:pPr>
      <w:r w:rsidRPr="00AB7FBA">
        <w:rPr>
          <w:rFonts w:ascii="Times New Roman" w:eastAsia="Google Sans" w:hAnsi="Times New Roman" w:cs="Times New Roman"/>
          <w:b w:val="0"/>
          <w:bCs w:val="0"/>
          <w:color w:val="000000" w:themeColor="text1"/>
          <w:sz w:val="24"/>
          <w:szCs w:val="24"/>
        </w:rPr>
        <w:t>Table 2 is summary of Macro vs. Micro analysis in Food Science. It is a structured comparison that explains how two types of analytical approaches differ in purpose, scale and technique.</w:t>
      </w:r>
    </w:p>
    <w:p w14:paraId="7B63C122" w14:textId="0D1BFCE2" w:rsidR="00AB7FBA" w:rsidRPr="00AB7FBA" w:rsidRDefault="00AB7FBA" w:rsidP="00AB7FBA">
      <w:pPr>
        <w:pStyle w:val="Heading3"/>
        <w:jc w:val="both"/>
        <w:rPr>
          <w:rFonts w:ascii="Times New Roman" w:eastAsia="Google Sans" w:hAnsi="Times New Roman" w:cs="Times New Roman"/>
          <w:sz w:val="24"/>
          <w:szCs w:val="24"/>
        </w:rPr>
      </w:pPr>
      <w:r w:rsidRPr="00AB7FBA">
        <w:rPr>
          <w:rFonts w:ascii="Times New Roman" w:eastAsia="Google Sans" w:hAnsi="Times New Roman" w:cs="Times New Roman"/>
          <w:sz w:val="24"/>
          <w:szCs w:val="24"/>
        </w:rPr>
        <w:t>Table 2</w:t>
      </w:r>
      <w:r w:rsidRPr="00E41112">
        <w:rPr>
          <w:rFonts w:ascii="Times New Roman" w:eastAsia="Google Sans" w:hAnsi="Times New Roman" w:cs="Times New Roman"/>
          <w:sz w:val="24"/>
          <w:szCs w:val="24"/>
        </w:rPr>
        <w:t xml:space="preserve">. </w:t>
      </w:r>
      <w:r w:rsidRPr="00AB7FBA">
        <w:rPr>
          <w:rFonts w:ascii="Times New Roman" w:eastAsia="Google Sans" w:hAnsi="Times New Roman" w:cs="Times New Roman"/>
          <w:sz w:val="24"/>
          <w:szCs w:val="24"/>
        </w:rPr>
        <w:t>Summary of Macro vs. Micro Analysis in Food Science</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59"/>
        <w:gridCol w:w="3913"/>
        <w:gridCol w:w="3914"/>
      </w:tblGrid>
      <w:tr w:rsidR="003D58DB" w:rsidRPr="003D58DB" w14:paraId="140418E4" w14:textId="77777777" w:rsidTr="002A3BFC">
        <w:trPr>
          <w:trHeight w:val="519"/>
          <w:tblHeader/>
          <w:tblCellSpacing w:w="15" w:type="dxa"/>
        </w:trPr>
        <w:tc>
          <w:tcPr>
            <w:tcW w:w="1316" w:type="pct"/>
            <w:vAlign w:val="center"/>
            <w:hideMark/>
          </w:tcPr>
          <w:p w14:paraId="3CF528E4" w14:textId="77777777" w:rsidR="00AB7FBA" w:rsidRPr="00AB7FBA" w:rsidRDefault="00AB7FBA" w:rsidP="00D33B65">
            <w:pPr>
              <w:pStyle w:val="Heading3"/>
              <w:spacing w:before="0" w:after="0"/>
              <w:jc w:val="center"/>
              <w:rPr>
                <w:rFonts w:ascii="Times New Roman" w:eastAsia="Google Sans" w:hAnsi="Times New Roman" w:cs="Times New Roman"/>
                <w:sz w:val="24"/>
                <w:szCs w:val="24"/>
              </w:rPr>
            </w:pPr>
            <w:r w:rsidRPr="00AB7FBA">
              <w:rPr>
                <w:rFonts w:ascii="Times New Roman" w:eastAsia="Google Sans" w:hAnsi="Times New Roman" w:cs="Times New Roman"/>
                <w:sz w:val="24"/>
                <w:szCs w:val="24"/>
              </w:rPr>
              <w:t>Aspect</w:t>
            </w:r>
          </w:p>
        </w:tc>
        <w:tc>
          <w:tcPr>
            <w:tcW w:w="1816" w:type="pct"/>
            <w:vAlign w:val="center"/>
            <w:hideMark/>
          </w:tcPr>
          <w:p w14:paraId="242E9044" w14:textId="77777777" w:rsidR="00AB7FBA" w:rsidRPr="00AB7FBA" w:rsidRDefault="00AB7FBA" w:rsidP="00D33B65">
            <w:pPr>
              <w:pStyle w:val="Heading3"/>
              <w:spacing w:before="0" w:after="0"/>
              <w:jc w:val="center"/>
              <w:rPr>
                <w:rFonts w:ascii="Times New Roman" w:eastAsia="Google Sans" w:hAnsi="Times New Roman" w:cs="Times New Roman"/>
                <w:sz w:val="24"/>
                <w:szCs w:val="24"/>
              </w:rPr>
            </w:pPr>
            <w:r w:rsidRPr="00AB7FBA">
              <w:rPr>
                <w:rFonts w:ascii="Times New Roman" w:eastAsia="Google Sans" w:hAnsi="Times New Roman" w:cs="Times New Roman"/>
                <w:sz w:val="24"/>
                <w:szCs w:val="24"/>
              </w:rPr>
              <w:t>Macro Analysis</w:t>
            </w:r>
          </w:p>
        </w:tc>
        <w:tc>
          <w:tcPr>
            <w:tcW w:w="1809" w:type="pct"/>
            <w:vAlign w:val="center"/>
            <w:hideMark/>
          </w:tcPr>
          <w:p w14:paraId="29614796" w14:textId="77777777" w:rsidR="00AB7FBA" w:rsidRPr="00AB7FBA" w:rsidRDefault="00AB7FBA" w:rsidP="00D33B65">
            <w:pPr>
              <w:pStyle w:val="Heading3"/>
              <w:spacing w:before="0" w:after="0"/>
              <w:jc w:val="center"/>
              <w:rPr>
                <w:rFonts w:ascii="Times New Roman" w:eastAsia="Google Sans" w:hAnsi="Times New Roman" w:cs="Times New Roman"/>
                <w:sz w:val="24"/>
                <w:szCs w:val="24"/>
              </w:rPr>
            </w:pPr>
            <w:r w:rsidRPr="00AB7FBA">
              <w:rPr>
                <w:rFonts w:ascii="Times New Roman" w:eastAsia="Google Sans" w:hAnsi="Times New Roman" w:cs="Times New Roman"/>
                <w:sz w:val="24"/>
                <w:szCs w:val="24"/>
              </w:rPr>
              <w:t>Micro Analysis</w:t>
            </w:r>
          </w:p>
        </w:tc>
      </w:tr>
      <w:tr w:rsidR="003D58DB" w:rsidRPr="003D58DB" w14:paraId="73679C3A" w14:textId="77777777" w:rsidTr="002A3BFC">
        <w:trPr>
          <w:trHeight w:val="711"/>
          <w:tblCellSpacing w:w="15" w:type="dxa"/>
        </w:trPr>
        <w:tc>
          <w:tcPr>
            <w:tcW w:w="1316" w:type="pct"/>
            <w:vAlign w:val="center"/>
            <w:hideMark/>
          </w:tcPr>
          <w:p w14:paraId="7C3B9CAB" w14:textId="77777777" w:rsidR="00AB7FBA" w:rsidRPr="00AB7FBA" w:rsidRDefault="00AB7FBA" w:rsidP="00D33B65">
            <w:pPr>
              <w:pStyle w:val="Heading3"/>
              <w:spacing w:before="0" w:after="0"/>
              <w:jc w:val="center"/>
              <w:rPr>
                <w:rFonts w:ascii="Times New Roman" w:eastAsia="Google Sans" w:hAnsi="Times New Roman" w:cs="Times New Roman"/>
                <w:sz w:val="22"/>
                <w:szCs w:val="22"/>
              </w:rPr>
            </w:pPr>
            <w:r w:rsidRPr="00AB7FBA">
              <w:rPr>
                <w:rFonts w:ascii="Times New Roman" w:eastAsia="Google Sans" w:hAnsi="Times New Roman" w:cs="Times New Roman"/>
                <w:sz w:val="22"/>
                <w:szCs w:val="22"/>
              </w:rPr>
              <w:t>Physiological Role</w:t>
            </w:r>
          </w:p>
        </w:tc>
        <w:tc>
          <w:tcPr>
            <w:tcW w:w="1816" w:type="pct"/>
            <w:vAlign w:val="center"/>
            <w:hideMark/>
          </w:tcPr>
          <w:p w14:paraId="15F65505" w14:textId="77777777" w:rsidR="00AB7FBA" w:rsidRPr="00AB7FBA" w:rsidRDefault="00AB7FBA" w:rsidP="00D33B65">
            <w:pPr>
              <w:pStyle w:val="Heading3"/>
              <w:spacing w:before="0" w:after="0"/>
              <w:jc w:val="center"/>
              <w:rPr>
                <w:rFonts w:ascii="Times New Roman" w:eastAsia="Google Sans" w:hAnsi="Times New Roman" w:cs="Times New Roman"/>
                <w:b w:val="0"/>
                <w:bCs w:val="0"/>
                <w:sz w:val="22"/>
                <w:szCs w:val="22"/>
              </w:rPr>
            </w:pPr>
            <w:r w:rsidRPr="00AB7FBA">
              <w:rPr>
                <w:rFonts w:ascii="Times New Roman" w:eastAsia="Google Sans" w:hAnsi="Times New Roman" w:cs="Times New Roman"/>
                <w:b w:val="0"/>
                <w:bCs w:val="0"/>
                <w:sz w:val="22"/>
                <w:szCs w:val="22"/>
              </w:rPr>
              <w:t>Macro elements like calcium and magnesium help build body structure.</w:t>
            </w:r>
          </w:p>
        </w:tc>
        <w:tc>
          <w:tcPr>
            <w:tcW w:w="1809" w:type="pct"/>
            <w:vAlign w:val="center"/>
            <w:hideMark/>
          </w:tcPr>
          <w:p w14:paraId="26284EE6" w14:textId="77777777" w:rsidR="00AB7FBA" w:rsidRPr="00AB7FBA" w:rsidRDefault="00AB7FBA" w:rsidP="00D33B65">
            <w:pPr>
              <w:pStyle w:val="Heading3"/>
              <w:spacing w:before="0" w:after="0"/>
              <w:jc w:val="center"/>
              <w:rPr>
                <w:rFonts w:ascii="Times New Roman" w:eastAsia="Google Sans" w:hAnsi="Times New Roman" w:cs="Times New Roman"/>
                <w:b w:val="0"/>
                <w:bCs w:val="0"/>
                <w:sz w:val="22"/>
                <w:szCs w:val="22"/>
              </w:rPr>
            </w:pPr>
            <w:r w:rsidRPr="00AB7FBA">
              <w:rPr>
                <w:rFonts w:ascii="Times New Roman" w:eastAsia="Google Sans" w:hAnsi="Times New Roman" w:cs="Times New Roman"/>
                <w:b w:val="0"/>
                <w:bCs w:val="0"/>
                <w:sz w:val="22"/>
                <w:szCs w:val="22"/>
              </w:rPr>
              <w:t>Micro elements like iron and zinc support enzyme function and biological activity.</w:t>
            </w:r>
          </w:p>
        </w:tc>
      </w:tr>
      <w:tr w:rsidR="003D58DB" w:rsidRPr="003D58DB" w14:paraId="3616AB11" w14:textId="77777777" w:rsidTr="002A3BFC">
        <w:trPr>
          <w:trHeight w:val="711"/>
          <w:tblCellSpacing w:w="15" w:type="dxa"/>
        </w:trPr>
        <w:tc>
          <w:tcPr>
            <w:tcW w:w="1316" w:type="pct"/>
            <w:vAlign w:val="center"/>
            <w:hideMark/>
          </w:tcPr>
          <w:p w14:paraId="68E152A1" w14:textId="77777777" w:rsidR="00AB7FBA" w:rsidRPr="00AB7FBA" w:rsidRDefault="00AB7FBA" w:rsidP="00D33B65">
            <w:pPr>
              <w:pStyle w:val="Heading3"/>
              <w:spacing w:before="0" w:after="0"/>
              <w:jc w:val="center"/>
              <w:rPr>
                <w:rFonts w:ascii="Times New Roman" w:eastAsia="Google Sans" w:hAnsi="Times New Roman" w:cs="Times New Roman"/>
                <w:sz w:val="22"/>
                <w:szCs w:val="22"/>
              </w:rPr>
            </w:pPr>
            <w:r w:rsidRPr="00AB7FBA">
              <w:rPr>
                <w:rFonts w:ascii="Times New Roman" w:eastAsia="Google Sans" w:hAnsi="Times New Roman" w:cs="Times New Roman"/>
                <w:sz w:val="22"/>
                <w:szCs w:val="22"/>
              </w:rPr>
              <w:t>Concentration Units</w:t>
            </w:r>
          </w:p>
        </w:tc>
        <w:tc>
          <w:tcPr>
            <w:tcW w:w="1816" w:type="pct"/>
            <w:vAlign w:val="center"/>
            <w:hideMark/>
          </w:tcPr>
          <w:p w14:paraId="272BEA8B" w14:textId="77777777" w:rsidR="00AB7FBA" w:rsidRPr="00AB7FBA" w:rsidRDefault="00AB7FBA" w:rsidP="00D33B65">
            <w:pPr>
              <w:pStyle w:val="Heading3"/>
              <w:spacing w:before="0" w:after="0"/>
              <w:jc w:val="center"/>
              <w:rPr>
                <w:rFonts w:ascii="Times New Roman" w:eastAsia="Google Sans" w:hAnsi="Times New Roman" w:cs="Times New Roman"/>
                <w:b w:val="0"/>
                <w:bCs w:val="0"/>
                <w:sz w:val="22"/>
                <w:szCs w:val="22"/>
              </w:rPr>
            </w:pPr>
            <w:r w:rsidRPr="00AB7FBA">
              <w:rPr>
                <w:rFonts w:ascii="Times New Roman" w:eastAsia="Google Sans" w:hAnsi="Times New Roman" w:cs="Times New Roman"/>
                <w:b w:val="0"/>
                <w:bCs w:val="0"/>
                <w:sz w:val="22"/>
                <w:szCs w:val="22"/>
              </w:rPr>
              <w:t>Macro elements are measured in grams per kilogram (g/kg) or percent (%).</w:t>
            </w:r>
          </w:p>
        </w:tc>
        <w:tc>
          <w:tcPr>
            <w:tcW w:w="1809" w:type="pct"/>
            <w:vAlign w:val="center"/>
            <w:hideMark/>
          </w:tcPr>
          <w:p w14:paraId="5AD19A3B" w14:textId="77777777" w:rsidR="00AB7FBA" w:rsidRPr="00AB7FBA" w:rsidRDefault="00AB7FBA" w:rsidP="00D33B65">
            <w:pPr>
              <w:pStyle w:val="Heading3"/>
              <w:spacing w:before="0" w:after="0"/>
              <w:jc w:val="center"/>
              <w:rPr>
                <w:rFonts w:ascii="Times New Roman" w:eastAsia="Google Sans" w:hAnsi="Times New Roman" w:cs="Times New Roman"/>
                <w:b w:val="0"/>
                <w:bCs w:val="0"/>
                <w:sz w:val="22"/>
                <w:szCs w:val="22"/>
              </w:rPr>
            </w:pPr>
            <w:r w:rsidRPr="00AB7FBA">
              <w:rPr>
                <w:rFonts w:ascii="Times New Roman" w:eastAsia="Google Sans" w:hAnsi="Times New Roman" w:cs="Times New Roman"/>
                <w:b w:val="0"/>
                <w:bCs w:val="0"/>
                <w:sz w:val="22"/>
                <w:szCs w:val="22"/>
              </w:rPr>
              <w:t>Micro elements are measured in parts per million (ppm) or micrograms per gram (μg/g).</w:t>
            </w:r>
          </w:p>
        </w:tc>
      </w:tr>
      <w:tr w:rsidR="003D58DB" w:rsidRPr="003D58DB" w14:paraId="31984339" w14:textId="77777777" w:rsidTr="002A3BFC">
        <w:trPr>
          <w:trHeight w:val="711"/>
          <w:tblCellSpacing w:w="15" w:type="dxa"/>
        </w:trPr>
        <w:tc>
          <w:tcPr>
            <w:tcW w:w="1316" w:type="pct"/>
            <w:vAlign w:val="center"/>
            <w:hideMark/>
          </w:tcPr>
          <w:p w14:paraId="1EAD78A7" w14:textId="77777777" w:rsidR="00AB7FBA" w:rsidRPr="00AB7FBA" w:rsidRDefault="00AB7FBA" w:rsidP="00D33B65">
            <w:pPr>
              <w:pStyle w:val="Heading3"/>
              <w:spacing w:before="0" w:after="0"/>
              <w:jc w:val="center"/>
              <w:rPr>
                <w:rFonts w:ascii="Times New Roman" w:eastAsia="Google Sans" w:hAnsi="Times New Roman" w:cs="Times New Roman"/>
                <w:sz w:val="22"/>
                <w:szCs w:val="22"/>
              </w:rPr>
            </w:pPr>
            <w:r w:rsidRPr="00AB7FBA">
              <w:rPr>
                <w:rFonts w:ascii="Times New Roman" w:eastAsia="Google Sans" w:hAnsi="Times New Roman" w:cs="Times New Roman"/>
                <w:sz w:val="22"/>
                <w:szCs w:val="22"/>
              </w:rPr>
              <w:t>Analytical Methods</w:t>
            </w:r>
          </w:p>
        </w:tc>
        <w:tc>
          <w:tcPr>
            <w:tcW w:w="1816" w:type="pct"/>
            <w:vAlign w:val="center"/>
            <w:hideMark/>
          </w:tcPr>
          <w:p w14:paraId="7FFA7176" w14:textId="77777777" w:rsidR="00AB7FBA" w:rsidRPr="00AB7FBA" w:rsidRDefault="00AB7FBA" w:rsidP="00D33B65">
            <w:pPr>
              <w:pStyle w:val="Heading3"/>
              <w:spacing w:before="0" w:after="0"/>
              <w:jc w:val="center"/>
              <w:rPr>
                <w:rFonts w:ascii="Times New Roman" w:eastAsia="Google Sans" w:hAnsi="Times New Roman" w:cs="Times New Roman"/>
                <w:b w:val="0"/>
                <w:bCs w:val="0"/>
                <w:sz w:val="22"/>
                <w:szCs w:val="22"/>
              </w:rPr>
            </w:pPr>
            <w:r w:rsidRPr="00AB7FBA">
              <w:rPr>
                <w:rFonts w:ascii="Times New Roman" w:eastAsia="Google Sans" w:hAnsi="Times New Roman" w:cs="Times New Roman"/>
                <w:b w:val="0"/>
                <w:bCs w:val="0"/>
                <w:sz w:val="22"/>
                <w:szCs w:val="22"/>
              </w:rPr>
              <w:t>Techniques include radial ICP-OES and wet chemistry methods like Kjeldahl.</w:t>
            </w:r>
          </w:p>
        </w:tc>
        <w:tc>
          <w:tcPr>
            <w:tcW w:w="1809" w:type="pct"/>
            <w:vAlign w:val="center"/>
            <w:hideMark/>
          </w:tcPr>
          <w:p w14:paraId="45DFB10E" w14:textId="77777777" w:rsidR="00AB7FBA" w:rsidRPr="00AB7FBA" w:rsidRDefault="00AB7FBA" w:rsidP="00D33B65">
            <w:pPr>
              <w:pStyle w:val="Heading3"/>
              <w:spacing w:before="0" w:after="0"/>
              <w:jc w:val="center"/>
              <w:rPr>
                <w:rFonts w:ascii="Times New Roman" w:eastAsia="Google Sans" w:hAnsi="Times New Roman" w:cs="Times New Roman"/>
                <w:b w:val="0"/>
                <w:bCs w:val="0"/>
                <w:sz w:val="22"/>
                <w:szCs w:val="22"/>
              </w:rPr>
            </w:pPr>
            <w:r w:rsidRPr="00AB7FBA">
              <w:rPr>
                <w:rFonts w:ascii="Times New Roman" w:eastAsia="Google Sans" w:hAnsi="Times New Roman" w:cs="Times New Roman"/>
                <w:b w:val="0"/>
                <w:bCs w:val="0"/>
                <w:sz w:val="22"/>
                <w:szCs w:val="22"/>
              </w:rPr>
              <w:t>Techniques include axial ICP-MS and atomic absorption for high sensitivity.</w:t>
            </w:r>
          </w:p>
        </w:tc>
      </w:tr>
      <w:tr w:rsidR="003D58DB" w:rsidRPr="003D58DB" w14:paraId="2F1DDE6C" w14:textId="77777777" w:rsidTr="002A3BFC">
        <w:trPr>
          <w:trHeight w:val="711"/>
          <w:tblCellSpacing w:w="15" w:type="dxa"/>
        </w:trPr>
        <w:tc>
          <w:tcPr>
            <w:tcW w:w="1316" w:type="pct"/>
            <w:vAlign w:val="center"/>
            <w:hideMark/>
          </w:tcPr>
          <w:p w14:paraId="3957B314" w14:textId="77777777" w:rsidR="00AB7FBA" w:rsidRPr="00AB7FBA" w:rsidRDefault="00AB7FBA" w:rsidP="00D33B65">
            <w:pPr>
              <w:pStyle w:val="Heading3"/>
              <w:spacing w:before="0" w:after="0"/>
              <w:jc w:val="center"/>
              <w:rPr>
                <w:rFonts w:ascii="Times New Roman" w:eastAsia="Google Sans" w:hAnsi="Times New Roman" w:cs="Times New Roman"/>
                <w:sz w:val="22"/>
                <w:szCs w:val="22"/>
              </w:rPr>
            </w:pPr>
            <w:r w:rsidRPr="00AB7FBA">
              <w:rPr>
                <w:rFonts w:ascii="Times New Roman" w:eastAsia="Google Sans" w:hAnsi="Times New Roman" w:cs="Times New Roman"/>
                <w:sz w:val="22"/>
                <w:szCs w:val="22"/>
              </w:rPr>
              <w:t>Transfer Stability</w:t>
            </w:r>
          </w:p>
        </w:tc>
        <w:tc>
          <w:tcPr>
            <w:tcW w:w="1816" w:type="pct"/>
            <w:vAlign w:val="center"/>
            <w:hideMark/>
          </w:tcPr>
          <w:p w14:paraId="747DEA24" w14:textId="77777777" w:rsidR="00AB7FBA" w:rsidRPr="00AB7FBA" w:rsidRDefault="00AB7FBA" w:rsidP="00D33B65">
            <w:pPr>
              <w:pStyle w:val="Heading3"/>
              <w:spacing w:before="0" w:after="0"/>
              <w:jc w:val="center"/>
              <w:rPr>
                <w:rFonts w:ascii="Times New Roman" w:eastAsia="Google Sans" w:hAnsi="Times New Roman" w:cs="Times New Roman"/>
                <w:b w:val="0"/>
                <w:bCs w:val="0"/>
                <w:sz w:val="22"/>
                <w:szCs w:val="22"/>
              </w:rPr>
            </w:pPr>
            <w:r w:rsidRPr="00AB7FBA">
              <w:rPr>
                <w:rFonts w:ascii="Times New Roman" w:eastAsia="Google Sans" w:hAnsi="Times New Roman" w:cs="Times New Roman"/>
                <w:b w:val="0"/>
                <w:bCs w:val="0"/>
                <w:sz w:val="22"/>
                <w:szCs w:val="22"/>
              </w:rPr>
              <w:t>Macro elements remain stable in animal products.</w:t>
            </w:r>
          </w:p>
        </w:tc>
        <w:tc>
          <w:tcPr>
            <w:tcW w:w="1809" w:type="pct"/>
            <w:vAlign w:val="center"/>
            <w:hideMark/>
          </w:tcPr>
          <w:p w14:paraId="1D8C6C27" w14:textId="77777777" w:rsidR="00AB7FBA" w:rsidRPr="00AB7FBA" w:rsidRDefault="00AB7FBA" w:rsidP="00D33B65">
            <w:pPr>
              <w:pStyle w:val="Heading3"/>
              <w:spacing w:before="0" w:after="0"/>
              <w:jc w:val="center"/>
              <w:rPr>
                <w:rFonts w:ascii="Times New Roman" w:eastAsia="Google Sans" w:hAnsi="Times New Roman" w:cs="Times New Roman"/>
                <w:b w:val="0"/>
                <w:bCs w:val="0"/>
                <w:sz w:val="22"/>
                <w:szCs w:val="22"/>
              </w:rPr>
            </w:pPr>
            <w:r w:rsidRPr="00AB7FBA">
              <w:rPr>
                <w:rFonts w:ascii="Times New Roman" w:eastAsia="Google Sans" w:hAnsi="Times New Roman" w:cs="Times New Roman"/>
                <w:b w:val="0"/>
                <w:bCs w:val="0"/>
                <w:sz w:val="22"/>
                <w:szCs w:val="22"/>
              </w:rPr>
              <w:t>Micro elements vary more in how they transfer between sources.</w:t>
            </w:r>
          </w:p>
        </w:tc>
      </w:tr>
      <w:tr w:rsidR="003D58DB" w:rsidRPr="003D58DB" w14:paraId="31176F95" w14:textId="77777777" w:rsidTr="002A3BFC">
        <w:trPr>
          <w:trHeight w:val="711"/>
          <w:tblCellSpacing w:w="15" w:type="dxa"/>
        </w:trPr>
        <w:tc>
          <w:tcPr>
            <w:tcW w:w="1316" w:type="pct"/>
            <w:vAlign w:val="center"/>
            <w:hideMark/>
          </w:tcPr>
          <w:p w14:paraId="27EAAF4D" w14:textId="77777777" w:rsidR="00AB7FBA" w:rsidRPr="00AB7FBA" w:rsidRDefault="00AB7FBA" w:rsidP="00D33B65">
            <w:pPr>
              <w:pStyle w:val="Heading3"/>
              <w:spacing w:before="0" w:after="0"/>
              <w:jc w:val="center"/>
              <w:rPr>
                <w:rFonts w:ascii="Times New Roman" w:eastAsia="Google Sans" w:hAnsi="Times New Roman" w:cs="Times New Roman"/>
                <w:sz w:val="22"/>
                <w:szCs w:val="22"/>
              </w:rPr>
            </w:pPr>
            <w:r w:rsidRPr="00AB7FBA">
              <w:rPr>
                <w:rFonts w:ascii="Times New Roman" w:eastAsia="Google Sans" w:hAnsi="Times New Roman" w:cs="Times New Roman"/>
                <w:sz w:val="22"/>
                <w:szCs w:val="22"/>
              </w:rPr>
              <w:t>Main Focus</w:t>
            </w:r>
          </w:p>
        </w:tc>
        <w:tc>
          <w:tcPr>
            <w:tcW w:w="1816" w:type="pct"/>
            <w:vAlign w:val="center"/>
            <w:hideMark/>
          </w:tcPr>
          <w:p w14:paraId="7153DD2F" w14:textId="0731F958" w:rsidR="00AB7FBA" w:rsidRPr="00AB7FBA" w:rsidRDefault="00AB7FBA" w:rsidP="00D33B65">
            <w:pPr>
              <w:pStyle w:val="Heading3"/>
              <w:spacing w:before="0" w:after="0"/>
              <w:jc w:val="center"/>
              <w:rPr>
                <w:rFonts w:ascii="Times New Roman" w:eastAsia="Google Sans" w:hAnsi="Times New Roman" w:cs="Times New Roman"/>
                <w:b w:val="0"/>
                <w:bCs w:val="0"/>
                <w:sz w:val="22"/>
                <w:szCs w:val="22"/>
              </w:rPr>
            </w:pPr>
            <w:r w:rsidRPr="00AB7FBA">
              <w:rPr>
                <w:rFonts w:ascii="Times New Roman" w:eastAsia="Google Sans" w:hAnsi="Times New Roman" w:cs="Times New Roman"/>
                <w:b w:val="0"/>
                <w:bCs w:val="0"/>
                <w:sz w:val="22"/>
                <w:szCs w:val="22"/>
              </w:rPr>
              <w:t>Focuses on bulk composition such as moisture, fat, protein and carbohydrates.</w:t>
            </w:r>
          </w:p>
        </w:tc>
        <w:tc>
          <w:tcPr>
            <w:tcW w:w="1809" w:type="pct"/>
            <w:vAlign w:val="center"/>
            <w:hideMark/>
          </w:tcPr>
          <w:p w14:paraId="39594777" w14:textId="233756B9" w:rsidR="00AB7FBA" w:rsidRPr="00AB7FBA" w:rsidRDefault="00AB7FBA" w:rsidP="00D33B65">
            <w:pPr>
              <w:pStyle w:val="Heading3"/>
              <w:spacing w:before="0" w:after="0"/>
              <w:jc w:val="center"/>
              <w:rPr>
                <w:rFonts w:ascii="Times New Roman" w:eastAsia="Google Sans" w:hAnsi="Times New Roman" w:cs="Times New Roman"/>
                <w:b w:val="0"/>
                <w:bCs w:val="0"/>
                <w:sz w:val="22"/>
                <w:szCs w:val="22"/>
              </w:rPr>
            </w:pPr>
            <w:r w:rsidRPr="00AB7FBA">
              <w:rPr>
                <w:rFonts w:ascii="Times New Roman" w:eastAsia="Google Sans" w:hAnsi="Times New Roman" w:cs="Times New Roman"/>
                <w:b w:val="0"/>
                <w:bCs w:val="0"/>
                <w:sz w:val="22"/>
                <w:szCs w:val="22"/>
              </w:rPr>
              <w:t>Focuses on trace elements, toxins, bioactive compounds and origin tracing.</w:t>
            </w:r>
          </w:p>
        </w:tc>
      </w:tr>
    </w:tbl>
    <w:p w14:paraId="0000002C" w14:textId="77D12032" w:rsidR="00254F87" w:rsidRPr="005D6239" w:rsidRDefault="00000000" w:rsidP="005C5254">
      <w:pPr>
        <w:pStyle w:val="Heading3"/>
        <w:jc w:val="both"/>
        <w:rPr>
          <w:rFonts w:ascii="Times New Roman" w:eastAsia="Google Sans" w:hAnsi="Times New Roman" w:cs="Times New Roman"/>
        </w:rPr>
      </w:pPr>
      <w:r w:rsidRPr="005D6239">
        <w:rPr>
          <w:rFonts w:ascii="Times New Roman" w:eastAsia="Google Sans" w:hAnsi="Times New Roman" w:cs="Times New Roman"/>
        </w:rPr>
        <w:t>FINDINGS AND DISCUSSION</w:t>
      </w:r>
    </w:p>
    <w:p w14:paraId="0000002D" w14:textId="36B3464C" w:rsidR="00254F87" w:rsidRPr="001735DD" w:rsidRDefault="00000000" w:rsidP="005C5254">
      <w:pPr>
        <w:pStyle w:val="Heading4"/>
        <w:spacing w:before="240" w:after="240"/>
        <w:jc w:val="both"/>
        <w:rPr>
          <w:rFonts w:ascii="Times New Roman" w:eastAsia="Google Sans" w:hAnsi="Times New Roman" w:cs="Times New Roman"/>
        </w:rPr>
      </w:pPr>
      <w:r w:rsidRPr="001735DD">
        <w:rPr>
          <w:rFonts w:ascii="Times New Roman" w:eastAsia="Google Sans" w:hAnsi="Times New Roman" w:cs="Times New Roman"/>
        </w:rPr>
        <w:t xml:space="preserve">The Failure of Macro Analysis: The </w:t>
      </w:r>
      <w:r w:rsidR="00DD7A84">
        <w:rPr>
          <w:rFonts w:ascii="Times New Roman" w:eastAsia="Google Sans" w:hAnsi="Times New Roman" w:cs="Times New Roman"/>
        </w:rPr>
        <w:t>“</w:t>
      </w:r>
      <w:r w:rsidRPr="001735DD">
        <w:rPr>
          <w:rFonts w:ascii="Times New Roman" w:eastAsia="Google Sans" w:hAnsi="Times New Roman" w:cs="Times New Roman"/>
        </w:rPr>
        <w:t>Adulteration Gap</w:t>
      </w:r>
      <w:r w:rsidR="00DD7A84">
        <w:rPr>
          <w:rFonts w:ascii="Times New Roman" w:eastAsia="Google Sans" w:hAnsi="Times New Roman" w:cs="Times New Roman"/>
        </w:rPr>
        <w:t>”</w:t>
      </w:r>
    </w:p>
    <w:p w14:paraId="104270CB" w14:textId="00542E63" w:rsidR="005D6239" w:rsidRDefault="00000000" w:rsidP="005C5254">
      <w:pPr>
        <w:pBdr>
          <w:top w:val="nil"/>
          <w:left w:val="nil"/>
          <w:bottom w:val="nil"/>
          <w:right w:val="nil"/>
          <w:between w:val="nil"/>
        </w:pBdr>
        <w:spacing w:before="240" w:after="240"/>
        <w:jc w:val="both"/>
        <w:rPr>
          <w:rFonts w:ascii="Times New Roman" w:eastAsia="Google Sans" w:hAnsi="Times New Roman" w:cs="Times New Roman"/>
          <w:sz w:val="24"/>
          <w:szCs w:val="24"/>
        </w:rPr>
      </w:pPr>
      <w:r w:rsidRPr="001735DD">
        <w:rPr>
          <w:rFonts w:ascii="Times New Roman" w:eastAsia="Google Sans" w:hAnsi="Times New Roman" w:cs="Times New Roman"/>
          <w:sz w:val="24"/>
          <w:szCs w:val="24"/>
        </w:rPr>
        <w:t xml:space="preserve">Macro Analysis suffers from an </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adulteration gap</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 xml:space="preserve"> due to indirect measurement (Ham et al., 2025). For example, Kjeldahl methods measure Total Nitrogen and multiply by 6.25 to estimate protein (Abedini et al., 2021). Fraudsters exploit this by adding melamine (C</w:t>
      </w:r>
      <w:r w:rsidRPr="00E24844">
        <w:rPr>
          <w:rFonts w:ascii="Times New Roman" w:eastAsia="Google Sans" w:hAnsi="Times New Roman" w:cs="Times New Roman"/>
          <w:sz w:val="24"/>
          <w:szCs w:val="24"/>
          <w:vertAlign w:val="subscript"/>
        </w:rPr>
        <w:t>3</w:t>
      </w:r>
      <w:r w:rsidRPr="001735DD">
        <w:rPr>
          <w:rFonts w:ascii="Times New Roman" w:eastAsia="Google Sans" w:hAnsi="Times New Roman" w:cs="Times New Roman"/>
          <w:sz w:val="24"/>
          <w:szCs w:val="24"/>
        </w:rPr>
        <w:t>H</w:t>
      </w:r>
      <w:r w:rsidRPr="00E24844">
        <w:rPr>
          <w:rFonts w:ascii="Times New Roman" w:eastAsia="Google Sans" w:hAnsi="Times New Roman" w:cs="Times New Roman"/>
          <w:sz w:val="24"/>
          <w:szCs w:val="24"/>
          <w:vertAlign w:val="subscript"/>
        </w:rPr>
        <w:t>6</w:t>
      </w:r>
      <w:r w:rsidRPr="001735DD">
        <w:rPr>
          <w:rFonts w:ascii="Times New Roman" w:eastAsia="Google Sans" w:hAnsi="Times New Roman" w:cs="Times New Roman"/>
          <w:sz w:val="24"/>
          <w:szCs w:val="24"/>
        </w:rPr>
        <w:t>N</w:t>
      </w:r>
      <w:r w:rsidRPr="00E24844">
        <w:rPr>
          <w:rFonts w:ascii="Times New Roman" w:eastAsia="Google Sans" w:hAnsi="Times New Roman" w:cs="Times New Roman"/>
          <w:sz w:val="24"/>
          <w:szCs w:val="24"/>
          <w:vertAlign w:val="subscript"/>
        </w:rPr>
        <w:t>6</w:t>
      </w:r>
      <w:r w:rsidRPr="001735DD">
        <w:rPr>
          <w:rFonts w:ascii="Times New Roman" w:eastAsia="Google Sans" w:hAnsi="Times New Roman" w:cs="Times New Roman"/>
          <w:sz w:val="24"/>
          <w:szCs w:val="24"/>
        </w:rPr>
        <w:t>, 66% nitrogen) to artificially inflate measured results. Melamine contamination has been detected in 94% of certain international samples (Abedini et al., 2021).</w:t>
      </w:r>
    </w:p>
    <w:p w14:paraId="7D43C45B" w14:textId="1FF5C988" w:rsidR="00932580" w:rsidRDefault="00932580" w:rsidP="005C5254">
      <w:pPr>
        <w:pBdr>
          <w:top w:val="nil"/>
          <w:left w:val="nil"/>
          <w:bottom w:val="nil"/>
          <w:right w:val="nil"/>
          <w:between w:val="nil"/>
        </w:pBdr>
        <w:spacing w:before="240" w:after="240"/>
        <w:jc w:val="both"/>
        <w:rPr>
          <w:rFonts w:ascii="Times New Roman" w:eastAsia="Google Sans" w:hAnsi="Times New Roman" w:cs="Times New Roman"/>
          <w:sz w:val="24"/>
          <w:szCs w:val="24"/>
        </w:rPr>
      </w:pPr>
      <w:r w:rsidRPr="00932580">
        <w:rPr>
          <w:rFonts w:ascii="Times New Roman" w:eastAsia="Google Sans" w:hAnsi="Times New Roman" w:cs="Times New Roman"/>
          <w:sz w:val="24"/>
          <w:szCs w:val="24"/>
        </w:rPr>
        <w:t>From the point of view of food integrity, this represents a clear breach of Product Integrity, where the authenticity of the raw material is misrepresented, and Data Integrity, where the analysis certificate misrepresents the actual nutritional content. In the context of food security, this breach directly impacts the Utilization pillar, where the consumer is consuming toxic industrial chemicals rather than the vital protein necessary for biological function. Moreover, it also affects the Stability pillar, where the massive adulteration scandals cause market instability, a collapse of the supply chain, and a significant loss of consumer confidence in the availability of food.</w:t>
      </w:r>
    </w:p>
    <w:p w14:paraId="0E21C4FF" w14:textId="77777777" w:rsidR="00D45B92" w:rsidRPr="00D45B92" w:rsidRDefault="00D45B92" w:rsidP="00D45B92">
      <w:pPr>
        <w:pBdr>
          <w:top w:val="nil"/>
          <w:left w:val="nil"/>
          <w:bottom w:val="nil"/>
          <w:right w:val="nil"/>
          <w:between w:val="nil"/>
        </w:pBdr>
        <w:spacing w:before="240" w:after="240"/>
        <w:jc w:val="both"/>
        <w:rPr>
          <w:rFonts w:ascii="Times New Roman" w:eastAsia="Google Sans" w:hAnsi="Times New Roman" w:cs="Times New Roman"/>
          <w:sz w:val="24"/>
          <w:szCs w:val="24"/>
        </w:rPr>
      </w:pPr>
      <w:r w:rsidRPr="00D45B92">
        <w:rPr>
          <w:rFonts w:ascii="Times New Roman" w:eastAsia="Google Sans" w:hAnsi="Times New Roman" w:cs="Times New Roman"/>
          <w:sz w:val="24"/>
          <w:szCs w:val="24"/>
        </w:rPr>
        <w:t xml:space="preserve">To fill the “Adulteration Gap” in macro analysis, the strategic approach must target the blind spots of indirect </w:t>
      </w:r>
      <w:r w:rsidRPr="00D45B92">
        <w:rPr>
          <w:rFonts w:ascii="Times New Roman" w:eastAsia="Google Sans" w:hAnsi="Times New Roman" w:cs="Times New Roman"/>
          <w:sz w:val="24"/>
          <w:szCs w:val="24"/>
        </w:rPr>
        <w:lastRenderedPageBreak/>
        <w:t>analysis while ensuring both food integrity and food security. Firstly, laboratories must employ hybrid testing models, combining rapid macro analysis (such as Kjeldahl or refractive index) with micro-verification (HPLC or IRMS) for high-risk commodities. Secondly, risk-based surveillance networks can target products most susceptible to adulteration, maximizing efficiency without the need for 100% testing of batches.</w:t>
      </w:r>
    </w:p>
    <w:p w14:paraId="65D53E20" w14:textId="408F33D8" w:rsidR="00D45B92" w:rsidRDefault="00D45B92" w:rsidP="00D45B92">
      <w:pPr>
        <w:pBdr>
          <w:top w:val="nil"/>
          <w:left w:val="nil"/>
          <w:bottom w:val="nil"/>
          <w:right w:val="nil"/>
          <w:between w:val="nil"/>
        </w:pBdr>
        <w:spacing w:before="240" w:after="240"/>
        <w:jc w:val="both"/>
        <w:rPr>
          <w:rFonts w:ascii="Times New Roman" w:eastAsia="Google Sans" w:hAnsi="Times New Roman" w:cs="Times New Roman"/>
          <w:sz w:val="24"/>
          <w:szCs w:val="24"/>
        </w:rPr>
      </w:pPr>
      <w:r w:rsidRPr="00D45B92">
        <w:rPr>
          <w:rFonts w:ascii="Times New Roman" w:eastAsia="Google Sans" w:hAnsi="Times New Roman" w:cs="Times New Roman"/>
          <w:sz w:val="24"/>
          <w:szCs w:val="24"/>
        </w:rPr>
        <w:t>Lastly, open communication and algorithmic transparency will improve the trustworthiness of certificates of analysis, preventing potential deception. In this way, the approach above supports the integrity and security pillars of the global food system by upholding product authenticity, consumer health, and supply chain stability.</w:t>
      </w:r>
    </w:p>
    <w:p w14:paraId="0000002F" w14:textId="5FEDD5E4" w:rsidR="00254F87" w:rsidRPr="001735DD" w:rsidRDefault="00000000" w:rsidP="005C5254">
      <w:pPr>
        <w:pStyle w:val="Heading4"/>
        <w:spacing w:before="240" w:after="240"/>
        <w:jc w:val="both"/>
        <w:rPr>
          <w:rFonts w:ascii="Times New Roman" w:eastAsia="Google Sans" w:hAnsi="Times New Roman" w:cs="Times New Roman"/>
        </w:rPr>
      </w:pPr>
      <w:r w:rsidRPr="001735DD">
        <w:rPr>
          <w:rFonts w:ascii="Times New Roman" w:eastAsia="Google Sans" w:hAnsi="Times New Roman" w:cs="Times New Roman"/>
        </w:rPr>
        <w:t>The Barrier of Micro Analysis: Cost and Complexity</w:t>
      </w:r>
    </w:p>
    <w:p w14:paraId="488B25E6" w14:textId="58177D50" w:rsidR="005D6239" w:rsidRDefault="00000000" w:rsidP="005C5254">
      <w:pPr>
        <w:pBdr>
          <w:top w:val="nil"/>
          <w:left w:val="nil"/>
          <w:bottom w:val="nil"/>
          <w:right w:val="nil"/>
          <w:between w:val="nil"/>
        </w:pBdr>
        <w:spacing w:before="240" w:after="240"/>
        <w:jc w:val="both"/>
        <w:rPr>
          <w:rFonts w:ascii="Times New Roman" w:eastAsia="Google Sans" w:hAnsi="Times New Roman" w:cs="Times New Roman"/>
          <w:sz w:val="24"/>
          <w:szCs w:val="24"/>
        </w:rPr>
      </w:pPr>
      <w:r w:rsidRPr="001735DD">
        <w:rPr>
          <w:rFonts w:ascii="Times New Roman" w:eastAsia="Google Sans" w:hAnsi="Times New Roman" w:cs="Times New Roman"/>
          <w:sz w:val="24"/>
          <w:szCs w:val="24"/>
        </w:rPr>
        <w:t xml:space="preserve">While Micro analysis (GC-MS, ICP-MS) closes the gap, it faces an </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Economic Wall</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 xml:space="preserve"> (Shi et al., 2025). High capital investment, </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cumbersome</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 xml:space="preserve"> sample preparation, and the need for </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skilled technicians</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 xml:space="preserve"> to interpret complex </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black box</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 xml:space="preserve"> algorithms make 100% batch testing impractical (Kharbach et al., 2023; Shi et al., 2025).</w:t>
      </w:r>
    </w:p>
    <w:p w14:paraId="4467C439" w14:textId="1C6ED630" w:rsidR="00942BF3" w:rsidRDefault="00942BF3" w:rsidP="005C5254">
      <w:pPr>
        <w:pStyle w:val="Heading4"/>
        <w:spacing w:before="240" w:after="240"/>
        <w:jc w:val="both"/>
        <w:rPr>
          <w:rFonts w:ascii="Times New Roman" w:eastAsia="Google Sans" w:hAnsi="Times New Roman" w:cs="Times New Roman"/>
          <w:b w:val="0"/>
          <w:bCs w:val="0"/>
        </w:rPr>
      </w:pPr>
      <w:r w:rsidRPr="00942BF3">
        <w:rPr>
          <w:rFonts w:ascii="Times New Roman" w:eastAsia="Google Sans" w:hAnsi="Times New Roman" w:cs="Times New Roman"/>
          <w:b w:val="0"/>
          <w:bCs w:val="0"/>
        </w:rPr>
        <w:t xml:space="preserve">In the food integrity arena, this hurdle affects Process Integrity because, in most cases, the high cost makes spot checking a common practice instead of continuous monitoring, thus creating entry points for </w:t>
      </w:r>
      <w:r w:rsidR="00F97A76" w:rsidRPr="00F97A76">
        <w:rPr>
          <w:rFonts w:ascii="Times New Roman" w:eastAsia="Google Sans" w:hAnsi="Times New Roman" w:cs="Times New Roman"/>
          <w:b w:val="0"/>
          <w:bCs w:val="0"/>
        </w:rPr>
        <w:t>Economically Motivated Adulteration (EMA)</w:t>
      </w:r>
      <w:r w:rsidRPr="00942BF3">
        <w:rPr>
          <w:rFonts w:ascii="Times New Roman" w:eastAsia="Google Sans" w:hAnsi="Times New Roman" w:cs="Times New Roman"/>
          <w:b w:val="0"/>
          <w:bCs w:val="0"/>
        </w:rPr>
        <w:t xml:space="preserve">. It is also a challenge to Data Integrity because the spot checking involves complex chemometric models, which require high transparency to ensure that the outcome is not prone to human or computer bias. In the area of food security, the </w:t>
      </w:r>
      <w:r w:rsidR="00F92883">
        <w:rPr>
          <w:rFonts w:ascii="Times New Roman" w:eastAsia="Google Sans" w:hAnsi="Times New Roman" w:cs="Times New Roman"/>
          <w:b w:val="0"/>
          <w:bCs w:val="0"/>
        </w:rPr>
        <w:t>“</w:t>
      </w:r>
      <w:r w:rsidRPr="00942BF3">
        <w:rPr>
          <w:rFonts w:ascii="Times New Roman" w:eastAsia="Google Sans" w:hAnsi="Times New Roman" w:cs="Times New Roman"/>
          <w:b w:val="0"/>
          <w:bCs w:val="0"/>
        </w:rPr>
        <w:t>Economic Wall</w:t>
      </w:r>
      <w:r w:rsidR="00F92883">
        <w:rPr>
          <w:rFonts w:ascii="Times New Roman" w:eastAsia="Google Sans" w:hAnsi="Times New Roman" w:cs="Times New Roman"/>
          <w:b w:val="0"/>
          <w:bCs w:val="0"/>
        </w:rPr>
        <w:t>”</w:t>
      </w:r>
      <w:r w:rsidRPr="00942BF3">
        <w:rPr>
          <w:rFonts w:ascii="Times New Roman" w:eastAsia="Google Sans" w:hAnsi="Times New Roman" w:cs="Times New Roman"/>
          <w:b w:val="0"/>
          <w:bCs w:val="0"/>
        </w:rPr>
        <w:t xml:space="preserve"> is a threat to Economic Access because the cost of high-precision validation is usually transferred down the chain, which may make safe food unaffordable. In addition, the long turnaround time related to complex </w:t>
      </w:r>
      <w:r w:rsidR="00A06DC7">
        <w:rPr>
          <w:rFonts w:ascii="Times New Roman" w:eastAsia="Google Sans" w:hAnsi="Times New Roman" w:cs="Times New Roman"/>
          <w:b w:val="0"/>
          <w:bCs w:val="0"/>
        </w:rPr>
        <w:t xml:space="preserve">sample </w:t>
      </w:r>
      <w:r w:rsidRPr="00942BF3">
        <w:rPr>
          <w:rFonts w:ascii="Times New Roman" w:eastAsia="Google Sans" w:hAnsi="Times New Roman" w:cs="Times New Roman"/>
          <w:b w:val="0"/>
          <w:bCs w:val="0"/>
        </w:rPr>
        <w:t>preparations affects the Stability pillar because</w:t>
      </w:r>
      <w:r>
        <w:rPr>
          <w:rFonts w:ascii="Times New Roman" w:eastAsia="Google Sans" w:hAnsi="Times New Roman" w:cs="Times New Roman"/>
          <w:b w:val="0"/>
          <w:bCs w:val="0"/>
        </w:rPr>
        <w:t xml:space="preserve"> </w:t>
      </w:r>
      <w:r w:rsidR="00A06DC7">
        <w:rPr>
          <w:rFonts w:ascii="Times New Roman" w:eastAsia="Google Sans" w:hAnsi="Times New Roman" w:cs="Times New Roman"/>
          <w:b w:val="0"/>
          <w:bCs w:val="0"/>
        </w:rPr>
        <w:t xml:space="preserve">delayed </w:t>
      </w:r>
      <w:r>
        <w:rPr>
          <w:rFonts w:ascii="Times New Roman" w:eastAsia="Google Sans" w:hAnsi="Times New Roman" w:cs="Times New Roman"/>
          <w:b w:val="0"/>
          <w:bCs w:val="0"/>
        </w:rPr>
        <w:t>for</w:t>
      </w:r>
      <w:r w:rsidRPr="00942BF3">
        <w:rPr>
          <w:rFonts w:ascii="Times New Roman" w:eastAsia="Google Sans" w:hAnsi="Times New Roman" w:cs="Times New Roman"/>
          <w:b w:val="0"/>
          <w:bCs w:val="0"/>
        </w:rPr>
        <w:t xml:space="preserve"> laboratory results may cause logistical delays or reduce the shelf life of perishable commodities, thus creating localized shocks in food access.</w:t>
      </w:r>
    </w:p>
    <w:p w14:paraId="333CF98A" w14:textId="378EACCB" w:rsidR="00D45B92" w:rsidRPr="00D45B92" w:rsidRDefault="00D45B92" w:rsidP="00F97A76">
      <w:pPr>
        <w:jc w:val="both"/>
        <w:rPr>
          <w:rFonts w:ascii="Times New Roman" w:hAnsi="Times New Roman" w:cs="Times New Roman"/>
          <w:sz w:val="24"/>
          <w:szCs w:val="24"/>
        </w:rPr>
      </w:pPr>
      <w:r w:rsidRPr="00D45B92">
        <w:rPr>
          <w:rFonts w:ascii="Times New Roman" w:hAnsi="Times New Roman" w:cs="Times New Roman"/>
          <w:sz w:val="24"/>
          <w:szCs w:val="24"/>
        </w:rPr>
        <w:t>In order to fill the gap between the expensive micro-analysis and the need for accessible food testing, the industry needs to invest in portable and low-cost alternatives such as handheld spectrometers and biosensors. The industry also needs to standardize hybrid protocols that merge broad macro-screening with micro-verification. The industry also needs to develop a network of trained technicians to democratize expertise and increase testing capacity beyond elite labs. Finally, the industry needs to ensure transparency in algorithmic interpretation to strengthen trust among producers, regulators, and consumers, ensuring that food integrity and food security are maintained.</w:t>
      </w:r>
    </w:p>
    <w:p w14:paraId="00000031" w14:textId="037F4431" w:rsidR="00254F87" w:rsidRPr="001735DD" w:rsidRDefault="00000000" w:rsidP="005C5254">
      <w:pPr>
        <w:pStyle w:val="Heading4"/>
        <w:spacing w:before="240" w:after="240"/>
        <w:jc w:val="both"/>
        <w:rPr>
          <w:rFonts w:ascii="Times New Roman" w:eastAsia="Google Sans" w:hAnsi="Times New Roman" w:cs="Times New Roman"/>
        </w:rPr>
      </w:pPr>
      <w:r w:rsidRPr="001735DD">
        <w:rPr>
          <w:rFonts w:ascii="Times New Roman" w:eastAsia="Google Sans" w:hAnsi="Times New Roman" w:cs="Times New Roman"/>
        </w:rPr>
        <w:t>The Nexus: Integrating Macro and Micro for Integrity</w:t>
      </w:r>
    </w:p>
    <w:p w14:paraId="15805DB0" w14:textId="415628F0" w:rsidR="0039339D" w:rsidRPr="001735DD" w:rsidRDefault="00000000" w:rsidP="005C5254">
      <w:pPr>
        <w:pBdr>
          <w:top w:val="nil"/>
          <w:left w:val="nil"/>
          <w:bottom w:val="nil"/>
          <w:right w:val="nil"/>
          <w:between w:val="nil"/>
        </w:pBdr>
        <w:spacing w:before="240" w:after="240"/>
        <w:jc w:val="both"/>
        <w:rPr>
          <w:rFonts w:ascii="Times New Roman" w:eastAsia="Google Sans" w:hAnsi="Times New Roman" w:cs="Times New Roman"/>
          <w:sz w:val="24"/>
          <w:szCs w:val="24"/>
        </w:rPr>
      </w:pPr>
      <w:r w:rsidRPr="001735DD">
        <w:rPr>
          <w:rFonts w:ascii="Times New Roman" w:eastAsia="Google Sans" w:hAnsi="Times New Roman" w:cs="Times New Roman"/>
          <w:sz w:val="24"/>
          <w:szCs w:val="24"/>
        </w:rPr>
        <w:t xml:space="preserve">The evolution of Quality Assurance necessitates a shift to </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Data Fusion</w:t>
      </w:r>
      <w:r w:rsidR="00DD7A84">
        <w:rPr>
          <w:rFonts w:ascii="Times New Roman" w:eastAsia="Google Sans" w:hAnsi="Times New Roman" w:cs="Times New Roman"/>
          <w:sz w:val="24"/>
          <w:szCs w:val="24"/>
        </w:rPr>
        <w:t>”</w:t>
      </w:r>
      <w:r w:rsidR="00E24844">
        <w:rPr>
          <w:rFonts w:ascii="Times New Roman" w:eastAsia="Google Sans" w:hAnsi="Times New Roman" w:cs="Times New Roman"/>
          <w:sz w:val="24"/>
          <w:szCs w:val="24"/>
        </w:rPr>
        <w:t xml:space="preserve"> </w:t>
      </w:r>
      <w:r w:rsidRPr="001735DD">
        <w:rPr>
          <w:rFonts w:ascii="Times New Roman" w:eastAsia="Google Sans" w:hAnsi="Times New Roman" w:cs="Times New Roman"/>
          <w:sz w:val="24"/>
          <w:szCs w:val="24"/>
        </w:rPr>
        <w:t xml:space="preserve">fusing Macro parameters (morphological, physical) with Micro parameters (molecular, chemical) to create a </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Food Fingerprint</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 xml:space="preserve"> (Casian et al., 2022).</w:t>
      </w:r>
    </w:p>
    <w:p w14:paraId="0C6A6DA6" w14:textId="77777777" w:rsidR="005C5254" w:rsidRDefault="00000000" w:rsidP="005C5254">
      <w:pPr>
        <w:pBdr>
          <w:top w:val="nil"/>
          <w:left w:val="nil"/>
          <w:bottom w:val="nil"/>
          <w:right w:val="nil"/>
          <w:between w:val="nil"/>
        </w:pBdr>
        <w:spacing w:before="240" w:after="240"/>
        <w:jc w:val="both"/>
        <w:rPr>
          <w:rFonts w:ascii="Times New Roman" w:eastAsia="Google Sans" w:hAnsi="Times New Roman" w:cs="Times New Roman"/>
          <w:sz w:val="24"/>
          <w:szCs w:val="24"/>
        </w:rPr>
      </w:pPr>
      <w:r w:rsidRPr="0039339D">
        <w:rPr>
          <w:rFonts w:ascii="Times New Roman" w:eastAsia="Google Sans" w:hAnsi="Times New Roman" w:cs="Times New Roman"/>
          <w:sz w:val="24"/>
          <w:szCs w:val="24"/>
        </w:rPr>
        <w:t>Case A: Milk Adulteration (The Nitrogen Loophole)</w:t>
      </w:r>
    </w:p>
    <w:p w14:paraId="00000033" w14:textId="1C953B52" w:rsidR="00254F87" w:rsidRDefault="00000000" w:rsidP="005C5254">
      <w:pPr>
        <w:pBdr>
          <w:top w:val="nil"/>
          <w:left w:val="nil"/>
          <w:bottom w:val="nil"/>
          <w:right w:val="nil"/>
          <w:between w:val="nil"/>
        </w:pBdr>
        <w:spacing w:before="240" w:after="240"/>
        <w:jc w:val="both"/>
        <w:rPr>
          <w:rFonts w:ascii="Times New Roman" w:eastAsia="Google Sans" w:hAnsi="Times New Roman" w:cs="Times New Roman"/>
          <w:sz w:val="24"/>
          <w:szCs w:val="24"/>
        </w:rPr>
      </w:pPr>
      <w:r w:rsidRPr="001735DD">
        <w:rPr>
          <w:rFonts w:ascii="Times New Roman" w:eastAsia="Google Sans" w:hAnsi="Times New Roman" w:cs="Times New Roman"/>
          <w:sz w:val="24"/>
          <w:szCs w:val="24"/>
        </w:rPr>
        <w:t xml:space="preserve">Conventional quality control depends on Macro methods such as Kjeldahl or Dumas for quantifying protein. However, these methods suffer from an inherent </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blind spot</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 xml:space="preserve"> as they measure Total Nitrogen rather than specific protein molecules. Fraudsters exploit this by lacing diluted milk with Melamine (C</w:t>
      </w:r>
      <w:r w:rsidRPr="00E24844">
        <w:rPr>
          <w:rFonts w:ascii="Times New Roman" w:eastAsia="Google Sans" w:hAnsi="Times New Roman" w:cs="Times New Roman"/>
          <w:sz w:val="24"/>
          <w:szCs w:val="24"/>
          <w:vertAlign w:val="subscript"/>
        </w:rPr>
        <w:t>3</w:t>
      </w:r>
      <w:r w:rsidRPr="001735DD">
        <w:rPr>
          <w:rFonts w:ascii="Times New Roman" w:eastAsia="Google Sans" w:hAnsi="Times New Roman" w:cs="Times New Roman"/>
          <w:sz w:val="24"/>
          <w:szCs w:val="24"/>
        </w:rPr>
        <w:t>H</w:t>
      </w:r>
      <w:r w:rsidRPr="00E24844">
        <w:rPr>
          <w:rFonts w:ascii="Times New Roman" w:eastAsia="Google Sans" w:hAnsi="Times New Roman" w:cs="Times New Roman"/>
          <w:sz w:val="24"/>
          <w:szCs w:val="24"/>
          <w:vertAlign w:val="subscript"/>
        </w:rPr>
        <w:t>6</w:t>
      </w:r>
      <w:r w:rsidRPr="001735DD">
        <w:rPr>
          <w:rFonts w:ascii="Times New Roman" w:eastAsia="Google Sans" w:hAnsi="Times New Roman" w:cs="Times New Roman"/>
          <w:sz w:val="24"/>
          <w:szCs w:val="24"/>
        </w:rPr>
        <w:t>N</w:t>
      </w:r>
      <w:r w:rsidRPr="00E24844">
        <w:rPr>
          <w:rFonts w:ascii="Times New Roman" w:eastAsia="Google Sans" w:hAnsi="Times New Roman" w:cs="Times New Roman"/>
          <w:sz w:val="24"/>
          <w:szCs w:val="24"/>
          <w:vertAlign w:val="subscript"/>
        </w:rPr>
        <w:t>6</w:t>
      </w:r>
      <w:r w:rsidRPr="001735DD">
        <w:rPr>
          <w:rFonts w:ascii="Times New Roman" w:eastAsia="Google Sans" w:hAnsi="Times New Roman" w:cs="Times New Roman"/>
          <w:sz w:val="24"/>
          <w:szCs w:val="24"/>
        </w:rPr>
        <w:t xml:space="preserve">), an industrial chemical containing 66% nitrogen. Because macro-level tests fail to differentiate between protein-based nitrogen and non-protein nitrogen, the adulterated milk appears to have </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normal</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 xml:space="preserve"> or even </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premium</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 xml:space="preserve"> protein levels despite being nutritionally deficient and toxic. Integrity is restored only through forensic Micro analysis using High-Performance Liquid Chromatography (HPLC), which identifies the specific molecular signature of Melamine, exposing the fraud that bulk tests legitimize (Abedini et al., 2021).</w:t>
      </w:r>
    </w:p>
    <w:p w14:paraId="57CDE3A4" w14:textId="77777777" w:rsidR="0039339D" w:rsidRPr="0039339D" w:rsidRDefault="00000000" w:rsidP="005C5254">
      <w:pPr>
        <w:pBdr>
          <w:top w:val="nil"/>
          <w:left w:val="nil"/>
          <w:bottom w:val="nil"/>
          <w:right w:val="nil"/>
          <w:between w:val="nil"/>
        </w:pBdr>
        <w:spacing w:before="240" w:after="240"/>
        <w:jc w:val="both"/>
        <w:rPr>
          <w:rFonts w:ascii="Times New Roman" w:eastAsia="Google Sans" w:hAnsi="Times New Roman" w:cs="Times New Roman"/>
          <w:sz w:val="24"/>
          <w:szCs w:val="24"/>
        </w:rPr>
      </w:pPr>
      <w:r w:rsidRPr="0039339D">
        <w:rPr>
          <w:rFonts w:ascii="Times New Roman" w:eastAsia="Google Sans" w:hAnsi="Times New Roman" w:cs="Times New Roman"/>
          <w:sz w:val="24"/>
          <w:szCs w:val="24"/>
        </w:rPr>
        <w:t>Case B: Honey Adulteration (The Isotopic Fingerprint)</w:t>
      </w:r>
    </w:p>
    <w:p w14:paraId="00000034" w14:textId="02649100" w:rsidR="00254F87" w:rsidRDefault="00000000" w:rsidP="005C5254">
      <w:pPr>
        <w:pBdr>
          <w:top w:val="nil"/>
          <w:left w:val="nil"/>
          <w:bottom w:val="nil"/>
          <w:right w:val="nil"/>
          <w:between w:val="nil"/>
        </w:pBdr>
        <w:spacing w:before="240" w:after="240"/>
        <w:jc w:val="both"/>
        <w:rPr>
          <w:rFonts w:ascii="Times New Roman" w:eastAsia="Google Sans" w:hAnsi="Times New Roman" w:cs="Times New Roman"/>
          <w:sz w:val="24"/>
          <w:szCs w:val="24"/>
        </w:rPr>
      </w:pPr>
      <w:r w:rsidRPr="001735DD">
        <w:rPr>
          <w:rFonts w:ascii="Times New Roman" w:eastAsia="Google Sans" w:hAnsi="Times New Roman" w:cs="Times New Roman"/>
          <w:sz w:val="24"/>
          <w:szCs w:val="24"/>
        </w:rPr>
        <w:t xml:space="preserve">Honey is frequently adulterated with high-fructose corn syrup (HFCS) or cane sugar because these syrups share a similar bulk physical profile (Macro chemistry) with natural honey. Standard tests like the refractive index or simple sugar profiling fail to detect this fraud because the macro-parameters of the syrup mimic those of bee nectar. The solution involves atomic physics: plants like corn (C4 photosynthetic pathway) fix carbon differently </w:t>
      </w:r>
      <w:r w:rsidRPr="001735DD">
        <w:rPr>
          <w:rFonts w:ascii="Times New Roman" w:eastAsia="Google Sans" w:hAnsi="Times New Roman" w:cs="Times New Roman"/>
          <w:sz w:val="24"/>
          <w:szCs w:val="24"/>
        </w:rPr>
        <w:lastRenderedPageBreak/>
        <w:t xml:space="preserve">than the C3 plants visited by bees. By employing Isotope Ratio Mass Spectrometry (IRMS), a sophisticated Micro analysis, researchers can detect the distinct Carbon-13 </w:t>
      </w:r>
      <w:r w:rsidR="0003247A">
        <w:rPr>
          <w:rFonts w:ascii="Times New Roman" w:eastAsia="Google Sans" w:hAnsi="Times New Roman" w:cs="Times New Roman"/>
          <w:sz w:val="24"/>
          <w:szCs w:val="24"/>
        </w:rPr>
        <w:t>i</w:t>
      </w:r>
      <w:r w:rsidRPr="001735DD">
        <w:rPr>
          <w:rFonts w:ascii="Times New Roman" w:eastAsia="Google Sans" w:hAnsi="Times New Roman" w:cs="Times New Roman"/>
          <w:sz w:val="24"/>
          <w:szCs w:val="24"/>
        </w:rPr>
        <w:t>sotopic fingerprint of the adulterant. This allows analysts to verify botanical authenticity where traditional sugar tests only provide a superficial mask of quality (Dua et al., 2025; Shi et al., 2025).</w:t>
      </w:r>
    </w:p>
    <w:p w14:paraId="762DF082" w14:textId="66D1C098" w:rsidR="00286916" w:rsidRPr="00286916" w:rsidRDefault="00286916" w:rsidP="00286916">
      <w:pPr>
        <w:pStyle w:val="Caption"/>
        <w:rPr>
          <w:rFonts w:ascii="Times New Roman" w:hAnsi="Times New Roman" w:cs="Times New Roman"/>
          <w:i w:val="0"/>
          <w:iCs w:val="0"/>
          <w:color w:val="auto"/>
          <w:sz w:val="24"/>
          <w:szCs w:val="24"/>
        </w:rPr>
      </w:pPr>
      <w:r w:rsidRPr="00286916">
        <w:rPr>
          <w:rFonts w:ascii="Times New Roman" w:eastAsia="Times New Roman" w:hAnsi="Times New Roman" w:cs="Times New Roman"/>
          <w:i w:val="0"/>
          <w:iCs w:val="0"/>
          <w:color w:val="auto"/>
          <w:sz w:val="24"/>
          <w:szCs w:val="24"/>
        </w:rPr>
        <w:t>Figure 2</w:t>
      </w:r>
      <w:r w:rsidRPr="00872CFD">
        <w:rPr>
          <w:rFonts w:ascii="Times New Roman" w:eastAsia="Times New Roman" w:hAnsi="Times New Roman" w:cs="Times New Roman"/>
          <w:i w:val="0"/>
          <w:iCs w:val="0"/>
          <w:color w:val="auto"/>
          <w:sz w:val="24"/>
          <w:szCs w:val="24"/>
        </w:rPr>
        <w:t xml:space="preserve"> showing how both Macro Analysis (Adulteration Gap) and Micro Analysis (Economic Wall) create vulnerabilities in food integrity and security, along with strategic solutions</w:t>
      </w:r>
      <w:r w:rsidR="007D55ED">
        <w:rPr>
          <w:rFonts w:ascii="Times New Roman" w:eastAsia="Times New Roman" w:hAnsi="Times New Roman" w:cs="Times New Roman"/>
          <w:i w:val="0"/>
          <w:iCs w:val="0"/>
          <w:color w:val="auto"/>
          <w:sz w:val="24"/>
          <w:szCs w:val="24"/>
        </w:rPr>
        <w:t>.</w:t>
      </w:r>
    </w:p>
    <w:p w14:paraId="6C9289CC" w14:textId="033A4255" w:rsidR="00286916" w:rsidRPr="00286916" w:rsidRDefault="00286916" w:rsidP="00286916">
      <w:pPr>
        <w:pStyle w:val="Caption"/>
        <w:rPr>
          <w:rFonts w:ascii="Times New Roman" w:eastAsia="Google Sans" w:hAnsi="Times New Roman" w:cs="Times New Roman"/>
          <w:b/>
          <w:bCs/>
          <w:i w:val="0"/>
          <w:iCs w:val="0"/>
          <w:color w:val="auto"/>
          <w:sz w:val="36"/>
          <w:szCs w:val="36"/>
        </w:rPr>
      </w:pPr>
      <w:r w:rsidRPr="00286916">
        <w:rPr>
          <w:rFonts w:ascii="Times New Roman" w:hAnsi="Times New Roman" w:cs="Times New Roman"/>
          <w:b/>
          <w:bCs/>
          <w:i w:val="0"/>
          <w:iCs w:val="0"/>
          <w:color w:val="auto"/>
          <w:sz w:val="24"/>
          <w:szCs w:val="24"/>
        </w:rPr>
        <w:t xml:space="preserve">Figure </w:t>
      </w:r>
      <w:r w:rsidRPr="00286916">
        <w:rPr>
          <w:rFonts w:ascii="Times New Roman" w:hAnsi="Times New Roman" w:cs="Times New Roman"/>
          <w:b/>
          <w:bCs/>
          <w:i w:val="0"/>
          <w:iCs w:val="0"/>
          <w:color w:val="auto"/>
          <w:sz w:val="24"/>
          <w:szCs w:val="24"/>
        </w:rPr>
        <w:fldChar w:fldCharType="begin"/>
      </w:r>
      <w:r w:rsidRPr="00286916">
        <w:rPr>
          <w:rFonts w:ascii="Times New Roman" w:hAnsi="Times New Roman" w:cs="Times New Roman"/>
          <w:b/>
          <w:bCs/>
          <w:i w:val="0"/>
          <w:iCs w:val="0"/>
          <w:color w:val="auto"/>
          <w:sz w:val="24"/>
          <w:szCs w:val="24"/>
        </w:rPr>
        <w:instrText xml:space="preserve"> SEQ Figure \* ARABIC </w:instrText>
      </w:r>
      <w:r w:rsidRPr="00286916">
        <w:rPr>
          <w:rFonts w:ascii="Times New Roman" w:hAnsi="Times New Roman" w:cs="Times New Roman"/>
          <w:b/>
          <w:bCs/>
          <w:i w:val="0"/>
          <w:iCs w:val="0"/>
          <w:color w:val="auto"/>
          <w:sz w:val="24"/>
          <w:szCs w:val="24"/>
        </w:rPr>
        <w:fldChar w:fldCharType="separate"/>
      </w:r>
      <w:r w:rsidRPr="00286916">
        <w:rPr>
          <w:rFonts w:ascii="Times New Roman" w:hAnsi="Times New Roman" w:cs="Times New Roman"/>
          <w:b/>
          <w:bCs/>
          <w:i w:val="0"/>
          <w:iCs w:val="0"/>
          <w:noProof/>
          <w:color w:val="auto"/>
          <w:sz w:val="24"/>
          <w:szCs w:val="24"/>
        </w:rPr>
        <w:t>2</w:t>
      </w:r>
      <w:r w:rsidRPr="00286916">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sidR="009326A7" w:rsidRPr="00872CFD">
        <w:rPr>
          <w:rFonts w:ascii="Times New Roman" w:eastAsia="Times New Roman" w:hAnsi="Times New Roman" w:cs="Times New Roman"/>
          <w:b/>
          <w:bCs/>
          <w:i w:val="0"/>
          <w:iCs w:val="0"/>
          <w:color w:val="auto"/>
          <w:sz w:val="24"/>
          <w:szCs w:val="24"/>
        </w:rPr>
        <w:t>Macro vs. Micro Analysis: Failure → Impact → Solution</w:t>
      </w:r>
    </w:p>
    <w:p w14:paraId="21C35040" w14:textId="6A452BAF" w:rsidR="00286916" w:rsidRDefault="00AE5699" w:rsidP="005C5254">
      <w:pPr>
        <w:pBdr>
          <w:top w:val="nil"/>
          <w:left w:val="nil"/>
          <w:bottom w:val="nil"/>
          <w:right w:val="nil"/>
          <w:between w:val="nil"/>
        </w:pBdr>
        <w:spacing w:before="240" w:after="240"/>
        <w:jc w:val="both"/>
        <w:rPr>
          <w:rFonts w:ascii="Times New Roman" w:eastAsia="Google Sans" w:hAnsi="Times New Roman" w:cs="Times New Roman"/>
          <w:sz w:val="24"/>
          <w:szCs w:val="24"/>
        </w:rPr>
      </w:pPr>
      <w:r w:rsidRPr="001C34FE">
        <w:rPr>
          <w:rFonts w:ascii="Times New Roman" w:eastAsia="Google Sans" w:hAnsi="Times New Roman" w:cs="Times New Roman"/>
          <w:noProof/>
          <w:sz w:val="24"/>
          <w:szCs w:val="24"/>
        </w:rPr>
        <w:drawing>
          <wp:inline distT="0" distB="0" distL="0" distR="0" wp14:anchorId="366E5C8C" wp14:editId="5C944890">
            <wp:extent cx="5979968" cy="3334304"/>
            <wp:effectExtent l="19050" t="19050" r="20955" b="19050"/>
            <wp:docPr id="5503178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5984818" cy="3337008"/>
                    </a:xfrm>
                    <a:prstGeom prst="rect">
                      <a:avLst/>
                    </a:prstGeom>
                    <a:noFill/>
                    <a:ln w="9525" cmpd="sng">
                      <a:solidFill>
                        <a:srgbClr val="000000"/>
                      </a:solidFill>
                      <a:miter lim="800000"/>
                      <a:headEnd/>
                      <a:tailEnd/>
                    </a:ln>
                    <a:effectLst/>
                  </pic:spPr>
                </pic:pic>
              </a:graphicData>
            </a:graphic>
          </wp:inline>
        </w:drawing>
      </w:r>
    </w:p>
    <w:p w14:paraId="00000035" w14:textId="50AB1146" w:rsidR="00254F87" w:rsidRPr="001735DD" w:rsidRDefault="00000000" w:rsidP="005C5254">
      <w:pPr>
        <w:pStyle w:val="Heading4"/>
        <w:spacing w:before="240" w:after="240"/>
        <w:jc w:val="both"/>
        <w:rPr>
          <w:rFonts w:ascii="Times New Roman" w:eastAsia="Google Sans" w:hAnsi="Times New Roman" w:cs="Times New Roman"/>
        </w:rPr>
      </w:pPr>
      <w:r w:rsidRPr="001735DD">
        <w:rPr>
          <w:rFonts w:ascii="Times New Roman" w:eastAsia="Google Sans" w:hAnsi="Times New Roman" w:cs="Times New Roman"/>
        </w:rPr>
        <w:t xml:space="preserve">Industrial Applications: Moving from </w:t>
      </w:r>
      <w:r w:rsidR="00DD7A84">
        <w:rPr>
          <w:rFonts w:ascii="Times New Roman" w:eastAsia="Google Sans" w:hAnsi="Times New Roman" w:cs="Times New Roman"/>
        </w:rPr>
        <w:t>“</w:t>
      </w:r>
      <w:r w:rsidRPr="001735DD">
        <w:rPr>
          <w:rFonts w:ascii="Times New Roman" w:eastAsia="Google Sans" w:hAnsi="Times New Roman" w:cs="Times New Roman"/>
        </w:rPr>
        <w:t>Lab</w:t>
      </w:r>
      <w:r w:rsidR="00DD7A84">
        <w:rPr>
          <w:rFonts w:ascii="Times New Roman" w:eastAsia="Google Sans" w:hAnsi="Times New Roman" w:cs="Times New Roman"/>
        </w:rPr>
        <w:t>”</w:t>
      </w:r>
      <w:r w:rsidRPr="001735DD">
        <w:rPr>
          <w:rFonts w:ascii="Times New Roman" w:eastAsia="Google Sans" w:hAnsi="Times New Roman" w:cs="Times New Roman"/>
        </w:rPr>
        <w:t xml:space="preserve"> to </w:t>
      </w:r>
      <w:r w:rsidR="00DD7A84">
        <w:rPr>
          <w:rFonts w:ascii="Times New Roman" w:eastAsia="Google Sans" w:hAnsi="Times New Roman" w:cs="Times New Roman"/>
        </w:rPr>
        <w:t>“</w:t>
      </w:r>
      <w:r w:rsidRPr="001735DD">
        <w:rPr>
          <w:rFonts w:ascii="Times New Roman" w:eastAsia="Google Sans" w:hAnsi="Times New Roman" w:cs="Times New Roman"/>
        </w:rPr>
        <w:t>Line</w:t>
      </w:r>
      <w:r w:rsidR="00DD7A84">
        <w:rPr>
          <w:rFonts w:ascii="Times New Roman" w:eastAsia="Google Sans" w:hAnsi="Times New Roman" w:cs="Times New Roman"/>
        </w:rPr>
        <w:t>”</w:t>
      </w:r>
    </w:p>
    <w:p w14:paraId="00000036" w14:textId="46B6C0AA" w:rsidR="00254F87" w:rsidRDefault="00000000" w:rsidP="005C5254">
      <w:pPr>
        <w:pBdr>
          <w:top w:val="nil"/>
          <w:left w:val="nil"/>
          <w:bottom w:val="nil"/>
          <w:right w:val="nil"/>
          <w:between w:val="nil"/>
        </w:pBdr>
        <w:spacing w:before="240" w:after="240"/>
        <w:jc w:val="both"/>
        <w:rPr>
          <w:rFonts w:ascii="Times New Roman" w:eastAsia="Google Sans" w:hAnsi="Times New Roman" w:cs="Times New Roman"/>
          <w:sz w:val="24"/>
          <w:szCs w:val="24"/>
        </w:rPr>
      </w:pPr>
      <w:r w:rsidRPr="001735DD">
        <w:rPr>
          <w:rFonts w:ascii="Times New Roman" w:eastAsia="Google Sans" w:hAnsi="Times New Roman" w:cs="Times New Roman"/>
          <w:sz w:val="24"/>
          <w:szCs w:val="24"/>
        </w:rPr>
        <w:t xml:space="preserve">Modern industry is rapidly transitioning toward real-time monitoring via Process Analytical Technology (PAT), a shift that directly impacts both food integrity and security (Casian et al., 2022). By moving analysis from the </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Lab</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 xml:space="preserve"> to the production </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Line,</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 xml:space="preserve"> manufacturers can identify </w:t>
      </w:r>
      <w:r w:rsidR="004A604F">
        <w:rPr>
          <w:rFonts w:ascii="Times New Roman" w:eastAsia="Google Sans" w:hAnsi="Times New Roman" w:cs="Times New Roman"/>
          <w:sz w:val="24"/>
          <w:szCs w:val="24"/>
        </w:rPr>
        <w:t>C</w:t>
      </w:r>
      <w:r w:rsidRPr="001735DD">
        <w:rPr>
          <w:rFonts w:ascii="Times New Roman" w:eastAsia="Google Sans" w:hAnsi="Times New Roman" w:cs="Times New Roman"/>
          <w:sz w:val="24"/>
          <w:szCs w:val="24"/>
        </w:rPr>
        <w:t xml:space="preserve">ritical </w:t>
      </w:r>
      <w:r w:rsidR="004A604F">
        <w:rPr>
          <w:rFonts w:ascii="Times New Roman" w:eastAsia="Google Sans" w:hAnsi="Times New Roman" w:cs="Times New Roman"/>
          <w:sz w:val="24"/>
          <w:szCs w:val="24"/>
        </w:rPr>
        <w:t>Q</w:t>
      </w:r>
      <w:r w:rsidRPr="001735DD">
        <w:rPr>
          <w:rFonts w:ascii="Times New Roman" w:eastAsia="Google Sans" w:hAnsi="Times New Roman" w:cs="Times New Roman"/>
          <w:sz w:val="24"/>
          <w:szCs w:val="24"/>
        </w:rPr>
        <w:t xml:space="preserve">uality </w:t>
      </w:r>
      <w:r w:rsidR="004A604F">
        <w:rPr>
          <w:rFonts w:ascii="Times New Roman" w:eastAsia="Google Sans" w:hAnsi="Times New Roman" w:cs="Times New Roman"/>
          <w:sz w:val="24"/>
          <w:szCs w:val="24"/>
        </w:rPr>
        <w:t>A</w:t>
      </w:r>
      <w:r w:rsidRPr="001735DD">
        <w:rPr>
          <w:rFonts w:ascii="Times New Roman" w:eastAsia="Google Sans" w:hAnsi="Times New Roman" w:cs="Times New Roman"/>
          <w:sz w:val="24"/>
          <w:szCs w:val="24"/>
        </w:rPr>
        <w:t>ttributes (CQAs) instantaneously through tools like NIR spectroscopy, which measures fat and protein fractions without production lag (Chaudhary et al., 2022).</w:t>
      </w:r>
    </w:p>
    <w:p w14:paraId="75D05AA7" w14:textId="77777777" w:rsidR="00794805" w:rsidRDefault="00794805" w:rsidP="005C5254">
      <w:pPr>
        <w:pStyle w:val="Heading4"/>
        <w:spacing w:before="240" w:after="240"/>
        <w:jc w:val="both"/>
        <w:rPr>
          <w:rFonts w:ascii="Times New Roman" w:eastAsia="Google Sans" w:hAnsi="Times New Roman" w:cs="Times New Roman"/>
          <w:b w:val="0"/>
          <w:bCs w:val="0"/>
        </w:rPr>
      </w:pPr>
      <w:r w:rsidRPr="00794805">
        <w:rPr>
          <w:rFonts w:ascii="Times New Roman" w:eastAsia="Google Sans" w:hAnsi="Times New Roman" w:cs="Times New Roman"/>
          <w:b w:val="0"/>
          <w:bCs w:val="0"/>
        </w:rPr>
        <w:t>This helps to ensure food integrity by establishing a “real-time gatekeeper” that identifies Economically Motivated Adulteration (EMA) before the final distribution stage, thus ensuring that the “Data Integrity” of the certificate corresponds to the physical product. At the same time, it helps to ensure food security by improving the “Stability” and “Availability” components; the non-destructive testing method (such as Terahertz spectroscopy, which provides results in less than 5 seconds) ensures that there is minimal waste and that large quantities of safe products are not disposed of, as would be the case in the delays of retrospective wet-chemistry testing (Kpalo et al., 2020; Chaudhary et al., 2022). Therefore, the “Line” strategy ensures a continuous, safe, and efficient food chain that is not vulnerable to the challenges posed by the “Three Lethal Cs”.</w:t>
      </w:r>
    </w:p>
    <w:p w14:paraId="00000038" w14:textId="0A799832" w:rsidR="00254F87" w:rsidRPr="001735DD" w:rsidRDefault="00000000" w:rsidP="005C5254">
      <w:pPr>
        <w:pStyle w:val="Heading4"/>
        <w:spacing w:before="240" w:after="240"/>
        <w:jc w:val="both"/>
        <w:rPr>
          <w:rFonts w:ascii="Times New Roman" w:eastAsia="Google Sans" w:hAnsi="Times New Roman" w:cs="Times New Roman"/>
        </w:rPr>
      </w:pPr>
      <w:r w:rsidRPr="001735DD">
        <w:rPr>
          <w:rFonts w:ascii="Times New Roman" w:eastAsia="Google Sans" w:hAnsi="Times New Roman" w:cs="Times New Roman"/>
        </w:rPr>
        <w:t>Challenges: Matrix Interference and Green Chemistry</w:t>
      </w:r>
    </w:p>
    <w:p w14:paraId="00000039" w14:textId="3A125F47" w:rsidR="00254F87" w:rsidRPr="001735DD" w:rsidRDefault="00000000" w:rsidP="005C5254">
      <w:pPr>
        <w:pBdr>
          <w:top w:val="nil"/>
          <w:left w:val="nil"/>
          <w:bottom w:val="nil"/>
          <w:right w:val="nil"/>
          <w:between w:val="nil"/>
        </w:pBdr>
        <w:spacing w:before="240" w:after="240"/>
        <w:jc w:val="both"/>
        <w:rPr>
          <w:rFonts w:ascii="Times New Roman" w:eastAsia="Google Sans" w:hAnsi="Times New Roman" w:cs="Times New Roman"/>
          <w:sz w:val="24"/>
          <w:szCs w:val="24"/>
        </w:rPr>
      </w:pPr>
      <w:r w:rsidRPr="001735DD">
        <w:rPr>
          <w:rFonts w:ascii="Times New Roman" w:eastAsia="Google Sans" w:hAnsi="Times New Roman" w:cs="Times New Roman"/>
          <w:sz w:val="24"/>
          <w:szCs w:val="24"/>
        </w:rPr>
        <w:t xml:space="preserve">High-fat and protein-based food matrices (Macro-parameters) create inherently complex environments that can impede the detection of trace contaminants (Micro-parameters), directly threatening </w:t>
      </w:r>
      <w:r w:rsidRPr="0039339D">
        <w:rPr>
          <w:rFonts w:ascii="Times New Roman" w:eastAsia="Google Sans" w:hAnsi="Times New Roman" w:cs="Times New Roman"/>
          <w:sz w:val="24"/>
          <w:szCs w:val="24"/>
        </w:rPr>
        <w:t>food integrity</w:t>
      </w:r>
      <w:r w:rsidRPr="001735DD">
        <w:rPr>
          <w:rFonts w:ascii="Times New Roman" w:eastAsia="Google Sans" w:hAnsi="Times New Roman" w:cs="Times New Roman"/>
          <w:sz w:val="24"/>
          <w:szCs w:val="24"/>
        </w:rPr>
        <w:t xml:space="preserve"> (Papadopoulou et al., 2025). These matrices can </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poison</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 xml:space="preserve"> electrodes in biosensors or cause turbidity that interferes with optical signals, leading to false negatives in safety screenings (Kiani-Salmi et al., 2025). This </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Micro</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 xml:space="preserve"> analysis becomes a victim of </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Macro</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 xml:space="preserve"> interference, necessitating advanced extraction methods to isolate components without degradation (Nascimento et al., 2025). From a</w:t>
      </w:r>
      <w:r w:rsidRPr="0039339D">
        <w:rPr>
          <w:rFonts w:ascii="Times New Roman" w:eastAsia="Google Sans" w:hAnsi="Times New Roman" w:cs="Times New Roman"/>
          <w:sz w:val="24"/>
          <w:szCs w:val="24"/>
        </w:rPr>
        <w:t xml:space="preserve"> food</w:t>
      </w:r>
      <w:r w:rsidRPr="001735DD">
        <w:rPr>
          <w:rFonts w:ascii="Times New Roman" w:eastAsia="Google Sans" w:hAnsi="Times New Roman" w:cs="Times New Roman"/>
          <w:b/>
          <w:bCs/>
          <w:sz w:val="24"/>
          <w:szCs w:val="24"/>
        </w:rPr>
        <w:t xml:space="preserve"> </w:t>
      </w:r>
      <w:r w:rsidRPr="0039339D">
        <w:rPr>
          <w:rFonts w:ascii="Times New Roman" w:eastAsia="Google Sans" w:hAnsi="Times New Roman" w:cs="Times New Roman"/>
          <w:sz w:val="24"/>
          <w:szCs w:val="24"/>
        </w:rPr>
        <w:t xml:space="preserve">security perspective, the requirement </w:t>
      </w:r>
      <w:r w:rsidRPr="0039339D">
        <w:rPr>
          <w:rFonts w:ascii="Times New Roman" w:eastAsia="Google Sans" w:hAnsi="Times New Roman" w:cs="Times New Roman"/>
          <w:sz w:val="24"/>
          <w:szCs w:val="24"/>
        </w:rPr>
        <w:lastRenderedPageBreak/>
        <w:t>for multi-step, time-consuming sample preparation to overcome matr</w:t>
      </w:r>
      <w:r w:rsidRPr="001735DD">
        <w:rPr>
          <w:rFonts w:ascii="Times New Roman" w:eastAsia="Google Sans" w:hAnsi="Times New Roman" w:cs="Times New Roman"/>
          <w:sz w:val="24"/>
          <w:szCs w:val="24"/>
        </w:rPr>
        <w:t xml:space="preserve">ix interference can delay product release, affecting the </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Stability</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 xml:space="preserve"> and </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Access</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 xml:space="preserve"> pillars of the supply chain (Papadopoulou et al., 2025).</w:t>
      </w:r>
    </w:p>
    <w:p w14:paraId="68613ABB" w14:textId="77777777" w:rsidR="00A02C1F" w:rsidRDefault="00A02C1F" w:rsidP="005C5254">
      <w:pPr>
        <w:pStyle w:val="Heading3"/>
        <w:jc w:val="both"/>
        <w:rPr>
          <w:rFonts w:ascii="Times New Roman" w:eastAsia="Google Sans" w:hAnsi="Times New Roman" w:cs="Times New Roman"/>
          <w:b w:val="0"/>
          <w:bCs w:val="0"/>
          <w:sz w:val="24"/>
          <w:szCs w:val="24"/>
        </w:rPr>
      </w:pPr>
      <w:r w:rsidRPr="00A02C1F">
        <w:rPr>
          <w:rFonts w:ascii="Times New Roman" w:eastAsia="Google Sans" w:hAnsi="Times New Roman" w:cs="Times New Roman"/>
          <w:b w:val="0"/>
          <w:bCs w:val="0"/>
          <w:sz w:val="24"/>
          <w:szCs w:val="24"/>
        </w:rPr>
        <w:t>However, to overcome these challenges in a sustainable manner, the sector is moving towards Green Chemistry. The use of Natural Deep Eutectic Solvents (NADES) or Supercritical CO</w:t>
      </w:r>
      <w:r w:rsidRPr="00A02C1F">
        <w:rPr>
          <w:rFonts w:ascii="Times New Roman" w:eastAsia="Google Sans" w:hAnsi="Times New Roman" w:cs="Times New Roman"/>
          <w:b w:val="0"/>
          <w:bCs w:val="0"/>
          <w:sz w:val="24"/>
          <w:szCs w:val="24"/>
          <w:vertAlign w:val="subscript"/>
        </w:rPr>
        <w:t>2</w:t>
      </w:r>
      <w:r w:rsidRPr="00A02C1F">
        <w:rPr>
          <w:rFonts w:ascii="Times New Roman" w:eastAsia="Google Sans" w:hAnsi="Times New Roman" w:cs="Times New Roman"/>
          <w:b w:val="0"/>
          <w:bCs w:val="0"/>
          <w:sz w:val="24"/>
          <w:szCs w:val="24"/>
        </w:rPr>
        <w:t xml:space="preserve"> instead of toxic petroleum-based solvents ensures that the analytical procedure maintains “Process Integrity” without causing secondary contamination (Chemat et al., 2019; Rodríguez-Blázquez et al., 2025). Additionally, the use of Ultrasonic-Assisted Extraction (UAE) technology not only cuts down energy and processing time compared to conventional techniques but also supports the “Sustainability” aspect of food security by ensuring that food monitoring systems are efficient, environmentally friendly, and able to conserve resources for posterity.</w:t>
      </w:r>
    </w:p>
    <w:p w14:paraId="0000003B" w14:textId="48CFD668" w:rsidR="00254F87" w:rsidRPr="0039339D" w:rsidRDefault="00000000" w:rsidP="005C5254">
      <w:pPr>
        <w:pStyle w:val="Heading3"/>
        <w:jc w:val="both"/>
        <w:rPr>
          <w:rFonts w:ascii="Times New Roman" w:eastAsia="Google Sans" w:hAnsi="Times New Roman" w:cs="Times New Roman"/>
        </w:rPr>
      </w:pPr>
      <w:r w:rsidRPr="0039339D">
        <w:rPr>
          <w:rFonts w:ascii="Times New Roman" w:eastAsia="Google Sans" w:hAnsi="Times New Roman" w:cs="Times New Roman"/>
        </w:rPr>
        <w:t>CONCLUSION</w:t>
      </w:r>
    </w:p>
    <w:p w14:paraId="0000003C" w14:textId="613AB4F8" w:rsidR="00254F87" w:rsidRPr="001735DD" w:rsidRDefault="00000000" w:rsidP="005C5254">
      <w:pPr>
        <w:pStyle w:val="Heading4"/>
        <w:spacing w:before="240" w:after="240"/>
        <w:jc w:val="both"/>
        <w:rPr>
          <w:rFonts w:ascii="Times New Roman" w:eastAsia="Google Sans" w:hAnsi="Times New Roman" w:cs="Times New Roman"/>
        </w:rPr>
      </w:pPr>
      <w:r w:rsidRPr="001735DD">
        <w:rPr>
          <w:rFonts w:ascii="Times New Roman" w:eastAsia="Google Sans" w:hAnsi="Times New Roman" w:cs="Times New Roman"/>
        </w:rPr>
        <w:t>Summary of Findings</w:t>
      </w:r>
    </w:p>
    <w:p w14:paraId="0000003D" w14:textId="11727875" w:rsidR="00254F87" w:rsidRDefault="00000000" w:rsidP="005C5254">
      <w:pPr>
        <w:pBdr>
          <w:top w:val="nil"/>
          <w:left w:val="nil"/>
          <w:bottom w:val="nil"/>
          <w:right w:val="nil"/>
          <w:between w:val="nil"/>
        </w:pBdr>
        <w:spacing w:before="240" w:after="240"/>
        <w:jc w:val="both"/>
        <w:rPr>
          <w:rFonts w:ascii="Times New Roman" w:eastAsia="Google Sans" w:hAnsi="Times New Roman" w:cs="Times New Roman"/>
          <w:sz w:val="24"/>
          <w:szCs w:val="24"/>
        </w:rPr>
      </w:pPr>
      <w:r w:rsidRPr="001735DD">
        <w:rPr>
          <w:rFonts w:ascii="Times New Roman" w:eastAsia="Google Sans" w:hAnsi="Times New Roman" w:cs="Times New Roman"/>
          <w:sz w:val="24"/>
          <w:szCs w:val="24"/>
        </w:rPr>
        <w:t xml:space="preserve">Food integrity cannot be guaranteed through a single plane of analytical complexity. This review has demonstrated that exclusive reliance on Macro Analysis creates a dangerous </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Adulteration Gap</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 xml:space="preserve"> where sophisticated fraud</w:t>
      </w:r>
      <w:r w:rsidR="00AF34A3">
        <w:rPr>
          <w:rFonts w:ascii="Times New Roman" w:eastAsia="Google Sans" w:hAnsi="Times New Roman" w:cs="Times New Roman"/>
          <w:sz w:val="24"/>
          <w:szCs w:val="24"/>
        </w:rPr>
        <w:t xml:space="preserve"> </w:t>
      </w:r>
      <w:r w:rsidRPr="001735DD">
        <w:rPr>
          <w:rFonts w:ascii="Times New Roman" w:eastAsia="Google Sans" w:hAnsi="Times New Roman" w:cs="Times New Roman"/>
          <w:sz w:val="24"/>
          <w:szCs w:val="24"/>
        </w:rPr>
        <w:t>such as melamine spiking</w:t>
      </w:r>
      <w:r w:rsidR="00AF34A3">
        <w:rPr>
          <w:rFonts w:ascii="Times New Roman" w:eastAsia="Google Sans" w:hAnsi="Times New Roman" w:cs="Times New Roman"/>
          <w:sz w:val="24"/>
          <w:szCs w:val="24"/>
        </w:rPr>
        <w:t xml:space="preserve"> </w:t>
      </w:r>
      <w:r w:rsidRPr="001735DD">
        <w:rPr>
          <w:rFonts w:ascii="Times New Roman" w:eastAsia="Google Sans" w:hAnsi="Times New Roman" w:cs="Times New Roman"/>
          <w:sz w:val="24"/>
          <w:szCs w:val="24"/>
        </w:rPr>
        <w:t xml:space="preserve">can flourish under the guise of legitimate bulk composition (Abedini et al., 2021). Conversely, the </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Economic Wall</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 xml:space="preserve"> surrounding Micro Analysis makes high-precision forensic tools impractical for continuous industrial throughput (Shi et al., 2025). To resolve this, the industry is moving toward a Synergistic Strategy of Data Fusion, utilizing rapid Macro-sensors as a </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first line of defense</w:t>
      </w:r>
      <w:r w:rsidR="00DD7A84">
        <w:rPr>
          <w:rFonts w:ascii="Times New Roman" w:eastAsia="Google Sans" w:hAnsi="Times New Roman" w:cs="Times New Roman"/>
          <w:sz w:val="24"/>
          <w:szCs w:val="24"/>
        </w:rPr>
        <w:t>”</w:t>
      </w:r>
      <w:r w:rsidRPr="001735DD">
        <w:rPr>
          <w:rFonts w:ascii="Times New Roman" w:eastAsia="Google Sans" w:hAnsi="Times New Roman" w:cs="Times New Roman"/>
          <w:sz w:val="24"/>
          <w:szCs w:val="24"/>
        </w:rPr>
        <w:t xml:space="preserve"> and reserving Micro-validation for forensic confirmation (Casian et al., 2022).</w:t>
      </w:r>
    </w:p>
    <w:p w14:paraId="763A2178" w14:textId="77777777" w:rsidR="006B765D" w:rsidRPr="0076590C" w:rsidRDefault="006B765D" w:rsidP="006B765D">
      <w:pPr>
        <w:pStyle w:val="Caption"/>
        <w:rPr>
          <w:rFonts w:ascii="Times New Roman" w:eastAsia="Google Sans" w:hAnsi="Times New Roman" w:cs="Times New Roman"/>
          <w:b/>
          <w:bCs/>
          <w:i w:val="0"/>
          <w:iCs w:val="0"/>
          <w:color w:val="auto"/>
          <w:sz w:val="24"/>
          <w:szCs w:val="24"/>
        </w:rPr>
      </w:pPr>
      <w:r w:rsidRPr="002B1168">
        <w:rPr>
          <w:rFonts w:ascii="Times New Roman" w:hAnsi="Times New Roman" w:cs="Times New Roman"/>
          <w:b/>
          <w:bCs/>
          <w:i w:val="0"/>
          <w:iCs w:val="0"/>
          <w:color w:val="auto"/>
          <w:sz w:val="24"/>
          <w:szCs w:val="24"/>
        </w:rPr>
        <w:t xml:space="preserve">Figure </w:t>
      </w:r>
      <w:r w:rsidRPr="002B1168">
        <w:rPr>
          <w:rFonts w:ascii="Times New Roman" w:hAnsi="Times New Roman" w:cs="Times New Roman"/>
          <w:b/>
          <w:bCs/>
          <w:i w:val="0"/>
          <w:iCs w:val="0"/>
          <w:color w:val="auto"/>
          <w:sz w:val="24"/>
          <w:szCs w:val="24"/>
        </w:rPr>
        <w:fldChar w:fldCharType="begin"/>
      </w:r>
      <w:r w:rsidRPr="002B1168">
        <w:rPr>
          <w:rFonts w:ascii="Times New Roman" w:hAnsi="Times New Roman" w:cs="Times New Roman"/>
          <w:b/>
          <w:bCs/>
          <w:i w:val="0"/>
          <w:iCs w:val="0"/>
          <w:color w:val="auto"/>
          <w:sz w:val="24"/>
          <w:szCs w:val="24"/>
        </w:rPr>
        <w:instrText xml:space="preserve"> SEQ Figure \* ARABIC </w:instrText>
      </w:r>
      <w:r w:rsidRPr="002B1168">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3</w:t>
      </w:r>
      <w:r w:rsidRPr="002B1168">
        <w:rPr>
          <w:rFonts w:ascii="Times New Roman" w:hAnsi="Times New Roman" w:cs="Times New Roman"/>
          <w:b/>
          <w:bCs/>
          <w:i w:val="0"/>
          <w:iCs w:val="0"/>
          <w:color w:val="auto"/>
          <w:sz w:val="24"/>
          <w:szCs w:val="24"/>
        </w:rPr>
        <w:fldChar w:fldCharType="end"/>
      </w:r>
      <w:r w:rsidRPr="002B1168">
        <w:rPr>
          <w:rFonts w:ascii="Times New Roman" w:hAnsi="Times New Roman" w:cs="Times New Roman"/>
          <w:b/>
          <w:bCs/>
          <w:i w:val="0"/>
          <w:iCs w:val="0"/>
          <w:color w:val="auto"/>
          <w:sz w:val="24"/>
          <w:szCs w:val="24"/>
        </w:rPr>
        <w:t>.</w:t>
      </w:r>
      <w:r>
        <w:rPr>
          <w:rFonts w:ascii="Times New Roman" w:hAnsi="Times New Roman" w:cs="Times New Roman"/>
          <w:b/>
          <w:bCs/>
          <w:i w:val="0"/>
          <w:iCs w:val="0"/>
          <w:color w:val="auto"/>
          <w:sz w:val="24"/>
          <w:szCs w:val="24"/>
        </w:rPr>
        <w:t xml:space="preserve"> </w:t>
      </w:r>
      <w:r w:rsidRPr="0076590C">
        <w:rPr>
          <w:rFonts w:ascii="Times New Roman" w:hAnsi="Times New Roman" w:cs="Times New Roman"/>
          <w:b/>
          <w:bCs/>
          <w:i w:val="0"/>
          <w:iCs w:val="0"/>
          <w:color w:val="auto"/>
          <w:sz w:val="24"/>
          <w:szCs w:val="24"/>
        </w:rPr>
        <w:t>Visual Summary of The Key Findings from The Review on Food Fraud Detection and Analytical Strategies</w:t>
      </w:r>
    </w:p>
    <w:p w14:paraId="4A6DF7FE" w14:textId="060B8B93" w:rsidR="006B765D" w:rsidRDefault="006B765D" w:rsidP="006B765D">
      <w:pPr>
        <w:pStyle w:val="Heading4"/>
        <w:spacing w:before="240" w:after="0"/>
        <w:rPr>
          <w:rFonts w:ascii="Times New Roman" w:eastAsia="Google Sans" w:hAnsi="Times New Roman" w:cs="Times New Roman"/>
        </w:rPr>
      </w:pPr>
      <w:r w:rsidRPr="00997F2D">
        <w:rPr>
          <w:noProof/>
        </w:rPr>
        <w:drawing>
          <wp:inline distT="0" distB="0" distL="0" distR="0" wp14:anchorId="77CFB405" wp14:editId="6B41F657">
            <wp:extent cx="5784840" cy="3228109"/>
            <wp:effectExtent l="0" t="0" r="6985" b="0"/>
            <wp:docPr id="669584522" name="Picture 1" descr="Beautify thi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utify this slide"/>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799864" cy="3236493"/>
                    </a:xfrm>
                    <a:prstGeom prst="rect">
                      <a:avLst/>
                    </a:prstGeom>
                    <a:noFill/>
                    <a:ln>
                      <a:noFill/>
                    </a:ln>
                  </pic:spPr>
                </pic:pic>
              </a:graphicData>
            </a:graphic>
          </wp:inline>
        </w:drawing>
      </w:r>
    </w:p>
    <w:p w14:paraId="0000003E" w14:textId="7196C39F" w:rsidR="00254F87" w:rsidRPr="001735DD" w:rsidRDefault="00000000" w:rsidP="005C5254">
      <w:pPr>
        <w:pStyle w:val="Heading4"/>
        <w:spacing w:before="240" w:after="240"/>
        <w:jc w:val="both"/>
        <w:rPr>
          <w:rFonts w:ascii="Times New Roman" w:eastAsia="Google Sans" w:hAnsi="Times New Roman" w:cs="Times New Roman"/>
        </w:rPr>
      </w:pPr>
      <w:r w:rsidRPr="001735DD">
        <w:rPr>
          <w:rFonts w:ascii="Times New Roman" w:eastAsia="Google Sans" w:hAnsi="Times New Roman" w:cs="Times New Roman"/>
        </w:rPr>
        <w:t>Impact of the Study</w:t>
      </w:r>
    </w:p>
    <w:p w14:paraId="53BC2916" w14:textId="4010A1FA" w:rsidR="00E554CE" w:rsidRPr="00E554CE" w:rsidRDefault="00E554CE" w:rsidP="00E554CE">
      <w:pPr>
        <w:pStyle w:val="Heading4"/>
        <w:spacing w:before="240" w:after="240"/>
        <w:jc w:val="both"/>
        <w:rPr>
          <w:rFonts w:ascii="Times New Roman" w:eastAsia="Google Sans" w:hAnsi="Times New Roman" w:cs="Times New Roman"/>
          <w:b w:val="0"/>
          <w:bCs w:val="0"/>
        </w:rPr>
      </w:pPr>
      <w:r w:rsidRPr="00E554CE">
        <w:rPr>
          <w:rFonts w:ascii="Times New Roman" w:eastAsia="Google Sans" w:hAnsi="Times New Roman" w:cs="Times New Roman"/>
          <w:b w:val="0"/>
          <w:bCs w:val="0"/>
        </w:rPr>
        <w:t xml:space="preserve">The </w:t>
      </w:r>
      <w:r>
        <w:rPr>
          <w:rFonts w:ascii="Times New Roman" w:eastAsia="Google Sans" w:hAnsi="Times New Roman" w:cs="Times New Roman"/>
          <w:b w:val="0"/>
          <w:bCs w:val="0"/>
        </w:rPr>
        <w:t xml:space="preserve">impact </w:t>
      </w:r>
      <w:r w:rsidRPr="00E554CE">
        <w:rPr>
          <w:rFonts w:ascii="Times New Roman" w:eastAsia="Google Sans" w:hAnsi="Times New Roman" w:cs="Times New Roman"/>
          <w:b w:val="0"/>
          <w:bCs w:val="0"/>
        </w:rPr>
        <w:t>of this study review is that it offers a workable roadmap to close the gap between academic instrumental sensitivity and industrial operational scalability. By codifying the Macro-Micro Divide, this review:</w:t>
      </w:r>
    </w:p>
    <w:p w14:paraId="74810D27" w14:textId="2EBA8721" w:rsidR="00E554CE" w:rsidRPr="00E554CE" w:rsidRDefault="00E554CE" w:rsidP="00E554CE">
      <w:pPr>
        <w:pStyle w:val="Heading4"/>
        <w:numPr>
          <w:ilvl w:val="0"/>
          <w:numId w:val="13"/>
        </w:numPr>
        <w:spacing w:before="240" w:after="240"/>
        <w:jc w:val="both"/>
        <w:rPr>
          <w:rFonts w:ascii="Times New Roman" w:eastAsia="Google Sans" w:hAnsi="Times New Roman" w:cs="Times New Roman"/>
          <w:b w:val="0"/>
          <w:bCs w:val="0"/>
        </w:rPr>
      </w:pPr>
      <w:r w:rsidRPr="00E554CE">
        <w:rPr>
          <w:rFonts w:ascii="Times New Roman" w:eastAsia="Google Sans" w:hAnsi="Times New Roman" w:cs="Times New Roman"/>
          <w:b w:val="0"/>
          <w:bCs w:val="0"/>
        </w:rPr>
        <w:t>Identifies Vulnerabilities: It reveals the particular “blind spots” in the global supply chain that are being leveraged by nefarious actors in the “Three Lethal Cs” crisis.</w:t>
      </w:r>
    </w:p>
    <w:p w14:paraId="15E27B0B" w14:textId="30B3B971" w:rsidR="00E554CE" w:rsidRPr="00E554CE" w:rsidRDefault="00E554CE" w:rsidP="00E554CE">
      <w:pPr>
        <w:pStyle w:val="Heading4"/>
        <w:numPr>
          <w:ilvl w:val="0"/>
          <w:numId w:val="13"/>
        </w:numPr>
        <w:spacing w:before="240" w:after="240"/>
        <w:jc w:val="both"/>
        <w:rPr>
          <w:rFonts w:ascii="Times New Roman" w:eastAsia="Google Sans" w:hAnsi="Times New Roman" w:cs="Times New Roman"/>
          <w:b w:val="0"/>
          <w:bCs w:val="0"/>
        </w:rPr>
      </w:pPr>
      <w:r w:rsidRPr="00E554CE">
        <w:rPr>
          <w:rFonts w:ascii="Times New Roman" w:eastAsia="Google Sans" w:hAnsi="Times New Roman" w:cs="Times New Roman"/>
          <w:b w:val="0"/>
          <w:bCs w:val="0"/>
        </w:rPr>
        <w:t xml:space="preserve">Advocates for Process Analytical Technology (PAT) Integration: It argues for a shift from “offline” testing to real-time Process Analytical Technology (PAT), which is imperative for the high-speed </w:t>
      </w:r>
      <w:r w:rsidRPr="00E554CE">
        <w:rPr>
          <w:rFonts w:ascii="Times New Roman" w:eastAsia="Google Sans" w:hAnsi="Times New Roman" w:cs="Times New Roman"/>
          <w:b w:val="0"/>
          <w:bCs w:val="0"/>
        </w:rPr>
        <w:lastRenderedPageBreak/>
        <w:t>production process.</w:t>
      </w:r>
    </w:p>
    <w:p w14:paraId="28F34A27" w14:textId="7430396D" w:rsidR="00E554CE" w:rsidRDefault="00E554CE" w:rsidP="00E554CE">
      <w:pPr>
        <w:pStyle w:val="Heading4"/>
        <w:numPr>
          <w:ilvl w:val="0"/>
          <w:numId w:val="13"/>
        </w:numPr>
        <w:spacing w:before="240" w:after="240"/>
        <w:jc w:val="both"/>
        <w:rPr>
          <w:rFonts w:ascii="Times New Roman" w:eastAsia="Google Sans" w:hAnsi="Times New Roman" w:cs="Times New Roman"/>
          <w:b w:val="0"/>
          <w:bCs w:val="0"/>
        </w:rPr>
      </w:pPr>
      <w:r w:rsidRPr="00E554CE">
        <w:rPr>
          <w:rFonts w:ascii="Times New Roman" w:eastAsia="Google Sans" w:hAnsi="Times New Roman" w:cs="Times New Roman"/>
          <w:b w:val="0"/>
          <w:bCs w:val="0"/>
        </w:rPr>
        <w:t>Promotes Scientific Literacy in Fraud Prevention: It breaks down complex chemometric and isotopic principles (such as C3/C4 patterns in honey) into industrial processes.</w:t>
      </w:r>
    </w:p>
    <w:p w14:paraId="00000043" w14:textId="5922D932" w:rsidR="00254F87" w:rsidRPr="001735DD" w:rsidRDefault="00000000" w:rsidP="00E554CE">
      <w:pPr>
        <w:pStyle w:val="Heading4"/>
        <w:spacing w:before="240" w:after="240"/>
        <w:jc w:val="both"/>
        <w:rPr>
          <w:rFonts w:ascii="Times New Roman" w:eastAsia="Google Sans" w:hAnsi="Times New Roman" w:cs="Times New Roman"/>
        </w:rPr>
      </w:pPr>
      <w:r w:rsidRPr="001735DD">
        <w:rPr>
          <w:rFonts w:ascii="Times New Roman" w:eastAsia="Google Sans" w:hAnsi="Times New Roman" w:cs="Times New Roman"/>
        </w:rPr>
        <w:t>Global Contributions</w:t>
      </w:r>
    </w:p>
    <w:p w14:paraId="523AAC22" w14:textId="77777777" w:rsidR="00553250" w:rsidRPr="00553250" w:rsidRDefault="00553250" w:rsidP="00553250">
      <w:pPr>
        <w:pStyle w:val="Heading3"/>
        <w:jc w:val="both"/>
        <w:rPr>
          <w:rFonts w:ascii="Times New Roman" w:eastAsia="Google Sans" w:hAnsi="Times New Roman" w:cs="Times New Roman"/>
          <w:b w:val="0"/>
          <w:bCs w:val="0"/>
          <w:sz w:val="24"/>
          <w:szCs w:val="24"/>
        </w:rPr>
      </w:pPr>
      <w:r w:rsidRPr="00553250">
        <w:rPr>
          <w:rFonts w:ascii="Times New Roman" w:eastAsia="Google Sans" w:hAnsi="Times New Roman" w:cs="Times New Roman"/>
          <w:b w:val="0"/>
          <w:bCs w:val="0"/>
          <w:sz w:val="24"/>
          <w:szCs w:val="24"/>
        </w:rPr>
        <w:t>This review makes the following transformative contributions to the world:</w:t>
      </w:r>
    </w:p>
    <w:p w14:paraId="2FEA8831" w14:textId="73D5279E" w:rsidR="00553250" w:rsidRPr="00553250" w:rsidRDefault="00553250" w:rsidP="00553250">
      <w:pPr>
        <w:pStyle w:val="Heading3"/>
        <w:numPr>
          <w:ilvl w:val="0"/>
          <w:numId w:val="14"/>
        </w:numPr>
        <w:jc w:val="both"/>
        <w:rPr>
          <w:rFonts w:ascii="Times New Roman" w:eastAsia="Google Sans" w:hAnsi="Times New Roman" w:cs="Times New Roman"/>
          <w:b w:val="0"/>
          <w:bCs w:val="0"/>
          <w:sz w:val="24"/>
          <w:szCs w:val="24"/>
        </w:rPr>
      </w:pPr>
      <w:r w:rsidRPr="00553250">
        <w:rPr>
          <w:rFonts w:ascii="Times New Roman" w:eastAsia="Google Sans" w:hAnsi="Times New Roman" w:cs="Times New Roman"/>
          <w:b w:val="0"/>
          <w:bCs w:val="0"/>
          <w:sz w:val="24"/>
          <w:szCs w:val="24"/>
        </w:rPr>
        <w:t>Socio-Economic Protection: By providing frameworks to combat Economically Motivated Adulteration (EMA), it safeguards consumer confidence and prevents multi-billion-dollar financial losses in markets worldwide.</w:t>
      </w:r>
    </w:p>
    <w:p w14:paraId="53779298" w14:textId="520F007B" w:rsidR="00553250" w:rsidRPr="00553250" w:rsidRDefault="00553250" w:rsidP="00553250">
      <w:pPr>
        <w:pStyle w:val="Heading3"/>
        <w:numPr>
          <w:ilvl w:val="0"/>
          <w:numId w:val="14"/>
        </w:numPr>
        <w:jc w:val="both"/>
        <w:rPr>
          <w:rFonts w:ascii="Times New Roman" w:eastAsia="Google Sans" w:hAnsi="Times New Roman" w:cs="Times New Roman"/>
          <w:b w:val="0"/>
          <w:bCs w:val="0"/>
          <w:sz w:val="24"/>
          <w:szCs w:val="24"/>
        </w:rPr>
      </w:pPr>
      <w:r w:rsidRPr="00553250">
        <w:rPr>
          <w:rFonts w:ascii="Times New Roman" w:eastAsia="Google Sans" w:hAnsi="Times New Roman" w:cs="Times New Roman"/>
          <w:b w:val="0"/>
          <w:bCs w:val="0"/>
          <w:sz w:val="24"/>
          <w:szCs w:val="24"/>
        </w:rPr>
        <w:t>Public Health and Safety: By emphasizing molecular specificity, it directly prevents toxic contamination events, such as the powdered milk crisis, to ensure that “security” necessarily means “safety.”</w:t>
      </w:r>
    </w:p>
    <w:p w14:paraId="2D3FC668" w14:textId="33A88B03" w:rsidR="00553250" w:rsidRPr="00553250" w:rsidRDefault="00553250" w:rsidP="00553250">
      <w:pPr>
        <w:pStyle w:val="Heading3"/>
        <w:numPr>
          <w:ilvl w:val="0"/>
          <w:numId w:val="14"/>
        </w:numPr>
        <w:jc w:val="both"/>
        <w:rPr>
          <w:rFonts w:ascii="Times New Roman" w:eastAsia="Google Sans" w:hAnsi="Times New Roman" w:cs="Times New Roman"/>
          <w:b w:val="0"/>
          <w:bCs w:val="0"/>
          <w:sz w:val="24"/>
          <w:szCs w:val="24"/>
        </w:rPr>
      </w:pPr>
      <w:r w:rsidRPr="00553250">
        <w:rPr>
          <w:rFonts w:ascii="Times New Roman" w:eastAsia="Google Sans" w:hAnsi="Times New Roman" w:cs="Times New Roman"/>
          <w:b w:val="0"/>
          <w:bCs w:val="0"/>
          <w:sz w:val="24"/>
          <w:szCs w:val="24"/>
        </w:rPr>
        <w:t xml:space="preserve">Environmental Sustainability: By promoting Green Chemistry and </w:t>
      </w:r>
      <w:r w:rsidR="00957573" w:rsidRPr="00A02C1F">
        <w:rPr>
          <w:rFonts w:ascii="Times New Roman" w:eastAsia="Google Sans" w:hAnsi="Times New Roman" w:cs="Times New Roman"/>
          <w:b w:val="0"/>
          <w:bCs w:val="0"/>
          <w:sz w:val="24"/>
          <w:szCs w:val="24"/>
        </w:rPr>
        <w:t>Natural Deep Eutectic Solvents (NADES)</w:t>
      </w:r>
      <w:r w:rsidRPr="00553250">
        <w:rPr>
          <w:rFonts w:ascii="Times New Roman" w:eastAsia="Google Sans" w:hAnsi="Times New Roman" w:cs="Times New Roman"/>
          <w:b w:val="0"/>
          <w:bCs w:val="0"/>
          <w:sz w:val="24"/>
          <w:szCs w:val="24"/>
        </w:rPr>
        <w:t xml:space="preserve"> extraction, it helps to decrease the use of harmful petroleum-based solvents and energy consumption in laboratories worldwide.</w:t>
      </w:r>
    </w:p>
    <w:p w14:paraId="02AB60EC" w14:textId="65D8C547" w:rsidR="00553250" w:rsidRPr="00553250" w:rsidRDefault="00553250" w:rsidP="00553250">
      <w:pPr>
        <w:pStyle w:val="Heading3"/>
        <w:numPr>
          <w:ilvl w:val="0"/>
          <w:numId w:val="14"/>
        </w:numPr>
        <w:jc w:val="both"/>
        <w:rPr>
          <w:rFonts w:ascii="Times New Roman" w:eastAsia="Google Sans" w:hAnsi="Times New Roman" w:cs="Times New Roman"/>
          <w:b w:val="0"/>
          <w:bCs w:val="0"/>
          <w:sz w:val="24"/>
          <w:szCs w:val="24"/>
        </w:rPr>
      </w:pPr>
      <w:r w:rsidRPr="00553250">
        <w:rPr>
          <w:rFonts w:ascii="Times New Roman" w:eastAsia="Google Sans" w:hAnsi="Times New Roman" w:cs="Times New Roman"/>
          <w:b w:val="0"/>
          <w:bCs w:val="0"/>
          <w:sz w:val="24"/>
          <w:szCs w:val="24"/>
        </w:rPr>
        <w:t>Regulatory and Legal Standards: This research helps to provide a “legally defensible” standard of integrity to ensure that regulatory agencies have the scientific basis to require holistic, multi-level testing protocols.</w:t>
      </w:r>
    </w:p>
    <w:p w14:paraId="6B5AC8F6" w14:textId="61E89765" w:rsidR="00553250" w:rsidRDefault="00553250" w:rsidP="00553250">
      <w:pPr>
        <w:pStyle w:val="Heading3"/>
        <w:jc w:val="both"/>
        <w:rPr>
          <w:rFonts w:ascii="Times New Roman" w:eastAsia="Google Sans" w:hAnsi="Times New Roman" w:cs="Times New Roman"/>
          <w:b w:val="0"/>
          <w:bCs w:val="0"/>
          <w:sz w:val="24"/>
          <w:szCs w:val="24"/>
        </w:rPr>
      </w:pPr>
      <w:r w:rsidRPr="00553250">
        <w:rPr>
          <w:rFonts w:ascii="Times New Roman" w:eastAsia="Google Sans" w:hAnsi="Times New Roman" w:cs="Times New Roman"/>
          <w:b w:val="0"/>
          <w:bCs w:val="0"/>
          <w:sz w:val="24"/>
          <w:szCs w:val="24"/>
        </w:rPr>
        <w:t>In the end, the future of food security is contingent upon this integration of intelligence to bridge the gap between “</w:t>
      </w:r>
      <w:r w:rsidR="00104BA2">
        <w:rPr>
          <w:rFonts w:ascii="Times New Roman" w:eastAsia="Google Sans" w:hAnsi="Times New Roman" w:cs="Times New Roman"/>
          <w:b w:val="0"/>
          <w:bCs w:val="0"/>
          <w:sz w:val="24"/>
          <w:szCs w:val="24"/>
        </w:rPr>
        <w:t>Bulk</w:t>
      </w:r>
      <w:r w:rsidRPr="00553250">
        <w:rPr>
          <w:rFonts w:ascii="Times New Roman" w:eastAsia="Google Sans" w:hAnsi="Times New Roman" w:cs="Times New Roman"/>
          <w:b w:val="0"/>
          <w:bCs w:val="0"/>
          <w:sz w:val="24"/>
          <w:szCs w:val="24"/>
        </w:rPr>
        <w:t xml:space="preserve"> Composition” for economic success and “Trace Composition” for health and safety.</w:t>
      </w:r>
    </w:p>
    <w:p w14:paraId="0000004A" w14:textId="481511DB" w:rsidR="00254F87" w:rsidRPr="0039339D" w:rsidRDefault="00000000" w:rsidP="00553250">
      <w:pPr>
        <w:pStyle w:val="Heading3"/>
        <w:jc w:val="both"/>
        <w:rPr>
          <w:rFonts w:ascii="Times New Roman" w:eastAsia="Google Sans" w:hAnsi="Times New Roman" w:cs="Times New Roman"/>
        </w:rPr>
      </w:pPr>
      <w:r w:rsidRPr="0039339D">
        <w:rPr>
          <w:rFonts w:ascii="Times New Roman" w:eastAsia="Google Sans" w:hAnsi="Times New Roman" w:cs="Times New Roman"/>
        </w:rPr>
        <w:t>ACKNOWLEDGMENT</w:t>
      </w:r>
    </w:p>
    <w:p w14:paraId="6D63E86E" w14:textId="01DD1FD9" w:rsidR="0039339D" w:rsidRPr="001735DD" w:rsidRDefault="00000000" w:rsidP="005C5254">
      <w:pPr>
        <w:pBdr>
          <w:top w:val="nil"/>
          <w:left w:val="nil"/>
          <w:bottom w:val="nil"/>
          <w:right w:val="nil"/>
          <w:between w:val="nil"/>
        </w:pBdr>
        <w:spacing w:before="240" w:after="240"/>
        <w:jc w:val="both"/>
        <w:rPr>
          <w:rFonts w:ascii="Times New Roman" w:eastAsia="Google Sans" w:hAnsi="Times New Roman" w:cs="Times New Roman"/>
          <w:sz w:val="24"/>
          <w:szCs w:val="24"/>
        </w:rPr>
      </w:pPr>
      <w:r w:rsidRPr="001735DD">
        <w:rPr>
          <w:rFonts w:ascii="Times New Roman" w:eastAsia="Google Sans" w:hAnsi="Times New Roman" w:cs="Times New Roman"/>
          <w:sz w:val="24"/>
          <w:szCs w:val="24"/>
        </w:rPr>
        <w:t>The authors express gratitude to the Department of Bioprocess, Faculty of Chemical &amp; Energy Engineering at Universiti Teknologi Malaysia (UTM) for facilities and technical support. We also acknowledge the university library for database access (Scopus and Web of Science).</w:t>
      </w:r>
    </w:p>
    <w:p w14:paraId="0000004C" w14:textId="33398D6D" w:rsidR="00254F87" w:rsidRDefault="00000000" w:rsidP="005C5254">
      <w:pPr>
        <w:pStyle w:val="Heading3"/>
        <w:jc w:val="both"/>
        <w:rPr>
          <w:rFonts w:ascii="Times New Roman" w:eastAsia="Google Sans" w:hAnsi="Times New Roman" w:cs="Times New Roman"/>
        </w:rPr>
      </w:pPr>
      <w:r w:rsidRPr="0039339D">
        <w:rPr>
          <w:rFonts w:ascii="Times New Roman" w:eastAsia="Google Sans" w:hAnsi="Times New Roman" w:cs="Times New Roman"/>
        </w:rPr>
        <w:t>REFERENCES</w:t>
      </w:r>
    </w:p>
    <w:p w14:paraId="6365D00C" w14:textId="77777777" w:rsidR="0039339D" w:rsidRPr="00362F15" w:rsidRDefault="0039339D" w:rsidP="005C5254">
      <w:pPr>
        <w:pStyle w:val="a"/>
        <w:numPr>
          <w:ilvl w:val="0"/>
          <w:numId w:val="9"/>
        </w:numPr>
        <w:spacing w:before="240" w:after="240" w:afterAutospacing="0" w:line="240" w:lineRule="auto"/>
      </w:pPr>
      <w:r w:rsidRPr="00362F15">
        <w:t xml:space="preserve">Abedini, R., Jahed </w:t>
      </w:r>
      <w:proofErr w:type="spellStart"/>
      <w:r w:rsidRPr="00362F15">
        <w:t>Khaniki</w:t>
      </w:r>
      <w:proofErr w:type="spellEnd"/>
      <w:r w:rsidRPr="00362F15">
        <w:t xml:space="preserve">, G., </w:t>
      </w:r>
      <w:proofErr w:type="spellStart"/>
      <w:r w:rsidRPr="00362F15">
        <w:t>Molaee</w:t>
      </w:r>
      <w:proofErr w:type="spellEnd"/>
      <w:r w:rsidRPr="00362F15">
        <w:t xml:space="preserve"> Aghaee, E., </w:t>
      </w:r>
      <w:proofErr w:type="spellStart"/>
      <w:r w:rsidRPr="00362F15">
        <w:t>Sadighara</w:t>
      </w:r>
      <w:proofErr w:type="spellEnd"/>
      <w:r w:rsidRPr="00362F15">
        <w:t xml:space="preserve">, P., </w:t>
      </w:r>
      <w:proofErr w:type="spellStart"/>
      <w:r w:rsidRPr="00362F15">
        <w:t>Nazmara</w:t>
      </w:r>
      <w:proofErr w:type="spellEnd"/>
      <w:r w:rsidRPr="00362F15">
        <w:t>, S., Akbari-</w:t>
      </w:r>
      <w:proofErr w:type="spellStart"/>
      <w:r w:rsidRPr="00362F15">
        <w:t>Adergani</w:t>
      </w:r>
      <w:proofErr w:type="spellEnd"/>
      <w:r w:rsidRPr="00362F15">
        <w:t xml:space="preserve">, B., &amp; Naderi, M. (2021). Determination of melamine contamination in chocolates containing powdered milk by high-performance liquid chromatography (HPLC). </w:t>
      </w:r>
      <w:r w:rsidRPr="00362F15">
        <w:rPr>
          <w:i/>
          <w:iCs/>
        </w:rPr>
        <w:t>Journal of Environmental Health Science and Engineering</w:t>
      </w:r>
      <w:r w:rsidRPr="00362F15">
        <w:t xml:space="preserve">, </w:t>
      </w:r>
      <w:r w:rsidRPr="00362F15">
        <w:rPr>
          <w:i/>
          <w:iCs/>
        </w:rPr>
        <w:t>19</w:t>
      </w:r>
      <w:r w:rsidRPr="00362F15">
        <w:t xml:space="preserve">(1), 165-171. </w:t>
      </w:r>
      <w:hyperlink r:id="rId16" w:history="1">
        <w:r w:rsidRPr="00362F15">
          <w:rPr>
            <w:rStyle w:val="Hyperlink"/>
          </w:rPr>
          <w:t>https://doi.org/10.1007/s40201-020-00590-w</w:t>
        </w:r>
      </w:hyperlink>
    </w:p>
    <w:p w14:paraId="53EB3F0A" w14:textId="77777777" w:rsidR="0039339D" w:rsidRPr="00AF34A3" w:rsidRDefault="0039339D" w:rsidP="005C5254">
      <w:pPr>
        <w:pStyle w:val="ListParagraph"/>
        <w:numPr>
          <w:ilvl w:val="0"/>
          <w:numId w:val="9"/>
        </w:numPr>
        <w:spacing w:before="240" w:after="240" w:line="240" w:lineRule="auto"/>
        <w:jc w:val="both"/>
        <w:rPr>
          <w:rFonts w:ascii="Times New Roman" w:eastAsia="Times New Roman" w:hAnsi="Times New Roman" w:cs="Times New Roman"/>
          <w:kern w:val="0"/>
          <w:sz w:val="24"/>
          <w:szCs w:val="24"/>
          <w:lang w:eastAsia="en-MY" w:bidi="ar-SA"/>
          <w14:ligatures w14:val="none"/>
        </w:rPr>
      </w:pPr>
      <w:r w:rsidRPr="00362F15">
        <w:rPr>
          <w:rFonts w:ascii="Times New Roman" w:eastAsia="Times New Roman" w:hAnsi="Times New Roman" w:cs="Times New Roman"/>
          <w:kern w:val="0"/>
          <w:sz w:val="24"/>
          <w:szCs w:val="24"/>
          <w:lang w:eastAsia="en-MY" w:bidi="ar-SA"/>
          <w14:ligatures w14:val="none"/>
        </w:rPr>
        <w:t xml:space="preserve">Ali, D. H. A. (2024). Food Security in Malaysia: An Empirical Analysis of Macroeconomic Determinants. </w:t>
      </w:r>
      <w:r w:rsidRPr="00362F15">
        <w:rPr>
          <w:rFonts w:ascii="Times New Roman" w:eastAsia="Times New Roman" w:hAnsi="Times New Roman" w:cs="Times New Roman"/>
          <w:i/>
          <w:iCs/>
          <w:kern w:val="0"/>
          <w:sz w:val="24"/>
          <w:szCs w:val="24"/>
          <w:lang w:eastAsia="en-MY" w:bidi="ar-SA"/>
          <w14:ligatures w14:val="none"/>
        </w:rPr>
        <w:t xml:space="preserve">International Journal of Academic </w:t>
      </w:r>
      <w:proofErr w:type="spellStart"/>
      <w:r w:rsidRPr="00362F15">
        <w:rPr>
          <w:rFonts w:ascii="Times New Roman" w:eastAsia="Times New Roman" w:hAnsi="Times New Roman" w:cs="Times New Roman"/>
          <w:i/>
          <w:iCs/>
          <w:kern w:val="0"/>
          <w:sz w:val="24"/>
          <w:szCs w:val="24"/>
          <w:lang w:eastAsia="en-MY" w:bidi="ar-SA"/>
          <w14:ligatures w14:val="none"/>
        </w:rPr>
        <w:t>Reserach</w:t>
      </w:r>
      <w:proofErr w:type="spellEnd"/>
      <w:r w:rsidRPr="00362F15">
        <w:rPr>
          <w:rFonts w:ascii="Times New Roman" w:eastAsia="Times New Roman" w:hAnsi="Times New Roman" w:cs="Times New Roman"/>
          <w:i/>
          <w:iCs/>
          <w:kern w:val="0"/>
          <w:sz w:val="24"/>
          <w:szCs w:val="24"/>
          <w:lang w:eastAsia="en-MY" w:bidi="ar-SA"/>
          <w14:ligatures w14:val="none"/>
        </w:rPr>
        <w:t xml:space="preserve"> in Economics and Management Sciences</w:t>
      </w:r>
      <w:r w:rsidRPr="00362F15">
        <w:rPr>
          <w:rFonts w:ascii="Times New Roman" w:eastAsia="Times New Roman" w:hAnsi="Times New Roman" w:cs="Times New Roman"/>
          <w:kern w:val="0"/>
          <w:sz w:val="24"/>
          <w:szCs w:val="24"/>
          <w:lang w:eastAsia="en-MY" w:bidi="ar-SA"/>
          <w14:ligatures w14:val="none"/>
        </w:rPr>
        <w:t xml:space="preserve">, </w:t>
      </w:r>
      <w:r w:rsidRPr="00362F15">
        <w:rPr>
          <w:rFonts w:ascii="Times New Roman" w:eastAsia="Times New Roman" w:hAnsi="Times New Roman" w:cs="Times New Roman"/>
          <w:i/>
          <w:iCs/>
          <w:kern w:val="0"/>
          <w:sz w:val="24"/>
          <w:szCs w:val="24"/>
          <w:lang w:eastAsia="en-MY" w:bidi="ar-SA"/>
          <w14:ligatures w14:val="none"/>
        </w:rPr>
        <w:t>13</w:t>
      </w:r>
      <w:r w:rsidRPr="00362F15">
        <w:rPr>
          <w:rFonts w:ascii="Times New Roman" w:eastAsia="Times New Roman" w:hAnsi="Times New Roman" w:cs="Times New Roman"/>
          <w:kern w:val="0"/>
          <w:sz w:val="24"/>
          <w:szCs w:val="24"/>
          <w:lang w:eastAsia="en-MY" w:bidi="ar-SA"/>
          <w14:ligatures w14:val="none"/>
        </w:rPr>
        <w:t xml:space="preserve">(3). </w:t>
      </w:r>
      <w:hyperlink r:id="rId17" w:history="1">
        <w:r w:rsidRPr="00362F15">
          <w:rPr>
            <w:rStyle w:val="Hyperlink"/>
            <w:rFonts w:ascii="Times New Roman" w:eastAsia="Times New Roman" w:hAnsi="Times New Roman" w:cs="Times New Roman"/>
            <w:kern w:val="0"/>
            <w:sz w:val="24"/>
            <w:szCs w:val="24"/>
            <w:lang w:eastAsia="en-MY" w:bidi="ar-SA"/>
            <w14:ligatures w14:val="none"/>
          </w:rPr>
          <w:t>https://doi.org/10.6007/IJAREMS/v13-i3/22076</w:t>
        </w:r>
      </w:hyperlink>
    </w:p>
    <w:p w14:paraId="0BD1640B" w14:textId="77777777" w:rsidR="00AF34A3" w:rsidRPr="00362F15" w:rsidRDefault="00AF34A3" w:rsidP="00AF34A3">
      <w:pPr>
        <w:pStyle w:val="ListParagraph"/>
        <w:spacing w:before="240" w:after="240" w:line="240" w:lineRule="auto"/>
        <w:jc w:val="both"/>
        <w:rPr>
          <w:rFonts w:ascii="Times New Roman" w:eastAsia="Times New Roman" w:hAnsi="Times New Roman" w:cs="Times New Roman"/>
          <w:kern w:val="0"/>
          <w:sz w:val="24"/>
          <w:szCs w:val="24"/>
          <w:lang w:eastAsia="en-MY" w:bidi="ar-SA"/>
          <w14:ligatures w14:val="none"/>
        </w:rPr>
      </w:pPr>
    </w:p>
    <w:p w14:paraId="02DE44F1" w14:textId="77777777" w:rsidR="0039339D" w:rsidRPr="00362F15" w:rsidRDefault="0039339D" w:rsidP="005C5254">
      <w:pPr>
        <w:pStyle w:val="ListParagraph"/>
        <w:numPr>
          <w:ilvl w:val="0"/>
          <w:numId w:val="9"/>
        </w:numPr>
        <w:spacing w:before="240" w:after="240" w:line="240" w:lineRule="auto"/>
        <w:jc w:val="both"/>
        <w:rPr>
          <w:rFonts w:ascii="Times New Roman" w:eastAsia="Times New Roman" w:hAnsi="Times New Roman" w:cs="Times New Roman"/>
          <w:kern w:val="0"/>
          <w:sz w:val="24"/>
          <w:szCs w:val="24"/>
          <w:lang w:eastAsia="en-MY" w:bidi="ar-SA"/>
          <w14:ligatures w14:val="none"/>
        </w:rPr>
      </w:pPr>
      <w:r w:rsidRPr="00362F15">
        <w:rPr>
          <w:rFonts w:ascii="Times New Roman" w:eastAsia="Times New Roman" w:hAnsi="Times New Roman" w:cs="Times New Roman"/>
          <w:kern w:val="0"/>
          <w:sz w:val="24"/>
          <w:szCs w:val="24"/>
          <w:lang w:val="fi-FI" w:eastAsia="en-MY" w:bidi="ar-SA"/>
          <w14:ligatures w14:val="none"/>
        </w:rPr>
        <w:t xml:space="preserve">Ali, M. H., Iranmanesh, M., Tan, K. H., Zailani, S., &amp; Omar, N. A. (2022). </w:t>
      </w:r>
      <w:r w:rsidRPr="00362F15">
        <w:rPr>
          <w:rFonts w:ascii="Times New Roman" w:eastAsia="Times New Roman" w:hAnsi="Times New Roman" w:cs="Times New Roman"/>
          <w:kern w:val="0"/>
          <w:sz w:val="24"/>
          <w:szCs w:val="24"/>
          <w:lang w:eastAsia="en-MY" w:bidi="ar-SA"/>
          <w14:ligatures w14:val="none"/>
        </w:rPr>
        <w:t xml:space="preserve">Impact of supply chain integration on halal food supply chain integrity and food quality performance. </w:t>
      </w:r>
      <w:r w:rsidRPr="00362F15">
        <w:rPr>
          <w:rFonts w:ascii="Times New Roman" w:eastAsia="Times New Roman" w:hAnsi="Times New Roman" w:cs="Times New Roman"/>
          <w:i/>
          <w:iCs/>
          <w:kern w:val="0"/>
          <w:sz w:val="24"/>
          <w:szCs w:val="24"/>
          <w:lang w:eastAsia="en-MY" w:bidi="ar-SA"/>
          <w14:ligatures w14:val="none"/>
        </w:rPr>
        <w:t>Journal of Islamic Marketing</w:t>
      </w:r>
      <w:r w:rsidRPr="00362F15">
        <w:rPr>
          <w:rFonts w:ascii="Times New Roman" w:eastAsia="Times New Roman" w:hAnsi="Times New Roman" w:cs="Times New Roman"/>
          <w:kern w:val="0"/>
          <w:sz w:val="24"/>
          <w:szCs w:val="24"/>
          <w:lang w:eastAsia="en-MY" w:bidi="ar-SA"/>
          <w14:ligatures w14:val="none"/>
        </w:rPr>
        <w:t xml:space="preserve">, </w:t>
      </w:r>
      <w:r w:rsidRPr="00362F15">
        <w:rPr>
          <w:rFonts w:ascii="Times New Roman" w:eastAsia="Times New Roman" w:hAnsi="Times New Roman" w:cs="Times New Roman"/>
          <w:i/>
          <w:iCs/>
          <w:kern w:val="0"/>
          <w:sz w:val="24"/>
          <w:szCs w:val="24"/>
          <w:lang w:eastAsia="en-MY" w:bidi="ar-SA"/>
          <w14:ligatures w14:val="none"/>
        </w:rPr>
        <w:t>13</w:t>
      </w:r>
      <w:r w:rsidRPr="00362F15">
        <w:rPr>
          <w:rFonts w:ascii="Times New Roman" w:eastAsia="Times New Roman" w:hAnsi="Times New Roman" w:cs="Times New Roman"/>
          <w:kern w:val="0"/>
          <w:sz w:val="24"/>
          <w:szCs w:val="24"/>
          <w:lang w:eastAsia="en-MY" w:bidi="ar-SA"/>
          <w14:ligatures w14:val="none"/>
        </w:rPr>
        <w:t xml:space="preserve">(7), 1515-1534. </w:t>
      </w:r>
      <w:hyperlink r:id="rId18" w:history="1">
        <w:r w:rsidRPr="00362F15">
          <w:rPr>
            <w:rStyle w:val="Hyperlink"/>
            <w:rFonts w:ascii="Times New Roman" w:eastAsia="Times New Roman" w:hAnsi="Times New Roman" w:cs="Times New Roman"/>
            <w:kern w:val="0"/>
            <w:sz w:val="24"/>
            <w:szCs w:val="24"/>
            <w:lang w:eastAsia="en-MY" w:bidi="ar-SA"/>
            <w14:ligatures w14:val="none"/>
          </w:rPr>
          <w:t>https://doi.org/10.1108/JIMA-08-2020-0250</w:t>
        </w:r>
      </w:hyperlink>
    </w:p>
    <w:p w14:paraId="24079104" w14:textId="77777777" w:rsidR="0039339D" w:rsidRPr="00362F15" w:rsidRDefault="0039339D" w:rsidP="005C5254">
      <w:pPr>
        <w:pStyle w:val="a"/>
        <w:numPr>
          <w:ilvl w:val="0"/>
          <w:numId w:val="9"/>
        </w:numPr>
        <w:spacing w:before="240" w:after="240" w:afterAutospacing="0" w:line="240" w:lineRule="auto"/>
      </w:pPr>
      <w:r w:rsidRPr="00362F15">
        <w:rPr>
          <w:lang w:val="fi-FI"/>
        </w:rPr>
        <w:t xml:space="preserve">Al-Omairi, M., Alamir, S. G., Salman, B. I., El Deeb, S., Alrashdi, Y. B. A., Al-Harrasi, A., &amp; Ibrahim, A. E. (2025). </w:t>
      </w:r>
      <w:r w:rsidRPr="00362F15">
        <w:t xml:space="preserve">Investigating Trace and Macro-element Composition of Herbal and Nutraceutical Dietary Supplements Marketed in Oman: Insights into Safety and </w:t>
      </w:r>
      <w:proofErr w:type="spellStart"/>
      <w:r w:rsidRPr="00362F15">
        <w:t>Labeling</w:t>
      </w:r>
      <w:proofErr w:type="spellEnd"/>
      <w:r w:rsidRPr="00362F15">
        <w:t xml:space="preserve">: M. Al-Omairi et al. </w:t>
      </w:r>
      <w:r w:rsidRPr="00362F15">
        <w:rPr>
          <w:i/>
          <w:iCs/>
        </w:rPr>
        <w:t>Biological Trace Element Research</w:t>
      </w:r>
      <w:r w:rsidRPr="00362F15">
        <w:t xml:space="preserve">, </w:t>
      </w:r>
      <w:r w:rsidRPr="00362F15">
        <w:rPr>
          <w:i/>
          <w:iCs/>
        </w:rPr>
        <w:t>203</w:t>
      </w:r>
      <w:r w:rsidRPr="00362F15">
        <w:t xml:space="preserve">(5), 2911-2923. </w:t>
      </w:r>
      <w:hyperlink r:id="rId19" w:history="1">
        <w:r w:rsidRPr="00362F15">
          <w:rPr>
            <w:rStyle w:val="Hyperlink"/>
          </w:rPr>
          <w:t>https://doi.org/10.1007/s12011-024-04343-w</w:t>
        </w:r>
      </w:hyperlink>
    </w:p>
    <w:p w14:paraId="51531A86" w14:textId="77777777" w:rsidR="0039339D" w:rsidRPr="00AF34A3" w:rsidRDefault="0039339D" w:rsidP="005C5254">
      <w:pPr>
        <w:pStyle w:val="ListParagraph"/>
        <w:numPr>
          <w:ilvl w:val="0"/>
          <w:numId w:val="9"/>
        </w:numPr>
        <w:spacing w:before="240" w:after="240" w:line="240" w:lineRule="auto"/>
        <w:jc w:val="both"/>
        <w:rPr>
          <w:rFonts w:ascii="Times New Roman" w:eastAsia="Times New Roman" w:hAnsi="Times New Roman" w:cs="Times New Roman"/>
          <w:kern w:val="0"/>
          <w:sz w:val="24"/>
          <w:szCs w:val="24"/>
          <w:lang w:eastAsia="en-MY" w:bidi="ar-SA"/>
          <w14:ligatures w14:val="none"/>
        </w:rPr>
      </w:pPr>
      <w:r w:rsidRPr="00362F15">
        <w:rPr>
          <w:rFonts w:ascii="Times New Roman" w:hAnsi="Times New Roman" w:cs="Times New Roman"/>
          <w:sz w:val="24"/>
          <w:szCs w:val="24"/>
        </w:rPr>
        <w:t xml:space="preserve">Alrobaish, W. S., </w:t>
      </w:r>
      <w:proofErr w:type="spellStart"/>
      <w:r w:rsidRPr="00362F15">
        <w:rPr>
          <w:rFonts w:ascii="Times New Roman" w:hAnsi="Times New Roman" w:cs="Times New Roman"/>
          <w:sz w:val="24"/>
          <w:szCs w:val="24"/>
        </w:rPr>
        <w:t>Jacxsens</w:t>
      </w:r>
      <w:proofErr w:type="spellEnd"/>
      <w:r w:rsidRPr="00362F15">
        <w:rPr>
          <w:rFonts w:ascii="Times New Roman" w:hAnsi="Times New Roman" w:cs="Times New Roman"/>
          <w:sz w:val="24"/>
          <w:szCs w:val="24"/>
        </w:rPr>
        <w:t xml:space="preserve">, L., Luning, P. A., &amp; </w:t>
      </w:r>
      <w:proofErr w:type="spellStart"/>
      <w:r w:rsidRPr="00362F15">
        <w:rPr>
          <w:rFonts w:ascii="Times New Roman" w:hAnsi="Times New Roman" w:cs="Times New Roman"/>
          <w:sz w:val="24"/>
          <w:szCs w:val="24"/>
        </w:rPr>
        <w:t>Vlerick</w:t>
      </w:r>
      <w:proofErr w:type="spellEnd"/>
      <w:r w:rsidRPr="00362F15">
        <w:rPr>
          <w:rFonts w:ascii="Times New Roman" w:hAnsi="Times New Roman" w:cs="Times New Roman"/>
          <w:sz w:val="24"/>
          <w:szCs w:val="24"/>
        </w:rPr>
        <w:t xml:space="preserve">, P. (2021). Food integrity climate in food businesses: Conceptualization, development, and validation of a self-assessment tool. </w:t>
      </w:r>
      <w:r w:rsidRPr="00362F15">
        <w:rPr>
          <w:rFonts w:ascii="Times New Roman" w:hAnsi="Times New Roman" w:cs="Times New Roman"/>
          <w:i/>
          <w:iCs/>
          <w:sz w:val="24"/>
          <w:szCs w:val="24"/>
        </w:rPr>
        <w:t>Foods</w:t>
      </w:r>
      <w:r w:rsidRPr="00362F15">
        <w:rPr>
          <w:rFonts w:ascii="Times New Roman" w:hAnsi="Times New Roman" w:cs="Times New Roman"/>
          <w:sz w:val="24"/>
          <w:szCs w:val="24"/>
        </w:rPr>
        <w:t xml:space="preserve">, </w:t>
      </w:r>
      <w:r w:rsidRPr="00362F15">
        <w:rPr>
          <w:rFonts w:ascii="Times New Roman" w:hAnsi="Times New Roman" w:cs="Times New Roman"/>
          <w:i/>
          <w:iCs/>
          <w:sz w:val="24"/>
          <w:szCs w:val="24"/>
        </w:rPr>
        <w:t>10</w:t>
      </w:r>
      <w:r w:rsidRPr="00362F15">
        <w:rPr>
          <w:rFonts w:ascii="Times New Roman" w:hAnsi="Times New Roman" w:cs="Times New Roman"/>
          <w:sz w:val="24"/>
          <w:szCs w:val="24"/>
        </w:rPr>
        <w:t xml:space="preserve">(6), 1302. </w:t>
      </w:r>
      <w:hyperlink r:id="rId20" w:history="1">
        <w:r w:rsidRPr="00362F15">
          <w:rPr>
            <w:rStyle w:val="Hyperlink"/>
            <w:rFonts w:ascii="Times New Roman" w:hAnsi="Times New Roman" w:cs="Times New Roman"/>
            <w:sz w:val="24"/>
            <w:szCs w:val="24"/>
          </w:rPr>
          <w:t>https://doi.org/10.3390/foods10061302</w:t>
        </w:r>
      </w:hyperlink>
    </w:p>
    <w:p w14:paraId="0E2DC572" w14:textId="77777777" w:rsidR="00AF34A3" w:rsidRPr="00362F15" w:rsidRDefault="00AF34A3" w:rsidP="00AF34A3">
      <w:pPr>
        <w:pStyle w:val="ListParagraph"/>
        <w:spacing w:before="240" w:after="240" w:line="240" w:lineRule="auto"/>
        <w:jc w:val="both"/>
        <w:rPr>
          <w:rFonts w:ascii="Times New Roman" w:eastAsia="Times New Roman" w:hAnsi="Times New Roman" w:cs="Times New Roman"/>
          <w:kern w:val="0"/>
          <w:sz w:val="24"/>
          <w:szCs w:val="24"/>
          <w:lang w:eastAsia="en-MY" w:bidi="ar-SA"/>
          <w14:ligatures w14:val="none"/>
        </w:rPr>
      </w:pPr>
    </w:p>
    <w:p w14:paraId="7C2D6FE0" w14:textId="77777777" w:rsidR="0039339D" w:rsidRPr="00362F15" w:rsidRDefault="0039339D" w:rsidP="005C5254">
      <w:pPr>
        <w:pStyle w:val="ListParagraph"/>
        <w:numPr>
          <w:ilvl w:val="0"/>
          <w:numId w:val="9"/>
        </w:numPr>
        <w:spacing w:before="240" w:after="240" w:line="240" w:lineRule="auto"/>
        <w:jc w:val="both"/>
        <w:rPr>
          <w:rFonts w:ascii="Times New Roman" w:eastAsia="Times New Roman" w:hAnsi="Times New Roman" w:cs="Times New Roman"/>
          <w:kern w:val="0"/>
          <w:sz w:val="24"/>
          <w:szCs w:val="24"/>
          <w:lang w:eastAsia="en-MY" w:bidi="ar-SA"/>
          <w14:ligatures w14:val="none"/>
        </w:rPr>
      </w:pPr>
      <w:r w:rsidRPr="00362F15">
        <w:rPr>
          <w:rFonts w:ascii="Times New Roman" w:eastAsia="Times New Roman" w:hAnsi="Times New Roman" w:cs="Times New Roman"/>
          <w:kern w:val="0"/>
          <w:sz w:val="24"/>
          <w:szCs w:val="24"/>
          <w:lang w:eastAsia="en-MY" w:bidi="ar-SA"/>
          <w14:ligatures w14:val="none"/>
        </w:rPr>
        <w:t>Ascencio-López, W. J., Zayas-Pérez, M. T., Munguía-Pérez, R., Nevárez-</w:t>
      </w:r>
      <w:proofErr w:type="spellStart"/>
      <w:r w:rsidRPr="00362F15">
        <w:rPr>
          <w:rFonts w:ascii="Times New Roman" w:eastAsia="Times New Roman" w:hAnsi="Times New Roman" w:cs="Times New Roman"/>
          <w:kern w:val="0"/>
          <w:sz w:val="24"/>
          <w:szCs w:val="24"/>
          <w:lang w:eastAsia="en-MY" w:bidi="ar-SA"/>
          <w14:ligatures w14:val="none"/>
        </w:rPr>
        <w:t>Moorillón</w:t>
      </w:r>
      <w:proofErr w:type="spellEnd"/>
      <w:r w:rsidRPr="00362F15">
        <w:rPr>
          <w:rFonts w:ascii="Times New Roman" w:eastAsia="Times New Roman" w:hAnsi="Times New Roman" w:cs="Times New Roman"/>
          <w:kern w:val="0"/>
          <w:sz w:val="24"/>
          <w:szCs w:val="24"/>
          <w:lang w:eastAsia="en-MY" w:bidi="ar-SA"/>
          <w14:ligatures w14:val="none"/>
        </w:rPr>
        <w:t xml:space="preserve">, G. V., Huerta-Lara, M., Avelino-Flores, M. D. C. G., ... &amp; Avila-Sosa, R. (2025). Food Security in a College Community: Assessing Availability, Access, and Consumption Patterns in a Mexican Context. </w:t>
      </w:r>
      <w:r w:rsidRPr="00362F15">
        <w:rPr>
          <w:rFonts w:ascii="Times New Roman" w:eastAsia="Times New Roman" w:hAnsi="Times New Roman" w:cs="Times New Roman"/>
          <w:i/>
          <w:iCs/>
          <w:kern w:val="0"/>
          <w:sz w:val="24"/>
          <w:szCs w:val="24"/>
          <w:lang w:eastAsia="en-MY" w:bidi="ar-SA"/>
          <w14:ligatures w14:val="none"/>
        </w:rPr>
        <w:t>International Journal of Environmental Research and Public Health</w:t>
      </w:r>
      <w:r w:rsidRPr="00362F15">
        <w:rPr>
          <w:rFonts w:ascii="Times New Roman" w:eastAsia="Times New Roman" w:hAnsi="Times New Roman" w:cs="Times New Roman"/>
          <w:kern w:val="0"/>
          <w:sz w:val="24"/>
          <w:szCs w:val="24"/>
          <w:lang w:eastAsia="en-MY" w:bidi="ar-SA"/>
          <w14:ligatures w14:val="none"/>
        </w:rPr>
        <w:t xml:space="preserve">, </w:t>
      </w:r>
      <w:r w:rsidRPr="00362F15">
        <w:rPr>
          <w:rFonts w:ascii="Times New Roman" w:eastAsia="Times New Roman" w:hAnsi="Times New Roman" w:cs="Times New Roman"/>
          <w:i/>
          <w:iCs/>
          <w:kern w:val="0"/>
          <w:sz w:val="24"/>
          <w:szCs w:val="24"/>
          <w:lang w:eastAsia="en-MY" w:bidi="ar-SA"/>
          <w14:ligatures w14:val="none"/>
        </w:rPr>
        <w:t>22</w:t>
      </w:r>
      <w:r w:rsidRPr="00362F15">
        <w:rPr>
          <w:rFonts w:ascii="Times New Roman" w:eastAsia="Times New Roman" w:hAnsi="Times New Roman" w:cs="Times New Roman"/>
          <w:kern w:val="0"/>
          <w:sz w:val="24"/>
          <w:szCs w:val="24"/>
          <w:lang w:eastAsia="en-MY" w:bidi="ar-SA"/>
          <w14:ligatures w14:val="none"/>
        </w:rPr>
        <w:t xml:space="preserve">(9), 1314. </w:t>
      </w:r>
      <w:hyperlink r:id="rId21" w:history="1">
        <w:r w:rsidRPr="00362F15">
          <w:rPr>
            <w:rStyle w:val="Hyperlink"/>
            <w:rFonts w:ascii="Times New Roman" w:eastAsia="Times New Roman" w:hAnsi="Times New Roman" w:cs="Times New Roman"/>
            <w:kern w:val="0"/>
            <w:sz w:val="24"/>
            <w:szCs w:val="24"/>
            <w:lang w:eastAsia="en-MY" w:bidi="ar-SA"/>
            <w14:ligatures w14:val="none"/>
          </w:rPr>
          <w:t>https://doi.org/10.3390/ijerph22091314</w:t>
        </w:r>
      </w:hyperlink>
    </w:p>
    <w:p w14:paraId="7629E579" w14:textId="77777777" w:rsidR="0039339D" w:rsidRPr="00362F15" w:rsidRDefault="0039339D" w:rsidP="005C5254">
      <w:pPr>
        <w:pStyle w:val="a"/>
        <w:numPr>
          <w:ilvl w:val="0"/>
          <w:numId w:val="9"/>
        </w:numPr>
        <w:spacing w:before="240" w:after="240" w:afterAutospacing="0" w:line="240" w:lineRule="auto"/>
      </w:pPr>
      <w:r w:rsidRPr="00362F15">
        <w:t xml:space="preserve">Basri, K. N. (2025). Integration of spectroscopy and chemometric analysis for food authentication: A review. </w:t>
      </w:r>
      <w:proofErr w:type="spellStart"/>
      <w:r w:rsidRPr="00362F15">
        <w:rPr>
          <w:i/>
          <w:iCs/>
        </w:rPr>
        <w:t>Halalsphere</w:t>
      </w:r>
      <w:proofErr w:type="spellEnd"/>
      <w:r w:rsidRPr="00362F15">
        <w:t xml:space="preserve">, </w:t>
      </w:r>
      <w:r w:rsidRPr="00362F15">
        <w:rPr>
          <w:i/>
          <w:iCs/>
        </w:rPr>
        <w:t>5</w:t>
      </w:r>
      <w:r w:rsidRPr="00362F15">
        <w:t xml:space="preserve">(2), 69-79. </w:t>
      </w:r>
      <w:hyperlink r:id="rId22" w:history="1">
        <w:r w:rsidRPr="00362F15">
          <w:rPr>
            <w:rStyle w:val="Hyperlink"/>
          </w:rPr>
          <w:t>https://doi.org/10.31436/hs.v5i2.127</w:t>
        </w:r>
      </w:hyperlink>
    </w:p>
    <w:p w14:paraId="405551F6" w14:textId="77777777" w:rsidR="0039339D" w:rsidRPr="00362F15" w:rsidRDefault="0039339D" w:rsidP="005C5254">
      <w:pPr>
        <w:pStyle w:val="a"/>
        <w:numPr>
          <w:ilvl w:val="0"/>
          <w:numId w:val="9"/>
        </w:numPr>
        <w:spacing w:before="240" w:after="240" w:afterAutospacing="0" w:line="240" w:lineRule="auto"/>
      </w:pPr>
      <w:r w:rsidRPr="00362F15">
        <w:t xml:space="preserve">Bento, J. A. C., Silva, M. A., Rosário Neto, A., Souza Neto, M. A. D., Narciso, M. G., </w:t>
      </w:r>
      <w:proofErr w:type="spellStart"/>
      <w:r w:rsidRPr="00362F15">
        <w:t>Colombari</w:t>
      </w:r>
      <w:proofErr w:type="spellEnd"/>
      <w:r w:rsidRPr="00362F15">
        <w:t xml:space="preserve"> Filho, J. M., &amp; </w:t>
      </w:r>
      <w:proofErr w:type="spellStart"/>
      <w:r w:rsidRPr="00362F15">
        <w:t>Bassinello</w:t>
      </w:r>
      <w:proofErr w:type="spellEnd"/>
      <w:r w:rsidRPr="00362F15">
        <w:t xml:space="preserve">, P. Z. (2024). Integration of physicochemical and instrumental quality data to estimate the texture of polished rice. </w:t>
      </w:r>
      <w:proofErr w:type="spellStart"/>
      <w:r w:rsidRPr="00362F15">
        <w:rPr>
          <w:i/>
          <w:iCs/>
        </w:rPr>
        <w:t>Ciência</w:t>
      </w:r>
      <w:proofErr w:type="spellEnd"/>
      <w:r w:rsidRPr="00362F15">
        <w:rPr>
          <w:i/>
          <w:iCs/>
        </w:rPr>
        <w:t xml:space="preserve"> Rural</w:t>
      </w:r>
      <w:r w:rsidRPr="00362F15">
        <w:t xml:space="preserve">, </w:t>
      </w:r>
      <w:r w:rsidRPr="00362F15">
        <w:rPr>
          <w:i/>
          <w:iCs/>
        </w:rPr>
        <w:t>54</w:t>
      </w:r>
      <w:r w:rsidRPr="00362F15">
        <w:t xml:space="preserve">, e20230327. </w:t>
      </w:r>
      <w:hyperlink r:id="rId23" w:history="1">
        <w:r w:rsidRPr="00362F15">
          <w:rPr>
            <w:rStyle w:val="Hyperlink"/>
          </w:rPr>
          <w:t>https://doi.org/10.1590/0103-8478cr20230327</w:t>
        </w:r>
      </w:hyperlink>
    </w:p>
    <w:p w14:paraId="24361FB6" w14:textId="77777777" w:rsidR="0039339D" w:rsidRPr="00362F15" w:rsidRDefault="0039339D" w:rsidP="005C5254">
      <w:pPr>
        <w:pStyle w:val="a"/>
        <w:numPr>
          <w:ilvl w:val="0"/>
          <w:numId w:val="9"/>
        </w:numPr>
        <w:spacing w:before="240" w:after="240" w:afterAutospacing="0" w:line="240" w:lineRule="auto"/>
      </w:pPr>
      <w:r w:rsidRPr="00362F15">
        <w:t xml:space="preserve">Calloway, E. E., Carpenter, L. R., Gargano, T., Sharp, J. L., &amp; Yaroch, A. L. (2023). New measures to assess the “Other” three pillars of food security–availability, utilization, and stability. </w:t>
      </w:r>
      <w:r w:rsidRPr="00362F15">
        <w:rPr>
          <w:i/>
          <w:iCs/>
        </w:rPr>
        <w:t xml:space="preserve">International Journal of </w:t>
      </w:r>
      <w:proofErr w:type="spellStart"/>
      <w:r w:rsidRPr="00362F15">
        <w:rPr>
          <w:i/>
          <w:iCs/>
        </w:rPr>
        <w:t>Behavioral</w:t>
      </w:r>
      <w:proofErr w:type="spellEnd"/>
      <w:r w:rsidRPr="00362F15">
        <w:rPr>
          <w:i/>
          <w:iCs/>
        </w:rPr>
        <w:t xml:space="preserve"> Nutrition and Physical Activity</w:t>
      </w:r>
      <w:r w:rsidRPr="00362F15">
        <w:t xml:space="preserve">, </w:t>
      </w:r>
      <w:r w:rsidRPr="00362F15">
        <w:rPr>
          <w:i/>
          <w:iCs/>
        </w:rPr>
        <w:t>20</w:t>
      </w:r>
      <w:r w:rsidRPr="00362F15">
        <w:t xml:space="preserve">(1), 51. </w:t>
      </w:r>
      <w:hyperlink r:id="rId24" w:history="1">
        <w:r w:rsidRPr="00362F15">
          <w:rPr>
            <w:rStyle w:val="Hyperlink"/>
          </w:rPr>
          <w:t>https://doi.org/10.1186/s12966-023-01451-z</w:t>
        </w:r>
      </w:hyperlink>
    </w:p>
    <w:p w14:paraId="4B6B5EAF" w14:textId="77777777" w:rsidR="0039339D" w:rsidRPr="00362F15" w:rsidRDefault="0039339D" w:rsidP="005C5254">
      <w:pPr>
        <w:pStyle w:val="ListParagraph"/>
        <w:numPr>
          <w:ilvl w:val="0"/>
          <w:numId w:val="9"/>
        </w:numPr>
        <w:spacing w:before="240" w:after="240" w:line="240" w:lineRule="auto"/>
        <w:jc w:val="both"/>
        <w:rPr>
          <w:rFonts w:ascii="Times New Roman" w:eastAsia="Times New Roman" w:hAnsi="Times New Roman" w:cs="Times New Roman"/>
          <w:kern w:val="0"/>
          <w:sz w:val="24"/>
          <w:szCs w:val="24"/>
          <w:lang w:eastAsia="en-MY" w:bidi="ar-SA"/>
          <w14:ligatures w14:val="none"/>
        </w:rPr>
      </w:pPr>
      <w:r w:rsidRPr="00362F15">
        <w:rPr>
          <w:rFonts w:ascii="Times New Roman" w:eastAsia="Times New Roman" w:hAnsi="Times New Roman" w:cs="Times New Roman"/>
          <w:kern w:val="0"/>
          <w:sz w:val="24"/>
          <w:szCs w:val="24"/>
          <w:lang w:eastAsia="en-MY" w:bidi="ar-SA"/>
          <w14:ligatures w14:val="none"/>
        </w:rPr>
        <w:t xml:space="preserve">Campomanes, F., Marshall, M., &amp; Nelson, A. (2024). A method for estimating physical and economic food access at high spatial resolution. </w:t>
      </w:r>
      <w:r w:rsidRPr="00362F15">
        <w:rPr>
          <w:rFonts w:ascii="Times New Roman" w:eastAsia="Times New Roman" w:hAnsi="Times New Roman" w:cs="Times New Roman"/>
          <w:i/>
          <w:iCs/>
          <w:kern w:val="0"/>
          <w:sz w:val="24"/>
          <w:szCs w:val="24"/>
          <w:lang w:eastAsia="en-MY" w:bidi="ar-SA"/>
          <w14:ligatures w14:val="none"/>
        </w:rPr>
        <w:t>Food Security</w:t>
      </w:r>
      <w:r w:rsidRPr="00362F15">
        <w:rPr>
          <w:rFonts w:ascii="Times New Roman" w:eastAsia="Times New Roman" w:hAnsi="Times New Roman" w:cs="Times New Roman"/>
          <w:kern w:val="0"/>
          <w:sz w:val="24"/>
          <w:szCs w:val="24"/>
          <w:lang w:eastAsia="en-MY" w:bidi="ar-SA"/>
          <w14:ligatures w14:val="none"/>
        </w:rPr>
        <w:t xml:space="preserve">, </w:t>
      </w:r>
      <w:r w:rsidRPr="00362F15">
        <w:rPr>
          <w:rFonts w:ascii="Times New Roman" w:eastAsia="Times New Roman" w:hAnsi="Times New Roman" w:cs="Times New Roman"/>
          <w:i/>
          <w:iCs/>
          <w:kern w:val="0"/>
          <w:sz w:val="24"/>
          <w:szCs w:val="24"/>
          <w:lang w:eastAsia="en-MY" w:bidi="ar-SA"/>
          <w14:ligatures w14:val="none"/>
        </w:rPr>
        <w:t>16</w:t>
      </w:r>
      <w:r w:rsidRPr="00362F15">
        <w:rPr>
          <w:rFonts w:ascii="Times New Roman" w:eastAsia="Times New Roman" w:hAnsi="Times New Roman" w:cs="Times New Roman"/>
          <w:kern w:val="0"/>
          <w:sz w:val="24"/>
          <w:szCs w:val="24"/>
          <w:lang w:eastAsia="en-MY" w:bidi="ar-SA"/>
          <w14:ligatures w14:val="none"/>
        </w:rPr>
        <w:t xml:space="preserve">(1), 47-64. </w:t>
      </w:r>
      <w:hyperlink r:id="rId25" w:history="1">
        <w:r w:rsidRPr="00362F15">
          <w:rPr>
            <w:rStyle w:val="Hyperlink"/>
            <w:rFonts w:ascii="Times New Roman" w:eastAsia="Times New Roman" w:hAnsi="Times New Roman" w:cs="Times New Roman"/>
            <w:kern w:val="0"/>
            <w:sz w:val="24"/>
            <w:szCs w:val="24"/>
            <w:lang w:eastAsia="en-MY" w:bidi="ar-SA"/>
            <w14:ligatures w14:val="none"/>
          </w:rPr>
          <w:t>https://doi.org/10.1007/s12571-023-01404-1</w:t>
        </w:r>
      </w:hyperlink>
    </w:p>
    <w:p w14:paraId="711C4A0B" w14:textId="77777777" w:rsidR="0039339D" w:rsidRPr="00362F15" w:rsidRDefault="0039339D" w:rsidP="005C5254">
      <w:pPr>
        <w:pStyle w:val="a"/>
        <w:numPr>
          <w:ilvl w:val="0"/>
          <w:numId w:val="9"/>
        </w:numPr>
        <w:spacing w:before="240" w:after="240" w:afterAutospacing="0" w:line="240" w:lineRule="auto"/>
      </w:pPr>
      <w:r w:rsidRPr="00362F15">
        <w:t xml:space="preserve">Campos, B. M., Ramalho, E., </w:t>
      </w:r>
      <w:proofErr w:type="spellStart"/>
      <w:r w:rsidRPr="00362F15">
        <w:t>Marmelo</w:t>
      </w:r>
      <w:proofErr w:type="spellEnd"/>
      <w:r w:rsidRPr="00362F15">
        <w:t xml:space="preserve">, I., Noronha, J. P., </w:t>
      </w:r>
      <w:proofErr w:type="spellStart"/>
      <w:r w:rsidRPr="00362F15">
        <w:t>Malfeito</w:t>
      </w:r>
      <w:proofErr w:type="spellEnd"/>
      <w:r w:rsidRPr="00362F15">
        <w:t xml:space="preserve">-Ferreira, M., Mata, P., &amp; Diniz, M. S. (2022). Proximate composition, physicochemical and microbiological characterization of edible seaweeds available in the Portuguese market. </w:t>
      </w:r>
      <w:r w:rsidRPr="00362F15">
        <w:rPr>
          <w:i/>
          <w:iCs/>
        </w:rPr>
        <w:t>Frontiers in Bioscience-Elite</w:t>
      </w:r>
      <w:r w:rsidRPr="00362F15">
        <w:t xml:space="preserve">, </w:t>
      </w:r>
      <w:r w:rsidRPr="00362F15">
        <w:rPr>
          <w:i/>
          <w:iCs/>
        </w:rPr>
        <w:t>14</w:t>
      </w:r>
      <w:r w:rsidRPr="00362F15">
        <w:t xml:space="preserve">(4), 26. </w:t>
      </w:r>
      <w:hyperlink r:id="rId26" w:history="1">
        <w:r w:rsidRPr="00362F15">
          <w:rPr>
            <w:rStyle w:val="Hyperlink"/>
          </w:rPr>
          <w:t>https://doi.org/10.31083/j.fbe1404026</w:t>
        </w:r>
      </w:hyperlink>
    </w:p>
    <w:p w14:paraId="65518C78" w14:textId="77777777" w:rsidR="0039339D" w:rsidRPr="00362F15" w:rsidRDefault="0039339D" w:rsidP="005C5254">
      <w:pPr>
        <w:pStyle w:val="a"/>
        <w:numPr>
          <w:ilvl w:val="0"/>
          <w:numId w:val="9"/>
        </w:numPr>
        <w:spacing w:before="240" w:after="240" w:afterAutospacing="0" w:line="240" w:lineRule="auto"/>
      </w:pPr>
      <w:r w:rsidRPr="00362F15">
        <w:t xml:space="preserve">Carrillo, C., Tomasevic, I. B., Barba, F. J., &amp; </w:t>
      </w:r>
      <w:proofErr w:type="spellStart"/>
      <w:r w:rsidRPr="00362F15">
        <w:t>Kamiloglu</w:t>
      </w:r>
      <w:proofErr w:type="spellEnd"/>
      <w:r w:rsidRPr="00362F15">
        <w:t xml:space="preserve">, S. (2023). Modern analytical techniques for berry authentication. </w:t>
      </w:r>
      <w:proofErr w:type="spellStart"/>
      <w:r w:rsidRPr="00362F15">
        <w:rPr>
          <w:i/>
          <w:iCs/>
        </w:rPr>
        <w:t>Chemosensors</w:t>
      </w:r>
      <w:proofErr w:type="spellEnd"/>
      <w:r w:rsidRPr="00362F15">
        <w:t xml:space="preserve">, </w:t>
      </w:r>
      <w:r w:rsidRPr="00362F15">
        <w:rPr>
          <w:i/>
          <w:iCs/>
        </w:rPr>
        <w:t>11</w:t>
      </w:r>
      <w:r w:rsidRPr="00362F15">
        <w:t xml:space="preserve">(9), 500. </w:t>
      </w:r>
      <w:hyperlink r:id="rId27" w:history="1">
        <w:r w:rsidRPr="00362F15">
          <w:rPr>
            <w:rStyle w:val="Hyperlink"/>
          </w:rPr>
          <w:t>https://doi.org/10.3390/chemosensors11090500</w:t>
        </w:r>
      </w:hyperlink>
    </w:p>
    <w:p w14:paraId="0486B6D5" w14:textId="77777777" w:rsidR="0039339D" w:rsidRPr="00362F15" w:rsidRDefault="0039339D" w:rsidP="005C5254">
      <w:pPr>
        <w:pStyle w:val="ListParagraph"/>
        <w:numPr>
          <w:ilvl w:val="0"/>
          <w:numId w:val="9"/>
        </w:numPr>
        <w:spacing w:before="240" w:after="240" w:line="240" w:lineRule="auto"/>
        <w:jc w:val="both"/>
        <w:rPr>
          <w:rFonts w:ascii="Times New Roman" w:hAnsi="Times New Roman" w:cs="Times New Roman"/>
          <w:sz w:val="24"/>
          <w:szCs w:val="24"/>
          <w:lang w:eastAsia="en-MY" w:bidi="ar-SA"/>
        </w:rPr>
      </w:pPr>
      <w:r w:rsidRPr="00362F15">
        <w:rPr>
          <w:rFonts w:ascii="Times New Roman" w:hAnsi="Times New Roman" w:cs="Times New Roman"/>
          <w:sz w:val="24"/>
          <w:szCs w:val="24"/>
          <w:lang w:val="fi-FI" w:eastAsia="en-MY" w:bidi="ar-SA"/>
        </w:rPr>
        <w:t xml:space="preserve">Casian, T., Nagy, B., Kovács, B., Galata, D. L., Hirsch, E., &amp; Farkas, A. (2022). </w:t>
      </w:r>
      <w:r w:rsidRPr="00362F15">
        <w:rPr>
          <w:rFonts w:ascii="Times New Roman" w:hAnsi="Times New Roman" w:cs="Times New Roman"/>
          <w:sz w:val="24"/>
          <w:szCs w:val="24"/>
          <w:lang w:eastAsia="en-MY" w:bidi="ar-SA"/>
        </w:rPr>
        <w:t xml:space="preserve">Challenges and opportunities of implementing data fusion in process analytical technology—A review. </w:t>
      </w:r>
      <w:r w:rsidRPr="00362F15">
        <w:rPr>
          <w:rFonts w:ascii="Times New Roman" w:hAnsi="Times New Roman" w:cs="Times New Roman"/>
          <w:i/>
          <w:iCs/>
          <w:sz w:val="24"/>
          <w:szCs w:val="24"/>
          <w:lang w:eastAsia="en-MY" w:bidi="ar-SA"/>
        </w:rPr>
        <w:t>Molecules</w:t>
      </w:r>
      <w:r w:rsidRPr="00362F15">
        <w:rPr>
          <w:rFonts w:ascii="Times New Roman" w:hAnsi="Times New Roman" w:cs="Times New Roman"/>
          <w:sz w:val="24"/>
          <w:szCs w:val="24"/>
          <w:lang w:eastAsia="en-MY" w:bidi="ar-SA"/>
        </w:rPr>
        <w:t xml:space="preserve">, </w:t>
      </w:r>
      <w:r w:rsidRPr="00362F15">
        <w:rPr>
          <w:rFonts w:ascii="Times New Roman" w:hAnsi="Times New Roman" w:cs="Times New Roman"/>
          <w:i/>
          <w:iCs/>
          <w:sz w:val="24"/>
          <w:szCs w:val="24"/>
          <w:lang w:eastAsia="en-MY" w:bidi="ar-SA"/>
        </w:rPr>
        <w:t>27</w:t>
      </w:r>
      <w:r w:rsidRPr="00362F15">
        <w:rPr>
          <w:rFonts w:ascii="Times New Roman" w:hAnsi="Times New Roman" w:cs="Times New Roman"/>
          <w:sz w:val="24"/>
          <w:szCs w:val="24"/>
          <w:lang w:eastAsia="en-MY" w:bidi="ar-SA"/>
        </w:rPr>
        <w:t xml:space="preserve">(15), 4846. </w:t>
      </w:r>
      <w:hyperlink r:id="rId28" w:history="1">
        <w:r w:rsidRPr="00362F15">
          <w:rPr>
            <w:rStyle w:val="Hyperlink"/>
            <w:rFonts w:ascii="Times New Roman" w:hAnsi="Times New Roman" w:cs="Times New Roman"/>
            <w:sz w:val="24"/>
            <w:szCs w:val="24"/>
            <w:lang w:eastAsia="en-MY" w:bidi="ar-SA"/>
          </w:rPr>
          <w:t>https://doi.org/10.3390/molecules27154846</w:t>
        </w:r>
      </w:hyperlink>
    </w:p>
    <w:p w14:paraId="3F20B7AF" w14:textId="77777777" w:rsidR="0039339D" w:rsidRPr="00362F15" w:rsidRDefault="0039339D" w:rsidP="005C5254">
      <w:pPr>
        <w:pStyle w:val="a"/>
        <w:numPr>
          <w:ilvl w:val="0"/>
          <w:numId w:val="9"/>
        </w:numPr>
        <w:spacing w:before="240" w:after="240" w:afterAutospacing="0" w:line="240" w:lineRule="auto"/>
      </w:pPr>
      <w:r w:rsidRPr="00362F15">
        <w:rPr>
          <w:lang w:val="fi-FI"/>
        </w:rPr>
        <w:t xml:space="preserve">Casian, T., Nagy, B., Kovács, B., Galata, D. L., Hirsch, E., &amp; Farkas, A. (2022). </w:t>
      </w:r>
      <w:r w:rsidRPr="00362F15">
        <w:t xml:space="preserve">Challenges and opportunities of implementing data fusion in process analytical technology—A review. </w:t>
      </w:r>
      <w:r w:rsidRPr="00362F15">
        <w:rPr>
          <w:i/>
          <w:iCs/>
        </w:rPr>
        <w:t>Molecules</w:t>
      </w:r>
      <w:r w:rsidRPr="00362F15">
        <w:t xml:space="preserve">, </w:t>
      </w:r>
      <w:r w:rsidRPr="00362F15">
        <w:rPr>
          <w:i/>
          <w:iCs/>
        </w:rPr>
        <w:t>27</w:t>
      </w:r>
      <w:r w:rsidRPr="00362F15">
        <w:t xml:space="preserve">(15), 4846. </w:t>
      </w:r>
      <w:hyperlink r:id="rId29" w:history="1">
        <w:r w:rsidRPr="00362F15">
          <w:rPr>
            <w:rStyle w:val="Hyperlink"/>
          </w:rPr>
          <w:t>https://doi.org/10.3390/molecules27154846</w:t>
        </w:r>
      </w:hyperlink>
    </w:p>
    <w:p w14:paraId="65339827" w14:textId="77777777" w:rsidR="0039339D" w:rsidRPr="00362F15" w:rsidRDefault="0039339D" w:rsidP="005C5254">
      <w:pPr>
        <w:pStyle w:val="a"/>
        <w:numPr>
          <w:ilvl w:val="0"/>
          <w:numId w:val="9"/>
        </w:numPr>
        <w:spacing w:before="240" w:after="240" w:afterAutospacing="0" w:line="240" w:lineRule="auto"/>
      </w:pPr>
      <w:r w:rsidRPr="00362F15">
        <w:t xml:space="preserve">Chaudhary, V., Kajla, P., Dewan, A., </w:t>
      </w:r>
      <w:proofErr w:type="spellStart"/>
      <w:r w:rsidRPr="00362F15">
        <w:t>Pandiselvam</w:t>
      </w:r>
      <w:proofErr w:type="spellEnd"/>
      <w:r w:rsidRPr="00362F15">
        <w:t xml:space="preserve">, R., Socol, C. T., &amp; </w:t>
      </w:r>
      <w:proofErr w:type="spellStart"/>
      <w:r w:rsidRPr="00362F15">
        <w:t>Maerescu</w:t>
      </w:r>
      <w:proofErr w:type="spellEnd"/>
      <w:r w:rsidRPr="00362F15">
        <w:t xml:space="preserve">, C. M. (2022). Spectroscopic techniques for authentication of animal origin foods. </w:t>
      </w:r>
      <w:r w:rsidRPr="00362F15">
        <w:rPr>
          <w:i/>
          <w:iCs/>
        </w:rPr>
        <w:t>Frontiers in Nutrition</w:t>
      </w:r>
      <w:r w:rsidRPr="00362F15">
        <w:t xml:space="preserve">, </w:t>
      </w:r>
      <w:r w:rsidRPr="00362F15">
        <w:rPr>
          <w:i/>
          <w:iCs/>
        </w:rPr>
        <w:t>9</w:t>
      </w:r>
      <w:r w:rsidRPr="00362F15">
        <w:t xml:space="preserve">, 979205. </w:t>
      </w:r>
      <w:hyperlink r:id="rId30" w:history="1">
        <w:r w:rsidRPr="00362F15">
          <w:rPr>
            <w:rStyle w:val="Hyperlink"/>
          </w:rPr>
          <w:t>https://doi.org/10.3389/fnut.2022.979205</w:t>
        </w:r>
      </w:hyperlink>
    </w:p>
    <w:p w14:paraId="0760F95F" w14:textId="77777777" w:rsidR="0039339D" w:rsidRPr="00362F15" w:rsidRDefault="0039339D" w:rsidP="005C5254">
      <w:pPr>
        <w:pStyle w:val="a"/>
        <w:numPr>
          <w:ilvl w:val="0"/>
          <w:numId w:val="9"/>
        </w:numPr>
        <w:spacing w:before="240" w:after="240" w:afterAutospacing="0" w:line="240" w:lineRule="auto"/>
      </w:pPr>
      <w:r w:rsidRPr="00362F15">
        <w:t xml:space="preserve">Chemat, F., Abert-Vian, M., Fabiano-Tixier, A. S., Strube, J., Uhlenbrock, L., </w:t>
      </w:r>
      <w:proofErr w:type="spellStart"/>
      <w:r w:rsidRPr="00362F15">
        <w:t>Gunjevic</w:t>
      </w:r>
      <w:proofErr w:type="spellEnd"/>
      <w:r w:rsidRPr="00362F15">
        <w:t xml:space="preserve">, V., &amp; </w:t>
      </w:r>
      <w:proofErr w:type="spellStart"/>
      <w:r w:rsidRPr="00362F15">
        <w:t>Cravotto</w:t>
      </w:r>
      <w:proofErr w:type="spellEnd"/>
      <w:r w:rsidRPr="00362F15">
        <w:t xml:space="preserve">, G. (2019). Green extraction of natural products. Origins, current status, and future challenges. </w:t>
      </w:r>
      <w:proofErr w:type="spellStart"/>
      <w:r w:rsidRPr="00362F15">
        <w:rPr>
          <w:i/>
          <w:iCs/>
        </w:rPr>
        <w:t>TrAC</w:t>
      </w:r>
      <w:proofErr w:type="spellEnd"/>
      <w:r w:rsidRPr="00362F15">
        <w:rPr>
          <w:i/>
          <w:iCs/>
        </w:rPr>
        <w:t xml:space="preserve"> Trends in Analytical Chemistry</w:t>
      </w:r>
      <w:r w:rsidRPr="00362F15">
        <w:t xml:space="preserve">, </w:t>
      </w:r>
      <w:r w:rsidRPr="00362F15">
        <w:rPr>
          <w:i/>
          <w:iCs/>
        </w:rPr>
        <w:t>118</w:t>
      </w:r>
      <w:r w:rsidRPr="00362F15">
        <w:t xml:space="preserve">, 248-263. </w:t>
      </w:r>
      <w:hyperlink r:id="rId31" w:history="1">
        <w:r w:rsidRPr="00362F15">
          <w:rPr>
            <w:rStyle w:val="Hyperlink"/>
          </w:rPr>
          <w:t>https://doi.org/10.1016/j.trac.2019.05.037</w:t>
        </w:r>
      </w:hyperlink>
    </w:p>
    <w:p w14:paraId="2E4B65E3" w14:textId="77777777" w:rsidR="0039339D" w:rsidRPr="00362F15" w:rsidRDefault="0039339D" w:rsidP="005C5254">
      <w:pPr>
        <w:pStyle w:val="ListParagraph"/>
        <w:numPr>
          <w:ilvl w:val="0"/>
          <w:numId w:val="9"/>
        </w:numPr>
        <w:spacing w:before="240" w:after="240" w:line="240" w:lineRule="auto"/>
        <w:jc w:val="both"/>
        <w:rPr>
          <w:rFonts w:ascii="Times New Roman" w:eastAsia="Times New Roman" w:hAnsi="Times New Roman" w:cs="Times New Roman"/>
          <w:kern w:val="0"/>
          <w:sz w:val="24"/>
          <w:szCs w:val="24"/>
          <w:lang w:eastAsia="en-MY" w:bidi="ar-SA"/>
          <w14:ligatures w14:val="none"/>
        </w:rPr>
      </w:pPr>
      <w:r w:rsidRPr="00362F15">
        <w:rPr>
          <w:rFonts w:ascii="Times New Roman" w:eastAsia="Times New Roman" w:hAnsi="Times New Roman" w:cs="Times New Roman"/>
          <w:kern w:val="0"/>
          <w:sz w:val="24"/>
          <w:szCs w:val="24"/>
          <w:lang w:eastAsia="en-MY" w:bidi="ar-SA"/>
          <w14:ligatures w14:val="none"/>
        </w:rPr>
        <w:t xml:space="preserve">Couto, C., &amp; Keating, E. (2025). Trace Elements in Food: Nutritional and Safety Issues. </w:t>
      </w:r>
      <w:r w:rsidRPr="00362F15">
        <w:rPr>
          <w:rFonts w:ascii="Times New Roman" w:eastAsia="Times New Roman" w:hAnsi="Times New Roman" w:cs="Times New Roman"/>
          <w:i/>
          <w:iCs/>
          <w:kern w:val="0"/>
          <w:sz w:val="24"/>
          <w:szCs w:val="24"/>
          <w:lang w:eastAsia="en-MY" w:bidi="ar-SA"/>
          <w14:ligatures w14:val="none"/>
        </w:rPr>
        <w:t>Foods</w:t>
      </w:r>
      <w:r w:rsidRPr="00362F15">
        <w:rPr>
          <w:rFonts w:ascii="Times New Roman" w:eastAsia="Times New Roman" w:hAnsi="Times New Roman" w:cs="Times New Roman"/>
          <w:kern w:val="0"/>
          <w:sz w:val="24"/>
          <w:szCs w:val="24"/>
          <w:lang w:eastAsia="en-MY" w:bidi="ar-SA"/>
          <w14:ligatures w14:val="none"/>
        </w:rPr>
        <w:t xml:space="preserve">, </w:t>
      </w:r>
      <w:r w:rsidRPr="00362F15">
        <w:rPr>
          <w:rFonts w:ascii="Times New Roman" w:eastAsia="Times New Roman" w:hAnsi="Times New Roman" w:cs="Times New Roman"/>
          <w:i/>
          <w:iCs/>
          <w:kern w:val="0"/>
          <w:sz w:val="24"/>
          <w:szCs w:val="24"/>
          <w:lang w:eastAsia="en-MY" w:bidi="ar-SA"/>
          <w14:ligatures w14:val="none"/>
        </w:rPr>
        <w:t>14</w:t>
      </w:r>
      <w:r w:rsidRPr="00362F15">
        <w:rPr>
          <w:rFonts w:ascii="Times New Roman" w:eastAsia="Times New Roman" w:hAnsi="Times New Roman" w:cs="Times New Roman"/>
          <w:kern w:val="0"/>
          <w:sz w:val="24"/>
          <w:szCs w:val="24"/>
          <w:lang w:eastAsia="en-MY" w:bidi="ar-SA"/>
          <w14:ligatures w14:val="none"/>
        </w:rPr>
        <w:t xml:space="preserve">(16), 2802. </w:t>
      </w:r>
      <w:hyperlink r:id="rId32" w:history="1">
        <w:r w:rsidRPr="00362F15">
          <w:rPr>
            <w:rStyle w:val="Hyperlink"/>
            <w:rFonts w:ascii="Times New Roman" w:eastAsia="Times New Roman" w:hAnsi="Times New Roman" w:cs="Times New Roman"/>
            <w:kern w:val="0"/>
            <w:sz w:val="24"/>
            <w:szCs w:val="24"/>
            <w:lang w:eastAsia="en-MY" w:bidi="ar-SA"/>
            <w14:ligatures w14:val="none"/>
          </w:rPr>
          <w:t>https://doi.org/10.3390/foods14162802</w:t>
        </w:r>
      </w:hyperlink>
    </w:p>
    <w:p w14:paraId="1D908E08" w14:textId="77777777" w:rsidR="0039339D" w:rsidRPr="00362F15" w:rsidRDefault="0039339D" w:rsidP="005C5254">
      <w:pPr>
        <w:pStyle w:val="a"/>
        <w:numPr>
          <w:ilvl w:val="0"/>
          <w:numId w:val="9"/>
        </w:numPr>
        <w:spacing w:before="240" w:after="240" w:afterAutospacing="0" w:line="240" w:lineRule="auto"/>
      </w:pPr>
      <w:proofErr w:type="spellStart"/>
      <w:r w:rsidRPr="00362F15">
        <w:t>Dragoev</w:t>
      </w:r>
      <w:proofErr w:type="spellEnd"/>
      <w:r w:rsidRPr="00362F15">
        <w:t xml:space="preserve">, S. G. (2024). Lipid peroxidation in muscle foods: Impact on quality, safety and human health. </w:t>
      </w:r>
      <w:r w:rsidRPr="00362F15">
        <w:rPr>
          <w:i/>
          <w:iCs/>
        </w:rPr>
        <w:t>Foods</w:t>
      </w:r>
      <w:r w:rsidRPr="00362F15">
        <w:t xml:space="preserve">, </w:t>
      </w:r>
      <w:r w:rsidRPr="00362F15">
        <w:rPr>
          <w:i/>
          <w:iCs/>
        </w:rPr>
        <w:t>13</w:t>
      </w:r>
      <w:r w:rsidRPr="00362F15">
        <w:t xml:space="preserve">(5), 797. </w:t>
      </w:r>
      <w:hyperlink r:id="rId33" w:history="1">
        <w:r w:rsidRPr="00362F15">
          <w:rPr>
            <w:rStyle w:val="Hyperlink"/>
          </w:rPr>
          <w:t>https://doi.org/10.3390/foods13050797</w:t>
        </w:r>
      </w:hyperlink>
    </w:p>
    <w:p w14:paraId="4DA59735" w14:textId="77777777" w:rsidR="0039339D" w:rsidRPr="00AF34A3" w:rsidRDefault="0039339D" w:rsidP="005C5254">
      <w:pPr>
        <w:pStyle w:val="ListParagraph"/>
        <w:numPr>
          <w:ilvl w:val="0"/>
          <w:numId w:val="9"/>
        </w:numPr>
        <w:spacing w:before="240" w:after="240" w:line="240" w:lineRule="auto"/>
        <w:rPr>
          <w:rFonts w:ascii="Times New Roman" w:eastAsia="Times New Roman" w:hAnsi="Times New Roman" w:cs="Times New Roman"/>
          <w:kern w:val="0"/>
          <w:sz w:val="24"/>
          <w:szCs w:val="24"/>
          <w:lang w:eastAsia="en-MY" w:bidi="ar-SA"/>
          <w14:ligatures w14:val="none"/>
        </w:rPr>
      </w:pPr>
      <w:r w:rsidRPr="00362F15">
        <w:rPr>
          <w:rFonts w:ascii="Times New Roman" w:eastAsia="Times New Roman" w:hAnsi="Times New Roman" w:cs="Times New Roman"/>
          <w:kern w:val="0"/>
          <w:sz w:val="24"/>
          <w:szCs w:val="24"/>
          <w:lang w:eastAsia="en-MY" w:bidi="ar-SA"/>
          <w14:ligatures w14:val="none"/>
        </w:rPr>
        <w:t xml:space="preserve">Dua, A., Bahman, S., Kelly, S., Dogra, S., &amp; Sharma, K. (2025). Authentication of Indian Honey Based on Carbon Stable Isotope Ratio Analysis—Verification of Indian Regulatory Criteria. </w:t>
      </w:r>
      <w:r w:rsidRPr="00362F15">
        <w:rPr>
          <w:rFonts w:ascii="Times New Roman" w:eastAsia="Times New Roman" w:hAnsi="Times New Roman" w:cs="Times New Roman"/>
          <w:i/>
          <w:iCs/>
          <w:kern w:val="0"/>
          <w:sz w:val="24"/>
          <w:szCs w:val="24"/>
          <w:lang w:eastAsia="en-MY" w:bidi="ar-SA"/>
          <w14:ligatures w14:val="none"/>
        </w:rPr>
        <w:t>Foods</w:t>
      </w:r>
      <w:r w:rsidRPr="00362F15">
        <w:rPr>
          <w:rFonts w:ascii="Times New Roman" w:eastAsia="Times New Roman" w:hAnsi="Times New Roman" w:cs="Times New Roman"/>
          <w:kern w:val="0"/>
          <w:sz w:val="24"/>
          <w:szCs w:val="24"/>
          <w:lang w:eastAsia="en-MY" w:bidi="ar-SA"/>
          <w14:ligatures w14:val="none"/>
        </w:rPr>
        <w:t xml:space="preserve">, </w:t>
      </w:r>
      <w:r w:rsidRPr="00362F15">
        <w:rPr>
          <w:rFonts w:ascii="Times New Roman" w:eastAsia="Times New Roman" w:hAnsi="Times New Roman" w:cs="Times New Roman"/>
          <w:i/>
          <w:iCs/>
          <w:kern w:val="0"/>
          <w:sz w:val="24"/>
          <w:szCs w:val="24"/>
          <w:lang w:eastAsia="en-MY" w:bidi="ar-SA"/>
          <w14:ligatures w14:val="none"/>
        </w:rPr>
        <w:t>14</w:t>
      </w:r>
      <w:r w:rsidRPr="00362F15">
        <w:rPr>
          <w:rFonts w:ascii="Times New Roman" w:eastAsia="Times New Roman" w:hAnsi="Times New Roman" w:cs="Times New Roman"/>
          <w:kern w:val="0"/>
          <w:sz w:val="24"/>
          <w:szCs w:val="24"/>
          <w:lang w:eastAsia="en-MY" w:bidi="ar-SA"/>
          <w14:ligatures w14:val="none"/>
        </w:rPr>
        <w:t xml:space="preserve">(8), 1289. </w:t>
      </w:r>
      <w:hyperlink r:id="rId34" w:history="1">
        <w:r w:rsidRPr="00362F15">
          <w:rPr>
            <w:rStyle w:val="Hyperlink"/>
            <w:rFonts w:ascii="Times New Roman" w:eastAsia="Times New Roman" w:hAnsi="Times New Roman" w:cs="Times New Roman"/>
            <w:kern w:val="0"/>
            <w:sz w:val="24"/>
            <w:szCs w:val="24"/>
            <w:lang w:eastAsia="en-MY" w:bidi="ar-SA"/>
            <w14:ligatures w14:val="none"/>
          </w:rPr>
          <w:t>https://doi.org/10.3390/foods14081289</w:t>
        </w:r>
      </w:hyperlink>
    </w:p>
    <w:p w14:paraId="4A9AF446" w14:textId="77777777" w:rsidR="00AF34A3" w:rsidRPr="00362F15" w:rsidRDefault="00AF34A3" w:rsidP="00AF34A3">
      <w:pPr>
        <w:pStyle w:val="ListParagraph"/>
        <w:spacing w:before="240" w:after="240" w:line="240" w:lineRule="auto"/>
        <w:rPr>
          <w:rFonts w:ascii="Times New Roman" w:eastAsia="Times New Roman" w:hAnsi="Times New Roman" w:cs="Times New Roman"/>
          <w:kern w:val="0"/>
          <w:sz w:val="24"/>
          <w:szCs w:val="24"/>
          <w:lang w:eastAsia="en-MY" w:bidi="ar-SA"/>
          <w14:ligatures w14:val="none"/>
        </w:rPr>
      </w:pPr>
    </w:p>
    <w:p w14:paraId="6D9FEAE0" w14:textId="44A27AC5" w:rsidR="00AF34A3" w:rsidRPr="00AF34A3" w:rsidRDefault="0039339D" w:rsidP="00AF34A3">
      <w:pPr>
        <w:pStyle w:val="ListParagraph"/>
        <w:numPr>
          <w:ilvl w:val="0"/>
          <w:numId w:val="9"/>
        </w:numPr>
        <w:spacing w:before="240" w:after="240" w:line="240" w:lineRule="auto"/>
        <w:rPr>
          <w:rFonts w:ascii="Times New Roman" w:eastAsia="Times New Roman" w:hAnsi="Times New Roman" w:cs="Times New Roman"/>
          <w:kern w:val="0"/>
          <w:sz w:val="24"/>
          <w:szCs w:val="24"/>
          <w:lang w:eastAsia="en-MY" w:bidi="ar-SA"/>
          <w14:ligatures w14:val="none"/>
        </w:rPr>
      </w:pPr>
      <w:r w:rsidRPr="00362F15">
        <w:rPr>
          <w:rFonts w:ascii="Times New Roman" w:eastAsia="Times New Roman" w:hAnsi="Times New Roman" w:cs="Times New Roman"/>
          <w:kern w:val="0"/>
          <w:sz w:val="24"/>
          <w:szCs w:val="24"/>
          <w:lang w:eastAsia="en-MY" w:bidi="ar-SA"/>
          <w14:ligatures w14:val="none"/>
        </w:rPr>
        <w:t xml:space="preserve">Fernando, Y., Saedan, R., </w:t>
      </w:r>
      <w:proofErr w:type="spellStart"/>
      <w:r w:rsidRPr="00362F15">
        <w:rPr>
          <w:rFonts w:ascii="Times New Roman" w:eastAsia="Times New Roman" w:hAnsi="Times New Roman" w:cs="Times New Roman"/>
          <w:kern w:val="0"/>
          <w:sz w:val="24"/>
          <w:szCs w:val="24"/>
          <w:lang w:eastAsia="en-MY" w:bidi="ar-SA"/>
          <w14:ligatures w14:val="none"/>
        </w:rPr>
        <w:t>Shaharudin</w:t>
      </w:r>
      <w:proofErr w:type="spellEnd"/>
      <w:r w:rsidRPr="00362F15">
        <w:rPr>
          <w:rFonts w:ascii="Times New Roman" w:eastAsia="Times New Roman" w:hAnsi="Times New Roman" w:cs="Times New Roman"/>
          <w:kern w:val="0"/>
          <w:sz w:val="24"/>
          <w:szCs w:val="24"/>
          <w:lang w:eastAsia="en-MY" w:bidi="ar-SA"/>
          <w14:ligatures w14:val="none"/>
        </w:rPr>
        <w:t xml:space="preserve">, M. S., &amp; Mohamed, A. (2021). Integrity in halal food supply chain towards the society 5.0. </w:t>
      </w:r>
      <w:r w:rsidRPr="00362F15">
        <w:rPr>
          <w:rFonts w:ascii="Times New Roman" w:eastAsia="Times New Roman" w:hAnsi="Times New Roman" w:cs="Times New Roman"/>
          <w:i/>
          <w:iCs/>
          <w:kern w:val="0"/>
          <w:sz w:val="24"/>
          <w:szCs w:val="24"/>
          <w:lang w:eastAsia="en-MY" w:bidi="ar-SA"/>
          <w14:ligatures w14:val="none"/>
        </w:rPr>
        <w:t>Journal of Governance and Integrity</w:t>
      </w:r>
      <w:r w:rsidRPr="00362F15">
        <w:rPr>
          <w:rFonts w:ascii="Times New Roman" w:eastAsia="Times New Roman" w:hAnsi="Times New Roman" w:cs="Times New Roman"/>
          <w:kern w:val="0"/>
          <w:sz w:val="24"/>
          <w:szCs w:val="24"/>
          <w:lang w:eastAsia="en-MY" w:bidi="ar-SA"/>
          <w14:ligatures w14:val="none"/>
        </w:rPr>
        <w:t xml:space="preserve">, </w:t>
      </w:r>
      <w:r w:rsidRPr="00362F15">
        <w:rPr>
          <w:rFonts w:ascii="Times New Roman" w:eastAsia="Times New Roman" w:hAnsi="Times New Roman" w:cs="Times New Roman"/>
          <w:i/>
          <w:iCs/>
          <w:kern w:val="0"/>
          <w:sz w:val="24"/>
          <w:szCs w:val="24"/>
          <w:lang w:eastAsia="en-MY" w:bidi="ar-SA"/>
          <w14:ligatures w14:val="none"/>
        </w:rPr>
        <w:t>4</w:t>
      </w:r>
      <w:r w:rsidRPr="00362F15">
        <w:rPr>
          <w:rFonts w:ascii="Times New Roman" w:eastAsia="Times New Roman" w:hAnsi="Times New Roman" w:cs="Times New Roman"/>
          <w:kern w:val="0"/>
          <w:sz w:val="24"/>
          <w:szCs w:val="24"/>
          <w:lang w:eastAsia="en-MY" w:bidi="ar-SA"/>
          <w14:ligatures w14:val="none"/>
        </w:rPr>
        <w:t xml:space="preserve">(2), 103-114. </w:t>
      </w:r>
      <w:hyperlink r:id="rId35" w:history="1">
        <w:r w:rsidRPr="00362F15">
          <w:rPr>
            <w:rStyle w:val="Hyperlink"/>
            <w:rFonts w:ascii="Times New Roman" w:eastAsia="Times New Roman" w:hAnsi="Times New Roman" w:cs="Times New Roman"/>
            <w:kern w:val="0"/>
            <w:sz w:val="24"/>
            <w:szCs w:val="24"/>
            <w:lang w:eastAsia="en-MY" w:bidi="ar-SA"/>
            <w14:ligatures w14:val="none"/>
          </w:rPr>
          <w:t>https://doi.org/10.15282/jgi.4.2.2021.5948</w:t>
        </w:r>
      </w:hyperlink>
    </w:p>
    <w:p w14:paraId="051A12AF" w14:textId="77777777" w:rsidR="00AF34A3" w:rsidRPr="00AF34A3" w:rsidRDefault="00AF34A3" w:rsidP="00AF34A3">
      <w:pPr>
        <w:pStyle w:val="ListParagraph"/>
        <w:rPr>
          <w:rFonts w:ascii="Times New Roman" w:eastAsia="Times New Roman" w:hAnsi="Times New Roman" w:cs="Times New Roman"/>
          <w:kern w:val="0"/>
          <w:sz w:val="24"/>
          <w:szCs w:val="24"/>
          <w:lang w:eastAsia="en-MY" w:bidi="ar-SA"/>
          <w14:ligatures w14:val="none"/>
        </w:rPr>
      </w:pPr>
    </w:p>
    <w:p w14:paraId="672DA4AD" w14:textId="5F6DD697" w:rsidR="0039339D" w:rsidRPr="00AF34A3" w:rsidRDefault="0039339D" w:rsidP="005C5254">
      <w:pPr>
        <w:pStyle w:val="ListParagraph"/>
        <w:numPr>
          <w:ilvl w:val="0"/>
          <w:numId w:val="9"/>
        </w:numPr>
        <w:spacing w:before="240" w:after="240" w:line="240" w:lineRule="auto"/>
        <w:jc w:val="both"/>
        <w:rPr>
          <w:rFonts w:ascii="Times New Roman" w:eastAsia="Times New Roman" w:hAnsi="Times New Roman" w:cs="Times New Roman"/>
          <w:color w:val="000000" w:themeColor="text1"/>
          <w:kern w:val="0"/>
          <w:sz w:val="24"/>
          <w:szCs w:val="24"/>
          <w:lang w:eastAsia="en-MY" w:bidi="ar-SA"/>
          <w14:ligatures w14:val="none"/>
        </w:rPr>
      </w:pPr>
      <w:r w:rsidRPr="00362F15">
        <w:rPr>
          <w:rFonts w:ascii="Times New Roman" w:hAnsi="Times New Roman" w:cs="Times New Roman"/>
          <w:color w:val="000000" w:themeColor="text1"/>
          <w:sz w:val="24"/>
          <w:szCs w:val="24"/>
        </w:rPr>
        <w:t xml:space="preserve">Frigerio, J., </w:t>
      </w:r>
      <w:proofErr w:type="spellStart"/>
      <w:r w:rsidRPr="00362F15">
        <w:rPr>
          <w:rFonts w:ascii="Times New Roman" w:hAnsi="Times New Roman" w:cs="Times New Roman"/>
          <w:color w:val="000000" w:themeColor="text1"/>
          <w:sz w:val="24"/>
          <w:szCs w:val="24"/>
        </w:rPr>
        <w:t>Campone</w:t>
      </w:r>
      <w:proofErr w:type="spellEnd"/>
      <w:r w:rsidRPr="00362F15">
        <w:rPr>
          <w:rFonts w:ascii="Times New Roman" w:hAnsi="Times New Roman" w:cs="Times New Roman"/>
          <w:color w:val="000000" w:themeColor="text1"/>
          <w:sz w:val="24"/>
          <w:szCs w:val="24"/>
        </w:rPr>
        <w:t xml:space="preserve">, L., Giustra, M. D., Buzzelli, M., Piccoli, F., Galimberti, A., ... &amp; Labra, M. (2024). Convergent technologies to tackle challenges of modern food authentication. </w:t>
      </w:r>
      <w:proofErr w:type="spellStart"/>
      <w:r w:rsidRPr="00362F15">
        <w:rPr>
          <w:rFonts w:ascii="Times New Roman" w:hAnsi="Times New Roman" w:cs="Times New Roman"/>
          <w:i/>
          <w:iCs/>
          <w:color w:val="000000" w:themeColor="text1"/>
          <w:sz w:val="24"/>
          <w:szCs w:val="24"/>
        </w:rPr>
        <w:t>Heliyon</w:t>
      </w:r>
      <w:proofErr w:type="spellEnd"/>
      <w:r w:rsidRPr="00362F15">
        <w:rPr>
          <w:rFonts w:ascii="Times New Roman" w:hAnsi="Times New Roman" w:cs="Times New Roman"/>
          <w:color w:val="000000" w:themeColor="text1"/>
          <w:sz w:val="24"/>
          <w:szCs w:val="24"/>
        </w:rPr>
        <w:t xml:space="preserve">, </w:t>
      </w:r>
      <w:r w:rsidRPr="00362F15">
        <w:rPr>
          <w:rFonts w:ascii="Times New Roman" w:hAnsi="Times New Roman" w:cs="Times New Roman"/>
          <w:i/>
          <w:iCs/>
          <w:color w:val="000000" w:themeColor="text1"/>
          <w:sz w:val="24"/>
          <w:szCs w:val="24"/>
        </w:rPr>
        <w:t>10</w:t>
      </w:r>
      <w:r w:rsidRPr="00362F15">
        <w:rPr>
          <w:rFonts w:ascii="Times New Roman" w:hAnsi="Times New Roman" w:cs="Times New Roman"/>
          <w:color w:val="000000" w:themeColor="text1"/>
          <w:sz w:val="24"/>
          <w:szCs w:val="24"/>
        </w:rPr>
        <w:t>(11).</w:t>
      </w:r>
      <w:r w:rsidR="004C2B2A">
        <w:rPr>
          <w:rFonts w:ascii="Times New Roman" w:hAnsi="Times New Roman" w:cs="Times New Roman"/>
          <w:color w:val="000000" w:themeColor="text1"/>
          <w:sz w:val="24"/>
          <w:szCs w:val="24"/>
        </w:rPr>
        <w:t xml:space="preserve"> </w:t>
      </w:r>
      <w:hyperlink r:id="rId36" w:history="1">
        <w:r w:rsidR="004C2B2A" w:rsidRPr="00B53513">
          <w:rPr>
            <w:rStyle w:val="Hyperlink"/>
            <w:rFonts w:ascii="Times New Roman" w:eastAsia="Times New Roman" w:hAnsi="Times New Roman" w:cs="Times New Roman"/>
            <w:kern w:val="0"/>
            <w:sz w:val="24"/>
            <w:szCs w:val="24"/>
            <w:lang w:eastAsia="en-MY" w:bidi="ar-SA"/>
            <w14:ligatures w14:val="none"/>
          </w:rPr>
          <w:t>https://doi.org/10.1016/j.heliyon.2024.e32297</w:t>
        </w:r>
      </w:hyperlink>
    </w:p>
    <w:p w14:paraId="40C4C7BB" w14:textId="77777777" w:rsidR="00AF34A3" w:rsidRPr="00AF34A3" w:rsidRDefault="00AF34A3" w:rsidP="00AF34A3">
      <w:pPr>
        <w:pStyle w:val="ListParagraph"/>
        <w:rPr>
          <w:rFonts w:ascii="Times New Roman" w:eastAsia="Times New Roman" w:hAnsi="Times New Roman" w:cs="Times New Roman"/>
          <w:color w:val="000000" w:themeColor="text1"/>
          <w:kern w:val="0"/>
          <w:sz w:val="24"/>
          <w:szCs w:val="24"/>
          <w:lang w:eastAsia="en-MY" w:bidi="ar-SA"/>
          <w14:ligatures w14:val="none"/>
        </w:rPr>
      </w:pPr>
    </w:p>
    <w:p w14:paraId="5D13621A" w14:textId="77777777" w:rsidR="0039339D" w:rsidRPr="00AF34A3" w:rsidRDefault="0039339D" w:rsidP="005C5254">
      <w:pPr>
        <w:pStyle w:val="ListParagraph"/>
        <w:numPr>
          <w:ilvl w:val="0"/>
          <w:numId w:val="9"/>
        </w:numPr>
        <w:spacing w:before="240" w:after="240" w:line="240" w:lineRule="auto"/>
        <w:jc w:val="both"/>
        <w:rPr>
          <w:rFonts w:ascii="Times New Roman" w:eastAsia="Times New Roman" w:hAnsi="Times New Roman" w:cs="Times New Roman"/>
          <w:kern w:val="0"/>
          <w:sz w:val="24"/>
          <w:szCs w:val="24"/>
          <w:lang w:eastAsia="en-MY" w:bidi="ar-SA"/>
          <w14:ligatures w14:val="none"/>
        </w:rPr>
      </w:pPr>
      <w:r w:rsidRPr="00362F15">
        <w:rPr>
          <w:rFonts w:ascii="Times New Roman" w:eastAsia="Times New Roman" w:hAnsi="Times New Roman" w:cs="Times New Roman"/>
          <w:kern w:val="0"/>
          <w:sz w:val="24"/>
          <w:szCs w:val="24"/>
          <w:lang w:eastAsia="en-MY" w:bidi="ar-SA"/>
          <w14:ligatures w14:val="none"/>
        </w:rPr>
        <w:t xml:space="preserve">Gallegos, D., Booth, S., Pollard, C. M., Chilton, M., &amp; Kleve, S. (2023). Food security definition, measures and advocacy priorities in high-income countries: a Delphi consensus study. </w:t>
      </w:r>
      <w:r w:rsidRPr="00362F15">
        <w:rPr>
          <w:rFonts w:ascii="Times New Roman" w:eastAsia="Times New Roman" w:hAnsi="Times New Roman" w:cs="Times New Roman"/>
          <w:i/>
          <w:iCs/>
          <w:kern w:val="0"/>
          <w:sz w:val="24"/>
          <w:szCs w:val="24"/>
          <w:lang w:eastAsia="en-MY" w:bidi="ar-SA"/>
          <w14:ligatures w14:val="none"/>
        </w:rPr>
        <w:t>Public health nutrition</w:t>
      </w:r>
      <w:r w:rsidRPr="00362F15">
        <w:rPr>
          <w:rFonts w:ascii="Times New Roman" w:eastAsia="Times New Roman" w:hAnsi="Times New Roman" w:cs="Times New Roman"/>
          <w:kern w:val="0"/>
          <w:sz w:val="24"/>
          <w:szCs w:val="24"/>
          <w:lang w:eastAsia="en-MY" w:bidi="ar-SA"/>
          <w14:ligatures w14:val="none"/>
        </w:rPr>
        <w:t xml:space="preserve">, </w:t>
      </w:r>
      <w:r w:rsidRPr="00362F15">
        <w:rPr>
          <w:rFonts w:ascii="Times New Roman" w:eastAsia="Times New Roman" w:hAnsi="Times New Roman" w:cs="Times New Roman"/>
          <w:i/>
          <w:iCs/>
          <w:kern w:val="0"/>
          <w:sz w:val="24"/>
          <w:szCs w:val="24"/>
          <w:lang w:eastAsia="en-MY" w:bidi="ar-SA"/>
          <w14:ligatures w14:val="none"/>
        </w:rPr>
        <w:t>26</w:t>
      </w:r>
      <w:r w:rsidRPr="00362F15">
        <w:rPr>
          <w:rFonts w:ascii="Times New Roman" w:eastAsia="Times New Roman" w:hAnsi="Times New Roman" w:cs="Times New Roman"/>
          <w:kern w:val="0"/>
          <w:sz w:val="24"/>
          <w:szCs w:val="24"/>
          <w:lang w:eastAsia="en-MY" w:bidi="ar-SA"/>
          <w14:ligatures w14:val="none"/>
        </w:rPr>
        <w:t xml:space="preserve">(10), 1986-1996. </w:t>
      </w:r>
      <w:hyperlink r:id="rId37" w:history="1">
        <w:r w:rsidRPr="00362F15">
          <w:rPr>
            <w:rStyle w:val="Hyperlink"/>
            <w:rFonts w:ascii="Times New Roman" w:eastAsia="Times New Roman" w:hAnsi="Times New Roman" w:cs="Times New Roman"/>
            <w:kern w:val="0"/>
            <w:sz w:val="24"/>
            <w:szCs w:val="24"/>
            <w:lang w:eastAsia="en-MY" w:bidi="ar-SA"/>
            <w14:ligatures w14:val="none"/>
          </w:rPr>
          <w:t>https://doi.org/10.1017/S1368980023000915</w:t>
        </w:r>
      </w:hyperlink>
    </w:p>
    <w:p w14:paraId="51A341FA" w14:textId="77777777" w:rsidR="00AF34A3" w:rsidRPr="00AF34A3" w:rsidRDefault="00AF34A3" w:rsidP="00AF34A3">
      <w:pPr>
        <w:pStyle w:val="ListParagraph"/>
        <w:rPr>
          <w:rFonts w:ascii="Times New Roman" w:eastAsia="Times New Roman" w:hAnsi="Times New Roman" w:cs="Times New Roman"/>
          <w:kern w:val="0"/>
          <w:sz w:val="24"/>
          <w:szCs w:val="24"/>
          <w:lang w:eastAsia="en-MY" w:bidi="ar-SA"/>
          <w14:ligatures w14:val="none"/>
        </w:rPr>
      </w:pPr>
    </w:p>
    <w:p w14:paraId="4BA776CE" w14:textId="77777777" w:rsidR="0039339D" w:rsidRPr="00362F15" w:rsidRDefault="0039339D" w:rsidP="005C5254">
      <w:pPr>
        <w:pStyle w:val="ListParagraph"/>
        <w:numPr>
          <w:ilvl w:val="0"/>
          <w:numId w:val="9"/>
        </w:numPr>
        <w:spacing w:before="240" w:after="240" w:line="240" w:lineRule="auto"/>
        <w:jc w:val="both"/>
        <w:rPr>
          <w:rFonts w:ascii="Times New Roman" w:eastAsia="Times New Roman" w:hAnsi="Times New Roman" w:cs="Times New Roman"/>
          <w:kern w:val="0"/>
          <w:sz w:val="24"/>
          <w:szCs w:val="24"/>
          <w:lang w:eastAsia="en-MY" w:bidi="ar-SA"/>
          <w14:ligatures w14:val="none"/>
        </w:rPr>
      </w:pPr>
      <w:r w:rsidRPr="00362F15">
        <w:rPr>
          <w:rFonts w:ascii="Times New Roman" w:eastAsia="Times New Roman" w:hAnsi="Times New Roman" w:cs="Times New Roman"/>
          <w:kern w:val="0"/>
          <w:sz w:val="24"/>
          <w:szCs w:val="24"/>
          <w:lang w:eastAsia="en-MY" w:bidi="ar-SA"/>
          <w14:ligatures w14:val="none"/>
        </w:rPr>
        <w:t xml:space="preserve">García-Díez, J., Gonçalves, C., Grispoldi, L., Cenci-Goga, B., &amp; Saraiva, C. (2021). Determining food stability to achieve food security. </w:t>
      </w:r>
      <w:r w:rsidRPr="00362F15">
        <w:rPr>
          <w:rFonts w:ascii="Times New Roman" w:eastAsia="Times New Roman" w:hAnsi="Times New Roman" w:cs="Times New Roman"/>
          <w:i/>
          <w:iCs/>
          <w:kern w:val="0"/>
          <w:sz w:val="24"/>
          <w:szCs w:val="24"/>
          <w:lang w:eastAsia="en-MY" w:bidi="ar-SA"/>
          <w14:ligatures w14:val="none"/>
        </w:rPr>
        <w:t>Sustainability</w:t>
      </w:r>
      <w:r w:rsidRPr="00362F15">
        <w:rPr>
          <w:rFonts w:ascii="Times New Roman" w:eastAsia="Times New Roman" w:hAnsi="Times New Roman" w:cs="Times New Roman"/>
          <w:kern w:val="0"/>
          <w:sz w:val="24"/>
          <w:szCs w:val="24"/>
          <w:lang w:eastAsia="en-MY" w:bidi="ar-SA"/>
          <w14:ligatures w14:val="none"/>
        </w:rPr>
        <w:t xml:space="preserve">, </w:t>
      </w:r>
      <w:r w:rsidRPr="00362F15">
        <w:rPr>
          <w:rFonts w:ascii="Times New Roman" w:eastAsia="Times New Roman" w:hAnsi="Times New Roman" w:cs="Times New Roman"/>
          <w:i/>
          <w:iCs/>
          <w:kern w:val="0"/>
          <w:sz w:val="24"/>
          <w:szCs w:val="24"/>
          <w:lang w:eastAsia="en-MY" w:bidi="ar-SA"/>
          <w14:ligatures w14:val="none"/>
        </w:rPr>
        <w:t>13</w:t>
      </w:r>
      <w:r w:rsidRPr="00362F15">
        <w:rPr>
          <w:rFonts w:ascii="Times New Roman" w:eastAsia="Times New Roman" w:hAnsi="Times New Roman" w:cs="Times New Roman"/>
          <w:kern w:val="0"/>
          <w:sz w:val="24"/>
          <w:szCs w:val="24"/>
          <w:lang w:eastAsia="en-MY" w:bidi="ar-SA"/>
          <w14:ligatures w14:val="none"/>
        </w:rPr>
        <w:t>(13), 7222.</w:t>
      </w:r>
      <w:r w:rsidRPr="00362F15">
        <w:rPr>
          <w:rFonts w:ascii="Times New Roman" w:hAnsi="Times New Roman" w:cs="Times New Roman"/>
          <w:sz w:val="24"/>
          <w:szCs w:val="24"/>
        </w:rPr>
        <w:t xml:space="preserve"> </w:t>
      </w:r>
      <w:hyperlink r:id="rId38" w:history="1">
        <w:r w:rsidRPr="00362F15">
          <w:rPr>
            <w:rStyle w:val="Hyperlink"/>
            <w:rFonts w:ascii="Times New Roman" w:eastAsia="Times New Roman" w:hAnsi="Times New Roman" w:cs="Times New Roman"/>
            <w:kern w:val="0"/>
            <w:sz w:val="24"/>
            <w:szCs w:val="24"/>
            <w:lang w:eastAsia="en-MY" w:bidi="ar-SA"/>
            <w14:ligatures w14:val="none"/>
          </w:rPr>
          <w:t>https://doi.org/10.3390/su13137222</w:t>
        </w:r>
      </w:hyperlink>
    </w:p>
    <w:p w14:paraId="7285A43C" w14:textId="77777777" w:rsidR="0039339D" w:rsidRPr="00362F15" w:rsidRDefault="0039339D" w:rsidP="005C5254">
      <w:pPr>
        <w:pStyle w:val="a"/>
        <w:numPr>
          <w:ilvl w:val="0"/>
          <w:numId w:val="9"/>
        </w:numPr>
        <w:spacing w:before="240" w:after="240" w:afterAutospacing="0" w:line="240" w:lineRule="auto"/>
      </w:pPr>
      <w:r w:rsidRPr="00362F15">
        <w:rPr>
          <w:lang w:val="fi-FI"/>
        </w:rPr>
        <w:t xml:space="preserve">Ham, J. H., Lee, Y. J., Lee, S. S., &amp; Kim, H. Y. (2025). </w:t>
      </w:r>
      <w:r w:rsidRPr="00362F15">
        <w:t xml:space="preserve">Food Fraud in Plant-Based Proteins: Analytical Strategies and Regulatory Perspectives. </w:t>
      </w:r>
      <w:r w:rsidRPr="00362F15">
        <w:rPr>
          <w:i/>
          <w:iCs/>
        </w:rPr>
        <w:t>Foods</w:t>
      </w:r>
      <w:r w:rsidRPr="00362F15">
        <w:t xml:space="preserve">, </w:t>
      </w:r>
      <w:r w:rsidRPr="00362F15">
        <w:rPr>
          <w:i/>
          <w:iCs/>
        </w:rPr>
        <w:t>14</w:t>
      </w:r>
      <w:r w:rsidRPr="00362F15">
        <w:t xml:space="preserve">(9), 1548. </w:t>
      </w:r>
      <w:hyperlink r:id="rId39" w:history="1">
        <w:r w:rsidRPr="00362F15">
          <w:rPr>
            <w:rStyle w:val="Hyperlink"/>
          </w:rPr>
          <w:t>https://doi.org/10.3390/foods14091548</w:t>
        </w:r>
      </w:hyperlink>
    </w:p>
    <w:p w14:paraId="0BFA851D" w14:textId="77777777" w:rsidR="0039339D" w:rsidRPr="00362F15" w:rsidRDefault="0039339D" w:rsidP="005C5254">
      <w:pPr>
        <w:pStyle w:val="a"/>
        <w:numPr>
          <w:ilvl w:val="0"/>
          <w:numId w:val="9"/>
        </w:numPr>
        <w:spacing w:before="240" w:after="240" w:afterAutospacing="0" w:line="240" w:lineRule="auto"/>
      </w:pPr>
      <w:r w:rsidRPr="00362F15">
        <w:t xml:space="preserve">Heghedűș-Mîndru, G., Negrea, P., </w:t>
      </w:r>
      <w:proofErr w:type="spellStart"/>
      <w:r w:rsidRPr="00362F15">
        <w:t>Trașcă</w:t>
      </w:r>
      <w:proofErr w:type="spellEnd"/>
      <w:r w:rsidRPr="00362F15">
        <w:t xml:space="preserve">, T. I., </w:t>
      </w:r>
      <w:proofErr w:type="spellStart"/>
      <w:r w:rsidRPr="00362F15">
        <w:t>Ștef</w:t>
      </w:r>
      <w:proofErr w:type="spellEnd"/>
      <w:r w:rsidRPr="00362F15">
        <w:t xml:space="preserve">, D. S., </w:t>
      </w:r>
      <w:proofErr w:type="spellStart"/>
      <w:r w:rsidRPr="00362F15">
        <w:t>Cocan</w:t>
      </w:r>
      <w:proofErr w:type="spellEnd"/>
      <w:r w:rsidRPr="00362F15">
        <w:t xml:space="preserve">, I., &amp; </w:t>
      </w:r>
      <w:proofErr w:type="spellStart"/>
      <w:r w:rsidRPr="00362F15">
        <w:t>Heghedűș</w:t>
      </w:r>
      <w:proofErr w:type="spellEnd"/>
      <w:r w:rsidRPr="00362F15">
        <w:t xml:space="preserve">-Mîndru, R. C. (2023). Food intake of macro and trace elements from different fresh vegetables taken from Timisoara Market, Romania—Chemometric analysis of the results. </w:t>
      </w:r>
      <w:r w:rsidRPr="00362F15">
        <w:rPr>
          <w:i/>
          <w:iCs/>
        </w:rPr>
        <w:t>Foods</w:t>
      </w:r>
      <w:r w:rsidRPr="00362F15">
        <w:t xml:space="preserve">, </w:t>
      </w:r>
      <w:r w:rsidRPr="00362F15">
        <w:rPr>
          <w:i/>
          <w:iCs/>
        </w:rPr>
        <w:t>12</w:t>
      </w:r>
      <w:r w:rsidRPr="00362F15">
        <w:t xml:space="preserve">(4), 749. </w:t>
      </w:r>
      <w:hyperlink r:id="rId40" w:history="1">
        <w:r w:rsidRPr="00362F15">
          <w:rPr>
            <w:rStyle w:val="Hyperlink"/>
          </w:rPr>
          <w:t>https://doi.org/10.3390/foods12040749</w:t>
        </w:r>
      </w:hyperlink>
    </w:p>
    <w:p w14:paraId="24D171FE" w14:textId="77777777" w:rsidR="0039339D" w:rsidRPr="00362F15" w:rsidRDefault="0039339D" w:rsidP="005C5254">
      <w:pPr>
        <w:pStyle w:val="ListParagraph"/>
        <w:numPr>
          <w:ilvl w:val="0"/>
          <w:numId w:val="9"/>
        </w:numPr>
        <w:spacing w:before="240" w:after="240" w:line="240" w:lineRule="auto"/>
        <w:jc w:val="both"/>
        <w:rPr>
          <w:rFonts w:ascii="Times New Roman" w:eastAsia="Times New Roman" w:hAnsi="Times New Roman" w:cs="Times New Roman"/>
          <w:kern w:val="0"/>
          <w:sz w:val="24"/>
          <w:szCs w:val="24"/>
          <w:lang w:eastAsia="en-MY" w:bidi="ar-SA"/>
          <w14:ligatures w14:val="none"/>
        </w:rPr>
      </w:pPr>
      <w:r w:rsidRPr="00362F15">
        <w:rPr>
          <w:rFonts w:ascii="Times New Roman" w:eastAsia="Times New Roman" w:hAnsi="Times New Roman" w:cs="Times New Roman"/>
          <w:kern w:val="0"/>
          <w:sz w:val="24"/>
          <w:szCs w:val="24"/>
          <w:lang w:eastAsia="en-MY" w:bidi="ar-SA"/>
          <w14:ligatures w14:val="none"/>
        </w:rPr>
        <w:t xml:space="preserve">Henry, B., Garai, R., &amp; Kiong, W. S. Food Security: Perspectives from the Bidayuh Community, Sarawak, Malaysia. </w:t>
      </w:r>
      <w:hyperlink r:id="rId41" w:history="1">
        <w:r w:rsidRPr="00362F15">
          <w:rPr>
            <w:rStyle w:val="Hyperlink"/>
            <w:rFonts w:ascii="Times New Roman" w:eastAsia="Times New Roman" w:hAnsi="Times New Roman" w:cs="Times New Roman"/>
            <w:kern w:val="0"/>
            <w:sz w:val="24"/>
            <w:szCs w:val="24"/>
            <w:lang w:eastAsia="en-MY" w:bidi="ar-SA"/>
            <w14:ligatures w14:val="none"/>
          </w:rPr>
          <w:t>https://dx.doi.org/10.47772/IJRISS.2025.908000442</w:t>
        </w:r>
      </w:hyperlink>
    </w:p>
    <w:p w14:paraId="120EE98E" w14:textId="77777777" w:rsidR="0039339D" w:rsidRPr="00362F15" w:rsidRDefault="0039339D" w:rsidP="005C5254">
      <w:pPr>
        <w:pStyle w:val="a"/>
        <w:numPr>
          <w:ilvl w:val="0"/>
          <w:numId w:val="9"/>
        </w:numPr>
        <w:spacing w:before="240" w:after="240" w:afterAutospacing="0" w:line="240" w:lineRule="auto"/>
      </w:pPr>
      <w:r w:rsidRPr="00362F15">
        <w:t xml:space="preserve">Kharbach, M. (2025). AI-Powered Advances in Data Handling for Enhanced Food Analysis: From Chemometrics to Machine Learning. </w:t>
      </w:r>
      <w:r w:rsidRPr="00362F15">
        <w:rPr>
          <w:i/>
          <w:iCs/>
        </w:rPr>
        <w:t>Foods</w:t>
      </w:r>
      <w:r w:rsidRPr="00362F15">
        <w:t xml:space="preserve">, </w:t>
      </w:r>
      <w:r w:rsidRPr="00362F15">
        <w:rPr>
          <w:i/>
          <w:iCs/>
        </w:rPr>
        <w:t>14</w:t>
      </w:r>
      <w:r w:rsidRPr="00362F15">
        <w:t xml:space="preserve">(19), 3415. </w:t>
      </w:r>
      <w:hyperlink r:id="rId42" w:history="1">
        <w:r w:rsidRPr="00362F15">
          <w:rPr>
            <w:rStyle w:val="Hyperlink"/>
          </w:rPr>
          <w:t>https://doi.org/10.3390/foods14193415</w:t>
        </w:r>
      </w:hyperlink>
    </w:p>
    <w:p w14:paraId="61229C9D" w14:textId="77777777" w:rsidR="0039339D" w:rsidRPr="00362F15" w:rsidRDefault="0039339D" w:rsidP="005C5254">
      <w:pPr>
        <w:pStyle w:val="a"/>
        <w:numPr>
          <w:ilvl w:val="0"/>
          <w:numId w:val="9"/>
        </w:numPr>
        <w:spacing w:before="240" w:after="240" w:afterAutospacing="0" w:line="240" w:lineRule="auto"/>
      </w:pPr>
      <w:r w:rsidRPr="00362F15">
        <w:t xml:space="preserve">Kharbach, M., Alaoui Mansouri, M., Taabouz, M., &amp; Yu, H. (2023). Current application of advancing spectroscopy techniques in food analysis: data handling with chemometric approaches. </w:t>
      </w:r>
      <w:r w:rsidRPr="00362F15">
        <w:rPr>
          <w:i/>
          <w:iCs/>
        </w:rPr>
        <w:t>Foods</w:t>
      </w:r>
      <w:r w:rsidRPr="00362F15">
        <w:t xml:space="preserve">, </w:t>
      </w:r>
      <w:r w:rsidRPr="00362F15">
        <w:rPr>
          <w:i/>
          <w:iCs/>
        </w:rPr>
        <w:t>12</w:t>
      </w:r>
      <w:r w:rsidRPr="00362F15">
        <w:t xml:space="preserve">(14), 2753. </w:t>
      </w:r>
      <w:hyperlink r:id="rId43" w:history="1">
        <w:r w:rsidRPr="00362F15">
          <w:rPr>
            <w:rStyle w:val="Hyperlink"/>
          </w:rPr>
          <w:t>https://doi.org/10.3390/foods12142753</w:t>
        </w:r>
      </w:hyperlink>
    </w:p>
    <w:p w14:paraId="07DF1D70" w14:textId="77777777" w:rsidR="0039339D" w:rsidRPr="00362F15" w:rsidRDefault="0039339D" w:rsidP="005C5254">
      <w:pPr>
        <w:pStyle w:val="ListParagraph"/>
        <w:numPr>
          <w:ilvl w:val="0"/>
          <w:numId w:val="9"/>
        </w:numPr>
        <w:spacing w:before="240" w:after="240" w:line="240" w:lineRule="auto"/>
        <w:jc w:val="both"/>
        <w:rPr>
          <w:rFonts w:ascii="Times New Roman" w:eastAsia="Times New Roman" w:hAnsi="Times New Roman" w:cs="Times New Roman"/>
          <w:kern w:val="0"/>
          <w:sz w:val="24"/>
          <w:szCs w:val="24"/>
          <w:lang w:eastAsia="en-MY" w:bidi="ar-SA"/>
          <w14:ligatures w14:val="none"/>
        </w:rPr>
      </w:pPr>
      <w:r w:rsidRPr="00362F15">
        <w:rPr>
          <w:rFonts w:ascii="Times New Roman" w:eastAsia="Times New Roman" w:hAnsi="Times New Roman" w:cs="Times New Roman"/>
          <w:kern w:val="0"/>
          <w:sz w:val="24"/>
          <w:szCs w:val="24"/>
          <w:lang w:val="fi-FI" w:eastAsia="en-MY" w:bidi="ar-SA"/>
          <w14:ligatures w14:val="none"/>
        </w:rPr>
        <w:t xml:space="preserve">Kiani-Salmi, N., Bahramian, B., Abedi-Firoozjah, R., Ebrahimi, A., Khezerlou, A., Tavassoli, M., &amp; Ehsani, A. (2025). </w:t>
      </w:r>
      <w:r w:rsidRPr="00362F15">
        <w:rPr>
          <w:rFonts w:ascii="Times New Roman" w:eastAsia="Times New Roman" w:hAnsi="Times New Roman" w:cs="Times New Roman"/>
          <w:kern w:val="0"/>
          <w:sz w:val="24"/>
          <w:szCs w:val="24"/>
          <w:lang w:eastAsia="en-MY" w:bidi="ar-SA"/>
          <w14:ligatures w14:val="none"/>
        </w:rPr>
        <w:t xml:space="preserve">Recent advances and trends in magnetic nanoparticle-assisted aptasensors for foodborne bacteria monitoring: applications, challenges, and updates. </w:t>
      </w:r>
      <w:r w:rsidRPr="00362F15">
        <w:rPr>
          <w:rFonts w:ascii="Times New Roman" w:eastAsia="Times New Roman" w:hAnsi="Times New Roman" w:cs="Times New Roman"/>
          <w:i/>
          <w:iCs/>
          <w:kern w:val="0"/>
          <w:sz w:val="24"/>
          <w:szCs w:val="24"/>
          <w:lang w:eastAsia="en-MY" w:bidi="ar-SA"/>
          <w14:ligatures w14:val="none"/>
        </w:rPr>
        <w:t>Food Chemistry: X</w:t>
      </w:r>
      <w:r w:rsidRPr="00362F15">
        <w:rPr>
          <w:rFonts w:ascii="Times New Roman" w:eastAsia="Times New Roman" w:hAnsi="Times New Roman" w:cs="Times New Roman"/>
          <w:kern w:val="0"/>
          <w:sz w:val="24"/>
          <w:szCs w:val="24"/>
          <w:lang w:eastAsia="en-MY" w:bidi="ar-SA"/>
          <w14:ligatures w14:val="none"/>
        </w:rPr>
        <w:t xml:space="preserve">, 103156. </w:t>
      </w:r>
      <w:hyperlink r:id="rId44" w:history="1">
        <w:r w:rsidRPr="00362F15">
          <w:rPr>
            <w:rStyle w:val="Hyperlink"/>
            <w:rFonts w:ascii="Times New Roman" w:eastAsia="Times New Roman" w:hAnsi="Times New Roman" w:cs="Times New Roman"/>
            <w:kern w:val="0"/>
            <w:sz w:val="24"/>
            <w:szCs w:val="24"/>
            <w:lang w:eastAsia="en-MY" w:bidi="ar-SA"/>
            <w14:ligatures w14:val="none"/>
          </w:rPr>
          <w:t>https://doi.org/10.1016/j.fochx.2025.103156</w:t>
        </w:r>
      </w:hyperlink>
    </w:p>
    <w:p w14:paraId="15790278" w14:textId="77777777" w:rsidR="0039339D" w:rsidRPr="00362F15" w:rsidRDefault="0039339D" w:rsidP="005C5254">
      <w:pPr>
        <w:widowControl/>
        <w:numPr>
          <w:ilvl w:val="0"/>
          <w:numId w:val="9"/>
        </w:numPr>
        <w:spacing w:before="240" w:after="240"/>
        <w:jc w:val="both"/>
        <w:rPr>
          <w:rFonts w:ascii="Times New Roman" w:hAnsi="Times New Roman" w:cs="Times New Roman"/>
          <w:sz w:val="24"/>
          <w:szCs w:val="24"/>
        </w:rPr>
      </w:pPr>
      <w:r w:rsidRPr="00362F15">
        <w:rPr>
          <w:rFonts w:ascii="Times New Roman" w:eastAsia="Times New Roman" w:hAnsi="Times New Roman" w:cs="Times New Roman"/>
          <w:sz w:val="24"/>
          <w:szCs w:val="24"/>
          <w:lang w:val="fi-FI"/>
        </w:rPr>
        <w:t xml:space="preserve"> </w:t>
      </w:r>
      <w:r w:rsidRPr="00362F15">
        <w:rPr>
          <w:rFonts w:ascii="Times New Roman" w:hAnsi="Times New Roman" w:cs="Times New Roman"/>
          <w:sz w:val="24"/>
          <w:szCs w:val="24"/>
          <w:lang w:val="fi-FI"/>
        </w:rPr>
        <w:t xml:space="preserve">Kpalo, S. Y., Zainuddin, M. F., Manaf, L. A., &amp; Roslan, A. M. (2020). </w:t>
      </w:r>
      <w:r w:rsidRPr="00362F15">
        <w:rPr>
          <w:rFonts w:ascii="Times New Roman" w:hAnsi="Times New Roman" w:cs="Times New Roman"/>
          <w:sz w:val="24"/>
          <w:szCs w:val="24"/>
        </w:rPr>
        <w:t xml:space="preserve">Production and characterization of hybrid briquettes from corncobs and oil palm trunk bark under a </w:t>
      </w:r>
      <w:proofErr w:type="gramStart"/>
      <w:r w:rsidRPr="00362F15">
        <w:rPr>
          <w:rFonts w:ascii="Times New Roman" w:hAnsi="Times New Roman" w:cs="Times New Roman"/>
          <w:sz w:val="24"/>
          <w:szCs w:val="24"/>
        </w:rPr>
        <w:t>low pressure</w:t>
      </w:r>
      <w:proofErr w:type="gramEnd"/>
      <w:r w:rsidRPr="00362F15">
        <w:rPr>
          <w:rFonts w:ascii="Times New Roman" w:hAnsi="Times New Roman" w:cs="Times New Roman"/>
          <w:sz w:val="24"/>
          <w:szCs w:val="24"/>
        </w:rPr>
        <w:t xml:space="preserve"> densification technique. </w:t>
      </w:r>
      <w:r w:rsidRPr="00362F15">
        <w:rPr>
          <w:rFonts w:ascii="Times New Roman" w:hAnsi="Times New Roman" w:cs="Times New Roman"/>
          <w:i/>
          <w:iCs/>
          <w:sz w:val="24"/>
          <w:szCs w:val="24"/>
        </w:rPr>
        <w:t>Sustainability</w:t>
      </w:r>
      <w:r w:rsidRPr="00362F15">
        <w:rPr>
          <w:rFonts w:ascii="Times New Roman" w:hAnsi="Times New Roman" w:cs="Times New Roman"/>
          <w:sz w:val="24"/>
          <w:szCs w:val="24"/>
        </w:rPr>
        <w:t xml:space="preserve">, </w:t>
      </w:r>
      <w:r w:rsidRPr="00362F15">
        <w:rPr>
          <w:rFonts w:ascii="Times New Roman" w:hAnsi="Times New Roman" w:cs="Times New Roman"/>
          <w:i/>
          <w:iCs/>
          <w:sz w:val="24"/>
          <w:szCs w:val="24"/>
        </w:rPr>
        <w:t>12</w:t>
      </w:r>
      <w:r w:rsidRPr="00362F15">
        <w:rPr>
          <w:rFonts w:ascii="Times New Roman" w:hAnsi="Times New Roman" w:cs="Times New Roman"/>
          <w:sz w:val="24"/>
          <w:szCs w:val="24"/>
        </w:rPr>
        <w:t xml:space="preserve">(6), 2468. </w:t>
      </w:r>
      <w:hyperlink r:id="rId45" w:history="1">
        <w:r w:rsidRPr="00362F15">
          <w:rPr>
            <w:rStyle w:val="Hyperlink"/>
            <w:rFonts w:ascii="Times New Roman" w:hAnsi="Times New Roman" w:cs="Times New Roman"/>
            <w:sz w:val="24"/>
            <w:szCs w:val="24"/>
          </w:rPr>
          <w:t>https://doi.org/10.3390/su12062468</w:t>
        </w:r>
      </w:hyperlink>
    </w:p>
    <w:p w14:paraId="5E607295" w14:textId="77777777" w:rsidR="0039339D" w:rsidRPr="00AF34A3" w:rsidRDefault="0039339D" w:rsidP="005C5254">
      <w:pPr>
        <w:pStyle w:val="ListParagraph"/>
        <w:numPr>
          <w:ilvl w:val="0"/>
          <w:numId w:val="9"/>
        </w:numPr>
        <w:spacing w:before="240" w:after="240" w:line="240" w:lineRule="auto"/>
        <w:jc w:val="both"/>
        <w:rPr>
          <w:rFonts w:ascii="Times New Roman" w:eastAsia="Times New Roman" w:hAnsi="Times New Roman" w:cs="Times New Roman"/>
          <w:kern w:val="0"/>
          <w:sz w:val="24"/>
          <w:szCs w:val="24"/>
          <w:lang w:eastAsia="en-MY" w:bidi="ar-SA"/>
          <w14:ligatures w14:val="none"/>
        </w:rPr>
      </w:pPr>
      <w:r w:rsidRPr="00362F15">
        <w:rPr>
          <w:rFonts w:ascii="Times New Roman" w:eastAsia="Times New Roman" w:hAnsi="Times New Roman" w:cs="Times New Roman"/>
          <w:kern w:val="0"/>
          <w:sz w:val="24"/>
          <w:szCs w:val="24"/>
          <w:lang w:eastAsia="en-MY" w:bidi="ar-SA"/>
          <w14:ligatures w14:val="none"/>
        </w:rPr>
        <w:t xml:space="preserve">Ling, E. K., &amp; Wahab, S. N. (2020). Integrity of food supply chain: going beyond food safety and food quality. </w:t>
      </w:r>
      <w:r w:rsidRPr="00362F15">
        <w:rPr>
          <w:rFonts w:ascii="Times New Roman" w:eastAsia="Times New Roman" w:hAnsi="Times New Roman" w:cs="Times New Roman"/>
          <w:i/>
          <w:iCs/>
          <w:kern w:val="0"/>
          <w:sz w:val="24"/>
          <w:szCs w:val="24"/>
          <w:lang w:eastAsia="en-MY" w:bidi="ar-SA"/>
          <w14:ligatures w14:val="none"/>
        </w:rPr>
        <w:t>International Journal of Productivity and Quality Management</w:t>
      </w:r>
      <w:r w:rsidRPr="00362F15">
        <w:rPr>
          <w:rFonts w:ascii="Times New Roman" w:eastAsia="Times New Roman" w:hAnsi="Times New Roman" w:cs="Times New Roman"/>
          <w:kern w:val="0"/>
          <w:sz w:val="24"/>
          <w:szCs w:val="24"/>
          <w:lang w:eastAsia="en-MY" w:bidi="ar-SA"/>
          <w14:ligatures w14:val="none"/>
        </w:rPr>
        <w:t xml:space="preserve">, </w:t>
      </w:r>
      <w:r w:rsidRPr="00362F15">
        <w:rPr>
          <w:rFonts w:ascii="Times New Roman" w:eastAsia="Times New Roman" w:hAnsi="Times New Roman" w:cs="Times New Roman"/>
          <w:i/>
          <w:iCs/>
          <w:kern w:val="0"/>
          <w:sz w:val="24"/>
          <w:szCs w:val="24"/>
          <w:lang w:eastAsia="en-MY" w:bidi="ar-SA"/>
          <w14:ligatures w14:val="none"/>
        </w:rPr>
        <w:t>29</w:t>
      </w:r>
      <w:r w:rsidRPr="00362F15">
        <w:rPr>
          <w:rFonts w:ascii="Times New Roman" w:eastAsia="Times New Roman" w:hAnsi="Times New Roman" w:cs="Times New Roman"/>
          <w:kern w:val="0"/>
          <w:sz w:val="24"/>
          <w:szCs w:val="24"/>
          <w:lang w:eastAsia="en-MY" w:bidi="ar-SA"/>
          <w14:ligatures w14:val="none"/>
        </w:rPr>
        <w:t xml:space="preserve">(2), 216-232. </w:t>
      </w:r>
      <w:hyperlink r:id="rId46" w:history="1">
        <w:r w:rsidRPr="00362F15">
          <w:rPr>
            <w:rStyle w:val="Hyperlink"/>
            <w:rFonts w:ascii="Times New Roman" w:eastAsia="Times New Roman" w:hAnsi="Times New Roman" w:cs="Times New Roman"/>
            <w:kern w:val="0"/>
            <w:sz w:val="24"/>
            <w:szCs w:val="24"/>
            <w:lang w:eastAsia="en-MY" w:bidi="ar-SA"/>
            <w14:ligatures w14:val="none"/>
          </w:rPr>
          <w:t>https://doi.org/10.1504/IJPQM.2020.105963</w:t>
        </w:r>
      </w:hyperlink>
    </w:p>
    <w:p w14:paraId="26BE0F2A" w14:textId="77777777" w:rsidR="00AF34A3" w:rsidRPr="00362F15" w:rsidRDefault="00AF34A3" w:rsidP="00AF34A3">
      <w:pPr>
        <w:pStyle w:val="ListParagraph"/>
        <w:spacing w:before="240" w:after="240" w:line="240" w:lineRule="auto"/>
        <w:jc w:val="both"/>
        <w:rPr>
          <w:rFonts w:ascii="Times New Roman" w:eastAsia="Times New Roman" w:hAnsi="Times New Roman" w:cs="Times New Roman"/>
          <w:kern w:val="0"/>
          <w:sz w:val="24"/>
          <w:szCs w:val="24"/>
          <w:lang w:eastAsia="en-MY" w:bidi="ar-SA"/>
          <w14:ligatures w14:val="none"/>
        </w:rPr>
      </w:pPr>
    </w:p>
    <w:p w14:paraId="3518B8CA" w14:textId="77777777" w:rsidR="0039339D" w:rsidRPr="00AF34A3" w:rsidRDefault="0039339D" w:rsidP="005C5254">
      <w:pPr>
        <w:pStyle w:val="ListParagraph"/>
        <w:numPr>
          <w:ilvl w:val="0"/>
          <w:numId w:val="9"/>
        </w:numPr>
        <w:spacing w:before="240" w:after="240" w:line="240" w:lineRule="auto"/>
        <w:rPr>
          <w:rFonts w:ascii="Times New Roman" w:eastAsia="Times New Roman" w:hAnsi="Times New Roman" w:cs="Times New Roman"/>
          <w:kern w:val="0"/>
          <w:sz w:val="24"/>
          <w:szCs w:val="24"/>
          <w:lang w:eastAsia="en-MY" w:bidi="ar-SA"/>
          <w14:ligatures w14:val="none"/>
        </w:rPr>
      </w:pPr>
      <w:r w:rsidRPr="00362F15">
        <w:rPr>
          <w:rFonts w:ascii="Times New Roman" w:eastAsia="Times New Roman" w:hAnsi="Times New Roman" w:cs="Times New Roman"/>
          <w:kern w:val="0"/>
          <w:sz w:val="24"/>
          <w:szCs w:val="24"/>
          <w:lang w:val="fi-FI" w:eastAsia="en-MY" w:bidi="ar-SA"/>
          <w14:ligatures w14:val="none"/>
        </w:rPr>
        <w:t xml:space="preserve">Liu, X., Zhu, X., Han, Z., &amp; Liu, H. (2025). </w:t>
      </w:r>
      <w:r w:rsidRPr="00362F15">
        <w:rPr>
          <w:rFonts w:ascii="Times New Roman" w:eastAsia="Times New Roman" w:hAnsi="Times New Roman" w:cs="Times New Roman"/>
          <w:kern w:val="0"/>
          <w:sz w:val="24"/>
          <w:szCs w:val="24"/>
          <w:lang w:eastAsia="en-MY" w:bidi="ar-SA"/>
          <w14:ligatures w14:val="none"/>
        </w:rPr>
        <w:t xml:space="preserve">Recent advances in the mechanisms of quality degradation and control technologies for peanut butter: a literature review. </w:t>
      </w:r>
      <w:r w:rsidRPr="00362F15">
        <w:rPr>
          <w:rFonts w:ascii="Times New Roman" w:eastAsia="Times New Roman" w:hAnsi="Times New Roman" w:cs="Times New Roman"/>
          <w:i/>
          <w:iCs/>
          <w:kern w:val="0"/>
          <w:sz w:val="24"/>
          <w:szCs w:val="24"/>
          <w:lang w:eastAsia="en-MY" w:bidi="ar-SA"/>
          <w14:ligatures w14:val="none"/>
        </w:rPr>
        <w:t>Foods</w:t>
      </w:r>
      <w:r w:rsidRPr="00362F15">
        <w:rPr>
          <w:rFonts w:ascii="Times New Roman" w:eastAsia="Times New Roman" w:hAnsi="Times New Roman" w:cs="Times New Roman"/>
          <w:kern w:val="0"/>
          <w:sz w:val="24"/>
          <w:szCs w:val="24"/>
          <w:lang w:eastAsia="en-MY" w:bidi="ar-SA"/>
          <w14:ligatures w14:val="none"/>
        </w:rPr>
        <w:t xml:space="preserve">, </w:t>
      </w:r>
      <w:r w:rsidRPr="00362F15">
        <w:rPr>
          <w:rFonts w:ascii="Times New Roman" w:eastAsia="Times New Roman" w:hAnsi="Times New Roman" w:cs="Times New Roman"/>
          <w:i/>
          <w:iCs/>
          <w:kern w:val="0"/>
          <w:sz w:val="24"/>
          <w:szCs w:val="24"/>
          <w:lang w:eastAsia="en-MY" w:bidi="ar-SA"/>
          <w14:ligatures w14:val="none"/>
        </w:rPr>
        <w:t>14</w:t>
      </w:r>
      <w:r w:rsidRPr="00362F15">
        <w:rPr>
          <w:rFonts w:ascii="Times New Roman" w:eastAsia="Times New Roman" w:hAnsi="Times New Roman" w:cs="Times New Roman"/>
          <w:kern w:val="0"/>
          <w:sz w:val="24"/>
          <w:szCs w:val="24"/>
          <w:lang w:eastAsia="en-MY" w:bidi="ar-SA"/>
          <w14:ligatures w14:val="none"/>
        </w:rPr>
        <w:t xml:space="preserve">(1), 105. </w:t>
      </w:r>
      <w:hyperlink r:id="rId47" w:history="1">
        <w:r w:rsidRPr="00362F15">
          <w:rPr>
            <w:rStyle w:val="Hyperlink"/>
            <w:rFonts w:ascii="Times New Roman" w:eastAsia="Times New Roman" w:hAnsi="Times New Roman" w:cs="Times New Roman"/>
            <w:kern w:val="0"/>
            <w:sz w:val="24"/>
            <w:szCs w:val="24"/>
            <w:lang w:eastAsia="en-MY" w:bidi="ar-SA"/>
            <w14:ligatures w14:val="none"/>
          </w:rPr>
          <w:t>https://doi.org/10.3390/foods14010105</w:t>
        </w:r>
      </w:hyperlink>
    </w:p>
    <w:p w14:paraId="3EA035AF" w14:textId="77777777" w:rsidR="00AF34A3" w:rsidRPr="00AF34A3" w:rsidRDefault="00AF34A3" w:rsidP="00AF34A3">
      <w:pPr>
        <w:pStyle w:val="ListParagraph"/>
        <w:rPr>
          <w:rFonts w:ascii="Times New Roman" w:eastAsia="Times New Roman" w:hAnsi="Times New Roman" w:cs="Times New Roman"/>
          <w:kern w:val="0"/>
          <w:sz w:val="24"/>
          <w:szCs w:val="24"/>
          <w:lang w:eastAsia="en-MY" w:bidi="ar-SA"/>
          <w14:ligatures w14:val="none"/>
        </w:rPr>
      </w:pPr>
    </w:p>
    <w:p w14:paraId="1075DE20" w14:textId="77777777" w:rsidR="0039339D" w:rsidRPr="00362F15" w:rsidRDefault="0039339D" w:rsidP="005C5254">
      <w:pPr>
        <w:pStyle w:val="ListParagraph"/>
        <w:numPr>
          <w:ilvl w:val="0"/>
          <w:numId w:val="9"/>
        </w:numPr>
        <w:spacing w:before="240" w:after="240" w:line="240" w:lineRule="auto"/>
        <w:jc w:val="both"/>
        <w:rPr>
          <w:rFonts w:ascii="Times New Roman" w:eastAsia="Times New Roman" w:hAnsi="Times New Roman" w:cs="Times New Roman"/>
          <w:kern w:val="0"/>
          <w:sz w:val="24"/>
          <w:szCs w:val="24"/>
          <w:lang w:eastAsia="en-MY" w:bidi="ar-SA"/>
          <w14:ligatures w14:val="none"/>
        </w:rPr>
      </w:pPr>
      <w:r w:rsidRPr="00362F15">
        <w:rPr>
          <w:rFonts w:ascii="Times New Roman" w:eastAsia="Times New Roman" w:hAnsi="Times New Roman" w:cs="Times New Roman"/>
          <w:kern w:val="0"/>
          <w:sz w:val="24"/>
          <w:szCs w:val="24"/>
          <w:lang w:eastAsia="en-MY" w:bidi="ar-SA"/>
          <w14:ligatures w14:val="none"/>
        </w:rPr>
        <w:t xml:space="preserve">Munialo, C. D., &amp; Mellor, D. D. (2024). A review of the impact of social disruptions on food security and food choice. </w:t>
      </w:r>
      <w:r w:rsidRPr="00362F15">
        <w:rPr>
          <w:rFonts w:ascii="Times New Roman" w:eastAsia="Times New Roman" w:hAnsi="Times New Roman" w:cs="Times New Roman"/>
          <w:i/>
          <w:iCs/>
          <w:kern w:val="0"/>
          <w:sz w:val="24"/>
          <w:szCs w:val="24"/>
          <w:lang w:eastAsia="en-MY" w:bidi="ar-SA"/>
          <w14:ligatures w14:val="none"/>
        </w:rPr>
        <w:t>Food Science &amp; Nutrition</w:t>
      </w:r>
      <w:r w:rsidRPr="00362F15">
        <w:rPr>
          <w:rFonts w:ascii="Times New Roman" w:eastAsia="Times New Roman" w:hAnsi="Times New Roman" w:cs="Times New Roman"/>
          <w:kern w:val="0"/>
          <w:sz w:val="24"/>
          <w:szCs w:val="24"/>
          <w:lang w:eastAsia="en-MY" w:bidi="ar-SA"/>
          <w14:ligatures w14:val="none"/>
        </w:rPr>
        <w:t xml:space="preserve">, </w:t>
      </w:r>
      <w:r w:rsidRPr="00362F15">
        <w:rPr>
          <w:rFonts w:ascii="Times New Roman" w:eastAsia="Times New Roman" w:hAnsi="Times New Roman" w:cs="Times New Roman"/>
          <w:i/>
          <w:iCs/>
          <w:kern w:val="0"/>
          <w:sz w:val="24"/>
          <w:szCs w:val="24"/>
          <w:lang w:eastAsia="en-MY" w:bidi="ar-SA"/>
          <w14:ligatures w14:val="none"/>
        </w:rPr>
        <w:t>12</w:t>
      </w:r>
      <w:r w:rsidRPr="00362F15">
        <w:rPr>
          <w:rFonts w:ascii="Times New Roman" w:eastAsia="Times New Roman" w:hAnsi="Times New Roman" w:cs="Times New Roman"/>
          <w:kern w:val="0"/>
          <w:sz w:val="24"/>
          <w:szCs w:val="24"/>
          <w:lang w:eastAsia="en-MY" w:bidi="ar-SA"/>
          <w14:ligatures w14:val="none"/>
        </w:rPr>
        <w:t xml:space="preserve">(1), 13-23. </w:t>
      </w:r>
      <w:hyperlink r:id="rId48" w:history="1">
        <w:r w:rsidRPr="00362F15">
          <w:rPr>
            <w:rStyle w:val="Hyperlink"/>
            <w:rFonts w:ascii="Times New Roman" w:eastAsia="Times New Roman" w:hAnsi="Times New Roman" w:cs="Times New Roman"/>
            <w:kern w:val="0"/>
            <w:sz w:val="24"/>
            <w:szCs w:val="24"/>
            <w:lang w:eastAsia="en-MY" w:bidi="ar-SA"/>
            <w14:ligatures w14:val="none"/>
          </w:rPr>
          <w:t>https://doi.org/10.1002/fsn3.3752</w:t>
        </w:r>
      </w:hyperlink>
    </w:p>
    <w:p w14:paraId="14D722B5" w14:textId="77777777" w:rsidR="0039339D" w:rsidRPr="00362F15" w:rsidRDefault="0039339D" w:rsidP="005C5254">
      <w:pPr>
        <w:pStyle w:val="a"/>
        <w:numPr>
          <w:ilvl w:val="0"/>
          <w:numId w:val="9"/>
        </w:numPr>
        <w:spacing w:before="240" w:after="240" w:afterAutospacing="0" w:line="240" w:lineRule="auto"/>
      </w:pPr>
      <w:r w:rsidRPr="00362F15">
        <w:lastRenderedPageBreak/>
        <w:t>Nascimento, A. P. S., Duarte, M. E. M., Rocha, A. P. T., &amp; Barros, A. N. (2025). Bioactive compounds, technological advances, and sustainable applications of avocado (</w:t>
      </w:r>
      <w:proofErr w:type="spellStart"/>
      <w:r w:rsidRPr="00362F15">
        <w:t>Persea</w:t>
      </w:r>
      <w:proofErr w:type="spellEnd"/>
      <w:r w:rsidRPr="00362F15">
        <w:t xml:space="preserve"> americana Mill.): a critical review. </w:t>
      </w:r>
      <w:r w:rsidRPr="00362F15">
        <w:rPr>
          <w:i/>
          <w:iCs/>
        </w:rPr>
        <w:t>Foods</w:t>
      </w:r>
      <w:r w:rsidRPr="00362F15">
        <w:t xml:space="preserve">, </w:t>
      </w:r>
      <w:r w:rsidRPr="00362F15">
        <w:rPr>
          <w:i/>
          <w:iCs/>
        </w:rPr>
        <w:t>14</w:t>
      </w:r>
      <w:r w:rsidRPr="00362F15">
        <w:t xml:space="preserve">(15), 2746. </w:t>
      </w:r>
      <w:hyperlink r:id="rId49" w:history="1">
        <w:r w:rsidRPr="00362F15">
          <w:rPr>
            <w:rStyle w:val="Hyperlink"/>
          </w:rPr>
          <w:t>https://doi.org/10.3390/foods14152746</w:t>
        </w:r>
      </w:hyperlink>
    </w:p>
    <w:p w14:paraId="1C5B2C42" w14:textId="77777777" w:rsidR="0039339D" w:rsidRPr="00362F15" w:rsidRDefault="0039339D" w:rsidP="005C5254">
      <w:pPr>
        <w:pStyle w:val="a"/>
        <w:numPr>
          <w:ilvl w:val="0"/>
          <w:numId w:val="9"/>
        </w:numPr>
        <w:spacing w:before="240" w:after="240" w:afterAutospacing="0" w:line="240" w:lineRule="auto"/>
      </w:pPr>
      <w:r w:rsidRPr="00362F15">
        <w:t xml:space="preserve">Papadopoulou, A., Boti, V., &amp; </w:t>
      </w:r>
      <w:proofErr w:type="spellStart"/>
      <w:r w:rsidRPr="00362F15">
        <w:t>Nannou</w:t>
      </w:r>
      <w:proofErr w:type="spellEnd"/>
      <w:r w:rsidRPr="00362F15">
        <w:t>, C. (2025). Towards Greener Sample Preparation: A Review on Micro-</w:t>
      </w:r>
      <w:proofErr w:type="spellStart"/>
      <w:r w:rsidRPr="00362F15">
        <w:t>QuEChERS</w:t>
      </w:r>
      <w:proofErr w:type="spellEnd"/>
      <w:r w:rsidRPr="00362F15">
        <w:t xml:space="preserve"> Advances and Applications in Food, Environmental, and Biological Matrices. </w:t>
      </w:r>
      <w:r w:rsidRPr="00362F15">
        <w:rPr>
          <w:i/>
          <w:iCs/>
        </w:rPr>
        <w:t>Separations</w:t>
      </w:r>
      <w:r w:rsidRPr="00362F15">
        <w:t xml:space="preserve">, </w:t>
      </w:r>
      <w:r w:rsidRPr="00362F15">
        <w:rPr>
          <w:i/>
          <w:iCs/>
        </w:rPr>
        <w:t>12</w:t>
      </w:r>
      <w:r w:rsidRPr="00362F15">
        <w:t xml:space="preserve">(12), 339. </w:t>
      </w:r>
      <w:hyperlink r:id="rId50" w:history="1">
        <w:r w:rsidRPr="00362F15">
          <w:rPr>
            <w:rStyle w:val="Hyperlink"/>
          </w:rPr>
          <w:t>https://doi.org/10.3390/separations12120339</w:t>
        </w:r>
      </w:hyperlink>
    </w:p>
    <w:p w14:paraId="70BDA3C9" w14:textId="77777777" w:rsidR="0039339D" w:rsidRPr="00362F15" w:rsidRDefault="0039339D" w:rsidP="005C5254">
      <w:pPr>
        <w:pStyle w:val="a"/>
        <w:numPr>
          <w:ilvl w:val="0"/>
          <w:numId w:val="9"/>
        </w:numPr>
        <w:spacing w:before="240" w:after="240" w:afterAutospacing="0" w:line="240" w:lineRule="auto"/>
      </w:pPr>
      <w:r w:rsidRPr="00362F15">
        <w:t xml:space="preserve">Pérez-Escamilla, R. (2024). Food and nutrition security definitions, constructs, frameworks, measurements, and applications: global lessons. </w:t>
      </w:r>
      <w:r w:rsidRPr="00362F15">
        <w:rPr>
          <w:i/>
          <w:iCs/>
        </w:rPr>
        <w:t>Frontiers in public health</w:t>
      </w:r>
      <w:r w:rsidRPr="00362F15">
        <w:t xml:space="preserve">, </w:t>
      </w:r>
      <w:r w:rsidRPr="00362F15">
        <w:rPr>
          <w:i/>
          <w:iCs/>
        </w:rPr>
        <w:t>12</w:t>
      </w:r>
      <w:r w:rsidRPr="00362F15">
        <w:t xml:space="preserve">, 1340149. </w:t>
      </w:r>
      <w:hyperlink r:id="rId51" w:history="1">
        <w:r w:rsidRPr="00362F15">
          <w:rPr>
            <w:rStyle w:val="Hyperlink"/>
          </w:rPr>
          <w:t>https://doi.org/10.3389/fpubh.2024.1340149</w:t>
        </w:r>
      </w:hyperlink>
    </w:p>
    <w:p w14:paraId="36413E9F" w14:textId="6CAE621A" w:rsidR="0039339D" w:rsidRPr="00AF34A3" w:rsidRDefault="0039339D" w:rsidP="005C5254">
      <w:pPr>
        <w:pStyle w:val="ListParagraph"/>
        <w:numPr>
          <w:ilvl w:val="0"/>
          <w:numId w:val="9"/>
        </w:numPr>
        <w:spacing w:before="240" w:after="240" w:line="240" w:lineRule="auto"/>
        <w:jc w:val="both"/>
        <w:rPr>
          <w:rFonts w:ascii="Times New Roman" w:eastAsia="Times New Roman" w:hAnsi="Times New Roman" w:cs="Times New Roman"/>
          <w:kern w:val="0"/>
          <w:sz w:val="24"/>
          <w:szCs w:val="24"/>
          <w:lang w:eastAsia="en-MY" w:bidi="ar-SA"/>
          <w14:ligatures w14:val="none"/>
        </w:rPr>
      </w:pPr>
      <w:proofErr w:type="spellStart"/>
      <w:r w:rsidRPr="00362F15">
        <w:rPr>
          <w:rFonts w:ascii="Times New Roman" w:eastAsia="Times New Roman" w:hAnsi="Times New Roman" w:cs="Times New Roman"/>
          <w:kern w:val="0"/>
          <w:sz w:val="24"/>
          <w:szCs w:val="24"/>
          <w:lang w:eastAsia="en-MY" w:bidi="ar-SA"/>
          <w14:ligatures w14:val="none"/>
        </w:rPr>
        <w:t>Renyard</w:t>
      </w:r>
      <w:proofErr w:type="spellEnd"/>
      <w:r w:rsidRPr="00362F15">
        <w:rPr>
          <w:rFonts w:ascii="Times New Roman" w:eastAsia="Times New Roman" w:hAnsi="Times New Roman" w:cs="Times New Roman"/>
          <w:kern w:val="0"/>
          <w:sz w:val="24"/>
          <w:szCs w:val="24"/>
          <w:lang w:eastAsia="en-MY" w:bidi="ar-SA"/>
          <w14:ligatures w14:val="none"/>
        </w:rPr>
        <w:t xml:space="preserve">, A., Gooding, C., </w:t>
      </w:r>
      <w:proofErr w:type="spellStart"/>
      <w:r w:rsidRPr="00362F15">
        <w:rPr>
          <w:rFonts w:ascii="Times New Roman" w:eastAsia="Times New Roman" w:hAnsi="Times New Roman" w:cs="Times New Roman"/>
          <w:kern w:val="0"/>
          <w:sz w:val="24"/>
          <w:szCs w:val="24"/>
          <w:lang w:eastAsia="en-MY" w:bidi="ar-SA"/>
          <w14:ligatures w14:val="none"/>
        </w:rPr>
        <w:t>Chalissery</w:t>
      </w:r>
      <w:proofErr w:type="spellEnd"/>
      <w:r w:rsidRPr="00362F15">
        <w:rPr>
          <w:rFonts w:ascii="Times New Roman" w:eastAsia="Times New Roman" w:hAnsi="Times New Roman" w:cs="Times New Roman"/>
          <w:kern w:val="0"/>
          <w:sz w:val="24"/>
          <w:szCs w:val="24"/>
          <w:lang w:eastAsia="en-MY" w:bidi="ar-SA"/>
          <w14:ligatures w14:val="none"/>
        </w:rPr>
        <w:t xml:space="preserve">, J. M., Petrov, J., &amp; Gries, G. (2024). Effects of macro-and micro-nutrients on momentary and season-long feeding responses by select species of ants. </w:t>
      </w:r>
      <w:r w:rsidRPr="00362F15">
        <w:rPr>
          <w:rFonts w:ascii="Times New Roman" w:eastAsia="Times New Roman" w:hAnsi="Times New Roman" w:cs="Times New Roman"/>
          <w:i/>
          <w:iCs/>
          <w:kern w:val="0"/>
          <w:sz w:val="24"/>
          <w:szCs w:val="24"/>
          <w:lang w:eastAsia="en-MY" w:bidi="ar-SA"/>
          <w14:ligatures w14:val="none"/>
        </w:rPr>
        <w:t>Scientific Reports</w:t>
      </w:r>
      <w:r w:rsidRPr="00362F15">
        <w:rPr>
          <w:rFonts w:ascii="Times New Roman" w:eastAsia="Times New Roman" w:hAnsi="Times New Roman" w:cs="Times New Roman"/>
          <w:kern w:val="0"/>
          <w:sz w:val="24"/>
          <w:szCs w:val="24"/>
          <w:lang w:eastAsia="en-MY" w:bidi="ar-SA"/>
          <w14:ligatures w14:val="none"/>
        </w:rPr>
        <w:t xml:space="preserve">, </w:t>
      </w:r>
      <w:r w:rsidRPr="00362F15">
        <w:rPr>
          <w:rFonts w:ascii="Times New Roman" w:eastAsia="Times New Roman" w:hAnsi="Times New Roman" w:cs="Times New Roman"/>
          <w:i/>
          <w:iCs/>
          <w:kern w:val="0"/>
          <w:sz w:val="24"/>
          <w:szCs w:val="24"/>
          <w:lang w:eastAsia="en-MY" w:bidi="ar-SA"/>
          <w14:ligatures w14:val="none"/>
        </w:rPr>
        <w:t>14</w:t>
      </w:r>
      <w:r w:rsidRPr="00362F15">
        <w:rPr>
          <w:rFonts w:ascii="Times New Roman" w:eastAsia="Times New Roman" w:hAnsi="Times New Roman" w:cs="Times New Roman"/>
          <w:kern w:val="0"/>
          <w:sz w:val="24"/>
          <w:szCs w:val="24"/>
          <w:lang w:eastAsia="en-MY" w:bidi="ar-SA"/>
          <w14:ligatures w14:val="none"/>
        </w:rPr>
        <w:t xml:space="preserve">(1), 5727. </w:t>
      </w:r>
      <w:hyperlink r:id="rId52" w:history="1">
        <w:r w:rsidRPr="00362F15">
          <w:rPr>
            <w:rStyle w:val="Hyperlink"/>
            <w:rFonts w:ascii="Times New Roman" w:eastAsia="Times New Roman" w:hAnsi="Times New Roman" w:cs="Times New Roman"/>
            <w:kern w:val="0"/>
            <w:sz w:val="24"/>
            <w:szCs w:val="24"/>
            <w:lang w:eastAsia="en-MY" w:bidi="ar-SA"/>
            <w14:ligatures w14:val="none"/>
          </w:rPr>
          <w:t>https://doi.org/10.1038/s41598-024-56133-y</w:t>
        </w:r>
      </w:hyperlink>
    </w:p>
    <w:p w14:paraId="3B7309FE" w14:textId="77777777" w:rsidR="00AF34A3" w:rsidRPr="00AF34A3" w:rsidRDefault="00AF34A3" w:rsidP="00AF34A3">
      <w:pPr>
        <w:pStyle w:val="ListParagraph"/>
        <w:spacing w:before="240" w:after="240" w:line="240" w:lineRule="auto"/>
        <w:jc w:val="both"/>
        <w:rPr>
          <w:rFonts w:ascii="Times New Roman" w:eastAsia="Times New Roman" w:hAnsi="Times New Roman" w:cs="Times New Roman"/>
          <w:kern w:val="0"/>
          <w:sz w:val="24"/>
          <w:szCs w:val="24"/>
          <w:lang w:eastAsia="en-MY" w:bidi="ar-SA"/>
          <w14:ligatures w14:val="none"/>
        </w:rPr>
      </w:pPr>
    </w:p>
    <w:p w14:paraId="000C231F" w14:textId="4F60463A" w:rsidR="0039339D" w:rsidRPr="00AF34A3" w:rsidRDefault="0039339D" w:rsidP="00AF34A3">
      <w:pPr>
        <w:pStyle w:val="ListParagraph"/>
        <w:numPr>
          <w:ilvl w:val="0"/>
          <w:numId w:val="9"/>
        </w:numPr>
        <w:spacing w:before="240" w:after="240" w:line="240" w:lineRule="auto"/>
        <w:jc w:val="both"/>
        <w:rPr>
          <w:rFonts w:ascii="Times New Roman" w:eastAsia="Times New Roman" w:hAnsi="Times New Roman" w:cs="Times New Roman"/>
          <w:kern w:val="0"/>
          <w:sz w:val="24"/>
          <w:szCs w:val="24"/>
          <w:lang w:eastAsia="en-MY" w:bidi="ar-SA"/>
          <w14:ligatures w14:val="none"/>
        </w:rPr>
      </w:pPr>
      <w:r w:rsidRPr="00AF34A3">
        <w:rPr>
          <w:rFonts w:ascii="Times New Roman" w:eastAsia="Times New Roman" w:hAnsi="Times New Roman" w:cs="Times New Roman"/>
          <w:sz w:val="24"/>
          <w:szCs w:val="24"/>
        </w:rPr>
        <w:t xml:space="preserve">Robson, K., Dean, M., Haughey, S., &amp; Elliott, C. (2021). A comprehensive review of food fraud terminologies and food fraud mitigation guides. </w:t>
      </w:r>
      <w:r w:rsidRPr="00AF34A3">
        <w:rPr>
          <w:rFonts w:ascii="Times New Roman" w:eastAsia="Times New Roman" w:hAnsi="Times New Roman" w:cs="Times New Roman"/>
          <w:i/>
          <w:iCs/>
          <w:sz w:val="24"/>
          <w:szCs w:val="24"/>
        </w:rPr>
        <w:t>Food Control</w:t>
      </w:r>
      <w:r w:rsidRPr="00AF34A3">
        <w:rPr>
          <w:rFonts w:ascii="Times New Roman" w:eastAsia="Times New Roman" w:hAnsi="Times New Roman" w:cs="Times New Roman"/>
          <w:sz w:val="24"/>
          <w:szCs w:val="24"/>
        </w:rPr>
        <w:t xml:space="preserve">, </w:t>
      </w:r>
      <w:r w:rsidRPr="00AF34A3">
        <w:rPr>
          <w:rFonts w:ascii="Times New Roman" w:eastAsia="Times New Roman" w:hAnsi="Times New Roman" w:cs="Times New Roman"/>
          <w:i/>
          <w:iCs/>
          <w:sz w:val="24"/>
          <w:szCs w:val="24"/>
        </w:rPr>
        <w:t>120</w:t>
      </w:r>
      <w:r w:rsidRPr="00AF34A3">
        <w:rPr>
          <w:rFonts w:ascii="Times New Roman" w:eastAsia="Times New Roman" w:hAnsi="Times New Roman" w:cs="Times New Roman"/>
          <w:sz w:val="24"/>
          <w:szCs w:val="24"/>
        </w:rPr>
        <w:t xml:space="preserve">, 107516. </w:t>
      </w:r>
      <w:hyperlink r:id="rId53" w:history="1">
        <w:r w:rsidRPr="00AF34A3">
          <w:rPr>
            <w:rStyle w:val="Hyperlink"/>
            <w:rFonts w:ascii="Times New Roman" w:eastAsia="Times New Roman" w:hAnsi="Times New Roman" w:cs="Times New Roman"/>
            <w:kern w:val="0"/>
            <w:sz w:val="24"/>
            <w:szCs w:val="24"/>
            <w:lang w:eastAsia="en-MY" w:bidi="ar-SA"/>
            <w14:ligatures w14:val="none"/>
          </w:rPr>
          <w:t>https://doi.org/10.1016/j.foodcont.2020.107516</w:t>
        </w:r>
      </w:hyperlink>
    </w:p>
    <w:p w14:paraId="7A45A964" w14:textId="77777777" w:rsidR="00AF34A3" w:rsidRPr="00AF34A3" w:rsidRDefault="00AF34A3" w:rsidP="00AF34A3">
      <w:pPr>
        <w:pStyle w:val="ListParagraph"/>
        <w:rPr>
          <w:rFonts w:ascii="Times New Roman" w:eastAsia="Times New Roman" w:hAnsi="Times New Roman" w:cs="Times New Roman"/>
          <w:kern w:val="0"/>
          <w:sz w:val="24"/>
          <w:szCs w:val="24"/>
          <w:lang w:eastAsia="en-MY" w:bidi="ar-SA"/>
          <w14:ligatures w14:val="none"/>
        </w:rPr>
      </w:pPr>
    </w:p>
    <w:p w14:paraId="6CAC0911" w14:textId="41E9C96B" w:rsidR="0039339D" w:rsidRPr="00AF34A3" w:rsidRDefault="0039339D" w:rsidP="00AF34A3">
      <w:pPr>
        <w:pStyle w:val="ListParagraph"/>
        <w:numPr>
          <w:ilvl w:val="0"/>
          <w:numId w:val="9"/>
        </w:numPr>
        <w:spacing w:before="240" w:after="240" w:line="240" w:lineRule="auto"/>
        <w:jc w:val="both"/>
        <w:rPr>
          <w:rFonts w:ascii="Times New Roman" w:eastAsia="Times New Roman" w:hAnsi="Times New Roman" w:cs="Times New Roman"/>
          <w:kern w:val="0"/>
          <w:sz w:val="24"/>
          <w:szCs w:val="24"/>
          <w:lang w:eastAsia="en-MY" w:bidi="ar-SA"/>
          <w14:ligatures w14:val="none"/>
        </w:rPr>
      </w:pPr>
      <w:r w:rsidRPr="00AF34A3">
        <w:rPr>
          <w:rFonts w:ascii="Times New Roman" w:hAnsi="Times New Roman" w:cs="Times New Roman"/>
          <w:sz w:val="24"/>
          <w:szCs w:val="24"/>
        </w:rPr>
        <w:t xml:space="preserve">Rodríguez-Blázquez, S., Gómez-Mejía, E., Rosales-Conrado, N., &amp; León-González, M. E. (2025). Recent insights into eco-friendly extraction techniques for obtaining bioactive compounds from fruit seed oils. </w:t>
      </w:r>
      <w:r w:rsidRPr="00AF34A3">
        <w:rPr>
          <w:rFonts w:ascii="Times New Roman" w:hAnsi="Times New Roman" w:cs="Times New Roman"/>
          <w:i/>
          <w:iCs/>
          <w:sz w:val="24"/>
          <w:szCs w:val="24"/>
        </w:rPr>
        <w:t>Foods</w:t>
      </w:r>
      <w:r w:rsidRPr="00AF34A3">
        <w:rPr>
          <w:rFonts w:ascii="Times New Roman" w:hAnsi="Times New Roman" w:cs="Times New Roman"/>
          <w:sz w:val="24"/>
          <w:szCs w:val="24"/>
        </w:rPr>
        <w:t xml:space="preserve">, </w:t>
      </w:r>
      <w:r w:rsidRPr="00AF34A3">
        <w:rPr>
          <w:rFonts w:ascii="Times New Roman" w:hAnsi="Times New Roman" w:cs="Times New Roman"/>
          <w:i/>
          <w:iCs/>
          <w:sz w:val="24"/>
          <w:szCs w:val="24"/>
        </w:rPr>
        <w:t>14</w:t>
      </w:r>
      <w:r w:rsidRPr="00AF34A3">
        <w:rPr>
          <w:rFonts w:ascii="Times New Roman" w:hAnsi="Times New Roman" w:cs="Times New Roman"/>
          <w:sz w:val="24"/>
          <w:szCs w:val="24"/>
        </w:rPr>
        <w:t xml:space="preserve">(13), 2271. </w:t>
      </w:r>
      <w:hyperlink r:id="rId54" w:history="1">
        <w:r w:rsidRPr="00AF34A3">
          <w:rPr>
            <w:rStyle w:val="Hyperlink"/>
            <w:rFonts w:ascii="Times New Roman" w:hAnsi="Times New Roman" w:cs="Times New Roman"/>
            <w:sz w:val="24"/>
            <w:szCs w:val="24"/>
          </w:rPr>
          <w:t>https://doi.org/10.3390/foods14132271</w:t>
        </w:r>
      </w:hyperlink>
    </w:p>
    <w:p w14:paraId="1EE4C2D9" w14:textId="77777777" w:rsidR="0039339D" w:rsidRPr="00AF34A3" w:rsidRDefault="0039339D" w:rsidP="00AF34A3">
      <w:pPr>
        <w:pStyle w:val="a"/>
        <w:numPr>
          <w:ilvl w:val="0"/>
          <w:numId w:val="9"/>
        </w:numPr>
        <w:spacing w:before="240" w:after="240" w:afterAutospacing="0" w:line="240" w:lineRule="auto"/>
      </w:pPr>
      <w:r w:rsidRPr="00AF34A3">
        <w:rPr>
          <w:lang w:val="fi-FI"/>
        </w:rPr>
        <w:t xml:space="preserve">Sahadi, N. A., &amp; Basri, H. (2025). </w:t>
      </w:r>
      <w:r w:rsidRPr="00AF34A3">
        <w:t xml:space="preserve">Determination of Trace Elements Concentration in Saba Banana Samples at Different Maturation Stages via ICP-MS. </w:t>
      </w:r>
      <w:r w:rsidRPr="00AF34A3">
        <w:rPr>
          <w:i/>
          <w:iCs/>
        </w:rPr>
        <w:t>Enhanced Knowledge in Sciences and Technology</w:t>
      </w:r>
      <w:r w:rsidRPr="00AF34A3">
        <w:t xml:space="preserve">, </w:t>
      </w:r>
      <w:r w:rsidRPr="00AF34A3">
        <w:rPr>
          <w:i/>
          <w:iCs/>
        </w:rPr>
        <w:t>5</w:t>
      </w:r>
      <w:r w:rsidRPr="00AF34A3">
        <w:t xml:space="preserve">(2), 353-361. </w:t>
      </w:r>
      <w:hyperlink r:id="rId55" w:history="1">
        <w:r w:rsidRPr="00AF34A3">
          <w:rPr>
            <w:rStyle w:val="Hyperlink"/>
          </w:rPr>
          <w:t>https://doi.org/10.30880/ekst.2025.05.02.042</w:t>
        </w:r>
      </w:hyperlink>
    </w:p>
    <w:p w14:paraId="4913AEB6" w14:textId="77777777" w:rsidR="0039339D" w:rsidRPr="00AF34A3" w:rsidRDefault="0039339D" w:rsidP="00AF34A3">
      <w:pPr>
        <w:pStyle w:val="a"/>
        <w:numPr>
          <w:ilvl w:val="0"/>
          <w:numId w:val="9"/>
        </w:numPr>
        <w:spacing w:before="240" w:after="240" w:afterAutospacing="0" w:line="240" w:lineRule="auto"/>
      </w:pPr>
      <w:r w:rsidRPr="00AF34A3">
        <w:t xml:space="preserve">Saleh, M., &amp; Lee, Y. (2023). Instrumental analysis or human evaluation to measure the appearance, smell, </w:t>
      </w:r>
      <w:proofErr w:type="spellStart"/>
      <w:r w:rsidRPr="00AF34A3">
        <w:t>flavor</w:t>
      </w:r>
      <w:proofErr w:type="spellEnd"/>
      <w:r w:rsidRPr="00AF34A3">
        <w:t xml:space="preserve">, and physical properties of food. </w:t>
      </w:r>
      <w:r w:rsidRPr="00AF34A3">
        <w:rPr>
          <w:i/>
          <w:iCs/>
        </w:rPr>
        <w:t>Foods</w:t>
      </w:r>
      <w:r w:rsidRPr="00AF34A3">
        <w:t xml:space="preserve">, </w:t>
      </w:r>
      <w:r w:rsidRPr="00AF34A3">
        <w:rPr>
          <w:i/>
          <w:iCs/>
        </w:rPr>
        <w:t>12</w:t>
      </w:r>
      <w:r w:rsidRPr="00AF34A3">
        <w:t xml:space="preserve">(18), 3453. </w:t>
      </w:r>
      <w:hyperlink r:id="rId56" w:history="1">
        <w:r w:rsidRPr="00AF34A3">
          <w:rPr>
            <w:rStyle w:val="Hyperlink"/>
          </w:rPr>
          <w:t>https://doi.org/10.3390/foods12183453</w:t>
        </w:r>
      </w:hyperlink>
    </w:p>
    <w:p w14:paraId="13225895" w14:textId="77777777" w:rsidR="0039339D" w:rsidRPr="00AF34A3" w:rsidRDefault="0039339D" w:rsidP="00AF34A3">
      <w:pPr>
        <w:pStyle w:val="a"/>
        <w:numPr>
          <w:ilvl w:val="0"/>
          <w:numId w:val="9"/>
        </w:numPr>
        <w:spacing w:before="240" w:after="240" w:afterAutospacing="0" w:line="240" w:lineRule="auto"/>
      </w:pPr>
      <w:r w:rsidRPr="00AF34A3">
        <w:t xml:space="preserve">Shi, S., Zhang, K., Tian, N., Jin, Z., Liu, K., Huang, L., ... &amp; Jiang, Y. (2025). Spectroscopic techniques combined with chemometrics for rapid detection of food adulteration: Applications, perspectives, and challenges. </w:t>
      </w:r>
      <w:r w:rsidRPr="00AF34A3">
        <w:rPr>
          <w:i/>
          <w:iCs/>
        </w:rPr>
        <w:t>Food Research International</w:t>
      </w:r>
      <w:r w:rsidRPr="00AF34A3">
        <w:t xml:space="preserve">, 116459. </w:t>
      </w:r>
      <w:hyperlink r:id="rId57" w:history="1">
        <w:r w:rsidRPr="00AF34A3">
          <w:rPr>
            <w:rStyle w:val="Hyperlink"/>
          </w:rPr>
          <w:t>https://doi.org/10.1016/j.foodres.2025.116459</w:t>
        </w:r>
      </w:hyperlink>
    </w:p>
    <w:p w14:paraId="27AD0527" w14:textId="77777777" w:rsidR="0039339D" w:rsidRPr="00AF34A3" w:rsidRDefault="0039339D" w:rsidP="00AF34A3">
      <w:pPr>
        <w:pStyle w:val="a"/>
        <w:numPr>
          <w:ilvl w:val="0"/>
          <w:numId w:val="9"/>
        </w:numPr>
        <w:spacing w:before="240" w:after="240" w:afterAutospacing="0" w:line="240" w:lineRule="auto"/>
      </w:pPr>
      <w:r w:rsidRPr="00AF34A3">
        <w:t xml:space="preserve">Singh, A., </w:t>
      </w:r>
      <w:proofErr w:type="spellStart"/>
      <w:r w:rsidRPr="00AF34A3">
        <w:t>Nagpoore</w:t>
      </w:r>
      <w:proofErr w:type="spellEnd"/>
      <w:r w:rsidRPr="00AF34A3">
        <w:t xml:space="preserve">, N. K., Singh, B. N., &amp; Thakur, M. (2024). Comprehensive analysis of micro and macro-minerals, phytochemicals and proximate composition of Cordia dichotoma G. </w:t>
      </w:r>
      <w:proofErr w:type="spellStart"/>
      <w:r w:rsidRPr="00AF34A3">
        <w:t>forst</w:t>
      </w:r>
      <w:proofErr w:type="spellEnd"/>
      <w:r w:rsidRPr="00AF34A3">
        <w:t xml:space="preserve"> fruits. </w:t>
      </w:r>
      <w:r w:rsidRPr="00AF34A3">
        <w:rPr>
          <w:i/>
          <w:iCs/>
        </w:rPr>
        <w:t>Journal of Food Science and Technology</w:t>
      </w:r>
      <w:r w:rsidRPr="00AF34A3">
        <w:t xml:space="preserve">, </w:t>
      </w:r>
      <w:r w:rsidRPr="00AF34A3">
        <w:rPr>
          <w:i/>
          <w:iCs/>
        </w:rPr>
        <w:t>61</w:t>
      </w:r>
      <w:r w:rsidRPr="00AF34A3">
        <w:t xml:space="preserve">(9), 1790-1799. </w:t>
      </w:r>
      <w:hyperlink r:id="rId58" w:history="1">
        <w:r w:rsidRPr="00AF34A3">
          <w:rPr>
            <w:rStyle w:val="Hyperlink"/>
          </w:rPr>
          <w:t>https://doi.org/10.1007/s13197-024-05957-7</w:t>
        </w:r>
      </w:hyperlink>
    </w:p>
    <w:p w14:paraId="33AB6569" w14:textId="77777777" w:rsidR="0039339D" w:rsidRPr="00AF34A3" w:rsidRDefault="0039339D" w:rsidP="00AF34A3">
      <w:pPr>
        <w:pStyle w:val="a"/>
        <w:numPr>
          <w:ilvl w:val="0"/>
          <w:numId w:val="9"/>
        </w:numPr>
        <w:spacing w:before="240" w:after="240" w:afterAutospacing="0" w:line="240" w:lineRule="auto"/>
      </w:pPr>
      <w:r w:rsidRPr="00AF34A3">
        <w:t xml:space="preserve">Sumsion, R. M., June, H. M., &amp; Cope, M. R. (2023). Measuring food insecurity: the problem with semantics. </w:t>
      </w:r>
      <w:r w:rsidRPr="00AF34A3">
        <w:rPr>
          <w:i/>
          <w:iCs/>
        </w:rPr>
        <w:t>Foods</w:t>
      </w:r>
      <w:r w:rsidRPr="00AF34A3">
        <w:t xml:space="preserve">, </w:t>
      </w:r>
      <w:r w:rsidRPr="00AF34A3">
        <w:rPr>
          <w:i/>
          <w:iCs/>
        </w:rPr>
        <w:t>12</w:t>
      </w:r>
      <w:r w:rsidRPr="00AF34A3">
        <w:t xml:space="preserve">(9), 1816. </w:t>
      </w:r>
      <w:hyperlink r:id="rId59" w:history="1">
        <w:r w:rsidRPr="00AF34A3">
          <w:rPr>
            <w:rStyle w:val="Hyperlink"/>
          </w:rPr>
          <w:t>https://doi.org/10.3390/foods12091816</w:t>
        </w:r>
      </w:hyperlink>
    </w:p>
    <w:p w14:paraId="515E487B" w14:textId="77777777" w:rsidR="0039339D" w:rsidRPr="00AF34A3" w:rsidRDefault="0039339D" w:rsidP="00AF34A3">
      <w:pPr>
        <w:pStyle w:val="a"/>
        <w:numPr>
          <w:ilvl w:val="0"/>
          <w:numId w:val="9"/>
        </w:numPr>
        <w:spacing w:before="240" w:after="240" w:afterAutospacing="0" w:line="240" w:lineRule="auto"/>
      </w:pPr>
      <w:r w:rsidRPr="00AF34A3">
        <w:t xml:space="preserve">Trziszka, T., </w:t>
      </w:r>
      <w:proofErr w:type="spellStart"/>
      <w:r w:rsidRPr="00AF34A3">
        <w:t>Dobrzański</w:t>
      </w:r>
      <w:proofErr w:type="spellEnd"/>
      <w:r w:rsidRPr="00AF34A3">
        <w:t xml:space="preserve">, Z., Chojnacka, K., Bubel, A., </w:t>
      </w:r>
      <w:proofErr w:type="spellStart"/>
      <w:r w:rsidRPr="00AF34A3">
        <w:t>Beń</w:t>
      </w:r>
      <w:proofErr w:type="spellEnd"/>
      <w:r w:rsidRPr="00AF34A3">
        <w:t xml:space="preserve">, H., Korczyński, M., ... &amp; </w:t>
      </w:r>
      <w:proofErr w:type="spellStart"/>
      <w:r w:rsidRPr="00AF34A3">
        <w:t>Tronina</w:t>
      </w:r>
      <w:proofErr w:type="spellEnd"/>
      <w:r w:rsidRPr="00AF34A3">
        <w:t xml:space="preserve">, W. (2021). Assessment of macro-, micro-, trace, and </w:t>
      </w:r>
      <w:proofErr w:type="spellStart"/>
      <w:r w:rsidRPr="00AF34A3">
        <w:t>ultratrace</w:t>
      </w:r>
      <w:proofErr w:type="spellEnd"/>
      <w:r w:rsidRPr="00AF34A3">
        <w:t xml:space="preserve"> element concentration in green-legged partridge hens’ eggs from a free-range system. </w:t>
      </w:r>
      <w:r w:rsidRPr="00AF34A3">
        <w:rPr>
          <w:i/>
          <w:iCs/>
        </w:rPr>
        <w:t>Agriculture</w:t>
      </w:r>
      <w:r w:rsidRPr="00AF34A3">
        <w:t xml:space="preserve">, </w:t>
      </w:r>
      <w:r w:rsidRPr="00AF34A3">
        <w:rPr>
          <w:i/>
          <w:iCs/>
        </w:rPr>
        <w:t>11</w:t>
      </w:r>
      <w:r w:rsidRPr="00AF34A3">
        <w:t xml:space="preserve">(6), 473. </w:t>
      </w:r>
      <w:hyperlink r:id="rId60" w:history="1">
        <w:r w:rsidRPr="00AF34A3">
          <w:rPr>
            <w:rStyle w:val="Hyperlink"/>
          </w:rPr>
          <w:t>https://doi.org/10.3390/agriculture11060473</w:t>
        </w:r>
      </w:hyperlink>
    </w:p>
    <w:p w14:paraId="290F80A2" w14:textId="77777777" w:rsidR="0039339D" w:rsidRPr="00362F15" w:rsidRDefault="0039339D" w:rsidP="00AF34A3">
      <w:pPr>
        <w:pStyle w:val="a"/>
        <w:numPr>
          <w:ilvl w:val="0"/>
          <w:numId w:val="9"/>
        </w:numPr>
        <w:spacing w:before="240" w:after="240" w:afterAutospacing="0" w:line="240" w:lineRule="auto"/>
      </w:pPr>
      <w:r w:rsidRPr="00AF34A3">
        <w:t xml:space="preserve">Wahid, D. N. A., Jawan, R., Nazarie, W. F. W. M., </w:t>
      </w:r>
      <w:proofErr w:type="spellStart"/>
      <w:r w:rsidRPr="00AF34A3">
        <w:t>Gansau</w:t>
      </w:r>
      <w:proofErr w:type="spellEnd"/>
      <w:r w:rsidRPr="00AF34A3">
        <w:t xml:space="preserve">, J. A., Syahir, A., &amp; </w:t>
      </w:r>
      <w:proofErr w:type="spellStart"/>
      <w:r w:rsidRPr="00AF34A3">
        <w:t>Sabullah</w:t>
      </w:r>
      <w:proofErr w:type="spellEnd"/>
      <w:r w:rsidRPr="00AF34A3">
        <w:t xml:space="preserve">, M. K. (2022, August). Comparison of macro, trace and ultra-trace minerals contents of </w:t>
      </w:r>
      <w:proofErr w:type="spellStart"/>
      <w:r w:rsidRPr="00AF34A3">
        <w:t>kelulut</w:t>
      </w:r>
      <w:proofErr w:type="spellEnd"/>
      <w:r w:rsidRPr="00AF34A3">
        <w:t xml:space="preserve"> honey (</w:t>
      </w:r>
      <w:proofErr w:type="spellStart"/>
      <w:r w:rsidRPr="00AF34A3">
        <w:t>Heterotrigona</w:t>
      </w:r>
      <w:proofErr w:type="spellEnd"/>
      <w:r w:rsidRPr="00AF34A3">
        <w:t xml:space="preserve"> </w:t>
      </w:r>
      <w:proofErr w:type="spellStart"/>
      <w:r w:rsidRPr="00AF34A3">
        <w:t>itama</w:t>
      </w:r>
      <w:proofErr w:type="spellEnd"/>
      <w:r w:rsidRPr="00AF34A3">
        <w:t xml:space="preserve"> </w:t>
      </w:r>
      <w:proofErr w:type="spellStart"/>
      <w:r w:rsidRPr="00AF34A3">
        <w:t>sp</w:t>
      </w:r>
      <w:proofErr w:type="spellEnd"/>
      <w:r w:rsidRPr="00AF34A3">
        <w:t xml:space="preserve">) from the West Coast of Sabah. In </w:t>
      </w:r>
      <w:r w:rsidRPr="00AF34A3">
        <w:rPr>
          <w:i/>
          <w:iCs/>
        </w:rPr>
        <w:t>Journal of Physics: Conference Series</w:t>
      </w:r>
      <w:r w:rsidRPr="00AF34A3">
        <w:t xml:space="preserve"> (Vol. 2314, No. 1, p. 012002). IOP Publishing</w:t>
      </w:r>
      <w:r w:rsidRPr="00362F15">
        <w:t xml:space="preserve">. </w:t>
      </w:r>
      <w:hyperlink r:id="rId61" w:history="1">
        <w:r w:rsidRPr="00362F15">
          <w:rPr>
            <w:rStyle w:val="Hyperlink"/>
          </w:rPr>
          <w:t>https://doi.org/10.1088/1742-6596/2314/1/012002</w:t>
        </w:r>
      </w:hyperlink>
    </w:p>
    <w:p w14:paraId="6DDDE32F" w14:textId="77777777" w:rsidR="0039339D" w:rsidRDefault="0039339D" w:rsidP="005C5254">
      <w:pPr>
        <w:spacing w:before="240" w:after="240"/>
      </w:pPr>
    </w:p>
    <w:p w14:paraId="5C372AE2" w14:textId="77777777" w:rsidR="0039339D" w:rsidRPr="0039339D" w:rsidRDefault="0039339D" w:rsidP="005C5254">
      <w:pPr>
        <w:spacing w:before="240" w:after="240"/>
      </w:pPr>
    </w:p>
    <w:sectPr w:rsidR="0039339D" w:rsidRPr="0039339D" w:rsidSect="00C2017F">
      <w:pgSz w:w="11906" w:h="16838" w:code="9"/>
      <w:pgMar w:top="1095" w:right="605" w:bottom="605" w:left="605" w:header="346" w:footer="403"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1CEA62" w14:textId="77777777" w:rsidR="002F377E" w:rsidRDefault="002F377E" w:rsidP="00C2017F">
      <w:r>
        <w:separator/>
      </w:r>
    </w:p>
  </w:endnote>
  <w:endnote w:type="continuationSeparator" w:id="0">
    <w:p w14:paraId="1A2C5CC0" w14:textId="77777777" w:rsidR="002F377E" w:rsidRDefault="002F377E" w:rsidP="00C20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1" w:fontKey="{BDCE6524-F8A3-4E5A-8CD6-5533C1D4326E}"/>
  </w:font>
  <w:font w:name="Cambria">
    <w:panose1 w:val="02040503050406030204"/>
    <w:charset w:val="00"/>
    <w:family w:val="roman"/>
    <w:pitch w:val="variable"/>
    <w:sig w:usb0="E00006FF" w:usb1="420024FF" w:usb2="02000000" w:usb3="00000000" w:csb0="0000019F" w:csb1="00000000"/>
    <w:embedRegular r:id="rId2" w:fontKey="{BE21EC92-2E27-4380-808D-D0EFEB389D8A}"/>
    <w:embedItalic r:id="rId3" w:fontKey="{9BD9E456-9D82-408A-9871-A2CED4472ECF}"/>
  </w:font>
  <w:font w:name="Google Sans">
    <w:charset w:val="00"/>
    <w:family w:val="auto"/>
    <w:pitch w:val="default"/>
    <w:embedRegular r:id="rId4" w:fontKey="{B5F3A72E-BB61-4DF8-AFFB-86B41A9CF7BA}"/>
    <w:embedBold r:id="rId5" w:fontKey="{A7B3D6A9-1A70-46DC-A840-35239E27C361}"/>
  </w:font>
  <w:font w:name="Calibri">
    <w:panose1 w:val="020F0502020204030204"/>
    <w:charset w:val="00"/>
    <w:family w:val="swiss"/>
    <w:pitch w:val="variable"/>
    <w:sig w:usb0="E4002EFF" w:usb1="C200247B" w:usb2="00000009" w:usb3="00000000" w:csb0="000001FF" w:csb1="00000000"/>
    <w:embedRegular r:id="rId6" w:fontKey="{05C98011-1AA3-47CD-8BDC-E6F52BCEC22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1E847B" w14:textId="77777777" w:rsidR="002F377E" w:rsidRDefault="002F377E" w:rsidP="00C2017F">
      <w:r>
        <w:separator/>
      </w:r>
    </w:p>
  </w:footnote>
  <w:footnote w:type="continuationSeparator" w:id="0">
    <w:p w14:paraId="1ED466A8" w14:textId="77777777" w:rsidR="002F377E" w:rsidRDefault="002F377E" w:rsidP="00C201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3A6CBD"/>
    <w:multiLevelType w:val="multilevel"/>
    <w:tmpl w:val="D65626F0"/>
    <w:lvl w:ilvl="0">
      <w:start w:val="1"/>
      <w:numFmt w:val="decimal"/>
      <w:lvlText w:val="%1."/>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107F0BE9"/>
    <w:multiLevelType w:val="multilevel"/>
    <w:tmpl w:val="147C1BBA"/>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108E3B04"/>
    <w:multiLevelType w:val="hybridMultilevel"/>
    <w:tmpl w:val="71C86CE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15:restartNumberingAfterBreak="0">
    <w:nsid w:val="14DF5D69"/>
    <w:multiLevelType w:val="hybridMultilevel"/>
    <w:tmpl w:val="9DECCF00"/>
    <w:lvl w:ilvl="0" w:tplc="4409000F">
      <w:start w:val="1"/>
      <w:numFmt w:val="decimal"/>
      <w:lvlText w:val="%1."/>
      <w:lvlJc w:val="left"/>
      <w:pPr>
        <w:ind w:left="720" w:hanging="360"/>
      </w:p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1B181C79"/>
    <w:multiLevelType w:val="multilevel"/>
    <w:tmpl w:val="F140CC58"/>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 w15:restartNumberingAfterBreak="0">
    <w:nsid w:val="1C0F28D5"/>
    <w:multiLevelType w:val="multilevel"/>
    <w:tmpl w:val="7BF614FC"/>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6" w15:restartNumberingAfterBreak="0">
    <w:nsid w:val="35E01E5F"/>
    <w:multiLevelType w:val="multilevel"/>
    <w:tmpl w:val="866C3C82"/>
    <w:lvl w:ilvl="0">
      <w:start w:val="10"/>
      <w:numFmt w:val="decimal"/>
      <w:pStyle w:val="a"/>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9E6204"/>
    <w:multiLevelType w:val="hybridMultilevel"/>
    <w:tmpl w:val="06B23822"/>
    <w:lvl w:ilvl="0" w:tplc="B0206D1E">
      <w:start w:val="1"/>
      <w:numFmt w:val="decimal"/>
      <w:lvlText w:val="%1."/>
      <w:lvlJc w:val="left"/>
      <w:pPr>
        <w:ind w:left="720" w:hanging="360"/>
      </w:p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15:restartNumberingAfterBreak="0">
    <w:nsid w:val="4AE02950"/>
    <w:multiLevelType w:val="multilevel"/>
    <w:tmpl w:val="5C023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A884AD3"/>
    <w:multiLevelType w:val="multilevel"/>
    <w:tmpl w:val="6E60BAF4"/>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0" w15:restartNumberingAfterBreak="0">
    <w:nsid w:val="5EC31D03"/>
    <w:multiLevelType w:val="hybridMultilevel"/>
    <w:tmpl w:val="75C6BF8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1" w15:restartNumberingAfterBreak="0">
    <w:nsid w:val="6B6670ED"/>
    <w:multiLevelType w:val="multilevel"/>
    <w:tmpl w:val="F312C1E0"/>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2" w15:restartNumberingAfterBreak="0">
    <w:nsid w:val="7D284512"/>
    <w:multiLevelType w:val="multilevel"/>
    <w:tmpl w:val="1C286920"/>
    <w:lvl w:ilvl="0">
      <w:start w:val="1"/>
      <w:numFmt w:val="decimal"/>
      <w:lvlText w:val="%1."/>
      <w:lvlJc w:val="left"/>
      <w:pPr>
        <w:ind w:left="644" w:hanging="360"/>
      </w:pPr>
      <w:rPr>
        <w:rFonts w:ascii="Times New Roman" w:eastAsia="Arial" w:hAnsi="Times New Roman" w:cs="Times New Roman" w:hint="default"/>
        <w:b w:val="0"/>
        <w:bCs w:val="0"/>
        <w:i w:val="0"/>
        <w:iCs w:val="0"/>
        <w:smallCaps w:val="0"/>
        <w:strike w:val="0"/>
        <w:color w:val="000000"/>
        <w:sz w:val="24"/>
        <w:szCs w:val="24"/>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3" w15:restartNumberingAfterBreak="0">
    <w:nsid w:val="7F1514A1"/>
    <w:multiLevelType w:val="hybridMultilevel"/>
    <w:tmpl w:val="228CCD8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16cid:durableId="786630094">
    <w:abstractNumId w:val="5"/>
  </w:num>
  <w:num w:numId="2" w16cid:durableId="426081700">
    <w:abstractNumId w:val="12"/>
  </w:num>
  <w:num w:numId="3" w16cid:durableId="454566138">
    <w:abstractNumId w:val="0"/>
  </w:num>
  <w:num w:numId="4" w16cid:durableId="1089275701">
    <w:abstractNumId w:val="11"/>
  </w:num>
  <w:num w:numId="5" w16cid:durableId="1329286062">
    <w:abstractNumId w:val="9"/>
  </w:num>
  <w:num w:numId="6" w16cid:durableId="627321517">
    <w:abstractNumId w:val="4"/>
  </w:num>
  <w:num w:numId="7" w16cid:durableId="903417551">
    <w:abstractNumId w:val="1"/>
  </w:num>
  <w:num w:numId="8" w16cid:durableId="1260218508">
    <w:abstractNumId w:val="6"/>
  </w:num>
  <w:num w:numId="9" w16cid:durableId="1572425941">
    <w:abstractNumId w:val="7"/>
  </w:num>
  <w:num w:numId="10" w16cid:durableId="431128263">
    <w:abstractNumId w:val="13"/>
  </w:num>
  <w:num w:numId="11" w16cid:durableId="241069567">
    <w:abstractNumId w:val="3"/>
  </w:num>
  <w:num w:numId="12" w16cid:durableId="722867747">
    <w:abstractNumId w:val="8"/>
  </w:num>
  <w:num w:numId="13" w16cid:durableId="289476315">
    <w:abstractNumId w:val="2"/>
  </w:num>
  <w:num w:numId="14" w16cid:durableId="19288648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4F87"/>
    <w:rsid w:val="00010882"/>
    <w:rsid w:val="0003247A"/>
    <w:rsid w:val="00040406"/>
    <w:rsid w:val="00057061"/>
    <w:rsid w:val="00104BA2"/>
    <w:rsid w:val="00107636"/>
    <w:rsid w:val="00113A35"/>
    <w:rsid w:val="00135136"/>
    <w:rsid w:val="001735DD"/>
    <w:rsid w:val="00190804"/>
    <w:rsid w:val="001A15A5"/>
    <w:rsid w:val="001C1391"/>
    <w:rsid w:val="001D2404"/>
    <w:rsid w:val="001D687E"/>
    <w:rsid w:val="001F7532"/>
    <w:rsid w:val="00250CAE"/>
    <w:rsid w:val="00254F87"/>
    <w:rsid w:val="00286916"/>
    <w:rsid w:val="002A3BFC"/>
    <w:rsid w:val="002B1168"/>
    <w:rsid w:val="002B46A5"/>
    <w:rsid w:val="002F377E"/>
    <w:rsid w:val="0030743F"/>
    <w:rsid w:val="00346EB6"/>
    <w:rsid w:val="003544DB"/>
    <w:rsid w:val="00387C01"/>
    <w:rsid w:val="0039339D"/>
    <w:rsid w:val="003D58DB"/>
    <w:rsid w:val="003F4CF8"/>
    <w:rsid w:val="00435943"/>
    <w:rsid w:val="00455F8B"/>
    <w:rsid w:val="00482DFA"/>
    <w:rsid w:val="004A5A5A"/>
    <w:rsid w:val="004A604F"/>
    <w:rsid w:val="004A7E60"/>
    <w:rsid w:val="004B6D9A"/>
    <w:rsid w:val="004C21B1"/>
    <w:rsid w:val="004C2B2A"/>
    <w:rsid w:val="004C4AFA"/>
    <w:rsid w:val="004E33A6"/>
    <w:rsid w:val="005069CA"/>
    <w:rsid w:val="00517B03"/>
    <w:rsid w:val="0054212C"/>
    <w:rsid w:val="0054448A"/>
    <w:rsid w:val="005508D4"/>
    <w:rsid w:val="00553250"/>
    <w:rsid w:val="005B38E1"/>
    <w:rsid w:val="005C5254"/>
    <w:rsid w:val="005D6239"/>
    <w:rsid w:val="006816DF"/>
    <w:rsid w:val="00686818"/>
    <w:rsid w:val="006A3771"/>
    <w:rsid w:val="006A5316"/>
    <w:rsid w:val="006B765D"/>
    <w:rsid w:val="006E2E8B"/>
    <w:rsid w:val="00722237"/>
    <w:rsid w:val="0076590C"/>
    <w:rsid w:val="00794805"/>
    <w:rsid w:val="007B3935"/>
    <w:rsid w:val="007B4326"/>
    <w:rsid w:val="007D55ED"/>
    <w:rsid w:val="007F4D09"/>
    <w:rsid w:val="008410D8"/>
    <w:rsid w:val="008C5CBB"/>
    <w:rsid w:val="00900B4F"/>
    <w:rsid w:val="009131A4"/>
    <w:rsid w:val="00932580"/>
    <w:rsid w:val="009326A7"/>
    <w:rsid w:val="00942BF3"/>
    <w:rsid w:val="00957573"/>
    <w:rsid w:val="0095797C"/>
    <w:rsid w:val="0096759A"/>
    <w:rsid w:val="00991818"/>
    <w:rsid w:val="009971EE"/>
    <w:rsid w:val="009B3530"/>
    <w:rsid w:val="009D6E9E"/>
    <w:rsid w:val="00A02C1F"/>
    <w:rsid w:val="00A06DC7"/>
    <w:rsid w:val="00A51FE4"/>
    <w:rsid w:val="00A81C6F"/>
    <w:rsid w:val="00AB7FBA"/>
    <w:rsid w:val="00AE5699"/>
    <w:rsid w:val="00AF34A3"/>
    <w:rsid w:val="00AF5C40"/>
    <w:rsid w:val="00AF6D3E"/>
    <w:rsid w:val="00B17529"/>
    <w:rsid w:val="00B32E9C"/>
    <w:rsid w:val="00B47DD8"/>
    <w:rsid w:val="00BF0FB8"/>
    <w:rsid w:val="00C2017F"/>
    <w:rsid w:val="00C86462"/>
    <w:rsid w:val="00C95B74"/>
    <w:rsid w:val="00CA4140"/>
    <w:rsid w:val="00CC11A4"/>
    <w:rsid w:val="00D27793"/>
    <w:rsid w:val="00D33B65"/>
    <w:rsid w:val="00D45B92"/>
    <w:rsid w:val="00D75FE6"/>
    <w:rsid w:val="00D7633B"/>
    <w:rsid w:val="00D90ECE"/>
    <w:rsid w:val="00DB5FAA"/>
    <w:rsid w:val="00DD0F1C"/>
    <w:rsid w:val="00DD7A84"/>
    <w:rsid w:val="00E11111"/>
    <w:rsid w:val="00E16E3F"/>
    <w:rsid w:val="00E24844"/>
    <w:rsid w:val="00E41112"/>
    <w:rsid w:val="00E554CE"/>
    <w:rsid w:val="00EF34AB"/>
    <w:rsid w:val="00F07EA7"/>
    <w:rsid w:val="00F424B5"/>
    <w:rsid w:val="00F92883"/>
    <w:rsid w:val="00F97A76"/>
    <w:rsid w:val="00FB5DAC"/>
    <w:rsid w:val="00FC374B"/>
    <w:rsid w:val="00FD5B4E"/>
    <w:rsid w:val="00FF5236"/>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3581C"/>
  <w14:discardImageEditingData/>
  <w14:defaultImageDpi w14:val="96"/>
  <w15:docId w15:val="{B1F15F9C-271B-4578-BB1A-7C4F8D5DF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MY" w:eastAsia="en-MY"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1735DD"/>
    <w:rPr>
      <w:color w:val="0000FF" w:themeColor="hyperlink"/>
      <w:u w:val="single"/>
    </w:rPr>
  </w:style>
  <w:style w:type="character" w:styleId="UnresolvedMention">
    <w:name w:val="Unresolved Mention"/>
    <w:basedOn w:val="DefaultParagraphFont"/>
    <w:uiPriority w:val="99"/>
    <w:semiHidden/>
    <w:unhideWhenUsed/>
    <w:rsid w:val="001735DD"/>
    <w:rPr>
      <w:color w:val="605E5C"/>
      <w:shd w:val="clear" w:color="auto" w:fill="E1DFDD"/>
    </w:rPr>
  </w:style>
  <w:style w:type="paragraph" w:styleId="ListParagraph">
    <w:name w:val="List Paragraph"/>
    <w:basedOn w:val="Normal"/>
    <w:uiPriority w:val="34"/>
    <w:qFormat/>
    <w:rsid w:val="0039339D"/>
    <w:pPr>
      <w:widowControl/>
      <w:spacing w:after="160" w:line="259" w:lineRule="auto"/>
      <w:ind w:left="720"/>
      <w:contextualSpacing/>
    </w:pPr>
    <w:rPr>
      <w:rFonts w:asciiTheme="minorHAnsi" w:eastAsiaTheme="minorHAnsi" w:hAnsiTheme="minorHAnsi" w:cstheme="minorBidi"/>
      <w:kern w:val="2"/>
      <w:szCs w:val="28"/>
      <w:lang w:eastAsia="en-US" w:bidi="th-TH"/>
      <w14:ligatures w14:val="standardContextual"/>
    </w:rPr>
  </w:style>
  <w:style w:type="paragraph" w:customStyle="1" w:styleId="a">
    <w:name w:val="[ ]"/>
    <w:basedOn w:val="Normal"/>
    <w:link w:val="Char"/>
    <w:qFormat/>
    <w:rsid w:val="0039339D"/>
    <w:pPr>
      <w:widowControl/>
      <w:numPr>
        <w:numId w:val="8"/>
      </w:numPr>
      <w:spacing w:after="100" w:afterAutospacing="1" w:line="360" w:lineRule="auto"/>
      <w:jc w:val="both"/>
    </w:pPr>
    <w:rPr>
      <w:rFonts w:ascii="Times New Roman" w:eastAsia="Times New Roman" w:hAnsi="Times New Roman" w:cs="Times New Roman"/>
      <w:sz w:val="24"/>
      <w:szCs w:val="24"/>
    </w:rPr>
  </w:style>
  <w:style w:type="character" w:customStyle="1" w:styleId="Char">
    <w:name w:val="[ ] Char"/>
    <w:basedOn w:val="DefaultParagraphFont"/>
    <w:link w:val="a"/>
    <w:rsid w:val="0039339D"/>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2017F"/>
    <w:pPr>
      <w:tabs>
        <w:tab w:val="center" w:pos="4513"/>
        <w:tab w:val="right" w:pos="9026"/>
      </w:tabs>
    </w:pPr>
  </w:style>
  <w:style w:type="character" w:customStyle="1" w:styleId="HeaderChar">
    <w:name w:val="Header Char"/>
    <w:basedOn w:val="DefaultParagraphFont"/>
    <w:link w:val="Header"/>
    <w:uiPriority w:val="99"/>
    <w:rsid w:val="00C2017F"/>
  </w:style>
  <w:style w:type="paragraph" w:styleId="Footer">
    <w:name w:val="footer"/>
    <w:basedOn w:val="Normal"/>
    <w:link w:val="FooterChar"/>
    <w:uiPriority w:val="99"/>
    <w:unhideWhenUsed/>
    <w:rsid w:val="00C2017F"/>
    <w:pPr>
      <w:tabs>
        <w:tab w:val="center" w:pos="4513"/>
        <w:tab w:val="right" w:pos="9026"/>
      </w:tabs>
    </w:pPr>
  </w:style>
  <w:style w:type="character" w:customStyle="1" w:styleId="FooterChar">
    <w:name w:val="Footer Char"/>
    <w:basedOn w:val="DefaultParagraphFont"/>
    <w:link w:val="Footer"/>
    <w:uiPriority w:val="99"/>
    <w:rsid w:val="00C2017F"/>
  </w:style>
  <w:style w:type="character" w:styleId="FollowedHyperlink">
    <w:name w:val="FollowedHyperlink"/>
    <w:basedOn w:val="DefaultParagraphFont"/>
    <w:uiPriority w:val="99"/>
    <w:semiHidden/>
    <w:unhideWhenUsed/>
    <w:rsid w:val="00DB5FAA"/>
    <w:rPr>
      <w:color w:val="800080" w:themeColor="followedHyperlink"/>
      <w:u w:val="single"/>
    </w:rPr>
  </w:style>
  <w:style w:type="paragraph" w:styleId="NormalWeb">
    <w:name w:val="Normal (Web)"/>
    <w:basedOn w:val="Normal"/>
    <w:uiPriority w:val="99"/>
    <w:unhideWhenUsed/>
    <w:rsid w:val="003544DB"/>
    <w:pPr>
      <w:widowControl/>
      <w:spacing w:before="100" w:beforeAutospacing="1" w:after="100" w:afterAutospacing="1"/>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3544DB"/>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hyperlink" Target="https://doi.org/10.1108/JIMA-08-2020-0250" TargetMode="External"/><Relationship Id="rId26" Type="http://schemas.openxmlformats.org/officeDocument/2006/relationships/hyperlink" Target="https://doi.org/10.31083/j.fbe1404026" TargetMode="External"/><Relationship Id="rId39" Type="http://schemas.openxmlformats.org/officeDocument/2006/relationships/hyperlink" Target="https://doi.org/10.3390/foods14091548" TargetMode="External"/><Relationship Id="rId21" Type="http://schemas.openxmlformats.org/officeDocument/2006/relationships/hyperlink" Target="https://doi.org/10.3390/ijerph22091314" TargetMode="External"/><Relationship Id="rId34" Type="http://schemas.openxmlformats.org/officeDocument/2006/relationships/hyperlink" Target="https://doi.org/10.3390/foods14081289" TargetMode="External"/><Relationship Id="rId42" Type="http://schemas.openxmlformats.org/officeDocument/2006/relationships/hyperlink" Target="https://doi.org/10.3390/foods14193415" TargetMode="External"/><Relationship Id="rId47" Type="http://schemas.openxmlformats.org/officeDocument/2006/relationships/hyperlink" Target="https://doi.org/10.3390/foods14010105" TargetMode="External"/><Relationship Id="rId50" Type="http://schemas.openxmlformats.org/officeDocument/2006/relationships/hyperlink" Target="https://doi.org/10.3390/separations12120339" TargetMode="External"/><Relationship Id="rId55" Type="http://schemas.openxmlformats.org/officeDocument/2006/relationships/hyperlink" Target="https://doi.org/10.30880/ekst.2025.05.02.042"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07/s40201-020-00590-w" TargetMode="External"/><Relationship Id="rId29" Type="http://schemas.openxmlformats.org/officeDocument/2006/relationships/hyperlink" Target="https://doi.org/10.3390/molecules27154846" TargetMode="External"/><Relationship Id="rId11" Type="http://schemas.openxmlformats.org/officeDocument/2006/relationships/diagramQuickStyle" Target="diagrams/quickStyle1.xml"/><Relationship Id="rId24" Type="http://schemas.openxmlformats.org/officeDocument/2006/relationships/hyperlink" Target="https://doi.org/10.1186/s12966-023-01451-z" TargetMode="External"/><Relationship Id="rId32" Type="http://schemas.openxmlformats.org/officeDocument/2006/relationships/hyperlink" Target="https://doi.org/10.3390/foods14162802" TargetMode="External"/><Relationship Id="rId37" Type="http://schemas.openxmlformats.org/officeDocument/2006/relationships/hyperlink" Target="https://doi.org/10.1017/S1368980023000915" TargetMode="External"/><Relationship Id="rId40" Type="http://schemas.openxmlformats.org/officeDocument/2006/relationships/hyperlink" Target="https://doi.org/10.3390/foods12040749" TargetMode="External"/><Relationship Id="rId45" Type="http://schemas.openxmlformats.org/officeDocument/2006/relationships/hyperlink" Target="https://doi.org/10.3390/su12062468" TargetMode="External"/><Relationship Id="rId53" Type="http://schemas.openxmlformats.org/officeDocument/2006/relationships/hyperlink" Target="https://doi.org/10.1016/j.foodcont.2020.107516" TargetMode="External"/><Relationship Id="rId58" Type="http://schemas.openxmlformats.org/officeDocument/2006/relationships/hyperlink" Target="https://doi.org/10.1007/s13197-024-05957-7" TargetMode="External"/><Relationship Id="rId5" Type="http://schemas.openxmlformats.org/officeDocument/2006/relationships/webSettings" Target="webSettings.xml"/><Relationship Id="rId61" Type="http://schemas.openxmlformats.org/officeDocument/2006/relationships/hyperlink" Target="https://doi.org/10.1088/1742-6596/2314/1/012002" TargetMode="External"/><Relationship Id="rId19" Type="http://schemas.openxmlformats.org/officeDocument/2006/relationships/hyperlink" Target="https://doi.org/10.1007/s12011-024-04343-w" TargetMode="External"/><Relationship Id="rId14" Type="http://schemas.openxmlformats.org/officeDocument/2006/relationships/image" Target="media/image1.png"/><Relationship Id="rId22" Type="http://schemas.openxmlformats.org/officeDocument/2006/relationships/hyperlink" Target="https://doi.org/10.31436/hs.v5i2.127" TargetMode="External"/><Relationship Id="rId27" Type="http://schemas.openxmlformats.org/officeDocument/2006/relationships/hyperlink" Target="https://doi.org/10.3390/chemosensors11090500" TargetMode="External"/><Relationship Id="rId30" Type="http://schemas.openxmlformats.org/officeDocument/2006/relationships/hyperlink" Target="https://doi.org/10.3389/fnut.2022.979205" TargetMode="External"/><Relationship Id="rId35" Type="http://schemas.openxmlformats.org/officeDocument/2006/relationships/hyperlink" Target="https://doi.org/10.15282/jgi.4.2.2021.5948" TargetMode="External"/><Relationship Id="rId43" Type="http://schemas.openxmlformats.org/officeDocument/2006/relationships/hyperlink" Target="https://doi.org/10.3390/foods12142753" TargetMode="External"/><Relationship Id="rId48" Type="http://schemas.openxmlformats.org/officeDocument/2006/relationships/hyperlink" Target="https://doi.org/10.1002/fsn3.3752" TargetMode="External"/><Relationship Id="rId56" Type="http://schemas.openxmlformats.org/officeDocument/2006/relationships/hyperlink" Target="https://doi.org/10.3390/foods12183453" TargetMode="External"/><Relationship Id="rId8" Type="http://schemas.openxmlformats.org/officeDocument/2006/relationships/hyperlink" Target="mailto:harisun@utm.my" TargetMode="External"/><Relationship Id="rId51" Type="http://schemas.openxmlformats.org/officeDocument/2006/relationships/hyperlink" Target="https://doi.org/10.3389/fpubh.2024.1340149" TargetMode="Externa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hyperlink" Target="https://doi.org/10.6007/IJAREMS/v13-i3/22076" TargetMode="External"/><Relationship Id="rId25" Type="http://schemas.openxmlformats.org/officeDocument/2006/relationships/hyperlink" Target="https://doi.org/10.1007/s12571-023-01404-1" TargetMode="External"/><Relationship Id="rId33" Type="http://schemas.openxmlformats.org/officeDocument/2006/relationships/hyperlink" Target="https://doi.org/10.3390/foods13050797" TargetMode="External"/><Relationship Id="rId38" Type="http://schemas.openxmlformats.org/officeDocument/2006/relationships/hyperlink" Target="https://doi.org/10.3390/su13137222" TargetMode="External"/><Relationship Id="rId46" Type="http://schemas.openxmlformats.org/officeDocument/2006/relationships/hyperlink" Target="https://doi.org/10.1504/IJPQM.2020.105963" TargetMode="External"/><Relationship Id="rId59" Type="http://schemas.openxmlformats.org/officeDocument/2006/relationships/hyperlink" Target="https://doi.org/10.3390/foods12091816" TargetMode="External"/><Relationship Id="rId20" Type="http://schemas.openxmlformats.org/officeDocument/2006/relationships/hyperlink" Target="https://doi.org/10.3390/foods10061302" TargetMode="External"/><Relationship Id="rId41" Type="http://schemas.openxmlformats.org/officeDocument/2006/relationships/hyperlink" Target="https://dx.doi.org/10.47772/IJRISS.2025.908000442" TargetMode="External"/><Relationship Id="rId54" Type="http://schemas.openxmlformats.org/officeDocument/2006/relationships/hyperlink" Target="https://doi.org/10.3390/foods14132271"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s://doi.org/10.1590/0103-8478cr20230327" TargetMode="External"/><Relationship Id="rId28" Type="http://schemas.openxmlformats.org/officeDocument/2006/relationships/hyperlink" Target="https://doi.org/10.3390/molecules27154846" TargetMode="External"/><Relationship Id="rId36" Type="http://schemas.openxmlformats.org/officeDocument/2006/relationships/hyperlink" Target="https://doi.org/10.1016/j.heliyon.2024.e32297" TargetMode="External"/><Relationship Id="rId49" Type="http://schemas.openxmlformats.org/officeDocument/2006/relationships/hyperlink" Target="https://doi.org/10.3390/foods14152746" TargetMode="External"/><Relationship Id="rId57" Type="http://schemas.openxmlformats.org/officeDocument/2006/relationships/hyperlink" Target="https://doi.org/10.1016/j.foodres.2025.116459" TargetMode="External"/><Relationship Id="rId10" Type="http://schemas.openxmlformats.org/officeDocument/2006/relationships/diagramLayout" Target="diagrams/layout1.xml"/><Relationship Id="rId31" Type="http://schemas.openxmlformats.org/officeDocument/2006/relationships/hyperlink" Target="https://doi.org/10.1016/j.trac.2019.05.037" TargetMode="External"/><Relationship Id="rId44" Type="http://schemas.openxmlformats.org/officeDocument/2006/relationships/hyperlink" Target="https://doi.org/10.1016/j.fochx.2025.103156" TargetMode="External"/><Relationship Id="rId52" Type="http://schemas.openxmlformats.org/officeDocument/2006/relationships/hyperlink" Target="https://doi.org/10.1038/s41598-024-56133-y" TargetMode="External"/><Relationship Id="rId60" Type="http://schemas.openxmlformats.org/officeDocument/2006/relationships/hyperlink" Target="https://doi.org/10.3390/agriculture11060473" TargetMode="External"/><Relationship Id="rId4" Type="http://schemas.openxmlformats.org/officeDocument/2006/relationships/settings" Target="settings.xml"/><Relationship Id="rId9" Type="http://schemas.openxmlformats.org/officeDocument/2006/relationships/diagramData" Target="diagrams/data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418E2AD-B059-426D-955D-075536FA8610}" type="doc">
      <dgm:prSet loTypeId="urn:microsoft.com/office/officeart/2005/8/layout/process3" loCatId="process" qsTypeId="urn:microsoft.com/office/officeart/2005/8/quickstyle/simple1" qsCatId="simple" csTypeId="urn:microsoft.com/office/officeart/2005/8/colors/colorful1" csCatId="colorful" phldr="1"/>
      <dgm:spPr/>
      <dgm:t>
        <a:bodyPr/>
        <a:lstStyle/>
        <a:p>
          <a:endParaRPr lang="en-MY"/>
        </a:p>
      </dgm:t>
    </dgm:pt>
    <dgm:pt modelId="{4C4CED4F-66CB-4E92-B077-58A3DDEF7F89}">
      <dgm:prSet phldrT="[Text]" custT="1"/>
      <dgm:spPr/>
      <dgm:t>
        <a:bodyPr/>
        <a:lstStyle/>
        <a:p>
          <a:pPr algn="l"/>
          <a:r>
            <a:rPr lang="en-MY" sz="1050"/>
            <a:t>Step 1</a:t>
          </a:r>
        </a:p>
      </dgm:t>
    </dgm:pt>
    <dgm:pt modelId="{5B32E91C-E364-45CD-9431-0DC330F25ED8}" type="parTrans" cxnId="{AA59EB0A-28AC-4F1D-8DC5-5B46B7C4BB8E}">
      <dgm:prSet/>
      <dgm:spPr/>
      <dgm:t>
        <a:bodyPr/>
        <a:lstStyle/>
        <a:p>
          <a:pPr algn="l"/>
          <a:endParaRPr lang="en-MY" sz="800"/>
        </a:p>
      </dgm:t>
    </dgm:pt>
    <dgm:pt modelId="{CFAA3610-F40E-482A-A733-F7B4BA0E9C35}" type="sibTrans" cxnId="{AA59EB0A-28AC-4F1D-8DC5-5B46B7C4BB8E}">
      <dgm:prSet custT="1"/>
      <dgm:spPr/>
      <dgm:t>
        <a:bodyPr/>
        <a:lstStyle/>
        <a:p>
          <a:pPr algn="l"/>
          <a:endParaRPr lang="en-MY" sz="800"/>
        </a:p>
      </dgm:t>
    </dgm:pt>
    <dgm:pt modelId="{B6EAB625-31D6-4037-989D-51971A6796D6}">
      <dgm:prSet phldrT="[Text]" custT="1"/>
      <dgm:spPr/>
      <dgm:t>
        <a:bodyPr/>
        <a:lstStyle/>
        <a:p>
          <a:pPr algn="l"/>
          <a:r>
            <a:rPr lang="en-MY" sz="900"/>
            <a:t>Database Selection &amp; Keywords</a:t>
          </a:r>
        </a:p>
      </dgm:t>
    </dgm:pt>
    <dgm:pt modelId="{8C900E58-1232-4B97-A962-C928F5D8E6DF}" type="parTrans" cxnId="{5EDDD1B4-9464-4DA8-9A1C-6FB8272BA1C0}">
      <dgm:prSet/>
      <dgm:spPr/>
      <dgm:t>
        <a:bodyPr/>
        <a:lstStyle/>
        <a:p>
          <a:pPr algn="l"/>
          <a:endParaRPr lang="en-MY" sz="800"/>
        </a:p>
      </dgm:t>
    </dgm:pt>
    <dgm:pt modelId="{DE06E00E-5C79-439D-B008-33E3C9B204D0}" type="sibTrans" cxnId="{5EDDD1B4-9464-4DA8-9A1C-6FB8272BA1C0}">
      <dgm:prSet/>
      <dgm:spPr/>
      <dgm:t>
        <a:bodyPr/>
        <a:lstStyle/>
        <a:p>
          <a:pPr algn="l"/>
          <a:endParaRPr lang="en-MY" sz="800"/>
        </a:p>
      </dgm:t>
    </dgm:pt>
    <dgm:pt modelId="{B9577181-4C0E-47F3-99C4-72DD5DCA4E56}">
      <dgm:prSet phldrT="[Text]" custT="1"/>
      <dgm:spPr/>
      <dgm:t>
        <a:bodyPr/>
        <a:lstStyle/>
        <a:p>
          <a:pPr algn="l"/>
          <a:r>
            <a:rPr lang="en-MY" sz="1050"/>
            <a:t>Step 2</a:t>
          </a:r>
        </a:p>
      </dgm:t>
    </dgm:pt>
    <dgm:pt modelId="{DECBF4A7-03DB-4D33-92B5-94F582F43E42}" type="parTrans" cxnId="{ED1280ED-0BD4-47A2-B6D7-C90E22AE379F}">
      <dgm:prSet/>
      <dgm:spPr/>
      <dgm:t>
        <a:bodyPr/>
        <a:lstStyle/>
        <a:p>
          <a:pPr algn="l"/>
          <a:endParaRPr lang="en-MY" sz="800"/>
        </a:p>
      </dgm:t>
    </dgm:pt>
    <dgm:pt modelId="{F75E7700-7D45-4F9E-83B0-DF6583226912}" type="sibTrans" cxnId="{ED1280ED-0BD4-47A2-B6D7-C90E22AE379F}">
      <dgm:prSet custT="1"/>
      <dgm:spPr/>
      <dgm:t>
        <a:bodyPr/>
        <a:lstStyle/>
        <a:p>
          <a:pPr algn="l"/>
          <a:endParaRPr lang="en-MY" sz="800"/>
        </a:p>
      </dgm:t>
    </dgm:pt>
    <dgm:pt modelId="{ED6BB369-7362-42A3-92A0-EDAF6FB360DB}">
      <dgm:prSet phldrT="[Text]" custT="1"/>
      <dgm:spPr/>
      <dgm:t>
        <a:bodyPr/>
        <a:lstStyle/>
        <a:p>
          <a:pPr algn="l"/>
          <a:r>
            <a:rPr lang="en-MY" sz="900"/>
            <a:t>Tier 1 Filtering -Contextual Framework</a:t>
          </a:r>
        </a:p>
      </dgm:t>
    </dgm:pt>
    <dgm:pt modelId="{83CFCC27-23EC-4956-B9EA-9AC70C5F0AAA}" type="parTrans" cxnId="{30A05FD6-8961-46E7-BA0C-959B1F640116}">
      <dgm:prSet/>
      <dgm:spPr/>
      <dgm:t>
        <a:bodyPr/>
        <a:lstStyle/>
        <a:p>
          <a:pPr algn="l"/>
          <a:endParaRPr lang="en-MY" sz="800"/>
        </a:p>
      </dgm:t>
    </dgm:pt>
    <dgm:pt modelId="{7C407D48-65FD-4CB4-A4C2-2F1C34A412ED}" type="sibTrans" cxnId="{30A05FD6-8961-46E7-BA0C-959B1F640116}">
      <dgm:prSet/>
      <dgm:spPr/>
      <dgm:t>
        <a:bodyPr/>
        <a:lstStyle/>
        <a:p>
          <a:pPr algn="l"/>
          <a:endParaRPr lang="en-MY" sz="800"/>
        </a:p>
      </dgm:t>
    </dgm:pt>
    <dgm:pt modelId="{65F54BDD-07C6-497F-A059-92BFF76862C1}">
      <dgm:prSet phldrT="[Text]" custT="1"/>
      <dgm:spPr/>
      <dgm:t>
        <a:bodyPr/>
        <a:lstStyle/>
        <a:p>
          <a:pPr algn="l"/>
          <a:r>
            <a:rPr lang="en-MY" sz="1050"/>
            <a:t>Step 3</a:t>
          </a:r>
        </a:p>
      </dgm:t>
    </dgm:pt>
    <dgm:pt modelId="{8C37D82A-C6B3-4BB7-B8C9-38AD416172F5}" type="parTrans" cxnId="{1EB6FBC0-30A6-407A-89BA-B651059375BC}">
      <dgm:prSet/>
      <dgm:spPr/>
      <dgm:t>
        <a:bodyPr/>
        <a:lstStyle/>
        <a:p>
          <a:pPr algn="l"/>
          <a:endParaRPr lang="en-MY" sz="800"/>
        </a:p>
      </dgm:t>
    </dgm:pt>
    <dgm:pt modelId="{BFDB284A-2E18-422E-9A81-C179D0775D8E}" type="sibTrans" cxnId="{1EB6FBC0-30A6-407A-89BA-B651059375BC}">
      <dgm:prSet custT="1"/>
      <dgm:spPr/>
      <dgm:t>
        <a:bodyPr/>
        <a:lstStyle/>
        <a:p>
          <a:pPr algn="l"/>
          <a:endParaRPr lang="en-MY" sz="800"/>
        </a:p>
      </dgm:t>
    </dgm:pt>
    <dgm:pt modelId="{CF8E3BCF-C48F-40B5-8361-80586DAEBCFF}">
      <dgm:prSet phldrT="[Text]" custT="1"/>
      <dgm:spPr/>
      <dgm:t>
        <a:bodyPr/>
        <a:lstStyle/>
        <a:p>
          <a:pPr algn="l"/>
          <a:r>
            <a:rPr lang="en-MY" sz="900"/>
            <a:t>Tier 2 Filtering - Technical Validation</a:t>
          </a:r>
        </a:p>
      </dgm:t>
    </dgm:pt>
    <dgm:pt modelId="{C6BDECA6-CCB8-4C2A-BFAF-C10E330B31B2}" type="parTrans" cxnId="{3DFB5C64-A175-4974-8989-150979C31B89}">
      <dgm:prSet/>
      <dgm:spPr/>
      <dgm:t>
        <a:bodyPr/>
        <a:lstStyle/>
        <a:p>
          <a:pPr algn="l"/>
          <a:endParaRPr lang="en-MY" sz="800"/>
        </a:p>
      </dgm:t>
    </dgm:pt>
    <dgm:pt modelId="{F5A6B04E-ADFD-4CDA-9427-D4F3EFEA3C36}" type="sibTrans" cxnId="{3DFB5C64-A175-4974-8989-150979C31B89}">
      <dgm:prSet/>
      <dgm:spPr/>
      <dgm:t>
        <a:bodyPr/>
        <a:lstStyle/>
        <a:p>
          <a:pPr algn="l"/>
          <a:endParaRPr lang="en-MY" sz="800"/>
        </a:p>
      </dgm:t>
    </dgm:pt>
    <dgm:pt modelId="{C910D853-6696-4CB7-9047-1C7420427AAA}">
      <dgm:prSet phldrT="[Text]" custT="1"/>
      <dgm:spPr/>
      <dgm:t>
        <a:bodyPr/>
        <a:lstStyle/>
        <a:p>
          <a:pPr algn="l"/>
          <a:r>
            <a:rPr lang="en-MY" sz="1050"/>
            <a:t>Step 4</a:t>
          </a:r>
        </a:p>
      </dgm:t>
    </dgm:pt>
    <dgm:pt modelId="{75A2E802-6BB5-41BE-9F87-1D82F3B34D00}" type="parTrans" cxnId="{E429AC5F-062D-492C-A159-EC6E491F06B8}">
      <dgm:prSet/>
      <dgm:spPr/>
      <dgm:t>
        <a:bodyPr/>
        <a:lstStyle/>
        <a:p>
          <a:pPr algn="l"/>
          <a:endParaRPr lang="en-MY" sz="800"/>
        </a:p>
      </dgm:t>
    </dgm:pt>
    <dgm:pt modelId="{A138241B-BBE0-4882-A736-B0FDCBF3719E}" type="sibTrans" cxnId="{E429AC5F-062D-492C-A159-EC6E491F06B8}">
      <dgm:prSet custT="1"/>
      <dgm:spPr/>
      <dgm:t>
        <a:bodyPr/>
        <a:lstStyle/>
        <a:p>
          <a:pPr algn="l"/>
          <a:endParaRPr lang="en-MY" sz="800"/>
        </a:p>
      </dgm:t>
    </dgm:pt>
    <dgm:pt modelId="{3206E26D-3290-4F06-8E0B-7BB6B465F698}">
      <dgm:prSet phldrT="[Text]" custT="1"/>
      <dgm:spPr/>
      <dgm:t>
        <a:bodyPr/>
        <a:lstStyle/>
        <a:p>
          <a:pPr algn="l"/>
          <a:r>
            <a:rPr lang="en-MY" sz="1050"/>
            <a:t>Step 5</a:t>
          </a:r>
        </a:p>
      </dgm:t>
    </dgm:pt>
    <dgm:pt modelId="{99B3402E-34D9-4B90-BBDC-12E91171C25C}" type="parTrans" cxnId="{8FF286E4-88DF-470C-8C95-954C3E30337D}">
      <dgm:prSet/>
      <dgm:spPr/>
      <dgm:t>
        <a:bodyPr/>
        <a:lstStyle/>
        <a:p>
          <a:pPr algn="l"/>
          <a:endParaRPr lang="en-MY" sz="800"/>
        </a:p>
      </dgm:t>
    </dgm:pt>
    <dgm:pt modelId="{4FEF0514-CDFC-4543-BD4E-0B036D7F86DC}" type="sibTrans" cxnId="{8FF286E4-88DF-470C-8C95-954C3E30337D}">
      <dgm:prSet/>
      <dgm:spPr/>
      <dgm:t>
        <a:bodyPr/>
        <a:lstStyle/>
        <a:p>
          <a:pPr algn="l"/>
          <a:endParaRPr lang="en-MY" sz="800"/>
        </a:p>
      </dgm:t>
    </dgm:pt>
    <dgm:pt modelId="{968503DB-4EC9-42F8-BFD1-7679E11D7100}">
      <dgm:prSet phldrT="[Text]" custT="1"/>
      <dgm:spPr/>
      <dgm:t>
        <a:bodyPr/>
        <a:lstStyle/>
        <a:p>
          <a:pPr algn="l"/>
          <a:r>
            <a:rPr lang="en-MY" sz="900"/>
            <a:t>Tier 3 Filtering -Nexus Integration</a:t>
          </a:r>
        </a:p>
      </dgm:t>
    </dgm:pt>
    <dgm:pt modelId="{3D4ABC81-94ED-4423-A993-1CDEC704E483}" type="parTrans" cxnId="{A901DC9B-30F5-4DDB-8C92-EBAEE00A305B}">
      <dgm:prSet/>
      <dgm:spPr/>
      <dgm:t>
        <a:bodyPr/>
        <a:lstStyle/>
        <a:p>
          <a:pPr algn="l"/>
          <a:endParaRPr lang="en-MY" sz="800"/>
        </a:p>
      </dgm:t>
    </dgm:pt>
    <dgm:pt modelId="{6D241F24-FA5E-4EED-82F7-9CEA1E363F28}" type="sibTrans" cxnId="{A901DC9B-30F5-4DDB-8C92-EBAEE00A305B}">
      <dgm:prSet/>
      <dgm:spPr/>
      <dgm:t>
        <a:bodyPr/>
        <a:lstStyle/>
        <a:p>
          <a:pPr algn="l"/>
          <a:endParaRPr lang="en-MY" sz="800"/>
        </a:p>
      </dgm:t>
    </dgm:pt>
    <dgm:pt modelId="{0BA01FA9-FDFB-4540-AF27-EDB1AA9833EB}">
      <dgm:prSet phldrT="[Text]" custT="1"/>
      <dgm:spPr/>
      <dgm:t>
        <a:bodyPr/>
        <a:lstStyle/>
        <a:p>
          <a:pPr algn="l"/>
          <a:r>
            <a:rPr lang="en-MY" sz="900"/>
            <a:t>Final Evaluation &amp; Synthesis</a:t>
          </a:r>
        </a:p>
      </dgm:t>
    </dgm:pt>
    <dgm:pt modelId="{84E5ADCB-21A5-4873-94A4-12AFB6481722}" type="parTrans" cxnId="{DEDBAE7E-2F22-44B5-85FB-69B487E7F54C}">
      <dgm:prSet/>
      <dgm:spPr/>
      <dgm:t>
        <a:bodyPr/>
        <a:lstStyle/>
        <a:p>
          <a:pPr algn="l"/>
          <a:endParaRPr lang="en-MY" sz="800"/>
        </a:p>
      </dgm:t>
    </dgm:pt>
    <dgm:pt modelId="{B9857643-D4B9-454C-8E7A-A45C84023621}" type="sibTrans" cxnId="{DEDBAE7E-2F22-44B5-85FB-69B487E7F54C}">
      <dgm:prSet/>
      <dgm:spPr/>
      <dgm:t>
        <a:bodyPr/>
        <a:lstStyle/>
        <a:p>
          <a:pPr algn="l"/>
          <a:endParaRPr lang="en-MY" sz="800"/>
        </a:p>
      </dgm:t>
    </dgm:pt>
    <dgm:pt modelId="{BC141931-4FCA-42AF-9774-F5ADEDEAE532}" type="pres">
      <dgm:prSet presAssocID="{3418E2AD-B059-426D-955D-075536FA8610}" presName="linearFlow" presStyleCnt="0">
        <dgm:presLayoutVars>
          <dgm:dir/>
          <dgm:animLvl val="lvl"/>
          <dgm:resizeHandles val="exact"/>
        </dgm:presLayoutVars>
      </dgm:prSet>
      <dgm:spPr/>
    </dgm:pt>
    <dgm:pt modelId="{2DCC492C-F87F-476D-8FBA-2841A8386819}" type="pres">
      <dgm:prSet presAssocID="{4C4CED4F-66CB-4E92-B077-58A3DDEF7F89}" presName="composite" presStyleCnt="0"/>
      <dgm:spPr/>
    </dgm:pt>
    <dgm:pt modelId="{833CC686-72E1-41B4-89BB-7EEBB0D70F31}" type="pres">
      <dgm:prSet presAssocID="{4C4CED4F-66CB-4E92-B077-58A3DDEF7F89}" presName="parTx" presStyleLbl="node1" presStyleIdx="0" presStyleCnt="5">
        <dgm:presLayoutVars>
          <dgm:chMax val="0"/>
          <dgm:chPref val="0"/>
          <dgm:bulletEnabled val="1"/>
        </dgm:presLayoutVars>
      </dgm:prSet>
      <dgm:spPr/>
    </dgm:pt>
    <dgm:pt modelId="{0299CB4C-88B3-4CF1-BE7B-85C92CAA9228}" type="pres">
      <dgm:prSet presAssocID="{4C4CED4F-66CB-4E92-B077-58A3DDEF7F89}" presName="parSh" presStyleLbl="node1" presStyleIdx="0" presStyleCnt="5"/>
      <dgm:spPr/>
    </dgm:pt>
    <dgm:pt modelId="{4A3BE7F4-ED45-4095-A9B7-346673E9ABA3}" type="pres">
      <dgm:prSet presAssocID="{4C4CED4F-66CB-4E92-B077-58A3DDEF7F89}" presName="desTx" presStyleLbl="fgAcc1" presStyleIdx="0" presStyleCnt="5">
        <dgm:presLayoutVars>
          <dgm:bulletEnabled val="1"/>
        </dgm:presLayoutVars>
      </dgm:prSet>
      <dgm:spPr/>
    </dgm:pt>
    <dgm:pt modelId="{2A76C2AA-6845-4106-8A2A-17BB1B1EF9D4}" type="pres">
      <dgm:prSet presAssocID="{CFAA3610-F40E-482A-A733-F7B4BA0E9C35}" presName="sibTrans" presStyleLbl="sibTrans2D1" presStyleIdx="0" presStyleCnt="4"/>
      <dgm:spPr/>
    </dgm:pt>
    <dgm:pt modelId="{6D3701D6-4001-4B5E-A6F4-99057BFB5B34}" type="pres">
      <dgm:prSet presAssocID="{CFAA3610-F40E-482A-A733-F7B4BA0E9C35}" presName="connTx" presStyleLbl="sibTrans2D1" presStyleIdx="0" presStyleCnt="4"/>
      <dgm:spPr/>
    </dgm:pt>
    <dgm:pt modelId="{FDCF29CF-E354-4A7C-9D12-7ECBDEEB1C42}" type="pres">
      <dgm:prSet presAssocID="{B9577181-4C0E-47F3-99C4-72DD5DCA4E56}" presName="composite" presStyleCnt="0"/>
      <dgm:spPr/>
    </dgm:pt>
    <dgm:pt modelId="{E394BB57-3B69-4E4D-B518-B0C6A177E4CC}" type="pres">
      <dgm:prSet presAssocID="{B9577181-4C0E-47F3-99C4-72DD5DCA4E56}" presName="parTx" presStyleLbl="node1" presStyleIdx="0" presStyleCnt="5">
        <dgm:presLayoutVars>
          <dgm:chMax val="0"/>
          <dgm:chPref val="0"/>
          <dgm:bulletEnabled val="1"/>
        </dgm:presLayoutVars>
      </dgm:prSet>
      <dgm:spPr/>
    </dgm:pt>
    <dgm:pt modelId="{DC22FF58-E22B-4DF0-A9D3-B03EE75642B1}" type="pres">
      <dgm:prSet presAssocID="{B9577181-4C0E-47F3-99C4-72DD5DCA4E56}" presName="parSh" presStyleLbl="node1" presStyleIdx="1" presStyleCnt="5"/>
      <dgm:spPr/>
    </dgm:pt>
    <dgm:pt modelId="{BC084555-12F8-4315-961E-330ED63731BA}" type="pres">
      <dgm:prSet presAssocID="{B9577181-4C0E-47F3-99C4-72DD5DCA4E56}" presName="desTx" presStyleLbl="fgAcc1" presStyleIdx="1" presStyleCnt="5">
        <dgm:presLayoutVars>
          <dgm:bulletEnabled val="1"/>
        </dgm:presLayoutVars>
      </dgm:prSet>
      <dgm:spPr/>
    </dgm:pt>
    <dgm:pt modelId="{1D66D843-74C6-47DC-9A5B-BE371D098A38}" type="pres">
      <dgm:prSet presAssocID="{F75E7700-7D45-4F9E-83B0-DF6583226912}" presName="sibTrans" presStyleLbl="sibTrans2D1" presStyleIdx="1" presStyleCnt="4"/>
      <dgm:spPr/>
    </dgm:pt>
    <dgm:pt modelId="{FE2A5DD6-0098-4338-8430-57303D89F9E0}" type="pres">
      <dgm:prSet presAssocID="{F75E7700-7D45-4F9E-83B0-DF6583226912}" presName="connTx" presStyleLbl="sibTrans2D1" presStyleIdx="1" presStyleCnt="4"/>
      <dgm:spPr/>
    </dgm:pt>
    <dgm:pt modelId="{22BD5B4A-66FE-4E62-94BF-0E4BDC8EF979}" type="pres">
      <dgm:prSet presAssocID="{65F54BDD-07C6-497F-A059-92BFF76862C1}" presName="composite" presStyleCnt="0"/>
      <dgm:spPr/>
    </dgm:pt>
    <dgm:pt modelId="{3EDA3CC2-D25A-408E-B9CF-9B1FD7EDAB2C}" type="pres">
      <dgm:prSet presAssocID="{65F54BDD-07C6-497F-A059-92BFF76862C1}" presName="parTx" presStyleLbl="node1" presStyleIdx="1" presStyleCnt="5">
        <dgm:presLayoutVars>
          <dgm:chMax val="0"/>
          <dgm:chPref val="0"/>
          <dgm:bulletEnabled val="1"/>
        </dgm:presLayoutVars>
      </dgm:prSet>
      <dgm:spPr/>
    </dgm:pt>
    <dgm:pt modelId="{A8F5D2CD-53DA-4BEF-B317-131FD4D5DC6B}" type="pres">
      <dgm:prSet presAssocID="{65F54BDD-07C6-497F-A059-92BFF76862C1}" presName="parSh" presStyleLbl="node1" presStyleIdx="2" presStyleCnt="5"/>
      <dgm:spPr/>
    </dgm:pt>
    <dgm:pt modelId="{9CA69AA0-5BAF-482D-9DDB-805690C4FDD6}" type="pres">
      <dgm:prSet presAssocID="{65F54BDD-07C6-497F-A059-92BFF76862C1}" presName="desTx" presStyleLbl="fgAcc1" presStyleIdx="2" presStyleCnt="5">
        <dgm:presLayoutVars>
          <dgm:bulletEnabled val="1"/>
        </dgm:presLayoutVars>
      </dgm:prSet>
      <dgm:spPr/>
    </dgm:pt>
    <dgm:pt modelId="{9420591C-394F-4DFD-8B0A-2F89587B873A}" type="pres">
      <dgm:prSet presAssocID="{BFDB284A-2E18-422E-9A81-C179D0775D8E}" presName="sibTrans" presStyleLbl="sibTrans2D1" presStyleIdx="2" presStyleCnt="4"/>
      <dgm:spPr/>
    </dgm:pt>
    <dgm:pt modelId="{ECAC59ED-4F99-4166-AFCB-7594DBBC090E}" type="pres">
      <dgm:prSet presAssocID="{BFDB284A-2E18-422E-9A81-C179D0775D8E}" presName="connTx" presStyleLbl="sibTrans2D1" presStyleIdx="2" presStyleCnt="4"/>
      <dgm:spPr/>
    </dgm:pt>
    <dgm:pt modelId="{30C67E10-F8C8-4AD9-81BD-444499113B4F}" type="pres">
      <dgm:prSet presAssocID="{C910D853-6696-4CB7-9047-1C7420427AAA}" presName="composite" presStyleCnt="0"/>
      <dgm:spPr/>
    </dgm:pt>
    <dgm:pt modelId="{40354141-CA2A-44BD-8291-DD3A9EC946CF}" type="pres">
      <dgm:prSet presAssocID="{C910D853-6696-4CB7-9047-1C7420427AAA}" presName="parTx" presStyleLbl="node1" presStyleIdx="2" presStyleCnt="5">
        <dgm:presLayoutVars>
          <dgm:chMax val="0"/>
          <dgm:chPref val="0"/>
          <dgm:bulletEnabled val="1"/>
        </dgm:presLayoutVars>
      </dgm:prSet>
      <dgm:spPr/>
    </dgm:pt>
    <dgm:pt modelId="{FE7EEDD5-9634-4EF5-8CA7-8727C5E7598D}" type="pres">
      <dgm:prSet presAssocID="{C910D853-6696-4CB7-9047-1C7420427AAA}" presName="parSh" presStyleLbl="node1" presStyleIdx="3" presStyleCnt="5"/>
      <dgm:spPr/>
    </dgm:pt>
    <dgm:pt modelId="{55FEA568-7424-479F-B2D8-46EAC2B2D698}" type="pres">
      <dgm:prSet presAssocID="{C910D853-6696-4CB7-9047-1C7420427AAA}" presName="desTx" presStyleLbl="fgAcc1" presStyleIdx="3" presStyleCnt="5">
        <dgm:presLayoutVars>
          <dgm:bulletEnabled val="1"/>
        </dgm:presLayoutVars>
      </dgm:prSet>
      <dgm:spPr/>
    </dgm:pt>
    <dgm:pt modelId="{E01230A2-DDF9-4F0B-9634-0CB4BA557BBA}" type="pres">
      <dgm:prSet presAssocID="{A138241B-BBE0-4882-A736-B0FDCBF3719E}" presName="sibTrans" presStyleLbl="sibTrans2D1" presStyleIdx="3" presStyleCnt="4"/>
      <dgm:spPr/>
    </dgm:pt>
    <dgm:pt modelId="{51AADBB7-1604-4005-849C-5DE4F6DC8E0C}" type="pres">
      <dgm:prSet presAssocID="{A138241B-BBE0-4882-A736-B0FDCBF3719E}" presName="connTx" presStyleLbl="sibTrans2D1" presStyleIdx="3" presStyleCnt="4"/>
      <dgm:spPr/>
    </dgm:pt>
    <dgm:pt modelId="{EFD73187-B787-401D-9237-F8FC03AF70BA}" type="pres">
      <dgm:prSet presAssocID="{3206E26D-3290-4F06-8E0B-7BB6B465F698}" presName="composite" presStyleCnt="0"/>
      <dgm:spPr/>
    </dgm:pt>
    <dgm:pt modelId="{029082CA-3E5A-4F52-AD7F-FBB485A3C7F3}" type="pres">
      <dgm:prSet presAssocID="{3206E26D-3290-4F06-8E0B-7BB6B465F698}" presName="parTx" presStyleLbl="node1" presStyleIdx="3" presStyleCnt="5">
        <dgm:presLayoutVars>
          <dgm:chMax val="0"/>
          <dgm:chPref val="0"/>
          <dgm:bulletEnabled val="1"/>
        </dgm:presLayoutVars>
      </dgm:prSet>
      <dgm:spPr/>
    </dgm:pt>
    <dgm:pt modelId="{8A8B401D-04CC-4883-8449-36DA921F3EC9}" type="pres">
      <dgm:prSet presAssocID="{3206E26D-3290-4F06-8E0B-7BB6B465F698}" presName="parSh" presStyleLbl="node1" presStyleIdx="4" presStyleCnt="5"/>
      <dgm:spPr/>
    </dgm:pt>
    <dgm:pt modelId="{5F2C8AAB-A325-4366-B72B-83B1214F4FE8}" type="pres">
      <dgm:prSet presAssocID="{3206E26D-3290-4F06-8E0B-7BB6B465F698}" presName="desTx" presStyleLbl="fgAcc1" presStyleIdx="4" presStyleCnt="5">
        <dgm:presLayoutVars>
          <dgm:bulletEnabled val="1"/>
        </dgm:presLayoutVars>
      </dgm:prSet>
      <dgm:spPr/>
    </dgm:pt>
  </dgm:ptLst>
  <dgm:cxnLst>
    <dgm:cxn modelId="{AA59EB0A-28AC-4F1D-8DC5-5B46B7C4BB8E}" srcId="{3418E2AD-B059-426D-955D-075536FA8610}" destId="{4C4CED4F-66CB-4E92-B077-58A3DDEF7F89}" srcOrd="0" destOrd="0" parTransId="{5B32E91C-E364-45CD-9431-0DC330F25ED8}" sibTransId="{CFAA3610-F40E-482A-A733-F7B4BA0E9C35}"/>
    <dgm:cxn modelId="{B9FFA30E-46BC-43E7-8CD6-FDB360037752}" type="presOf" srcId="{968503DB-4EC9-42F8-BFD1-7679E11D7100}" destId="{55FEA568-7424-479F-B2D8-46EAC2B2D698}" srcOrd="0" destOrd="0" presId="urn:microsoft.com/office/officeart/2005/8/layout/process3"/>
    <dgm:cxn modelId="{E5609421-1B5F-4F04-AC76-678A2E27D580}" type="presOf" srcId="{C910D853-6696-4CB7-9047-1C7420427AAA}" destId="{40354141-CA2A-44BD-8291-DD3A9EC946CF}" srcOrd="0" destOrd="0" presId="urn:microsoft.com/office/officeart/2005/8/layout/process3"/>
    <dgm:cxn modelId="{35A2932A-8EAE-4DFD-8047-6408B283ED2A}" type="presOf" srcId="{ED6BB369-7362-42A3-92A0-EDAF6FB360DB}" destId="{BC084555-12F8-4315-961E-330ED63731BA}" srcOrd="0" destOrd="0" presId="urn:microsoft.com/office/officeart/2005/8/layout/process3"/>
    <dgm:cxn modelId="{1DE0952A-FD81-4351-81D8-087CD494532F}" type="presOf" srcId="{BFDB284A-2E18-422E-9A81-C179D0775D8E}" destId="{ECAC59ED-4F99-4166-AFCB-7594DBBC090E}" srcOrd="1" destOrd="0" presId="urn:microsoft.com/office/officeart/2005/8/layout/process3"/>
    <dgm:cxn modelId="{43FA202E-6795-4E35-9004-AD26B144E497}" type="presOf" srcId="{F75E7700-7D45-4F9E-83B0-DF6583226912}" destId="{FE2A5DD6-0098-4338-8430-57303D89F9E0}" srcOrd="1" destOrd="0" presId="urn:microsoft.com/office/officeart/2005/8/layout/process3"/>
    <dgm:cxn modelId="{3C6FEF35-FA42-4EE4-9123-758FCC423476}" type="presOf" srcId="{CF8E3BCF-C48F-40B5-8361-80586DAEBCFF}" destId="{9CA69AA0-5BAF-482D-9DDB-805690C4FDD6}" srcOrd="0" destOrd="0" presId="urn:microsoft.com/office/officeart/2005/8/layout/process3"/>
    <dgm:cxn modelId="{EE43D039-AD71-4966-AB67-1E0F68A7AF6D}" type="presOf" srcId="{4C4CED4F-66CB-4E92-B077-58A3DDEF7F89}" destId="{833CC686-72E1-41B4-89BB-7EEBB0D70F31}" srcOrd="0" destOrd="0" presId="urn:microsoft.com/office/officeart/2005/8/layout/process3"/>
    <dgm:cxn modelId="{E429AC5F-062D-492C-A159-EC6E491F06B8}" srcId="{3418E2AD-B059-426D-955D-075536FA8610}" destId="{C910D853-6696-4CB7-9047-1C7420427AAA}" srcOrd="3" destOrd="0" parTransId="{75A2E802-6BB5-41BE-9F87-1D82F3B34D00}" sibTransId="{A138241B-BBE0-4882-A736-B0FDCBF3719E}"/>
    <dgm:cxn modelId="{6ECB9843-5467-47A8-B995-F44ADCCCAEFD}" type="presOf" srcId="{F75E7700-7D45-4F9E-83B0-DF6583226912}" destId="{1D66D843-74C6-47DC-9A5B-BE371D098A38}" srcOrd="0" destOrd="0" presId="urn:microsoft.com/office/officeart/2005/8/layout/process3"/>
    <dgm:cxn modelId="{3DFB5C64-A175-4974-8989-150979C31B89}" srcId="{65F54BDD-07C6-497F-A059-92BFF76862C1}" destId="{CF8E3BCF-C48F-40B5-8361-80586DAEBCFF}" srcOrd="0" destOrd="0" parTransId="{C6BDECA6-CCB8-4C2A-BFAF-C10E330B31B2}" sibTransId="{F5A6B04E-ADFD-4CDA-9427-D4F3EFEA3C36}"/>
    <dgm:cxn modelId="{2F490F7A-2D13-47E5-8AA7-7207291B1B2C}" type="presOf" srcId="{0BA01FA9-FDFB-4540-AF27-EDB1AA9833EB}" destId="{5F2C8AAB-A325-4366-B72B-83B1214F4FE8}" srcOrd="0" destOrd="0" presId="urn:microsoft.com/office/officeart/2005/8/layout/process3"/>
    <dgm:cxn modelId="{2AA2E27D-053A-4AA2-995F-50FAB3F4024A}" type="presOf" srcId="{C910D853-6696-4CB7-9047-1C7420427AAA}" destId="{FE7EEDD5-9634-4EF5-8CA7-8727C5E7598D}" srcOrd="1" destOrd="0" presId="urn:microsoft.com/office/officeart/2005/8/layout/process3"/>
    <dgm:cxn modelId="{DEDBAE7E-2F22-44B5-85FB-69B487E7F54C}" srcId="{3206E26D-3290-4F06-8E0B-7BB6B465F698}" destId="{0BA01FA9-FDFB-4540-AF27-EDB1AA9833EB}" srcOrd="0" destOrd="0" parTransId="{84E5ADCB-21A5-4873-94A4-12AFB6481722}" sibTransId="{B9857643-D4B9-454C-8E7A-A45C84023621}"/>
    <dgm:cxn modelId="{4594D586-107E-4ECA-BDAE-0FA57F2C498B}" type="presOf" srcId="{CFAA3610-F40E-482A-A733-F7B4BA0E9C35}" destId="{2A76C2AA-6845-4106-8A2A-17BB1B1EF9D4}" srcOrd="0" destOrd="0" presId="urn:microsoft.com/office/officeart/2005/8/layout/process3"/>
    <dgm:cxn modelId="{DA68F587-9A17-4517-B1AD-550B6115D17B}" type="presOf" srcId="{4C4CED4F-66CB-4E92-B077-58A3DDEF7F89}" destId="{0299CB4C-88B3-4CF1-BE7B-85C92CAA9228}" srcOrd="1" destOrd="0" presId="urn:microsoft.com/office/officeart/2005/8/layout/process3"/>
    <dgm:cxn modelId="{A901DC9B-30F5-4DDB-8C92-EBAEE00A305B}" srcId="{C910D853-6696-4CB7-9047-1C7420427AAA}" destId="{968503DB-4EC9-42F8-BFD1-7679E11D7100}" srcOrd="0" destOrd="0" parTransId="{3D4ABC81-94ED-4423-A993-1CDEC704E483}" sibTransId="{6D241F24-FA5E-4EED-82F7-9CEA1E363F28}"/>
    <dgm:cxn modelId="{5EDDD1B4-9464-4DA8-9A1C-6FB8272BA1C0}" srcId="{4C4CED4F-66CB-4E92-B077-58A3DDEF7F89}" destId="{B6EAB625-31D6-4037-989D-51971A6796D6}" srcOrd="0" destOrd="0" parTransId="{8C900E58-1232-4B97-A962-C928F5D8E6DF}" sibTransId="{DE06E00E-5C79-439D-B008-33E3C9B204D0}"/>
    <dgm:cxn modelId="{1EB6FBC0-30A6-407A-89BA-B651059375BC}" srcId="{3418E2AD-B059-426D-955D-075536FA8610}" destId="{65F54BDD-07C6-497F-A059-92BFF76862C1}" srcOrd="2" destOrd="0" parTransId="{8C37D82A-C6B3-4BB7-B8C9-38AD416172F5}" sibTransId="{BFDB284A-2E18-422E-9A81-C179D0775D8E}"/>
    <dgm:cxn modelId="{B3714DC1-EFB1-4FA9-9F98-9AFC41CB7F74}" type="presOf" srcId="{3206E26D-3290-4F06-8E0B-7BB6B465F698}" destId="{029082CA-3E5A-4F52-AD7F-FBB485A3C7F3}" srcOrd="0" destOrd="0" presId="urn:microsoft.com/office/officeart/2005/8/layout/process3"/>
    <dgm:cxn modelId="{291EB5D2-EFC3-4B73-AA38-460E3A015937}" type="presOf" srcId="{3206E26D-3290-4F06-8E0B-7BB6B465F698}" destId="{8A8B401D-04CC-4883-8449-36DA921F3EC9}" srcOrd="1" destOrd="0" presId="urn:microsoft.com/office/officeart/2005/8/layout/process3"/>
    <dgm:cxn modelId="{30A05FD6-8961-46E7-BA0C-959B1F640116}" srcId="{B9577181-4C0E-47F3-99C4-72DD5DCA4E56}" destId="{ED6BB369-7362-42A3-92A0-EDAF6FB360DB}" srcOrd="0" destOrd="0" parTransId="{83CFCC27-23EC-4956-B9EA-9AC70C5F0AAA}" sibTransId="{7C407D48-65FD-4CB4-A4C2-2F1C34A412ED}"/>
    <dgm:cxn modelId="{40ABBDDE-AF38-4A77-9D68-2628ECBC5595}" type="presOf" srcId="{65F54BDD-07C6-497F-A059-92BFF76862C1}" destId="{3EDA3CC2-D25A-408E-B9CF-9B1FD7EDAB2C}" srcOrd="0" destOrd="0" presId="urn:microsoft.com/office/officeart/2005/8/layout/process3"/>
    <dgm:cxn modelId="{CA6AC9E1-9D28-44BC-956E-FE729F574E94}" type="presOf" srcId="{BFDB284A-2E18-422E-9A81-C179D0775D8E}" destId="{9420591C-394F-4DFD-8B0A-2F89587B873A}" srcOrd="0" destOrd="0" presId="urn:microsoft.com/office/officeart/2005/8/layout/process3"/>
    <dgm:cxn modelId="{8B712CE4-860D-4320-9018-5219C2C0625E}" type="presOf" srcId="{A138241B-BBE0-4882-A736-B0FDCBF3719E}" destId="{51AADBB7-1604-4005-849C-5DE4F6DC8E0C}" srcOrd="1" destOrd="0" presId="urn:microsoft.com/office/officeart/2005/8/layout/process3"/>
    <dgm:cxn modelId="{8FF286E4-88DF-470C-8C95-954C3E30337D}" srcId="{3418E2AD-B059-426D-955D-075536FA8610}" destId="{3206E26D-3290-4F06-8E0B-7BB6B465F698}" srcOrd="4" destOrd="0" parTransId="{99B3402E-34D9-4B90-BBDC-12E91171C25C}" sibTransId="{4FEF0514-CDFC-4543-BD4E-0B036D7F86DC}"/>
    <dgm:cxn modelId="{FB6D9EE4-727D-4CF1-85BA-87DCC27FC02C}" type="presOf" srcId="{B9577181-4C0E-47F3-99C4-72DD5DCA4E56}" destId="{DC22FF58-E22B-4DF0-A9D3-B03EE75642B1}" srcOrd="1" destOrd="0" presId="urn:microsoft.com/office/officeart/2005/8/layout/process3"/>
    <dgm:cxn modelId="{9148C4E4-C979-4EDB-BFD3-79C2C02E5337}" type="presOf" srcId="{CFAA3610-F40E-482A-A733-F7B4BA0E9C35}" destId="{6D3701D6-4001-4B5E-A6F4-99057BFB5B34}" srcOrd="1" destOrd="0" presId="urn:microsoft.com/office/officeart/2005/8/layout/process3"/>
    <dgm:cxn modelId="{ED1280ED-0BD4-47A2-B6D7-C90E22AE379F}" srcId="{3418E2AD-B059-426D-955D-075536FA8610}" destId="{B9577181-4C0E-47F3-99C4-72DD5DCA4E56}" srcOrd="1" destOrd="0" parTransId="{DECBF4A7-03DB-4D33-92B5-94F582F43E42}" sibTransId="{F75E7700-7D45-4F9E-83B0-DF6583226912}"/>
    <dgm:cxn modelId="{611A29EE-C8B2-4ACA-ADFA-ECF6943055F7}" type="presOf" srcId="{3418E2AD-B059-426D-955D-075536FA8610}" destId="{BC141931-4FCA-42AF-9774-F5ADEDEAE532}" srcOrd="0" destOrd="0" presId="urn:microsoft.com/office/officeart/2005/8/layout/process3"/>
    <dgm:cxn modelId="{16DAA7FA-DB76-46DF-87D6-0C65342AC5BA}" type="presOf" srcId="{A138241B-BBE0-4882-A736-B0FDCBF3719E}" destId="{E01230A2-DDF9-4F0B-9634-0CB4BA557BBA}" srcOrd="0" destOrd="0" presId="urn:microsoft.com/office/officeart/2005/8/layout/process3"/>
    <dgm:cxn modelId="{347FC6FA-8665-47A5-8034-A00E2260EDD2}" type="presOf" srcId="{B9577181-4C0E-47F3-99C4-72DD5DCA4E56}" destId="{E394BB57-3B69-4E4D-B518-B0C6A177E4CC}" srcOrd="0" destOrd="0" presId="urn:microsoft.com/office/officeart/2005/8/layout/process3"/>
    <dgm:cxn modelId="{02E619FD-2E38-4F11-87A6-7986989B0060}" type="presOf" srcId="{65F54BDD-07C6-497F-A059-92BFF76862C1}" destId="{A8F5D2CD-53DA-4BEF-B317-131FD4D5DC6B}" srcOrd="1" destOrd="0" presId="urn:microsoft.com/office/officeart/2005/8/layout/process3"/>
    <dgm:cxn modelId="{F99D2DFF-A3F0-4155-A5D5-9EF12A725A94}" type="presOf" srcId="{B6EAB625-31D6-4037-989D-51971A6796D6}" destId="{4A3BE7F4-ED45-4095-A9B7-346673E9ABA3}" srcOrd="0" destOrd="0" presId="urn:microsoft.com/office/officeart/2005/8/layout/process3"/>
    <dgm:cxn modelId="{AEA4E57C-2D7C-4B53-A303-FCAFF8F1F916}" type="presParOf" srcId="{BC141931-4FCA-42AF-9774-F5ADEDEAE532}" destId="{2DCC492C-F87F-476D-8FBA-2841A8386819}" srcOrd="0" destOrd="0" presId="urn:microsoft.com/office/officeart/2005/8/layout/process3"/>
    <dgm:cxn modelId="{E72B2EE0-5B95-4CFD-A8B3-E9EF4B99C6D7}" type="presParOf" srcId="{2DCC492C-F87F-476D-8FBA-2841A8386819}" destId="{833CC686-72E1-41B4-89BB-7EEBB0D70F31}" srcOrd="0" destOrd="0" presId="urn:microsoft.com/office/officeart/2005/8/layout/process3"/>
    <dgm:cxn modelId="{28CCB14F-3C9C-4683-87A1-5C872824CD9F}" type="presParOf" srcId="{2DCC492C-F87F-476D-8FBA-2841A8386819}" destId="{0299CB4C-88B3-4CF1-BE7B-85C92CAA9228}" srcOrd="1" destOrd="0" presId="urn:microsoft.com/office/officeart/2005/8/layout/process3"/>
    <dgm:cxn modelId="{D8AEF184-C98A-4A33-851B-7A3DF4ACB76A}" type="presParOf" srcId="{2DCC492C-F87F-476D-8FBA-2841A8386819}" destId="{4A3BE7F4-ED45-4095-A9B7-346673E9ABA3}" srcOrd="2" destOrd="0" presId="urn:microsoft.com/office/officeart/2005/8/layout/process3"/>
    <dgm:cxn modelId="{E7D92B22-4710-42CC-B0E9-390FEA3445B3}" type="presParOf" srcId="{BC141931-4FCA-42AF-9774-F5ADEDEAE532}" destId="{2A76C2AA-6845-4106-8A2A-17BB1B1EF9D4}" srcOrd="1" destOrd="0" presId="urn:microsoft.com/office/officeart/2005/8/layout/process3"/>
    <dgm:cxn modelId="{80E8DE79-0FF0-457B-9FA3-A1A006C585F4}" type="presParOf" srcId="{2A76C2AA-6845-4106-8A2A-17BB1B1EF9D4}" destId="{6D3701D6-4001-4B5E-A6F4-99057BFB5B34}" srcOrd="0" destOrd="0" presId="urn:microsoft.com/office/officeart/2005/8/layout/process3"/>
    <dgm:cxn modelId="{5A20B3C0-BE8B-4B9B-8CD1-8B9C633BF29E}" type="presParOf" srcId="{BC141931-4FCA-42AF-9774-F5ADEDEAE532}" destId="{FDCF29CF-E354-4A7C-9D12-7ECBDEEB1C42}" srcOrd="2" destOrd="0" presId="urn:microsoft.com/office/officeart/2005/8/layout/process3"/>
    <dgm:cxn modelId="{E89F0E62-3500-456A-8AD8-7A31403446A5}" type="presParOf" srcId="{FDCF29CF-E354-4A7C-9D12-7ECBDEEB1C42}" destId="{E394BB57-3B69-4E4D-B518-B0C6A177E4CC}" srcOrd="0" destOrd="0" presId="urn:microsoft.com/office/officeart/2005/8/layout/process3"/>
    <dgm:cxn modelId="{FB88CEDC-4F42-4737-B627-21D7EE87D6CF}" type="presParOf" srcId="{FDCF29CF-E354-4A7C-9D12-7ECBDEEB1C42}" destId="{DC22FF58-E22B-4DF0-A9D3-B03EE75642B1}" srcOrd="1" destOrd="0" presId="urn:microsoft.com/office/officeart/2005/8/layout/process3"/>
    <dgm:cxn modelId="{0EEB96D3-F232-445F-8FCC-464458C1779C}" type="presParOf" srcId="{FDCF29CF-E354-4A7C-9D12-7ECBDEEB1C42}" destId="{BC084555-12F8-4315-961E-330ED63731BA}" srcOrd="2" destOrd="0" presId="urn:microsoft.com/office/officeart/2005/8/layout/process3"/>
    <dgm:cxn modelId="{0DD8CEBA-A094-47BF-A1CF-D755E63A43B3}" type="presParOf" srcId="{BC141931-4FCA-42AF-9774-F5ADEDEAE532}" destId="{1D66D843-74C6-47DC-9A5B-BE371D098A38}" srcOrd="3" destOrd="0" presId="urn:microsoft.com/office/officeart/2005/8/layout/process3"/>
    <dgm:cxn modelId="{F2472D81-E275-499F-9CB7-B6835FF767CF}" type="presParOf" srcId="{1D66D843-74C6-47DC-9A5B-BE371D098A38}" destId="{FE2A5DD6-0098-4338-8430-57303D89F9E0}" srcOrd="0" destOrd="0" presId="urn:microsoft.com/office/officeart/2005/8/layout/process3"/>
    <dgm:cxn modelId="{FA0F0A4F-38D5-4F92-9683-F133446854C4}" type="presParOf" srcId="{BC141931-4FCA-42AF-9774-F5ADEDEAE532}" destId="{22BD5B4A-66FE-4E62-94BF-0E4BDC8EF979}" srcOrd="4" destOrd="0" presId="urn:microsoft.com/office/officeart/2005/8/layout/process3"/>
    <dgm:cxn modelId="{D8017F3D-AB01-44F0-9EF4-66CECD434136}" type="presParOf" srcId="{22BD5B4A-66FE-4E62-94BF-0E4BDC8EF979}" destId="{3EDA3CC2-D25A-408E-B9CF-9B1FD7EDAB2C}" srcOrd="0" destOrd="0" presId="urn:microsoft.com/office/officeart/2005/8/layout/process3"/>
    <dgm:cxn modelId="{645785DB-5542-408E-AD5F-E76A6F81D011}" type="presParOf" srcId="{22BD5B4A-66FE-4E62-94BF-0E4BDC8EF979}" destId="{A8F5D2CD-53DA-4BEF-B317-131FD4D5DC6B}" srcOrd="1" destOrd="0" presId="urn:microsoft.com/office/officeart/2005/8/layout/process3"/>
    <dgm:cxn modelId="{9E250C7E-3784-4739-989D-415E99A3892A}" type="presParOf" srcId="{22BD5B4A-66FE-4E62-94BF-0E4BDC8EF979}" destId="{9CA69AA0-5BAF-482D-9DDB-805690C4FDD6}" srcOrd="2" destOrd="0" presId="urn:microsoft.com/office/officeart/2005/8/layout/process3"/>
    <dgm:cxn modelId="{90992C30-18BA-4C80-A66F-271770EF46EB}" type="presParOf" srcId="{BC141931-4FCA-42AF-9774-F5ADEDEAE532}" destId="{9420591C-394F-4DFD-8B0A-2F89587B873A}" srcOrd="5" destOrd="0" presId="urn:microsoft.com/office/officeart/2005/8/layout/process3"/>
    <dgm:cxn modelId="{D7E5A66B-46AA-4F4F-AAAC-FF9EB5282FEC}" type="presParOf" srcId="{9420591C-394F-4DFD-8B0A-2F89587B873A}" destId="{ECAC59ED-4F99-4166-AFCB-7594DBBC090E}" srcOrd="0" destOrd="0" presId="urn:microsoft.com/office/officeart/2005/8/layout/process3"/>
    <dgm:cxn modelId="{D8E99EF9-5108-4191-9B5F-45DF32A25BB7}" type="presParOf" srcId="{BC141931-4FCA-42AF-9774-F5ADEDEAE532}" destId="{30C67E10-F8C8-4AD9-81BD-444499113B4F}" srcOrd="6" destOrd="0" presId="urn:microsoft.com/office/officeart/2005/8/layout/process3"/>
    <dgm:cxn modelId="{C6E9A36E-3F9C-4344-B067-4C0B3CE7554C}" type="presParOf" srcId="{30C67E10-F8C8-4AD9-81BD-444499113B4F}" destId="{40354141-CA2A-44BD-8291-DD3A9EC946CF}" srcOrd="0" destOrd="0" presId="urn:microsoft.com/office/officeart/2005/8/layout/process3"/>
    <dgm:cxn modelId="{8BE5803A-81A7-417F-8850-C62553C2F06B}" type="presParOf" srcId="{30C67E10-F8C8-4AD9-81BD-444499113B4F}" destId="{FE7EEDD5-9634-4EF5-8CA7-8727C5E7598D}" srcOrd="1" destOrd="0" presId="urn:microsoft.com/office/officeart/2005/8/layout/process3"/>
    <dgm:cxn modelId="{3D2CBC6A-8B62-436F-956A-61096819FCA5}" type="presParOf" srcId="{30C67E10-F8C8-4AD9-81BD-444499113B4F}" destId="{55FEA568-7424-479F-B2D8-46EAC2B2D698}" srcOrd="2" destOrd="0" presId="urn:microsoft.com/office/officeart/2005/8/layout/process3"/>
    <dgm:cxn modelId="{98BBF996-F736-4B1F-8366-769099098FA7}" type="presParOf" srcId="{BC141931-4FCA-42AF-9774-F5ADEDEAE532}" destId="{E01230A2-DDF9-4F0B-9634-0CB4BA557BBA}" srcOrd="7" destOrd="0" presId="urn:microsoft.com/office/officeart/2005/8/layout/process3"/>
    <dgm:cxn modelId="{9E816F82-40C4-4892-B83B-A6AE815B18A5}" type="presParOf" srcId="{E01230A2-DDF9-4F0B-9634-0CB4BA557BBA}" destId="{51AADBB7-1604-4005-849C-5DE4F6DC8E0C}" srcOrd="0" destOrd="0" presId="urn:microsoft.com/office/officeart/2005/8/layout/process3"/>
    <dgm:cxn modelId="{E2ACEFD2-5202-41F3-8787-D1AC8BA8D939}" type="presParOf" srcId="{BC141931-4FCA-42AF-9774-F5ADEDEAE532}" destId="{EFD73187-B787-401D-9237-F8FC03AF70BA}" srcOrd="8" destOrd="0" presId="urn:microsoft.com/office/officeart/2005/8/layout/process3"/>
    <dgm:cxn modelId="{29E7F749-0B39-4159-A635-81674F551207}" type="presParOf" srcId="{EFD73187-B787-401D-9237-F8FC03AF70BA}" destId="{029082CA-3E5A-4F52-AD7F-FBB485A3C7F3}" srcOrd="0" destOrd="0" presId="urn:microsoft.com/office/officeart/2005/8/layout/process3"/>
    <dgm:cxn modelId="{26B10044-5DA5-4A25-A9EC-85FD7D4798C0}" type="presParOf" srcId="{EFD73187-B787-401D-9237-F8FC03AF70BA}" destId="{8A8B401D-04CC-4883-8449-36DA921F3EC9}" srcOrd="1" destOrd="0" presId="urn:microsoft.com/office/officeart/2005/8/layout/process3"/>
    <dgm:cxn modelId="{D264C2B7-4E91-42E0-B43A-0D94F1F0B3AC}" type="presParOf" srcId="{EFD73187-B787-401D-9237-F8FC03AF70BA}" destId="{5F2C8AAB-A325-4366-B72B-83B1214F4FE8}" srcOrd="2" destOrd="0" presId="urn:microsoft.com/office/officeart/2005/8/layout/process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99CB4C-88B3-4CF1-BE7B-85C92CAA9228}">
      <dsp:nvSpPr>
        <dsp:cNvPr id="0" name=""/>
        <dsp:cNvSpPr/>
      </dsp:nvSpPr>
      <dsp:spPr>
        <a:xfrm>
          <a:off x="3620" y="24412"/>
          <a:ext cx="816938" cy="518399"/>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marL="0" lvl="0" indent="0" algn="l" defTabSz="466725">
            <a:lnSpc>
              <a:spcPct val="90000"/>
            </a:lnSpc>
            <a:spcBef>
              <a:spcPct val="0"/>
            </a:spcBef>
            <a:spcAft>
              <a:spcPct val="35000"/>
            </a:spcAft>
            <a:buNone/>
          </a:pPr>
          <a:r>
            <a:rPr lang="en-MY" sz="1050" kern="1200"/>
            <a:t>Step 1</a:t>
          </a:r>
        </a:p>
      </dsp:txBody>
      <dsp:txXfrm>
        <a:off x="3620" y="24412"/>
        <a:ext cx="816938" cy="326775"/>
      </dsp:txXfrm>
    </dsp:sp>
    <dsp:sp modelId="{4A3BE7F4-ED45-4095-A9B7-346673E9ABA3}">
      <dsp:nvSpPr>
        <dsp:cNvPr id="0" name=""/>
        <dsp:cNvSpPr/>
      </dsp:nvSpPr>
      <dsp:spPr>
        <a:xfrm>
          <a:off x="170945" y="351187"/>
          <a:ext cx="816938" cy="69120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MY" sz="900" kern="1200"/>
            <a:t>Database Selection &amp; Keywords</a:t>
          </a:r>
        </a:p>
      </dsp:txBody>
      <dsp:txXfrm>
        <a:off x="191190" y="371432"/>
        <a:ext cx="776448" cy="650710"/>
      </dsp:txXfrm>
    </dsp:sp>
    <dsp:sp modelId="{2A76C2AA-6845-4106-8A2A-17BB1B1EF9D4}">
      <dsp:nvSpPr>
        <dsp:cNvPr id="0" name=""/>
        <dsp:cNvSpPr/>
      </dsp:nvSpPr>
      <dsp:spPr>
        <a:xfrm>
          <a:off x="944404" y="86102"/>
          <a:ext cx="262551" cy="203394"/>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l" defTabSz="355600">
            <a:lnSpc>
              <a:spcPct val="90000"/>
            </a:lnSpc>
            <a:spcBef>
              <a:spcPct val="0"/>
            </a:spcBef>
            <a:spcAft>
              <a:spcPct val="35000"/>
            </a:spcAft>
            <a:buNone/>
          </a:pPr>
          <a:endParaRPr lang="en-MY" sz="800" kern="1200"/>
        </a:p>
      </dsp:txBody>
      <dsp:txXfrm>
        <a:off x="944404" y="126781"/>
        <a:ext cx="201533" cy="122036"/>
      </dsp:txXfrm>
    </dsp:sp>
    <dsp:sp modelId="{DC22FF58-E22B-4DF0-A9D3-B03EE75642B1}">
      <dsp:nvSpPr>
        <dsp:cNvPr id="0" name=""/>
        <dsp:cNvSpPr/>
      </dsp:nvSpPr>
      <dsp:spPr>
        <a:xfrm>
          <a:off x="1315939" y="24412"/>
          <a:ext cx="816938" cy="518399"/>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marL="0" lvl="0" indent="0" algn="l" defTabSz="466725">
            <a:lnSpc>
              <a:spcPct val="90000"/>
            </a:lnSpc>
            <a:spcBef>
              <a:spcPct val="0"/>
            </a:spcBef>
            <a:spcAft>
              <a:spcPct val="35000"/>
            </a:spcAft>
            <a:buNone/>
          </a:pPr>
          <a:r>
            <a:rPr lang="en-MY" sz="1050" kern="1200"/>
            <a:t>Step 2</a:t>
          </a:r>
        </a:p>
      </dsp:txBody>
      <dsp:txXfrm>
        <a:off x="1315939" y="24412"/>
        <a:ext cx="816938" cy="326775"/>
      </dsp:txXfrm>
    </dsp:sp>
    <dsp:sp modelId="{BC084555-12F8-4315-961E-330ED63731BA}">
      <dsp:nvSpPr>
        <dsp:cNvPr id="0" name=""/>
        <dsp:cNvSpPr/>
      </dsp:nvSpPr>
      <dsp:spPr>
        <a:xfrm>
          <a:off x="1483264" y="351187"/>
          <a:ext cx="816938" cy="691200"/>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MY" sz="900" kern="1200"/>
            <a:t>Tier 1 Filtering -Contextual Framework</a:t>
          </a:r>
        </a:p>
      </dsp:txBody>
      <dsp:txXfrm>
        <a:off x="1503509" y="371432"/>
        <a:ext cx="776448" cy="650710"/>
      </dsp:txXfrm>
    </dsp:sp>
    <dsp:sp modelId="{1D66D843-74C6-47DC-9A5B-BE371D098A38}">
      <dsp:nvSpPr>
        <dsp:cNvPr id="0" name=""/>
        <dsp:cNvSpPr/>
      </dsp:nvSpPr>
      <dsp:spPr>
        <a:xfrm>
          <a:off x="2256723" y="86102"/>
          <a:ext cx="262551" cy="203394"/>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l" defTabSz="355600">
            <a:lnSpc>
              <a:spcPct val="90000"/>
            </a:lnSpc>
            <a:spcBef>
              <a:spcPct val="0"/>
            </a:spcBef>
            <a:spcAft>
              <a:spcPct val="35000"/>
            </a:spcAft>
            <a:buNone/>
          </a:pPr>
          <a:endParaRPr lang="en-MY" sz="800" kern="1200"/>
        </a:p>
      </dsp:txBody>
      <dsp:txXfrm>
        <a:off x="2256723" y="126781"/>
        <a:ext cx="201533" cy="122036"/>
      </dsp:txXfrm>
    </dsp:sp>
    <dsp:sp modelId="{A8F5D2CD-53DA-4BEF-B317-131FD4D5DC6B}">
      <dsp:nvSpPr>
        <dsp:cNvPr id="0" name=""/>
        <dsp:cNvSpPr/>
      </dsp:nvSpPr>
      <dsp:spPr>
        <a:xfrm>
          <a:off x="2628258" y="24412"/>
          <a:ext cx="816938" cy="518399"/>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marL="0" lvl="0" indent="0" algn="l" defTabSz="466725">
            <a:lnSpc>
              <a:spcPct val="90000"/>
            </a:lnSpc>
            <a:spcBef>
              <a:spcPct val="0"/>
            </a:spcBef>
            <a:spcAft>
              <a:spcPct val="35000"/>
            </a:spcAft>
            <a:buNone/>
          </a:pPr>
          <a:r>
            <a:rPr lang="en-MY" sz="1050" kern="1200"/>
            <a:t>Step 3</a:t>
          </a:r>
        </a:p>
      </dsp:txBody>
      <dsp:txXfrm>
        <a:off x="2628258" y="24412"/>
        <a:ext cx="816938" cy="326775"/>
      </dsp:txXfrm>
    </dsp:sp>
    <dsp:sp modelId="{9CA69AA0-5BAF-482D-9DDB-805690C4FDD6}">
      <dsp:nvSpPr>
        <dsp:cNvPr id="0" name=""/>
        <dsp:cNvSpPr/>
      </dsp:nvSpPr>
      <dsp:spPr>
        <a:xfrm>
          <a:off x="2795582" y="351187"/>
          <a:ext cx="816938" cy="691200"/>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MY" sz="900" kern="1200"/>
            <a:t>Tier 2 Filtering - Technical Validation</a:t>
          </a:r>
        </a:p>
      </dsp:txBody>
      <dsp:txXfrm>
        <a:off x="2815827" y="371432"/>
        <a:ext cx="776448" cy="650710"/>
      </dsp:txXfrm>
    </dsp:sp>
    <dsp:sp modelId="{9420591C-394F-4DFD-8B0A-2F89587B873A}">
      <dsp:nvSpPr>
        <dsp:cNvPr id="0" name=""/>
        <dsp:cNvSpPr/>
      </dsp:nvSpPr>
      <dsp:spPr>
        <a:xfrm>
          <a:off x="3569041" y="86102"/>
          <a:ext cx="262551" cy="203394"/>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l" defTabSz="355600">
            <a:lnSpc>
              <a:spcPct val="90000"/>
            </a:lnSpc>
            <a:spcBef>
              <a:spcPct val="0"/>
            </a:spcBef>
            <a:spcAft>
              <a:spcPct val="35000"/>
            </a:spcAft>
            <a:buNone/>
          </a:pPr>
          <a:endParaRPr lang="en-MY" sz="800" kern="1200"/>
        </a:p>
      </dsp:txBody>
      <dsp:txXfrm>
        <a:off x="3569041" y="126781"/>
        <a:ext cx="201533" cy="122036"/>
      </dsp:txXfrm>
    </dsp:sp>
    <dsp:sp modelId="{FE7EEDD5-9634-4EF5-8CA7-8727C5E7598D}">
      <dsp:nvSpPr>
        <dsp:cNvPr id="0" name=""/>
        <dsp:cNvSpPr/>
      </dsp:nvSpPr>
      <dsp:spPr>
        <a:xfrm>
          <a:off x="3940576" y="24412"/>
          <a:ext cx="816938" cy="518399"/>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marL="0" lvl="0" indent="0" algn="l" defTabSz="466725">
            <a:lnSpc>
              <a:spcPct val="90000"/>
            </a:lnSpc>
            <a:spcBef>
              <a:spcPct val="0"/>
            </a:spcBef>
            <a:spcAft>
              <a:spcPct val="35000"/>
            </a:spcAft>
            <a:buNone/>
          </a:pPr>
          <a:r>
            <a:rPr lang="en-MY" sz="1050" kern="1200"/>
            <a:t>Step 4</a:t>
          </a:r>
        </a:p>
      </dsp:txBody>
      <dsp:txXfrm>
        <a:off x="3940576" y="24412"/>
        <a:ext cx="816938" cy="326775"/>
      </dsp:txXfrm>
    </dsp:sp>
    <dsp:sp modelId="{55FEA568-7424-479F-B2D8-46EAC2B2D698}">
      <dsp:nvSpPr>
        <dsp:cNvPr id="0" name=""/>
        <dsp:cNvSpPr/>
      </dsp:nvSpPr>
      <dsp:spPr>
        <a:xfrm>
          <a:off x="4107901" y="351187"/>
          <a:ext cx="816938" cy="691200"/>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MY" sz="900" kern="1200"/>
            <a:t>Tier 3 Filtering -Nexus Integration</a:t>
          </a:r>
        </a:p>
      </dsp:txBody>
      <dsp:txXfrm>
        <a:off x="4128146" y="371432"/>
        <a:ext cx="776448" cy="650710"/>
      </dsp:txXfrm>
    </dsp:sp>
    <dsp:sp modelId="{E01230A2-DDF9-4F0B-9634-0CB4BA557BBA}">
      <dsp:nvSpPr>
        <dsp:cNvPr id="0" name=""/>
        <dsp:cNvSpPr/>
      </dsp:nvSpPr>
      <dsp:spPr>
        <a:xfrm>
          <a:off x="4881360" y="86102"/>
          <a:ext cx="262551" cy="203394"/>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l" defTabSz="355600">
            <a:lnSpc>
              <a:spcPct val="90000"/>
            </a:lnSpc>
            <a:spcBef>
              <a:spcPct val="0"/>
            </a:spcBef>
            <a:spcAft>
              <a:spcPct val="35000"/>
            </a:spcAft>
            <a:buNone/>
          </a:pPr>
          <a:endParaRPr lang="en-MY" sz="800" kern="1200"/>
        </a:p>
      </dsp:txBody>
      <dsp:txXfrm>
        <a:off x="4881360" y="126781"/>
        <a:ext cx="201533" cy="122036"/>
      </dsp:txXfrm>
    </dsp:sp>
    <dsp:sp modelId="{8A8B401D-04CC-4883-8449-36DA921F3EC9}">
      <dsp:nvSpPr>
        <dsp:cNvPr id="0" name=""/>
        <dsp:cNvSpPr/>
      </dsp:nvSpPr>
      <dsp:spPr>
        <a:xfrm>
          <a:off x="5252895" y="24412"/>
          <a:ext cx="816938" cy="518399"/>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marL="0" lvl="0" indent="0" algn="l" defTabSz="466725">
            <a:lnSpc>
              <a:spcPct val="90000"/>
            </a:lnSpc>
            <a:spcBef>
              <a:spcPct val="0"/>
            </a:spcBef>
            <a:spcAft>
              <a:spcPct val="35000"/>
            </a:spcAft>
            <a:buNone/>
          </a:pPr>
          <a:r>
            <a:rPr lang="en-MY" sz="1050" kern="1200"/>
            <a:t>Step 5</a:t>
          </a:r>
        </a:p>
      </dsp:txBody>
      <dsp:txXfrm>
        <a:off x="5252895" y="24412"/>
        <a:ext cx="816938" cy="326775"/>
      </dsp:txXfrm>
    </dsp:sp>
    <dsp:sp modelId="{5F2C8AAB-A325-4366-B72B-83B1214F4FE8}">
      <dsp:nvSpPr>
        <dsp:cNvPr id="0" name=""/>
        <dsp:cNvSpPr/>
      </dsp:nvSpPr>
      <dsp:spPr>
        <a:xfrm>
          <a:off x="5420220" y="351187"/>
          <a:ext cx="816938" cy="691200"/>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MY" sz="900" kern="1200"/>
            <a:t>Final Evaluation &amp; Synthesis</a:t>
          </a:r>
        </a:p>
      </dsp:txBody>
      <dsp:txXfrm>
        <a:off x="5440465" y="371432"/>
        <a:ext cx="776448" cy="65071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A5566A-B170-4E75-8448-C55E53B5C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11</Pages>
  <Words>5762</Words>
  <Characters>32845</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SHIMA HUSSIN</cp:lastModifiedBy>
  <cp:revision>178</cp:revision>
  <dcterms:created xsi:type="dcterms:W3CDTF">2026-02-22T06:54:00Z</dcterms:created>
  <dcterms:modified xsi:type="dcterms:W3CDTF">2026-02-22T14:19:00Z</dcterms:modified>
</cp:coreProperties>
</file>