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27" w:line="261" w:lineRule="auto"/>
        <w:ind w:left="257" w:right="241"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COMPARATIVE STUDY ON THE FINANCIAL PERFOMANCE OF PUBLIC AND PRIVATE SECTOR BANKS IN INDIA</w:t>
      </w:r>
    </w:p>
    <w:p w:rsidR="00000000" w:rsidDel="00000000" w:rsidP="00000000" w:rsidRDefault="00000000" w:rsidRPr="00000000" w14:paraId="00000002">
      <w:pPr>
        <w:spacing w:after="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Manash Jha</w:t>
        <w:tab/>
        <w:t xml:space="preserve">and</w:t>
        <w:tab/>
        <w:t xml:space="preserve">Muthamma B U </w:t>
      </w:r>
    </w:p>
    <w:p w:rsidR="00000000" w:rsidDel="00000000" w:rsidP="00000000" w:rsidRDefault="00000000" w:rsidRPr="00000000" w14:paraId="00000003">
      <w:pPr>
        <w:spacing w:after="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Student (B.Com “IAF”), CMR University, Bangalore</w:t>
      </w:r>
    </w:p>
    <w:p w:rsidR="00000000" w:rsidDel="00000000" w:rsidP="00000000" w:rsidRDefault="00000000" w:rsidRPr="00000000" w14:paraId="00000004">
      <w:pPr>
        <w:spacing w:after="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of Commerce, School of Economics and Commerce, CMR University, Bangalore</w:t>
      </w:r>
    </w:p>
    <w:p w:rsidR="00000000" w:rsidDel="00000000" w:rsidP="00000000" w:rsidRDefault="00000000" w:rsidRPr="00000000" w14:paraId="00000006">
      <w:pPr>
        <w:spacing w:after="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spacing w:after="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ABSTRACT</w:t>
        <w:br w:type="textWrapping"/>
      </w:r>
      <w:r w:rsidDel="00000000" w:rsidR="00000000" w:rsidRPr="00000000">
        <w:rPr>
          <w:rFonts w:ascii="Times New Roman" w:cs="Times New Roman" w:eastAsia="Times New Roman" w:hAnsi="Times New Roman"/>
          <w:i w:val="1"/>
          <w:iCs w:val="1"/>
          <w:rtl w:val="0"/>
        </w:rPr>
        <w:t xml:space="preserve">This research examines the comparative financial performance of public and private sector banks in India, highlighting how differences in ownership, management practices and risk profiles translate into measurable financial outcomes. The study is based on both secondary and primary data: secondary data from selected banks’ annual reports and Reserve Bank of India publications over an eight-year period, and primary data collected through a structured Google Forms survey of bank customers. Key financial ratios relating to profitability, asset quality, capital adequacy, liquidity and efficiency are analysed within a CAMEL-based framework to assess the overall strength and stability of each group. In addition, a small primary survey using Google Forms captures customer perceptions of service quality, digital banking facilities and overall satisfaction with public and private sector banks.</w:t>
      </w:r>
    </w:p>
    <w:p w:rsidR="00000000" w:rsidDel="00000000" w:rsidP="00000000" w:rsidRDefault="00000000" w:rsidRPr="00000000" w14:paraId="0000000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Public Sector Banks, Private Sector Banks, Financial Performance, CAMEL Framework, Profitability, Asset Quality, Customer Satisfaction</w:t>
      </w:r>
    </w:p>
    <w:p w:rsidR="00000000" w:rsidDel="00000000" w:rsidP="00000000" w:rsidRDefault="00000000" w:rsidRPr="00000000" w14:paraId="00000009">
      <w:pPr>
        <w:spacing w:after="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INTRODUCTION</w:t>
      </w:r>
    </w:p>
    <w:p w:rsidR="00000000" w:rsidDel="00000000" w:rsidP="00000000" w:rsidRDefault="00000000" w:rsidRPr="00000000" w14:paraId="0000000B">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Banking plays a crucial role in the economic development of India by acting as the primary channel for mobilizing savings and facilitating the flow of credit to individuals, businesses, and government institutions. The banking system not only supports investment and consumption activities but also contributes to financial stability and inclusive growth. Over time, the Indian banking sector has evolved into a diversified and competitive system comprising public sector banks, private sector banks, foreign banks, and regional rural banks.</w:t>
      </w:r>
    </w:p>
    <w:p w:rsidR="00000000" w:rsidDel="00000000" w:rsidP="00000000" w:rsidRDefault="00000000" w:rsidRPr="00000000" w14:paraId="0000000D">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these, public and private sector banks represent the two dominant segments, operating under the regulatory framework of the Reserve Bank of India. Despite functioning within the same regulatory environment, these banks differ significantly in terms of ownership structure, operational efficiency, strategic focus, and service delivery. Public sector banks, majority-owned by the Government of India, have traditionally played a key role in implementing financial inclusion initiatives, supporting priority sector lending, and executing government welfare schemes. In contrast, private sector banks are often recognized for their operational efficiency, innovation, customer-oriented services, and rapid adoption of advanced technologies.</w:t>
      </w:r>
    </w:p>
    <w:p w:rsidR="00000000" w:rsidDel="00000000" w:rsidP="00000000" w:rsidRDefault="00000000" w:rsidRPr="00000000" w14:paraId="0000000E">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the Indian banking sector has undergone significant structural and operational transformations. Key developments include the consolidation of public sector banks through mergers, the implementation of stringent norms to control non-performing assets (NPAs), and the rapid expansion of digital banking services. Additionally, increased competition and evolving customer expectations have compelled banks to enhance their performance and efficiency. These changes have had a profound impact on the financial health and performance of both public and private sector banks.</w:t>
      </w:r>
    </w:p>
    <w:p w:rsidR="00000000" w:rsidDel="00000000" w:rsidP="00000000" w:rsidRDefault="00000000" w:rsidRPr="00000000" w14:paraId="0000000F">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this dynamic environment, it becomes essential to evaluate and compare the financial performance of public and private sector banks. Such an analysis helps in understanding their relative efficiency, profitability, asset quality, and overall stability. It also provides valuable insights for policymakers, investors, and stakeholders to assess the strengths and weaknesses of each sector. Therefore, this study aims to conduct a comparative analysis of public and private sector banks in India to examine their financial performance and identify key factors influencing their growth and sustainability.</w:t>
      </w:r>
    </w:p>
    <w:p w:rsidR="00000000" w:rsidDel="00000000" w:rsidP="00000000" w:rsidRDefault="00000000" w:rsidRPr="00000000" w14:paraId="00000010">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offering a systematic comparison, the study contributes to a better understanding of the evolving banking landscape and supports efforts to strengthen the resilience and effectiveness of the financial system.</w:t>
      </w:r>
    </w:p>
    <w:p w:rsidR="00000000" w:rsidDel="00000000" w:rsidP="00000000" w:rsidRDefault="00000000" w:rsidRPr="00000000" w14:paraId="00000011">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Review of Literature</w:t>
      </w:r>
    </w:p>
    <w:p w:rsidR="00000000" w:rsidDel="00000000" w:rsidP="00000000" w:rsidRDefault="00000000" w:rsidRPr="00000000" w14:paraId="00000013">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review of literature provides a comprehensive understanding of prior research on the financial performance of public and private sector banks. It highlights key findings, methodologies, and research gaps, thereby establishing a foundation for the present study. Given the structural differences in ownership and operational strategies, several studies have employed frameworks such as CAMEL (Capital Adequacy, Asset Quality, Management Efficiency, Earnings, and Liquidity) to evaluate comparative performance.Patel, R. and Yadav, S. (2024) conducted a CAMEL-based analysis of selected Indian banks and found that private sector banks consistently outperform public sector banks in terms of earnings and asset quality, while public banks demonstrate relatively stronger capital adequacy. Using descriptive statistics and the Mann–Whitney U test, the study identified management efficiency and asset quality as key determinants of performance differences. The authors recommend that public sector banks strengthen credit risk management and operational efficiency to remain competitive in a technology-driven environment.Rao, P. (2022) examined the financial performance of selected banks during the period 2016–2021 using indicators such as profitability, capital adequacy, and asset quality. The findings indicate that private sector banks maintain lower non-performing assets (NPAs) and higher profitability, whereas public sector banks show gradual improvement following recapitalization and regulatory reforms. However, ownership-related constraints continue to limit the operational flexibility of public banks.A study published in the International Journal of Finance &amp; Commerce (2022) conducted a decade-long comparative analysis using the CAMEL framework. The results reveal that private sector banks outperform in earnings, cost efficiency, and asset quality, while public sector banks exhibit greater resilience during financial stress due to government backing. The study suggests the need for governance reforms and differentiated regulatory norms to balance social and financial objectives.Similarly, the study titled </w:t>
      </w:r>
      <w:r w:rsidDel="00000000" w:rsidR="00000000" w:rsidRPr="00000000">
        <w:rPr>
          <w:rFonts w:ascii="Times New Roman" w:cs="Times New Roman" w:eastAsia="Times New Roman" w:hAnsi="Times New Roman"/>
          <w:i w:val="1"/>
          <w:iCs w:val="1"/>
          <w:rtl w:val="0"/>
        </w:rPr>
        <w:t xml:space="preserve">Comparative Performance Analysis of Selected Commercial Banks (2022)</w:t>
      </w:r>
      <w:r w:rsidDel="00000000" w:rsidR="00000000" w:rsidRPr="00000000">
        <w:rPr>
          <w:rFonts w:ascii="Times New Roman" w:cs="Times New Roman" w:eastAsia="Times New Roman" w:hAnsi="Times New Roman"/>
          <w:rtl w:val="0"/>
        </w:rPr>
        <w:t xml:space="preserve"> examined 12 banks using CAMEL ratios and statistical tools. The findings confirm significant differences between public and private sector banks, with private banks leading in profitability and asset quality, while public banks maintain better liquidity positions. The authors emphasize that internal restructuring and improved credit monitoring are essential for enhancing the performance of public sector banks.Mehta, A. and Singh, R. (2013/2021) analyzed the financial performance of commercial banks using ratio analysis. Their findings indicate no statistically significant difference in overall average performance between public and private sector banks, although private banks show slightly better profitability. The study highlights that variations within groups are substantial, suggesting that management quality and risk culture are more critical than ownership structure alone.Tamilarasu, K. and Srinivasan, V. (2022) conducted a comparative analysis using financial ratios and the CAMEL framework. Their results show that private sector banks perform better in terms of earnings quality and management efficiency, whereas public sector banks exhibit stronger capital adequacy and deposit base. The study identifies high NPAs and rigid cost structures as major challenges for public sector banks and recommends enhanced credit monitoring and digital transformation.A recent study published in the International Journal of Management, Public Policy and Research (2024) further reinforces these findings by demonstrating that private sector banks outperform in profitability and efficiency, while public sector banks have shown improvements in asset quality following regulatory reforms. The study also highlights the growing importance of digitalization and competitive pressures in shaping the performance of banks.</w:t>
      </w:r>
    </w:p>
    <w:p w:rsidR="00000000" w:rsidDel="00000000" w:rsidP="00000000" w:rsidRDefault="00000000" w:rsidRPr="00000000" w14:paraId="00000014">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Gap</w:t>
      </w:r>
    </w:p>
    <w:p w:rsidR="00000000" w:rsidDel="00000000" w:rsidP="00000000" w:rsidRDefault="00000000" w:rsidRPr="00000000" w14:paraId="00000015">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existing literature predominantly focuses on CAMEL-based analysis and financial ratio comparisons between public and private sector banks. While most studies conclude that private sector banks outperform in profitability and efficiency, and public sector banks exhibit strength in capital adequacy and stability, there remains a gap in understanding how recent structural reforms, digital transformation, and regulatory changes have influenced performance dynamics in the Indian banking sector. Furthermore, limited attention has been given to integrating recent data and providing updated comparative insights in the current competitive environment.</w:t>
      </w:r>
    </w:p>
    <w:p w:rsidR="00000000" w:rsidDel="00000000" w:rsidP="00000000" w:rsidRDefault="00000000" w:rsidRPr="00000000" w14:paraId="00000016">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 METHODOLOGY FOR RESEARCH</w:t>
      </w:r>
    </w:p>
    <w:p w:rsidR="00000000" w:rsidDel="00000000" w:rsidP="00000000" w:rsidRDefault="00000000" w:rsidRPr="00000000" w14:paraId="00000018">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Primary data</w:t>
      </w:r>
      <w:r w:rsidDel="00000000" w:rsidR="00000000" w:rsidRPr="00000000">
        <w:rPr>
          <w:rFonts w:ascii="Times New Roman" w:cs="Times New Roman" w:eastAsia="Times New Roman" w:hAnsi="Times New Roman"/>
          <w:rtl w:val="0"/>
        </w:rPr>
        <w:t xml:space="preserve"> consists of first-hand information collected directly from respondents. In this study, it is obtained through a structured Google Forms questionnaire administered to customers of public and private sector banks. The survey gathers their views on bank type used, service quality, digital banking facilities, transparency of charges, grievance redressal, and overall satisfaction on a 5-point Likert scale.</w:t>
      </w:r>
    </w:p>
    <w:p w:rsidR="00000000" w:rsidDel="00000000" w:rsidP="00000000" w:rsidRDefault="00000000" w:rsidRPr="00000000" w14:paraId="0000001A">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Secondary data </w:t>
      </w:r>
      <w:r w:rsidDel="00000000" w:rsidR="00000000" w:rsidRPr="00000000">
        <w:rPr>
          <w:rFonts w:ascii="Times New Roman" w:cs="Times New Roman" w:eastAsia="Times New Roman" w:hAnsi="Times New Roman"/>
          <w:rtl w:val="0"/>
        </w:rPr>
        <w:t xml:space="preserve">refers to previously published information used to analyse financial performance. This study relies mainly on audited Annual Reports of the selected banks (Balance Sheet, Profit &amp; Loss Account, Schedules and Notes), key Reserve Bank of India publications such as “Report on Trend and Progress of Banking in India” and “Statistical Tables Relating to Banks in India,” as well as relevant banking journals, industry reports, official bank websites and recognised financial databases. These credible sources ensure reliability of the ratios and trends computed.</w:t>
      </w:r>
    </w:p>
    <w:p w:rsidR="00000000" w:rsidDel="00000000" w:rsidP="00000000" w:rsidRDefault="00000000" w:rsidRPr="00000000" w14:paraId="0000001B">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DATA ANALYSIS AND INTERPRETATION</w:t>
      </w:r>
    </w:p>
    <w:p w:rsidR="00000000" w:rsidDel="00000000" w:rsidP="00000000" w:rsidRDefault="00000000" w:rsidRPr="00000000" w14:paraId="0000001D">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DEMOGRAPHIC FACTORS</w:t>
      </w:r>
    </w:p>
    <w:tbl>
      <w:tblPr>
        <w:tblStyle w:val="Table1"/>
        <w:tblW w:w="98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3330"/>
        <w:gridCol w:w="2160"/>
        <w:gridCol w:w="2137"/>
        <w:tblGridChange w:id="0">
          <w:tblGrid>
            <w:gridCol w:w="2245"/>
            <w:gridCol w:w="3330"/>
            <w:gridCol w:w="2160"/>
            <w:gridCol w:w="2137"/>
          </w:tblGrid>
        </w:tblGridChange>
      </w:tblGrid>
      <w:tr>
        <w:trPr>
          <w:cantSplit w:val="0"/>
          <w:trHeight w:val="432" w:hRule="atLeast"/>
          <w:tblHeader w:val="0"/>
        </w:trPr>
        <w:tc>
          <w:tcPr/>
          <w:p w:rsidR="00000000" w:rsidDel="00000000" w:rsidP="00000000" w:rsidRDefault="00000000" w:rsidRPr="00000000" w14:paraId="0000001F">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Particulars</w:t>
            </w:r>
          </w:p>
        </w:tc>
        <w:tc>
          <w:tcPr/>
          <w:p w:rsidR="00000000" w:rsidDel="00000000" w:rsidP="00000000" w:rsidRDefault="00000000" w:rsidRPr="00000000" w14:paraId="00000020">
            <w:pPr>
              <w:spacing w:after="40" w:lineRule="auto"/>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21">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Frequency</w:t>
            </w:r>
          </w:p>
        </w:tc>
        <w:tc>
          <w:tcPr/>
          <w:p w:rsidR="00000000" w:rsidDel="00000000" w:rsidP="00000000" w:rsidRDefault="00000000" w:rsidRPr="00000000" w14:paraId="00000022">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Percent</w:t>
            </w:r>
          </w:p>
        </w:tc>
      </w:tr>
      <w:tr>
        <w:trPr>
          <w:cantSplit w:val="0"/>
          <w:trHeight w:val="432" w:hRule="atLeast"/>
          <w:tblHeader w:val="0"/>
        </w:trPr>
        <w:tc>
          <w:tcPr/>
          <w:p w:rsidR="00000000" w:rsidDel="00000000" w:rsidP="00000000" w:rsidRDefault="00000000" w:rsidRPr="00000000" w14:paraId="00000023">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Particulars</w:t>
            </w:r>
          </w:p>
        </w:tc>
        <w:tc>
          <w:tcPr/>
          <w:p w:rsidR="00000000" w:rsidDel="00000000" w:rsidP="00000000" w:rsidRDefault="00000000" w:rsidRPr="00000000" w14:paraId="00000024">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Column 1</w:t>
            </w:r>
          </w:p>
        </w:tc>
        <w:tc>
          <w:tcPr/>
          <w:p w:rsidR="00000000" w:rsidDel="00000000" w:rsidP="00000000" w:rsidRDefault="00000000" w:rsidRPr="00000000" w14:paraId="00000025">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Frequency</w:t>
            </w:r>
          </w:p>
        </w:tc>
        <w:tc>
          <w:tcPr/>
          <w:p w:rsidR="00000000" w:rsidDel="00000000" w:rsidP="00000000" w:rsidRDefault="00000000" w:rsidRPr="00000000" w14:paraId="00000026">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Percent</w:t>
            </w:r>
          </w:p>
        </w:tc>
      </w:tr>
      <w:tr>
        <w:trPr>
          <w:cantSplit w:val="0"/>
          <w:trHeight w:val="432" w:hRule="atLeast"/>
          <w:tblHeader w:val="0"/>
        </w:trPr>
        <w:tc>
          <w:tcPr/>
          <w:p w:rsidR="00000000" w:rsidDel="00000000" w:rsidP="00000000" w:rsidRDefault="00000000" w:rsidRPr="00000000" w14:paraId="0000002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r>
          </w:p>
        </w:tc>
        <w:tc>
          <w:tcPr/>
          <w:p w:rsidR="00000000" w:rsidDel="00000000" w:rsidP="00000000" w:rsidRDefault="00000000" w:rsidRPr="00000000" w14:paraId="0000002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25 years</w:t>
            </w:r>
          </w:p>
        </w:tc>
        <w:tc>
          <w:tcPr/>
          <w:p w:rsidR="00000000" w:rsidDel="00000000" w:rsidP="00000000" w:rsidRDefault="00000000" w:rsidRPr="00000000" w14:paraId="0000002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w:t>
            </w:r>
          </w:p>
        </w:tc>
      </w:tr>
      <w:tr>
        <w:trPr>
          <w:cantSplit w:val="0"/>
          <w:trHeight w:val="432" w:hRule="atLeast"/>
          <w:tblHeader w:val="0"/>
        </w:trPr>
        <w:tc>
          <w:tcPr/>
          <w:p w:rsidR="00000000" w:rsidDel="00000000" w:rsidP="00000000" w:rsidRDefault="00000000" w:rsidRPr="00000000" w14:paraId="0000002B">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25–35 years</w:t>
            </w:r>
          </w:p>
        </w:tc>
        <w:tc>
          <w:tcPr/>
          <w:p w:rsidR="00000000" w:rsidDel="00000000" w:rsidP="00000000" w:rsidRDefault="00000000" w:rsidRPr="00000000" w14:paraId="0000002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2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46.43</w:t>
            </w:r>
          </w:p>
        </w:tc>
      </w:tr>
      <w:tr>
        <w:trPr>
          <w:cantSplit w:val="0"/>
          <w:trHeight w:val="432" w:hRule="atLeast"/>
          <w:tblHeader w:val="0"/>
        </w:trPr>
        <w:tc>
          <w:tcPr/>
          <w:p w:rsidR="00000000" w:rsidDel="00000000" w:rsidP="00000000" w:rsidRDefault="00000000" w:rsidRPr="00000000" w14:paraId="0000002F">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 years</w:t>
            </w:r>
          </w:p>
        </w:tc>
        <w:tc>
          <w:tcPr/>
          <w:p w:rsidR="00000000" w:rsidDel="00000000" w:rsidP="00000000" w:rsidRDefault="00000000" w:rsidRPr="00000000" w14:paraId="0000003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3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17.86</w:t>
            </w:r>
          </w:p>
        </w:tc>
      </w:tr>
      <w:tr>
        <w:trPr>
          <w:cantSplit w:val="0"/>
          <w:trHeight w:val="432" w:hRule="atLeast"/>
          <w:tblHeader w:val="0"/>
        </w:trPr>
        <w:tc>
          <w:tcPr/>
          <w:p w:rsidR="00000000" w:rsidDel="00000000" w:rsidP="00000000" w:rsidRDefault="00000000" w:rsidRPr="00000000" w14:paraId="00000033">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45 years</w:t>
            </w:r>
          </w:p>
        </w:tc>
        <w:tc>
          <w:tcPr/>
          <w:p w:rsidR="00000000" w:rsidDel="00000000" w:rsidP="00000000" w:rsidRDefault="00000000" w:rsidRPr="00000000" w14:paraId="0000003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3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10.71</w:t>
            </w:r>
          </w:p>
        </w:tc>
      </w:tr>
      <w:tr>
        <w:trPr>
          <w:cantSplit w:val="0"/>
          <w:trHeight w:val="432" w:hRule="atLeast"/>
          <w:tblHeader w:val="0"/>
        </w:trPr>
        <w:tc>
          <w:tcPr/>
          <w:p w:rsidR="00000000" w:rsidDel="00000000" w:rsidP="00000000" w:rsidRDefault="00000000" w:rsidRPr="00000000" w14:paraId="00000037">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3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3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432" w:hRule="atLeast"/>
          <w:tblHeader w:val="0"/>
        </w:trPr>
        <w:tc>
          <w:tcPr/>
          <w:p w:rsidR="00000000" w:rsidDel="00000000" w:rsidP="00000000" w:rsidRDefault="00000000" w:rsidRPr="00000000" w14:paraId="0000003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r>
          </w:p>
        </w:tc>
        <w:tc>
          <w:tcPr/>
          <w:p w:rsidR="00000000" w:rsidDel="00000000" w:rsidP="00000000" w:rsidRDefault="00000000" w:rsidRPr="00000000" w14:paraId="0000003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p w:rsidR="00000000" w:rsidDel="00000000" w:rsidP="00000000" w:rsidRDefault="00000000" w:rsidRPr="00000000" w14:paraId="0000003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3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57.14</w:t>
            </w:r>
          </w:p>
        </w:tc>
      </w:tr>
      <w:tr>
        <w:trPr>
          <w:cantSplit w:val="0"/>
          <w:trHeight w:val="432" w:hRule="atLeast"/>
          <w:tblHeader w:val="0"/>
        </w:trPr>
        <w:tc>
          <w:tcPr/>
          <w:p w:rsidR="00000000" w:rsidDel="00000000" w:rsidP="00000000" w:rsidRDefault="00000000" w:rsidRPr="00000000" w14:paraId="0000003F">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04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4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39.29</w:t>
            </w:r>
          </w:p>
        </w:tc>
      </w:tr>
      <w:tr>
        <w:trPr>
          <w:cantSplit w:val="0"/>
          <w:trHeight w:val="432" w:hRule="atLeast"/>
          <w:tblHeader w:val="0"/>
        </w:trPr>
        <w:tc>
          <w:tcPr/>
          <w:p w:rsidR="00000000" w:rsidDel="00000000" w:rsidP="00000000" w:rsidRDefault="00000000" w:rsidRPr="00000000" w14:paraId="00000043">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 not to say</w:t>
            </w:r>
          </w:p>
        </w:tc>
        <w:tc>
          <w:tcPr/>
          <w:p w:rsidR="00000000" w:rsidDel="00000000" w:rsidP="00000000" w:rsidRDefault="00000000" w:rsidRPr="00000000" w14:paraId="0000004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r>
      <w:tr>
        <w:trPr>
          <w:cantSplit w:val="0"/>
          <w:trHeight w:val="432" w:hRule="atLeast"/>
          <w:tblHeader w:val="0"/>
        </w:trPr>
        <w:tc>
          <w:tcPr/>
          <w:p w:rsidR="00000000" w:rsidDel="00000000" w:rsidP="00000000" w:rsidRDefault="00000000" w:rsidRPr="00000000" w14:paraId="00000047">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p w:rsidR="00000000" w:rsidDel="00000000" w:rsidP="00000000" w:rsidRDefault="00000000" w:rsidRPr="00000000" w14:paraId="00000049">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4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432" w:hRule="atLeast"/>
          <w:tblHeader w:val="0"/>
        </w:trPr>
        <w:tc>
          <w:tcPr/>
          <w:p w:rsidR="00000000" w:rsidDel="00000000" w:rsidP="00000000" w:rsidRDefault="00000000" w:rsidRPr="00000000" w14:paraId="0000004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04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Salaried (private sector)</w:t>
            </w:r>
          </w:p>
        </w:tc>
        <w:tc>
          <w:tcPr/>
          <w:p w:rsidR="00000000" w:rsidDel="00000000" w:rsidP="00000000" w:rsidRDefault="00000000" w:rsidRPr="00000000" w14:paraId="0000004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4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35.71</w:t>
            </w:r>
          </w:p>
        </w:tc>
      </w:tr>
      <w:tr>
        <w:trPr>
          <w:cantSplit w:val="0"/>
          <w:trHeight w:val="432" w:hRule="atLeast"/>
          <w:tblHeader w:val="0"/>
        </w:trPr>
        <w:tc>
          <w:tcPr/>
          <w:p w:rsidR="00000000" w:rsidDel="00000000" w:rsidP="00000000" w:rsidRDefault="00000000" w:rsidRPr="00000000" w14:paraId="00000050">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Salaried (public/government)</w:t>
            </w:r>
          </w:p>
        </w:tc>
        <w:tc>
          <w:tcPr/>
          <w:p w:rsidR="00000000" w:rsidDel="00000000" w:rsidP="00000000" w:rsidRDefault="00000000" w:rsidRPr="00000000" w14:paraId="0000005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5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28.57</w:t>
            </w:r>
          </w:p>
        </w:tc>
      </w:tr>
      <w:tr>
        <w:trPr>
          <w:cantSplit w:val="0"/>
          <w:trHeight w:val="432" w:hRule="atLeast"/>
          <w:tblHeader w:val="0"/>
        </w:trPr>
        <w:tc>
          <w:tcPr/>
          <w:p w:rsidR="00000000" w:rsidDel="00000000" w:rsidP="00000000" w:rsidRDefault="00000000" w:rsidRPr="00000000" w14:paraId="00000054">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Self-employed / Business</w:t>
            </w:r>
          </w:p>
        </w:tc>
        <w:tc>
          <w:tcPr/>
          <w:p w:rsidR="00000000" w:rsidDel="00000000" w:rsidP="00000000" w:rsidRDefault="00000000" w:rsidRPr="00000000" w14:paraId="0000005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5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21.43</w:t>
            </w:r>
          </w:p>
        </w:tc>
      </w:tr>
      <w:tr>
        <w:trPr>
          <w:cantSplit w:val="0"/>
          <w:trHeight w:val="432" w:hRule="atLeast"/>
          <w:tblHeader w:val="0"/>
        </w:trPr>
        <w:tc>
          <w:tcPr/>
          <w:p w:rsidR="00000000" w:rsidDel="00000000" w:rsidP="00000000" w:rsidRDefault="00000000" w:rsidRPr="00000000" w14:paraId="00000058">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w:t>
            </w:r>
          </w:p>
        </w:tc>
        <w:tc>
          <w:tcPr/>
          <w:p w:rsidR="00000000" w:rsidDel="00000000" w:rsidP="00000000" w:rsidRDefault="00000000" w:rsidRPr="00000000" w14:paraId="0000005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5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14.29</w:t>
            </w:r>
          </w:p>
        </w:tc>
      </w:tr>
      <w:tr>
        <w:trPr>
          <w:cantSplit w:val="0"/>
          <w:trHeight w:val="432" w:hRule="atLeast"/>
          <w:tblHeader w:val="0"/>
        </w:trPr>
        <w:tc>
          <w:tcPr/>
          <w:p w:rsidR="00000000" w:rsidDel="00000000" w:rsidP="00000000" w:rsidRDefault="00000000" w:rsidRPr="00000000" w14:paraId="0000005C">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5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5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432" w:hRule="atLeast"/>
          <w:tblHeader w:val="0"/>
        </w:trPr>
        <w:tc>
          <w:tcPr/>
          <w:p w:rsidR="00000000" w:rsidDel="00000000" w:rsidP="00000000" w:rsidRDefault="00000000" w:rsidRPr="00000000" w14:paraId="0000006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 of Bank Used</w:t>
            </w:r>
          </w:p>
        </w:tc>
        <w:tc>
          <w:tcPr/>
          <w:p w:rsidR="00000000" w:rsidDel="00000000" w:rsidP="00000000" w:rsidRDefault="00000000" w:rsidRPr="00000000" w14:paraId="0000006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sector bank</w:t>
            </w:r>
          </w:p>
        </w:tc>
        <w:tc>
          <w:tcPr/>
          <w:p w:rsidR="00000000" w:rsidDel="00000000" w:rsidP="00000000" w:rsidRDefault="00000000" w:rsidRPr="00000000" w14:paraId="0000006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6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39.29</w:t>
            </w:r>
          </w:p>
        </w:tc>
      </w:tr>
      <w:tr>
        <w:trPr>
          <w:cantSplit w:val="0"/>
          <w:trHeight w:val="432" w:hRule="atLeast"/>
          <w:tblHeader w:val="0"/>
        </w:trPr>
        <w:tc>
          <w:tcPr/>
          <w:p w:rsidR="00000000" w:rsidDel="00000000" w:rsidP="00000000" w:rsidRDefault="00000000" w:rsidRPr="00000000" w14:paraId="00000064">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Private sector bank</w:t>
            </w:r>
          </w:p>
        </w:tc>
        <w:tc>
          <w:tcPr/>
          <w:p w:rsidR="00000000" w:rsidDel="00000000" w:rsidP="00000000" w:rsidRDefault="00000000" w:rsidRPr="00000000" w14:paraId="0000006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6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w:t>
            </w:r>
          </w:p>
        </w:tc>
      </w:tr>
      <w:tr>
        <w:trPr>
          <w:cantSplit w:val="0"/>
          <w:trHeight w:val="432" w:hRule="atLeast"/>
          <w:tblHeader w:val="0"/>
        </w:trPr>
        <w:tc>
          <w:tcPr/>
          <w:p w:rsidR="00000000" w:rsidDel="00000000" w:rsidP="00000000" w:rsidRDefault="00000000" w:rsidRPr="00000000" w14:paraId="00000068">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equally</w:t>
            </w:r>
          </w:p>
        </w:tc>
        <w:tc>
          <w:tcPr/>
          <w:p w:rsidR="00000000" w:rsidDel="00000000" w:rsidP="00000000" w:rsidRDefault="00000000" w:rsidRPr="00000000" w14:paraId="0000006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10.71</w:t>
            </w:r>
          </w:p>
        </w:tc>
      </w:tr>
      <w:tr>
        <w:trPr>
          <w:cantSplit w:val="0"/>
          <w:trHeight w:val="432" w:hRule="atLeast"/>
          <w:tblHeader w:val="0"/>
        </w:trPr>
        <w:tc>
          <w:tcPr/>
          <w:p w:rsidR="00000000" w:rsidDel="00000000" w:rsidP="00000000" w:rsidRDefault="00000000" w:rsidRPr="00000000" w14:paraId="0000006C">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6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6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70">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age profile shows that most respondents are younger customers, with relatively few from older age groups. This means the findings mainly capture the experiences of early-career, digitally inclined users who are active with online and mobile banking. As a result, the study may under-represent the views of older, more traditional customers who rely more on branch interactions and may have different expectations of service quality and trust.The gender and occupation mix further shape the results. The sample is skewed towards male, salaried employees, so the insights are strongest for working professionals using banks primarily for salary and everyday transactions. Female customers, self-employed individuals, and business owners are fewer in number, which limits conclusions about their specific needs, such as business credit, specialised services, or safety and convenience concerns. Bank-type usage is tilted slightly towards private sector banks, meaning overall satisfaction patterns may more strongly reflect private-bank service experiences, though public banks are still sufficiently represented for basic comparison.</w:t>
      </w:r>
    </w:p>
    <w:p w:rsidR="00000000" w:rsidDel="00000000" w:rsidP="00000000" w:rsidRDefault="00000000" w:rsidRPr="00000000" w14:paraId="00000072">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ANALYSIS</w:t>
      </w:r>
    </w:p>
    <w:p w:rsidR="00000000" w:rsidDel="00000000" w:rsidP="00000000" w:rsidRDefault="00000000" w:rsidRPr="00000000" w14:paraId="00000074">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bCs w:val="1"/>
          <w:rtl w:val="0"/>
        </w:rPr>
        <w:t xml:space="preserve">Duration of Relationship with Primary Bank?</w:t>
      </w:r>
      <w:r w:rsidDel="00000000" w:rsidR="00000000" w:rsidRPr="00000000">
        <w:rPr>
          <w:rtl w:val="0"/>
        </w:rPr>
      </w:r>
    </w:p>
    <w:tbl>
      <w:tblPr>
        <w:tblStyle w:val="Table2"/>
        <w:tblW w:w="1003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9"/>
        <w:gridCol w:w="2509"/>
        <w:gridCol w:w="2509"/>
        <w:gridCol w:w="2509"/>
        <w:tblGridChange w:id="0">
          <w:tblGrid>
            <w:gridCol w:w="2509"/>
            <w:gridCol w:w="2509"/>
            <w:gridCol w:w="2509"/>
            <w:gridCol w:w="2509"/>
          </w:tblGrid>
        </w:tblGridChange>
      </w:tblGrid>
      <w:tr>
        <w:trPr>
          <w:cantSplit w:val="0"/>
          <w:trHeight w:val="455" w:hRule="atLeast"/>
          <w:tblHeader w:val="0"/>
        </w:trPr>
        <w:tc>
          <w:tcPr/>
          <w:p w:rsidR="00000000" w:rsidDel="00000000" w:rsidP="00000000" w:rsidRDefault="00000000" w:rsidRPr="00000000" w14:paraId="0000007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no</w:t>
            </w:r>
          </w:p>
        </w:tc>
        <w:tc>
          <w:tcPr/>
          <w:p w:rsidR="00000000" w:rsidDel="00000000" w:rsidP="00000000" w:rsidRDefault="00000000" w:rsidRPr="00000000" w14:paraId="0000007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07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07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w:t>
            </w:r>
          </w:p>
        </w:tc>
      </w:tr>
      <w:tr>
        <w:trPr>
          <w:cantSplit w:val="0"/>
          <w:trHeight w:val="455" w:hRule="atLeast"/>
          <w:tblHeader w:val="0"/>
        </w:trPr>
        <w:tc>
          <w:tcPr/>
          <w:p w:rsidR="00000000" w:rsidDel="00000000" w:rsidP="00000000" w:rsidRDefault="00000000" w:rsidRPr="00000000" w14:paraId="0000007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 years</w:t>
            </w:r>
          </w:p>
        </w:tc>
        <w:tc>
          <w:tcPr/>
          <w:p w:rsidR="00000000" w:rsidDel="00000000" w:rsidP="00000000" w:rsidRDefault="00000000" w:rsidRPr="00000000" w14:paraId="0000007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7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21.43</w:t>
            </w:r>
          </w:p>
        </w:tc>
      </w:tr>
      <w:tr>
        <w:trPr>
          <w:cantSplit w:val="0"/>
          <w:trHeight w:val="455" w:hRule="atLeast"/>
          <w:tblHeader w:val="0"/>
        </w:trPr>
        <w:tc>
          <w:tcPr/>
          <w:p w:rsidR="00000000" w:rsidDel="00000000" w:rsidP="00000000" w:rsidRDefault="00000000" w:rsidRPr="00000000" w14:paraId="0000007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7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years</w:t>
            </w:r>
          </w:p>
        </w:tc>
        <w:tc>
          <w:tcPr/>
          <w:p w:rsidR="00000000" w:rsidDel="00000000" w:rsidP="00000000" w:rsidRDefault="00000000" w:rsidRPr="00000000" w14:paraId="0000008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8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39.29</w:t>
            </w:r>
          </w:p>
        </w:tc>
      </w:tr>
      <w:tr>
        <w:trPr>
          <w:cantSplit w:val="0"/>
          <w:trHeight w:val="455" w:hRule="atLeast"/>
          <w:tblHeader w:val="0"/>
        </w:trPr>
        <w:tc>
          <w:tcPr/>
          <w:p w:rsidR="00000000" w:rsidDel="00000000" w:rsidP="00000000" w:rsidRDefault="00000000" w:rsidRPr="00000000" w14:paraId="0000008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8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years</w:t>
            </w:r>
          </w:p>
        </w:tc>
        <w:tc>
          <w:tcPr/>
          <w:p w:rsidR="00000000" w:rsidDel="00000000" w:rsidP="00000000" w:rsidRDefault="00000000" w:rsidRPr="00000000" w14:paraId="0000008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8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w:t>
            </w:r>
          </w:p>
        </w:tc>
      </w:tr>
      <w:tr>
        <w:trPr>
          <w:cantSplit w:val="0"/>
          <w:trHeight w:val="455" w:hRule="atLeast"/>
          <w:tblHeader w:val="0"/>
        </w:trPr>
        <w:tc>
          <w:tcPr/>
          <w:p w:rsidR="00000000" w:rsidDel="00000000" w:rsidP="00000000" w:rsidRDefault="00000000" w:rsidRPr="00000000" w14:paraId="0000008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10 years</w:t>
            </w:r>
          </w:p>
        </w:tc>
        <w:tc>
          <w:tcPr/>
          <w:p w:rsidR="00000000" w:rsidDel="00000000" w:rsidP="00000000" w:rsidRDefault="00000000" w:rsidRPr="00000000" w14:paraId="0000008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14.29</w:t>
            </w:r>
          </w:p>
        </w:tc>
      </w:tr>
      <w:tr>
        <w:trPr>
          <w:cantSplit w:val="0"/>
          <w:trHeight w:val="455" w:hRule="atLeast"/>
          <w:tblHeader w:val="0"/>
        </w:trPr>
        <w:tc>
          <w:tcPr/>
          <w:p w:rsidR="00000000" w:rsidDel="00000000" w:rsidP="00000000" w:rsidRDefault="00000000" w:rsidRPr="00000000" w14:paraId="0000008A">
            <w:pPr>
              <w:spacing w:after="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8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8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8E">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Source: Primary</w:t>
        <w:tab/>
      </w:r>
    </w:p>
    <w:p w:rsidR="00000000" w:rsidDel="00000000" w:rsidP="00000000" w:rsidRDefault="00000000" w:rsidRPr="00000000" w14:paraId="0000008F">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w:t>
      </w:r>
    </w:p>
    <w:p w:rsidR="00000000" w:rsidDel="00000000" w:rsidP="00000000" w:rsidRDefault="00000000" w:rsidRPr="00000000" w14:paraId="00000090">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majority of customers (around two-thirds) have been with their primary bank for more than two years, indicating relatively stable and ongoing relationships. Longer association may positively influence satisfaction, as customers become more familiar with processes and digital platforms.</w:t>
      </w:r>
    </w:p>
    <w:p w:rsidR="00000000" w:rsidDel="00000000" w:rsidP="00000000" w:rsidRDefault="00000000" w:rsidRPr="00000000" w14:paraId="00000091">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bCs w:val="1"/>
          <w:rtl w:val="0"/>
        </w:rPr>
        <w:t xml:space="preserve">Overall Service Quality of Primary Bank?</w:t>
      </w:r>
    </w:p>
    <w:tbl>
      <w:tblPr>
        <w:tblStyle w:val="Table3"/>
        <w:tblW w:w="9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2"/>
        <w:gridCol w:w="3312"/>
        <w:gridCol w:w="3312"/>
        <w:tblGridChange w:id="0">
          <w:tblGrid>
            <w:gridCol w:w="3312"/>
            <w:gridCol w:w="3312"/>
            <w:gridCol w:w="3312"/>
          </w:tblGrid>
        </w:tblGridChange>
      </w:tblGrid>
      <w:tr>
        <w:trPr>
          <w:cantSplit w:val="0"/>
          <w:trHeight w:val="432" w:hRule="atLeast"/>
          <w:tblHeader w:val="0"/>
        </w:trPr>
        <w:tc>
          <w:tcPr/>
          <w:p w:rsidR="00000000" w:rsidDel="00000000" w:rsidP="00000000" w:rsidRDefault="00000000" w:rsidRPr="00000000" w14:paraId="00000092">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Particulars</w:t>
            </w:r>
          </w:p>
        </w:tc>
        <w:tc>
          <w:tcPr/>
          <w:p w:rsidR="00000000" w:rsidDel="00000000" w:rsidP="00000000" w:rsidRDefault="00000000" w:rsidRPr="00000000" w14:paraId="00000093">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094">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Precent</w:t>
            </w:r>
          </w:p>
        </w:tc>
      </w:tr>
      <w:tr>
        <w:trPr>
          <w:cantSplit w:val="0"/>
          <w:trHeight w:val="432" w:hRule="atLeast"/>
          <w:tblHeader w:val="0"/>
        </w:trPr>
        <w:tc>
          <w:tcPr/>
          <w:p w:rsidR="00000000" w:rsidDel="00000000" w:rsidP="00000000" w:rsidRDefault="00000000" w:rsidRPr="00000000" w14:paraId="00000095">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Poor</w:t>
            </w:r>
          </w:p>
        </w:tc>
        <w:tc>
          <w:tcPr/>
          <w:p w:rsidR="00000000" w:rsidDel="00000000" w:rsidP="00000000" w:rsidRDefault="00000000" w:rsidRPr="00000000" w14:paraId="00000096">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97">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r>
      <w:tr>
        <w:trPr>
          <w:cantSplit w:val="0"/>
          <w:trHeight w:val="432" w:hRule="atLeast"/>
          <w:tblHeader w:val="0"/>
        </w:trPr>
        <w:tc>
          <w:tcPr/>
          <w:p w:rsidR="00000000" w:rsidDel="00000000" w:rsidP="00000000" w:rsidRDefault="00000000" w:rsidRPr="00000000" w14:paraId="00000098">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w:t>
            </w:r>
          </w:p>
        </w:tc>
        <w:tc>
          <w:tcPr/>
          <w:p w:rsidR="00000000" w:rsidDel="00000000" w:rsidP="00000000" w:rsidRDefault="00000000" w:rsidRPr="00000000" w14:paraId="00000099">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9A">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r>
      <w:tr>
        <w:trPr>
          <w:cantSplit w:val="0"/>
          <w:trHeight w:val="432" w:hRule="atLeast"/>
          <w:tblHeader w:val="0"/>
        </w:trPr>
        <w:tc>
          <w:tcPr/>
          <w:p w:rsidR="00000000" w:rsidDel="00000000" w:rsidP="00000000" w:rsidRDefault="00000000" w:rsidRPr="00000000" w14:paraId="0000009B">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w:t>
            </w:r>
          </w:p>
        </w:tc>
        <w:tc>
          <w:tcPr/>
          <w:p w:rsidR="00000000" w:rsidDel="00000000" w:rsidP="00000000" w:rsidRDefault="00000000" w:rsidRPr="00000000" w14:paraId="0000009C">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9D">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28.57</w:t>
            </w:r>
          </w:p>
        </w:tc>
      </w:tr>
      <w:tr>
        <w:trPr>
          <w:cantSplit w:val="0"/>
          <w:trHeight w:val="432" w:hRule="atLeast"/>
          <w:tblHeader w:val="0"/>
        </w:trPr>
        <w:tc>
          <w:tcPr/>
          <w:p w:rsidR="00000000" w:rsidDel="00000000" w:rsidP="00000000" w:rsidRDefault="00000000" w:rsidRPr="00000000" w14:paraId="0000009E">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w:t>
            </w:r>
          </w:p>
        </w:tc>
        <w:tc>
          <w:tcPr/>
          <w:p w:rsidR="00000000" w:rsidDel="00000000" w:rsidP="00000000" w:rsidRDefault="00000000" w:rsidRPr="00000000" w14:paraId="0000009F">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A0">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w:t>
            </w:r>
          </w:p>
        </w:tc>
      </w:tr>
      <w:tr>
        <w:trPr>
          <w:cantSplit w:val="0"/>
          <w:trHeight w:val="432" w:hRule="atLeast"/>
          <w:tblHeader w:val="0"/>
        </w:trPr>
        <w:tc>
          <w:tcPr/>
          <w:p w:rsidR="00000000" w:rsidDel="00000000" w:rsidP="00000000" w:rsidRDefault="00000000" w:rsidRPr="00000000" w14:paraId="000000A1">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w:t>
            </w:r>
          </w:p>
        </w:tc>
        <w:tc>
          <w:tcPr/>
          <w:p w:rsidR="00000000" w:rsidDel="00000000" w:rsidP="00000000" w:rsidRDefault="00000000" w:rsidRPr="00000000" w14:paraId="000000A2">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3">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10.71</w:t>
            </w:r>
          </w:p>
        </w:tc>
      </w:tr>
      <w:tr>
        <w:trPr>
          <w:cantSplit w:val="0"/>
          <w:trHeight w:val="432" w:hRule="atLeast"/>
          <w:tblHeader w:val="0"/>
        </w:trPr>
        <w:tc>
          <w:tcPr/>
          <w:p w:rsidR="00000000" w:rsidDel="00000000" w:rsidP="00000000" w:rsidRDefault="00000000" w:rsidRPr="00000000" w14:paraId="000000A4">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A5">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A6">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A7">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Source: Primary</w:t>
      </w:r>
    </w:p>
    <w:p w:rsidR="00000000" w:rsidDel="00000000" w:rsidP="00000000" w:rsidRDefault="00000000" w:rsidRPr="00000000" w14:paraId="000000A8">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w:t>
      </w:r>
    </w:p>
    <w:p w:rsidR="00000000" w:rsidDel="00000000" w:rsidP="00000000" w:rsidRDefault="00000000" w:rsidRPr="00000000" w14:paraId="000000A9">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respondents rate service quality as Average or Good, with only a small share reporting poor experiences. This suggests generally satisfactory but not outstanding service, leaving scope for banks to move more customers into the “Excellent” category through better responsiveness and consistency.</w:t>
      </w:r>
    </w:p>
    <w:p w:rsidR="00000000" w:rsidDel="00000000" w:rsidP="00000000" w:rsidRDefault="00000000" w:rsidRPr="00000000" w14:paraId="000000AA">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w:t>
      </w:r>
      <w:r w:rsidDel="00000000" w:rsidR="00000000" w:rsidRPr="00000000">
        <w:rPr>
          <w:rFonts w:ascii="Arial" w:cs="Arial" w:eastAsia="Arial" w:hAnsi="Arial"/>
          <w:b w:val="1"/>
          <w:bCs w:val="1"/>
          <w:color w:val="111827"/>
          <w:sz w:val="30"/>
          <w:szCs w:val="30"/>
          <w:rtl w:val="0"/>
        </w:rPr>
        <w:t xml:space="preserve"> </w:t>
      </w:r>
      <w:r w:rsidDel="00000000" w:rsidR="00000000" w:rsidRPr="00000000">
        <w:rPr>
          <w:rFonts w:ascii="Times New Roman" w:cs="Times New Roman" w:eastAsia="Times New Roman" w:hAnsi="Times New Roman"/>
          <w:b w:val="1"/>
          <w:bCs w:val="1"/>
          <w:rtl w:val="0"/>
        </w:rPr>
        <w:t xml:space="preserve">Satisfaction with Digital Banking Facilities?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rHeight w:val="432" w:hRule="atLeast"/>
          <w:tblHeader w:val="0"/>
        </w:trPr>
        <w:tc>
          <w:tcPr/>
          <w:p w:rsidR="00000000" w:rsidDel="00000000" w:rsidP="00000000" w:rsidRDefault="00000000" w:rsidRPr="00000000" w14:paraId="000000A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Particulars</w:t>
            </w:r>
          </w:p>
        </w:tc>
        <w:tc>
          <w:tcPr/>
          <w:p w:rsidR="00000000" w:rsidDel="00000000" w:rsidP="00000000" w:rsidRDefault="00000000" w:rsidRPr="00000000" w14:paraId="000000A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0A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 </w:t>
            </w:r>
          </w:p>
        </w:tc>
      </w:tr>
      <w:tr>
        <w:trPr>
          <w:cantSplit w:val="0"/>
          <w:trHeight w:val="432" w:hRule="atLeast"/>
          <w:tblHeader w:val="0"/>
        </w:trPr>
        <w:tc>
          <w:tcPr/>
          <w:p w:rsidR="00000000" w:rsidDel="00000000" w:rsidP="00000000" w:rsidRDefault="00000000" w:rsidRPr="00000000" w14:paraId="000000A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Dissatisfied</w:t>
            </w:r>
          </w:p>
        </w:tc>
        <w:tc>
          <w:tcPr/>
          <w:p w:rsidR="00000000" w:rsidDel="00000000" w:rsidP="00000000" w:rsidRDefault="00000000" w:rsidRPr="00000000" w14:paraId="000000A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B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r>
      <w:tr>
        <w:trPr>
          <w:cantSplit w:val="0"/>
          <w:trHeight w:val="432" w:hRule="atLeast"/>
          <w:tblHeader w:val="0"/>
        </w:trPr>
        <w:tc>
          <w:tcPr/>
          <w:p w:rsidR="00000000" w:rsidDel="00000000" w:rsidP="00000000" w:rsidRDefault="00000000" w:rsidRPr="00000000" w14:paraId="000000B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Dissatisfied</w:t>
            </w:r>
          </w:p>
        </w:tc>
        <w:tc>
          <w:tcPr/>
          <w:p w:rsidR="00000000" w:rsidDel="00000000" w:rsidP="00000000" w:rsidRDefault="00000000" w:rsidRPr="00000000" w14:paraId="000000B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B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r>
      <w:tr>
        <w:trPr>
          <w:cantSplit w:val="0"/>
          <w:trHeight w:val="432" w:hRule="atLeast"/>
          <w:tblHeader w:val="0"/>
        </w:trPr>
        <w:tc>
          <w:tcPr/>
          <w:p w:rsidR="00000000" w:rsidDel="00000000" w:rsidP="00000000" w:rsidRDefault="00000000" w:rsidRPr="00000000" w14:paraId="000000B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0B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B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14.29</w:t>
            </w:r>
          </w:p>
        </w:tc>
      </w:tr>
      <w:tr>
        <w:trPr>
          <w:cantSplit w:val="0"/>
          <w:trHeight w:val="432" w:hRule="atLeast"/>
          <w:tblHeader w:val="0"/>
        </w:trPr>
        <w:tc>
          <w:tcPr/>
          <w:p w:rsidR="00000000" w:rsidDel="00000000" w:rsidP="00000000" w:rsidRDefault="00000000" w:rsidRPr="00000000" w14:paraId="000000B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Satisfied</w:t>
            </w:r>
          </w:p>
        </w:tc>
        <w:tc>
          <w:tcPr/>
          <w:p w:rsidR="00000000" w:rsidDel="00000000" w:rsidP="00000000" w:rsidRDefault="00000000" w:rsidRPr="00000000" w14:paraId="000000B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B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46.43</w:t>
            </w:r>
          </w:p>
        </w:tc>
      </w:tr>
      <w:tr>
        <w:trPr>
          <w:cantSplit w:val="0"/>
          <w:trHeight w:val="432" w:hRule="atLeast"/>
          <w:tblHeader w:val="0"/>
        </w:trPr>
        <w:tc>
          <w:tcPr/>
          <w:p w:rsidR="00000000" w:rsidDel="00000000" w:rsidP="00000000" w:rsidRDefault="00000000" w:rsidRPr="00000000" w14:paraId="000000B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Highly Satisfied</w:t>
            </w:r>
          </w:p>
        </w:tc>
        <w:tc>
          <w:tcPr/>
          <w:p w:rsidR="00000000" w:rsidDel="00000000" w:rsidP="00000000" w:rsidRDefault="00000000" w:rsidRPr="00000000" w14:paraId="000000B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B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28.57</w:t>
            </w:r>
          </w:p>
        </w:tc>
      </w:tr>
      <w:tr>
        <w:trPr>
          <w:cantSplit w:val="0"/>
          <w:trHeight w:val="432" w:hRule="atLeast"/>
          <w:tblHeader w:val="0"/>
        </w:trPr>
        <w:tc>
          <w:tcPr/>
          <w:p w:rsidR="00000000" w:rsidDel="00000000" w:rsidP="00000000" w:rsidRDefault="00000000" w:rsidRPr="00000000" w14:paraId="000000B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B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B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C0">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Source: Primary</w:t>
      </w:r>
    </w:p>
    <w:p w:rsidR="00000000" w:rsidDel="00000000" w:rsidP="00000000" w:rsidRDefault="00000000" w:rsidRPr="00000000" w14:paraId="000000C1">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w:t>
      </w:r>
    </w:p>
    <w:p w:rsidR="00000000" w:rsidDel="00000000" w:rsidP="00000000" w:rsidRDefault="00000000" w:rsidRPr="00000000" w14:paraId="000000C2">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Around three-quarters of respondents are satisfied or highly satisfied with digital banking facilities, indicating strong acceptance of net banking, mobile apps and UPI. A small dissatisfied segment points to issues like app performance, downtime or usability that banks should address.</w:t>
      </w:r>
    </w:p>
    <w:p w:rsidR="00000000" w:rsidDel="00000000" w:rsidP="00000000" w:rsidRDefault="00000000" w:rsidRPr="00000000" w14:paraId="000000C3">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b w:val="1"/>
          <w:bCs w:val="1"/>
          <w:rtl w:val="0"/>
        </w:rPr>
        <w:t xml:space="preserve">Transparency of Charges and Fees?</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rHeight w:val="432" w:hRule="atLeast"/>
          <w:tblHeader w:val="0"/>
        </w:trPr>
        <w:tc>
          <w:tcPr/>
          <w:p w:rsidR="00000000" w:rsidDel="00000000" w:rsidP="00000000" w:rsidRDefault="00000000" w:rsidRPr="00000000" w14:paraId="000000C4">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Particulars</w:t>
            </w:r>
          </w:p>
        </w:tc>
        <w:tc>
          <w:tcPr/>
          <w:p w:rsidR="00000000" w:rsidDel="00000000" w:rsidP="00000000" w:rsidRDefault="00000000" w:rsidRPr="00000000" w14:paraId="000000C5">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0C6">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 </w:t>
            </w:r>
          </w:p>
        </w:tc>
      </w:tr>
      <w:tr>
        <w:trPr>
          <w:cantSplit w:val="0"/>
          <w:trHeight w:val="432" w:hRule="atLeast"/>
          <w:tblHeader w:val="0"/>
        </w:trPr>
        <w:tc>
          <w:tcPr/>
          <w:p w:rsidR="00000000" w:rsidDel="00000000" w:rsidP="00000000" w:rsidRDefault="00000000" w:rsidRPr="00000000" w14:paraId="000000C7">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 Transparent</w:t>
            </w:r>
          </w:p>
        </w:tc>
        <w:tc>
          <w:tcPr/>
          <w:p w:rsidR="00000000" w:rsidDel="00000000" w:rsidP="00000000" w:rsidRDefault="00000000" w:rsidRPr="00000000" w14:paraId="000000C8">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9">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r>
      <w:tr>
        <w:trPr>
          <w:cantSplit w:val="0"/>
          <w:trHeight w:val="432" w:hRule="atLeast"/>
          <w:tblHeader w:val="0"/>
        </w:trPr>
        <w:tc>
          <w:tcPr/>
          <w:p w:rsidR="00000000" w:rsidDel="00000000" w:rsidP="00000000" w:rsidRDefault="00000000" w:rsidRPr="00000000" w14:paraId="000000CA">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Slightly Transparent</w:t>
            </w:r>
          </w:p>
        </w:tc>
        <w:tc>
          <w:tcPr/>
          <w:p w:rsidR="00000000" w:rsidDel="00000000" w:rsidP="00000000" w:rsidRDefault="00000000" w:rsidRPr="00000000" w14:paraId="000000CB">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CC">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21.43</w:t>
            </w:r>
          </w:p>
        </w:tc>
      </w:tr>
      <w:tr>
        <w:trPr>
          <w:cantSplit w:val="0"/>
          <w:trHeight w:val="432" w:hRule="atLeast"/>
          <w:tblHeader w:val="0"/>
        </w:trPr>
        <w:tc>
          <w:tcPr/>
          <w:p w:rsidR="00000000" w:rsidDel="00000000" w:rsidP="00000000" w:rsidRDefault="00000000" w:rsidRPr="00000000" w14:paraId="000000CD">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Moderately Transparent</w:t>
            </w:r>
          </w:p>
        </w:tc>
        <w:tc>
          <w:tcPr/>
          <w:p w:rsidR="00000000" w:rsidDel="00000000" w:rsidP="00000000" w:rsidRDefault="00000000" w:rsidRPr="00000000" w14:paraId="000000CE">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CF">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28.57</w:t>
            </w:r>
          </w:p>
        </w:tc>
      </w:tr>
      <w:tr>
        <w:trPr>
          <w:cantSplit w:val="0"/>
          <w:trHeight w:val="432" w:hRule="atLeast"/>
          <w:tblHeader w:val="0"/>
        </w:trPr>
        <w:tc>
          <w:tcPr/>
          <w:p w:rsidR="00000000" w:rsidDel="00000000" w:rsidP="00000000" w:rsidRDefault="00000000" w:rsidRPr="00000000" w14:paraId="000000D0">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Transparent</w:t>
            </w:r>
          </w:p>
        </w:tc>
        <w:tc>
          <w:tcPr/>
          <w:p w:rsidR="00000000" w:rsidDel="00000000" w:rsidP="00000000" w:rsidRDefault="00000000" w:rsidRPr="00000000" w14:paraId="000000D1">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D2">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32.14</w:t>
            </w:r>
          </w:p>
        </w:tc>
      </w:tr>
      <w:tr>
        <w:trPr>
          <w:cantSplit w:val="0"/>
          <w:trHeight w:val="432" w:hRule="atLeast"/>
          <w:tblHeader w:val="0"/>
        </w:trPr>
        <w:tc>
          <w:tcPr/>
          <w:p w:rsidR="00000000" w:rsidDel="00000000" w:rsidP="00000000" w:rsidRDefault="00000000" w:rsidRPr="00000000" w14:paraId="000000D3">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Completely Transparent</w:t>
            </w:r>
          </w:p>
        </w:tc>
        <w:tc>
          <w:tcPr/>
          <w:p w:rsidR="00000000" w:rsidDel="00000000" w:rsidP="00000000" w:rsidRDefault="00000000" w:rsidRPr="00000000" w14:paraId="000000D4">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5">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10.71</w:t>
            </w:r>
          </w:p>
        </w:tc>
      </w:tr>
      <w:tr>
        <w:trPr>
          <w:cantSplit w:val="0"/>
          <w:trHeight w:val="432" w:hRule="atLeast"/>
          <w:tblHeader w:val="0"/>
        </w:trPr>
        <w:tc>
          <w:tcPr/>
          <w:p w:rsidR="00000000" w:rsidDel="00000000" w:rsidP="00000000" w:rsidRDefault="00000000" w:rsidRPr="00000000" w14:paraId="000000D6">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D7">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D8">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D9">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Source: Primary</w:t>
      </w:r>
    </w:p>
    <w:p w:rsidR="00000000" w:rsidDel="00000000" w:rsidP="00000000" w:rsidRDefault="00000000" w:rsidRPr="00000000" w14:paraId="000000DA">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w:t>
      </w:r>
    </w:p>
    <w:p w:rsidR="00000000" w:rsidDel="00000000" w:rsidP="00000000" w:rsidRDefault="00000000" w:rsidRPr="00000000" w14:paraId="000000DB">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Around 72% of respondents feel their bank is at least moderately transparent, but nearly 28% perceive low or only slight transparency. This suggests that fee structures, minimum balance conditions and penalties are not always clearly communicated or understood.</w:t>
      </w:r>
    </w:p>
    <w:p w:rsidR="00000000" w:rsidDel="00000000" w:rsidP="00000000" w:rsidRDefault="00000000" w:rsidRPr="00000000" w14:paraId="000000DC">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b w:val="1"/>
          <w:bCs w:val="1"/>
          <w:rtl w:val="0"/>
        </w:rPr>
        <w:t xml:space="preserve">Unresolved Major Issues?</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rHeight w:val="432" w:hRule="atLeast"/>
          <w:tblHeader w:val="0"/>
        </w:trPr>
        <w:tc>
          <w:tcPr/>
          <w:p w:rsidR="00000000" w:rsidDel="00000000" w:rsidP="00000000" w:rsidRDefault="00000000" w:rsidRPr="00000000" w14:paraId="000000D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Particulars</w:t>
            </w:r>
          </w:p>
        </w:tc>
        <w:tc>
          <w:tcPr/>
          <w:p w:rsidR="00000000" w:rsidDel="00000000" w:rsidP="00000000" w:rsidRDefault="00000000" w:rsidRPr="00000000" w14:paraId="000000D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0D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w:t>
            </w:r>
          </w:p>
        </w:tc>
      </w:tr>
      <w:tr>
        <w:trPr>
          <w:cantSplit w:val="0"/>
          <w:trHeight w:val="432" w:hRule="atLeast"/>
          <w:tblHeader w:val="0"/>
        </w:trPr>
        <w:tc>
          <w:tcPr/>
          <w:p w:rsidR="00000000" w:rsidDel="00000000" w:rsidP="00000000" w:rsidRDefault="00000000" w:rsidRPr="00000000" w14:paraId="000000E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0E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E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rHeight w:val="432" w:hRule="atLeast"/>
          <w:tblHeader w:val="0"/>
        </w:trPr>
        <w:tc>
          <w:tcPr/>
          <w:p w:rsidR="00000000" w:rsidDel="00000000" w:rsidP="00000000" w:rsidRDefault="00000000" w:rsidRPr="00000000" w14:paraId="000000E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E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0E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32" w:hRule="atLeast"/>
          <w:tblHeader w:val="0"/>
        </w:trPr>
        <w:tc>
          <w:tcPr/>
          <w:p w:rsidR="00000000" w:rsidDel="00000000" w:rsidP="00000000" w:rsidRDefault="00000000" w:rsidRPr="00000000" w14:paraId="000000E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0E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E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E9">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Source: Primary</w:t>
      </w:r>
    </w:p>
    <w:p w:rsidR="00000000" w:rsidDel="00000000" w:rsidP="00000000" w:rsidRDefault="00000000" w:rsidRPr="00000000" w14:paraId="000000EA">
      <w:pPr>
        <w:spacing w:after="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w:t>
      </w:r>
    </w:p>
    <w:p w:rsidR="00000000" w:rsidDel="00000000" w:rsidP="00000000" w:rsidRDefault="00000000" w:rsidRPr="00000000" w14:paraId="000000EB">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Three-fourths of customers have not faced unresolved major issues, reflecting reasonably good problem resolution overall. However, the 25% who report unresolved problems highlight gaps in grievance redressal systems that banks need to address more systematically.</w:t>
      </w:r>
    </w:p>
    <w:p w:rsidR="00000000" w:rsidDel="00000000" w:rsidP="00000000" w:rsidRDefault="00000000" w:rsidRPr="00000000" w14:paraId="000000EC">
      <w:pPr>
        <w:spacing w:after="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Discussion</w:t>
      </w:r>
    </w:p>
    <w:p w:rsidR="00000000" w:rsidDel="00000000" w:rsidP="00000000" w:rsidRDefault="00000000" w:rsidRPr="00000000" w14:paraId="000000EE">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of this study provide important insights into the comparative financial performance of public and private sector banks in India, particularly when evaluated through the CAMEL framework. The results not only confirm patterns observed in earlier studies but also reflect the impact of recent regulatory reforms, recapitalisation measures, and digital transformation within the Indian banking sector.A key outcome of the analysis is the superior profitability of private sector banks, as indicated by higher ROA, ROE, and net profit ratios. This can be attributed to their ability to adopt advanced technologies, implement efficient cost structures, and pursue market-driven strategies. These findings are consistent with prior research, which suggests that private banks benefit from operational flexibility and stronger governance mechanisms. In contrast, public sector banks often face structural constraints such as bureaucratic decision-making and social obligations, which can limit profitability.The study also highlights significant differences in asset quality, with public sector banks exhibiting higher levels of non-performing assets. Although reforms initiated by the Reserve Bank of India and government-led recapitalisation have improved the situation, the legacy of stressed assets continues to affect public sector banks. This aligns with earlier literature emphasizing that weaker credit appraisal systems and delayed recovery mechanisms contribute to higher NPAs in public institutions. Private sector banks, by comparison, demonstrate more effective risk management practices and stricter credit monitoring systems.In terms of capital adequacy, both sectors maintain ratios above regulatory requirements, indicating overall financial stability. However, the reliance of public sector banks on government capital infusion reflects a dependence on external support, whereas private banks largely depend on internal accruals and capital markets. This distinction underscores differences in financial autonomy and sustainability between the two sectors.The findings further reveal contrasting approaches to liquidity management and lending behavior. Public sector banks maintain higher liquidity levels, reflecting a conservative approach aimed at ensuring stability and meeting regulatory expectations. On the other hand, private sector banks exhibit higher credit–deposit ratios, indicating a more aggressive lending strategy focused on growth and profitability. While this enhances returns, it also requires robust risk management to avoid potential asset quality deterioration.Another critical dimension is management efficiency, where private sector banks significantly outperform public sector banks. Lower cost–income ratios and higher productivity indicators suggest better utilization of resources in private banks. Public sector banks, however, are constrained by higher operating costs, large workforce structures, and extensive branch networks. These structural challenges reduce efficiency and highlight the need for organizational restructuring and modernization.The overall CAMEL evaluation reinforces the idea that ownership structure plays a crucial role in determining bank performance. Private sector banks excel in efficiency, profitability, and asset quality, while public sector banks remain strong in capital adequacy and liquidity due to sovereign backing and a wider deposit base. This indicates a trade-off between efficiency and stability, where private banks prioritize performance and public banks emphasize financial inclusion and systemic stability.From a broader perspective, the study suggests that the Indian banking sector is moving toward greater competitiveness and convergence, driven by regulatory reforms and technological advancements. However, persistent gaps between public and private sector banks indicate the need for targeted policy interventions. Strengthening governance, improving risk management, and accelerating digital transformation are essential for enhancing the performance of public sector banks. At the same time, private sector banks must ensure sustainable growth without compromising asset quality.In conclusion, the discussion highlights that while both sectors play complementary roles in the financial system, improving efficiency and maintaining stability remain critical priorities for achieving a balanced and resilient banking ecosystem in India.</w:t>
      </w:r>
    </w:p>
    <w:p w:rsidR="00000000" w:rsidDel="00000000" w:rsidP="00000000" w:rsidRDefault="00000000" w:rsidRPr="00000000" w14:paraId="000000EF">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0">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VI.CONCLUSION</w:t>
      </w:r>
    </w:p>
    <w:p w:rsidR="00000000" w:rsidDel="00000000" w:rsidP="00000000" w:rsidRDefault="00000000" w:rsidRPr="00000000" w14:paraId="000000F1">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2">
      <w:pPr>
        <w:spacing w:after="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provides a comprehensive assessment of the comparative financial performance of public and private sector banks in India using the CAMEL framework. The findings clearly indicate that private sector banks maintain a distinct advantage in terms of profitability, asset quality, and operational efficiency, reflecting their stronger risk management practices, technological advancement, and market-oriented strategies. In contrast, public sector banks continue to demonstrate resilience through relatively stronger capital adequacy, higher liquidity buffers, and a significant role in promoting financial inclusion, supported by government backing and policy mandates.The study also highlights that customer perceptions increasingly align with financial performance trends. Younger and urban customers tend to prefer private sector banks due to superior service quality, faster transactions, and enhanced digital banking experiences. However, public sector banks continue to enjoy trust and reliability among a broader population base, particularly due to their extensive reach and association with the government.Despite notable improvements in recent years, especially in asset quality following regulatory interventions by the Reserve Bank of India, structural challenges persist in public sector banks, including inefficiencies, legacy cost structures, and slower adaptation to technological change. At the same time, private sector banks must ensure that their growth strategies remain sustainable and do not compromise asset quality or risk management standards.The study concludes that both public and private sector banks play complementary roles in strengthening the Indian banking system. A balanced approach that combines the efficiency and innovation of private banks with the stability and inclusiveness of public banks is essential for long-term financial sustainability. Therefore, targeted improvements in governance, risk management, digital transformation, transparency, and customer service are crucial for enhancing overall performance. By addressing these areas, the banking sector can contribute more effectively to economic growth, financial stability, and inclusive development in India.</w:t>
      </w:r>
    </w:p>
    <w:p w:rsidR="00000000" w:rsidDel="00000000" w:rsidP="00000000" w:rsidRDefault="00000000" w:rsidRPr="00000000" w14:paraId="000000F3">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4">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F5">
      <w:pPr>
        <w:spacing w:after="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6">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Gupta, S.. (2017). Financial performance evaluation of selected public and private sector banks in India using CAMEL model. </w:t>
      </w:r>
      <w:r w:rsidDel="00000000" w:rsidR="00000000" w:rsidRPr="00000000">
        <w:rPr>
          <w:rFonts w:ascii="Times New Roman" w:cs="Times New Roman" w:eastAsia="Times New Roman" w:hAnsi="Times New Roman"/>
          <w:i w:val="1"/>
          <w:iCs w:val="1"/>
          <w:rtl w:val="0"/>
        </w:rPr>
        <w:t xml:space="preserve">International Journal of Research in Finance and Marketing, 7</w:t>
      </w:r>
      <w:r w:rsidDel="00000000" w:rsidR="00000000" w:rsidRPr="00000000">
        <w:rPr>
          <w:rFonts w:ascii="Times New Roman" w:cs="Times New Roman" w:eastAsia="Times New Roman" w:hAnsi="Times New Roman"/>
          <w:rtl w:val="0"/>
        </w:rPr>
        <w:t xml:space="preserve">(6), 89–101.</w:t>
      </w:r>
    </w:p>
    <w:p w:rsidR="00000000" w:rsidDel="00000000" w:rsidP="00000000" w:rsidRDefault="00000000" w:rsidRPr="00000000" w14:paraId="000000F7">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Mehta, A., &amp; Singh, R.. (2013). Financial performance of commercial banks in India: A comparative study. </w:t>
      </w:r>
      <w:r w:rsidDel="00000000" w:rsidR="00000000" w:rsidRPr="00000000">
        <w:rPr>
          <w:rFonts w:ascii="Times New Roman" w:cs="Times New Roman" w:eastAsia="Times New Roman" w:hAnsi="Times New Roman"/>
          <w:i w:val="1"/>
          <w:iCs w:val="1"/>
          <w:rtl w:val="0"/>
        </w:rPr>
        <w:t xml:space="preserve">Indian Journal of Finance and Banking Studies, 2</w:t>
      </w:r>
      <w:r w:rsidDel="00000000" w:rsidR="00000000" w:rsidRPr="00000000">
        <w:rPr>
          <w:rFonts w:ascii="Times New Roman" w:cs="Times New Roman" w:eastAsia="Times New Roman" w:hAnsi="Times New Roman"/>
          <w:rtl w:val="0"/>
        </w:rPr>
        <w:t xml:space="preserve">(3), 15–27.</w:t>
      </w:r>
    </w:p>
    <w:p w:rsidR="00000000" w:rsidDel="00000000" w:rsidP="00000000" w:rsidRDefault="00000000" w:rsidRPr="00000000" w14:paraId="000000F8">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Patel, V., &amp; Yadav, R.. (2023). A CAMEL-based comparative study of public and private sector banks in India. </w:t>
      </w:r>
      <w:r w:rsidDel="00000000" w:rsidR="00000000" w:rsidRPr="00000000">
        <w:rPr>
          <w:rFonts w:ascii="Times New Roman" w:cs="Times New Roman" w:eastAsia="Times New Roman" w:hAnsi="Times New Roman"/>
          <w:i w:val="1"/>
          <w:iCs w:val="1"/>
          <w:rtl w:val="0"/>
        </w:rPr>
        <w:t xml:space="preserve">EPRA International Journal of Economics and Business Review, 11</w:t>
      </w:r>
      <w:r w:rsidDel="00000000" w:rsidR="00000000" w:rsidRPr="00000000">
        <w:rPr>
          <w:rFonts w:ascii="Times New Roman" w:cs="Times New Roman" w:eastAsia="Times New Roman" w:hAnsi="Times New Roman"/>
          <w:rtl w:val="0"/>
        </w:rPr>
        <w:t xml:space="preserve">(4), 45–53.</w:t>
      </w:r>
    </w:p>
    <w:p w:rsidR="00000000" w:rsidDel="00000000" w:rsidP="00000000" w:rsidRDefault="00000000" w:rsidRPr="00000000" w14:paraId="000000F9">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Rao, P.. (2022). A comparative analysis of financial performance of public and private sector banks in India. </w:t>
      </w:r>
      <w:r w:rsidDel="00000000" w:rsidR="00000000" w:rsidRPr="00000000">
        <w:rPr>
          <w:rFonts w:ascii="Times New Roman" w:cs="Times New Roman" w:eastAsia="Times New Roman" w:hAnsi="Times New Roman"/>
          <w:i w:val="1"/>
          <w:iCs w:val="1"/>
          <w:rtl w:val="0"/>
        </w:rPr>
        <w:t xml:space="preserve">International Journal of Research in Engineering, Science and Management, 5</w:t>
      </w:r>
      <w:r w:rsidDel="00000000" w:rsidR="00000000" w:rsidRPr="00000000">
        <w:rPr>
          <w:rFonts w:ascii="Times New Roman" w:cs="Times New Roman" w:eastAsia="Times New Roman" w:hAnsi="Times New Roman"/>
          <w:rtl w:val="0"/>
        </w:rPr>
        <w:t xml:space="preserve">(3), 72–79.</w:t>
      </w:r>
    </w:p>
    <w:p w:rsidR="00000000" w:rsidDel="00000000" w:rsidP="00000000" w:rsidRDefault="00000000" w:rsidRPr="00000000" w14:paraId="000000FA">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Reserve Bank of India. (Various years). </w:t>
      </w:r>
      <w:r w:rsidDel="00000000" w:rsidR="00000000" w:rsidRPr="00000000">
        <w:rPr>
          <w:rFonts w:ascii="Times New Roman" w:cs="Times New Roman" w:eastAsia="Times New Roman" w:hAnsi="Times New Roman"/>
          <w:i w:val="1"/>
          <w:iCs w:val="1"/>
          <w:rtl w:val="0"/>
        </w:rPr>
        <w:t xml:space="preserve">Report on trend and progress of banking in India</w:t>
      </w:r>
      <w:r w:rsidDel="00000000" w:rsidR="00000000" w:rsidRPr="00000000">
        <w:rPr>
          <w:rFonts w:ascii="Times New Roman" w:cs="Times New Roman" w:eastAsia="Times New Roman" w:hAnsi="Times New Roman"/>
          <w:rtl w:val="0"/>
        </w:rPr>
        <w:t xml:space="preserve">. Mumbai: RBI.</w:t>
      </w:r>
    </w:p>
    <w:p w:rsidR="00000000" w:rsidDel="00000000" w:rsidP="00000000" w:rsidRDefault="00000000" w:rsidRPr="00000000" w14:paraId="000000FB">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Bank of India. (Various years). </w:t>
      </w:r>
      <w:r w:rsidDel="00000000" w:rsidR="00000000" w:rsidRPr="00000000">
        <w:rPr>
          <w:rFonts w:ascii="Times New Roman" w:cs="Times New Roman" w:eastAsia="Times New Roman" w:hAnsi="Times New Roman"/>
          <w:i w:val="1"/>
          <w:iCs w:val="1"/>
          <w:rtl w:val="0"/>
        </w:rPr>
        <w:t xml:space="preserve">Annual report</w:t>
      </w:r>
      <w:r w:rsidDel="00000000" w:rsidR="00000000" w:rsidRPr="00000000">
        <w:rPr>
          <w:rFonts w:ascii="Times New Roman" w:cs="Times New Roman" w:eastAsia="Times New Roman" w:hAnsi="Times New Roman"/>
          <w:rtl w:val="0"/>
        </w:rPr>
        <w:t xml:space="preserve">. Mumbai: SBI.</w:t>
      </w:r>
    </w:p>
    <w:p w:rsidR="00000000" w:rsidDel="00000000" w:rsidP="00000000" w:rsidRDefault="00000000" w:rsidRPr="00000000" w14:paraId="000000FC">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HDFC Bank. (Various years). </w:t>
      </w:r>
      <w:r w:rsidDel="00000000" w:rsidR="00000000" w:rsidRPr="00000000">
        <w:rPr>
          <w:rFonts w:ascii="Times New Roman" w:cs="Times New Roman" w:eastAsia="Times New Roman" w:hAnsi="Times New Roman"/>
          <w:i w:val="1"/>
          <w:iCs w:val="1"/>
          <w:rtl w:val="0"/>
        </w:rPr>
        <w:t xml:space="preserve">Annual report</w:t>
      </w:r>
      <w:r w:rsidDel="00000000" w:rsidR="00000000" w:rsidRPr="00000000">
        <w:rPr>
          <w:rFonts w:ascii="Times New Roman" w:cs="Times New Roman" w:eastAsia="Times New Roman" w:hAnsi="Times New Roman"/>
          <w:rtl w:val="0"/>
        </w:rPr>
        <w:t xml:space="preserve">. Mumbai: HDFC Bank.</w:t>
      </w:r>
    </w:p>
    <w:p w:rsidR="00000000" w:rsidDel="00000000" w:rsidP="00000000" w:rsidRDefault="00000000" w:rsidRPr="00000000" w14:paraId="000000FD">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Tamilarasu, K., &amp; Srinivasan, L.. (2022). Comparative financial performance of selected public and private sector banks in India: A CAMEL approach. </w:t>
      </w:r>
      <w:r w:rsidDel="00000000" w:rsidR="00000000" w:rsidRPr="00000000">
        <w:rPr>
          <w:rFonts w:ascii="Times New Roman" w:cs="Times New Roman" w:eastAsia="Times New Roman" w:hAnsi="Times New Roman"/>
          <w:i w:val="1"/>
          <w:iCs w:val="1"/>
          <w:rtl w:val="0"/>
        </w:rPr>
        <w:t xml:space="preserve">International Journal of Management, 13</w:t>
      </w:r>
      <w:r w:rsidDel="00000000" w:rsidR="00000000" w:rsidRPr="00000000">
        <w:rPr>
          <w:rFonts w:ascii="Times New Roman" w:cs="Times New Roman" w:eastAsia="Times New Roman" w:hAnsi="Times New Roman"/>
          <w:rtl w:val="0"/>
        </w:rPr>
        <w:t xml:space="preserve">(6), 120–131.</w:t>
      </w:r>
    </w:p>
    <w:p w:rsidR="00000000" w:rsidDel="00000000" w:rsidP="00000000" w:rsidRDefault="00000000" w:rsidRPr="00000000" w14:paraId="000000FE">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performance evaluation of selected commercial banks in India using CAMELS model. (2022). </w:t>
      </w:r>
      <w:r w:rsidDel="00000000" w:rsidR="00000000" w:rsidRPr="00000000">
        <w:rPr>
          <w:rFonts w:ascii="Times New Roman" w:cs="Times New Roman" w:eastAsia="Times New Roman" w:hAnsi="Times New Roman"/>
          <w:i w:val="1"/>
          <w:iCs w:val="1"/>
          <w:rtl w:val="0"/>
        </w:rPr>
        <w:t xml:space="preserve">International Journal of Finance and Commerce, 4</w:t>
      </w:r>
      <w:r w:rsidDel="00000000" w:rsidR="00000000" w:rsidRPr="00000000">
        <w:rPr>
          <w:rFonts w:ascii="Times New Roman" w:cs="Times New Roman" w:eastAsia="Times New Roman" w:hAnsi="Times New Roman"/>
          <w:rtl w:val="0"/>
        </w:rPr>
        <w:t xml:space="preserve">(1), 12–26.</w:t>
      </w:r>
    </w:p>
    <w:p w:rsidR="00000000" w:rsidDel="00000000" w:rsidP="00000000" w:rsidRDefault="00000000" w:rsidRPr="00000000" w14:paraId="000000FF">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study of financial performance of selected public and private sector banks in India. (2023). </w:t>
      </w:r>
      <w:r w:rsidDel="00000000" w:rsidR="00000000" w:rsidRPr="00000000">
        <w:rPr>
          <w:rFonts w:ascii="Times New Roman" w:cs="Times New Roman" w:eastAsia="Times New Roman" w:hAnsi="Times New Roman"/>
          <w:i w:val="1"/>
          <w:iCs w:val="1"/>
          <w:rtl w:val="0"/>
        </w:rPr>
        <w:t xml:space="preserve">International Journal of Management, Public Policy and Research, 14</w:t>
      </w:r>
      <w:r w:rsidDel="00000000" w:rsidR="00000000" w:rsidRPr="00000000">
        <w:rPr>
          <w:rFonts w:ascii="Times New Roman" w:cs="Times New Roman" w:eastAsia="Times New Roman" w:hAnsi="Times New Roman"/>
          <w:rtl w:val="0"/>
        </w:rPr>
        <w:t xml:space="preserve">(6), 101–115.</w:t>
      </w:r>
    </w:p>
    <w:p w:rsidR="00000000" w:rsidDel="00000000" w:rsidP="00000000" w:rsidRDefault="00000000" w:rsidRPr="00000000" w14:paraId="00000100">
      <w:pPr>
        <w:spacing w:after="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financial health of selected banks in India: A CAMEL framework analysis. (2023). </w:t>
      </w:r>
      <w:r w:rsidDel="00000000" w:rsidR="00000000" w:rsidRPr="00000000">
        <w:rPr>
          <w:rFonts w:ascii="Times New Roman" w:cs="Times New Roman" w:eastAsia="Times New Roman" w:hAnsi="Times New Roman"/>
          <w:i w:val="1"/>
          <w:iCs w:val="1"/>
          <w:rtl w:val="0"/>
        </w:rPr>
        <w:t xml:space="preserve">Research and Scientific Progress Journal, 7</w:t>
      </w:r>
      <w:r w:rsidDel="00000000" w:rsidR="00000000" w:rsidRPr="00000000">
        <w:rPr>
          <w:rFonts w:ascii="Times New Roman" w:cs="Times New Roman" w:eastAsia="Times New Roman" w:hAnsi="Times New Roman"/>
          <w:rtl w:val="0"/>
        </w:rPr>
        <w:t xml:space="preserve">(3), 55–66.</w:t>
      </w:r>
    </w:p>
    <w:p w:rsidR="00000000" w:rsidDel="00000000" w:rsidP="00000000" w:rsidRDefault="00000000" w:rsidRPr="00000000" w14:paraId="00000101">
      <w:pPr>
        <w:spacing w:after="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after="40"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3">
      <w:pPr>
        <w:spacing w:after="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after="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after="40" w:line="36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