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 w:line="240"/>
        <w:jc w:val="center"/>
      </w:pPr>
      <w:r>
        <w:rPr>
          <w:rFonts w:ascii="Times New Roman" w:cs="Times New Roman" w:eastAsia="Times New Roman" w:hAnsi="Times New Roman"/>
          <w:b/>
          <w:bCs/>
          <w:sz w:val="36"/>
          <w:szCs w:val="36"/>
        </w:rPr>
        <w:t xml:space="preserve">The Effect of University–Industry Collaboration Types on University Image, Firm Image, and Perceived Student Employability</w:t>
      </w:r>
    </w:p>
    <w:p>
      <w:pPr>
        <w:spacing w:after="120" w:before="120"/>
      </w:pPr>
      <w:r>
        <w:t xml:space="preserve"/>
      </w:r>
    </w:p>
    <w:p>
      <w:pPr>
        <w:spacing w:after="240" w:before="240" w:line="240"/>
        <w:jc w:val="center"/>
      </w:pPr>
      <w:r>
        <w:rPr>
          <w:rFonts w:ascii="Times New Roman" w:cs="Times New Roman" w:eastAsia="Times New Roman" w:hAnsi="Times New Roman"/>
          <w:b/>
          <w:bCs/>
          <w:sz w:val="24"/>
          <w:szCs w:val="24"/>
        </w:rPr>
        <w:t xml:space="preserve"/>
      </w:r>
    </w:p>
    <w:p>
      <w:pPr>
        <w:spacing w:after="240" w:before="240" w:line="240"/>
        <w:jc w:val="center"/>
      </w:pPr>
      <w:r>
        <w:rPr>
          <w:rFonts w:ascii="Times New Roman" w:cs="Times New Roman" w:eastAsia="Times New Roman" w:hAnsi="Times New Roman"/>
          <w:sz w:val="24"/>
          <w:szCs w:val="24"/>
        </w:rPr>
        <w:t xml:space="preserve"/>
      </w:r>
    </w:p>
    <w:p>
      <w:pPr>
        <w:spacing w:after="240" w:before="240" w:line="240"/>
        <w:jc w:val="center"/>
      </w:pPr>
      <w:r>
        <w:rPr>
          <w:rFonts w:ascii="Times New Roman" w:cs="Times New Roman" w:eastAsia="Times New Roman" w:hAnsi="Times New Roman"/>
          <w:sz w:val="24"/>
          <w:szCs w:val="24"/>
        </w:rPr>
        <w:t xml:space="preserve"/>
      </w:r>
    </w:p>
    <w:p>
      <w:pPr>
        <w:spacing w:after="120" w:before="120"/>
      </w:pPr>
      <w:r>
        <w:t xml:space="preserve"/>
      </w:r>
    </w:p>
    <w:p>
      <w:pPr>
        <w:spacing w:after="120" w:before="240" w:line="240"/>
        <w:jc w:val="left"/>
      </w:pPr>
      <w:r>
        <w:rPr>
          <w:rFonts w:ascii="Times New Roman" w:cs="Times New Roman" w:eastAsia="Times New Roman" w:hAnsi="Times New Roman"/>
          <w:b/>
          <w:bCs/>
          <w:sz w:val="28"/>
          <w:szCs w:val="28"/>
        </w:rPr>
        <w:t xml:space="preserve">ABSTRACT</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This study examines the influence of different types of university–industry collaboration on institutional and corporate image as well as students’ perceived employability. Specifically, it distinguishes between applied training collaboration (e.g., partnerships with Odoo) and digital infrastructure support (e.g., collaborations with Microsoft). The study adopts a comparative perspective, drawing on data collected from two Egyptian higher education institutions: Deraya University and the Egyptian Japanese University of Science and Technology (E-JUST). A mixed-methods research design was employed. Semi-structured interviews were conducted with university representatives and industry partners to obtain in-depth qualitative insights, while a structured questionnaire was distributed to approximately 415 students. Quantitative data were analyzed using SPSS and R. The results indicate that both Odoo and Microsoft collaborations positively influence university image, firm image, and students’ perceived employability. However, Odoo demonstrated stronger educational effectiveness and greater impact on employability outcomes, whereas Microsoft exhibited higher motivational influence and stronger corporate reputation. Unlike earlier research focused primarily on innovation and knowledge transfer, this study examines the reputational outcomes of collaboration for both academic institutions and firms, and compares applied training against digital infrastructure support as distinct collaboration forms.</w:t>
      </w:r>
    </w:p>
    <w:p>
      <w:pPr>
        <w:spacing w:after="120" w:before="120"/>
      </w:pPr>
      <w:r>
        <w:t xml:space="preserve"/>
      </w:r>
    </w:p>
    <w:p>
      <w:pPr>
        <w:spacing w:after="240" w:before="240" w:line="240"/>
        <w:jc w:val="left"/>
      </w:pPr>
      <w:r>
        <w:rPr>
          <w:rFonts w:ascii="Times New Roman" w:cs="Times New Roman" w:eastAsia="Times New Roman" w:hAnsi="Times New Roman"/>
          <w:b/>
          <w:bCs/>
          <w:sz w:val="24"/>
          <w:szCs w:val="24"/>
        </w:rPr>
        <w:t xml:space="preserve">Keywords: </w:t>
      </w:r>
      <w:r>
        <w:rPr>
          <w:rFonts w:ascii="Times New Roman" w:cs="Times New Roman" w:eastAsia="Times New Roman" w:hAnsi="Times New Roman"/>
          <w:sz w:val="24"/>
          <w:szCs w:val="24"/>
        </w:rPr>
        <w:t xml:space="preserve">University–Industry Collaboration, University Image, Firm Image, Perceived Employability, Applied Training, Digital Infrastructure Support, Corporate Reputation, Egyptian Higher Education</w:t>
      </w:r>
    </w:p>
    <w:p>
      <w:pPr>
        <w:spacing w:after="240" w:before="360" w:line="240"/>
        <w:jc w:val="left"/>
      </w:pPr>
      <w:r>
        <w:rPr>
          <w:rFonts w:ascii="Times New Roman" w:cs="Times New Roman" w:eastAsia="Times New Roman" w:hAnsi="Times New Roman"/>
          <w:b/>
          <w:bCs/>
          <w:sz w:val="28"/>
          <w:szCs w:val="28"/>
        </w:rPr>
        <w:t xml:space="preserve">INTRODUCTION</w:t>
      </w:r>
    </w:p>
    <w:p>
      <w:pPr>
        <w:spacing w:after="120" w:before="240" w:line="240"/>
        <w:jc w:val="left"/>
      </w:pPr>
      <w:r>
        <w:rPr>
          <w:rFonts w:ascii="Times New Roman" w:cs="Times New Roman" w:eastAsia="Times New Roman" w:hAnsi="Times New Roman"/>
          <w:b/>
          <w:bCs/>
          <w:sz w:val="24"/>
          <w:szCs w:val="24"/>
        </w:rPr>
        <w:t xml:space="preserve">Background of the Study</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Historically, cooperation between universities and industry was largely incidental, confined to occasional research funding arrangements or internship programs. Over time, however, rapid technological change and the evolution of knowledge-based economies have fundamentally transformed this relationship. Universities are no longer perceived as purely theoretical institutions; they are now expected to serve as active contributors to labor market development, innovation, and national competitiveness.</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This transformation has given rise to diverse forms of collaboration. On the one hand, applied training collaboration—exemplified by partnerships with companies such as Odoo—bridges the gap between theoretical learning and practical business application by offering students direct exposure to enterprise systems and real-world problem-solving. On the other hand, digital infrastructure collaboration—represented by Microsoft’s provision of institutional email, cloud computing, and productivity software—continuously shapes students’ academic experience throughout their studies. In both cases, the implications for institutional and corporate reputation are significant. Firms engaged in university partnerships demonstrate social responsibility and commitment to talent development, while universities signal responsiveness to market needs and dedication to graduate employability.</w:t>
      </w:r>
    </w:p>
    <w:p>
      <w:pPr>
        <w:spacing w:after="120" w:before="240" w:line="240"/>
        <w:jc w:val="left"/>
      </w:pPr>
      <w:r>
        <w:rPr>
          <w:rFonts w:ascii="Times New Roman" w:cs="Times New Roman" w:eastAsia="Times New Roman" w:hAnsi="Times New Roman"/>
          <w:b/>
          <w:bCs/>
          <w:sz w:val="24"/>
          <w:szCs w:val="24"/>
        </w:rPr>
        <w:t xml:space="preserve">Research Problem</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The concept of employability has become a central concern in higher education, as students increasingly evaluate universities based on the career prospects their programs offer. University–industry collaboration has emerged as a primary mechanism for bridging academic knowledge and industry requirements. However, while prior research has explored the benefits of collaboration in terms of innovation and skills development, a critical gap persists: limited empirical work has compared the effects of different collaboration types—specifically applied training versus digital infrastructure provision—on students’ perceptions and employability outcomes. Furthermore, existing literature has largely overlooked how collaboration dimensions, namely motives, barriers, and knowledge transfer channels, differentially influence university image, corporate image, and perceived employability. In the Egyptian context, no empirical study has systematically compared these collaboration models and their impact on students’ perceptions and career readiness.</w:t>
      </w:r>
    </w:p>
    <w:p>
      <w:pPr>
        <w:spacing w:after="120" w:before="240" w:line="240"/>
        <w:jc w:val="left"/>
      </w:pPr>
      <w:r>
        <w:rPr>
          <w:rFonts w:ascii="Times New Roman" w:cs="Times New Roman" w:eastAsia="Times New Roman" w:hAnsi="Times New Roman"/>
          <w:b/>
          <w:bCs/>
          <w:sz w:val="24"/>
          <w:szCs w:val="24"/>
        </w:rPr>
        <w:t xml:space="preserve">Research Objectives</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To examine the impact of university–industry collaboration on university image and corporate image.</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To investigate the effect of collaboration on students’ perceived employability and career readiness.</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To compare different types of university–industry collaboration, particularly applied training and digital infrastructure support.</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To explore how digital collaboration tools, such as Microsoft 365 services, contribute to students’ academic experience and employability perceptions.</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To provide a comparative analysis between Deraya University and E-JUST.</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To highlight the strategic value of university–industry collaboration as a branding and marketing tool for both universities and firms.</w:t>
      </w:r>
    </w:p>
    <w:p>
      <w:pPr>
        <w:spacing w:after="120" w:before="240" w:line="240"/>
        <w:jc w:val="left"/>
      </w:pPr>
      <w:r>
        <w:rPr>
          <w:rFonts w:ascii="Times New Roman" w:cs="Times New Roman" w:eastAsia="Times New Roman" w:hAnsi="Times New Roman"/>
          <w:b/>
          <w:bCs/>
          <w:sz w:val="24"/>
          <w:szCs w:val="24"/>
        </w:rPr>
        <w:t xml:space="preserve">Research Questions</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How do different types of university–industry collaboration influence students’ perceptions of university image, reputation, and satisfaction in the Egyptian higher education context?</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To what extent do digital infrastructure collaborations and applied training collaborations differ in their impact on students’ perceived employability?</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How does collaboration with industry partners affect students’ perceptions of firm reputation and corporate trustworthiness?</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To what extent do university–industry collaborations contribute to students’ confidence in their career readiness and future employment opportunities?</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Can university–industry collaboration be considered a strategic marketing and branding tool for both universities and firms from students’ perspectives?</w:t>
      </w:r>
    </w:p>
    <w:p>
      <w:pPr>
        <w:spacing w:after="120" w:before="240" w:line="240"/>
        <w:jc w:val="left"/>
      </w:pPr>
      <w:r>
        <w:rPr>
          <w:rFonts w:ascii="Times New Roman" w:cs="Times New Roman" w:eastAsia="Times New Roman" w:hAnsi="Times New Roman"/>
          <w:b/>
          <w:bCs/>
          <w:sz w:val="24"/>
          <w:szCs w:val="24"/>
        </w:rPr>
        <w:t xml:space="preserve">Research Hypotheses</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H1: Motives for university–industry collaboration positively influence University Image.</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H2: Motives for university–industry collaboration positively influence Firm Image.</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H3: Motives for university–industry collaboration positively influence students’ Perceived Employability.</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H4: Barriers to university–industry collaboration negatively influence University Image.</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H5: Barriers to university–industry collaboration negatively influence Firm Image.</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H6: Barriers to university–industry collaboration negatively influence students’ Perceived Employability.</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H7: Knowledge Transfer Channels (KTC) positively influence University Image.</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H8: KTC positively influence Firm Image.</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H9: KTC positively influence students’ Perceived Employability.</w:t>
      </w:r>
    </w:p>
    <w:p>
      <w:pPr>
        <w:spacing w:after="120" w:before="240" w:line="240"/>
        <w:jc w:val="left"/>
      </w:pPr>
      <w:r>
        <w:rPr>
          <w:rFonts w:ascii="Times New Roman" w:cs="Times New Roman" w:eastAsia="Times New Roman" w:hAnsi="Times New Roman"/>
          <w:b/>
          <w:bCs/>
          <w:sz w:val="24"/>
          <w:szCs w:val="24"/>
        </w:rPr>
        <w:t xml:space="preserve">Significance of the Study</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This study contributes to the literature on university–industry collaboration from both academic and practical standpoints. Academically, it extends the discussion beyond conventional outcomes such as innovation and knowledge transfer by introducing a comparative framework that distinguishes between applied training and digital infrastructure collaboration types. The study further emphasizes students’ perceived employability as a key outcome of collaboration, underlining the importance of preparing graduates for increasingly competitive labor markets. From a practical perspective, the findings offer actionable insights for universities and industry partners seeking to enhance their strategic collaborations, while presenting collaboration as both a branding tool and an employability-enhancing mechanism.</w:t>
      </w:r>
    </w:p>
    <w:p>
      <w:pPr>
        <w:spacing w:after="240" w:before="360" w:line="240"/>
        <w:jc w:val="left"/>
      </w:pPr>
      <w:r>
        <w:rPr>
          <w:rFonts w:ascii="Times New Roman" w:cs="Times New Roman" w:eastAsia="Times New Roman" w:hAnsi="Times New Roman"/>
          <w:b/>
          <w:bCs/>
          <w:sz w:val="28"/>
          <w:szCs w:val="28"/>
        </w:rPr>
        <w:t xml:space="preserve">LITERATURE REVIEW</w:t>
      </w:r>
    </w:p>
    <w:p>
      <w:pPr>
        <w:spacing w:after="120" w:before="240" w:line="240"/>
        <w:jc w:val="left"/>
      </w:pPr>
      <w:r>
        <w:rPr>
          <w:rFonts w:ascii="Times New Roman" w:cs="Times New Roman" w:eastAsia="Times New Roman" w:hAnsi="Times New Roman"/>
          <w:b/>
          <w:bCs/>
          <w:sz w:val="24"/>
          <w:szCs w:val="24"/>
        </w:rPr>
        <w:t xml:space="preserve">University–Industry Collaboration: Conceptual Foundations</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University–industry collaboration refers to the structured process through which firms connect their internal research and development activities with the external knowledge, expertise, and resources of higher education institutions. The overarching aims include enhancing innovation capacity, accelerating technology transfer, reducing costs and risks, and strengthening corporate reputation through academic partnerships (Baban, Baban, &amp; Rangone, 2022). Beyond organizational benefits, collaboration generates market exposure and sales opportunities by introducing firms’ systems and solutions to broader audiences, thereby facilitating new business relationships and expanding competitive advantage (Plumeyer et al., 2019; Parris &amp; Guzmán, 2023). Table 1 presents a comparative overview of key definitions from the literature.</w:t>
      </w:r>
    </w:p>
    <w:p>
      <w:pPr>
        <w:spacing w:after="120" w:before="120"/>
      </w:pPr>
      <w:r>
        <w:t xml:space="preserve"/>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2800"/>
        <w:gridCol w:w="7896"/>
      </w:tblGrid>
      <w:tr>
        <w:tc>
          <w:tcPr>
            <w:tcW w:type="dxa" w:w="2800"/>
            <w:tcBorders>
              <w:top w:val="single" w:color="AAAAAA" w:sz="1"/>
              <w:left w:val="single" w:color="AAAAAA" w:sz="1"/>
              <w:bottom w:val="single" w:color="AAAAAA" w:sz="1"/>
              <w:right w:val="single" w:color="AAAAAA" w:sz="1"/>
            </w:tcBorders>
            <w:shd w:fill="DDEEFF" w:val="clear"/>
            <w:tcMar>
              <w:top w:type="dxa" w:w="80"/>
              <w:left w:type="dxa" w:w="120"/>
              <w:bottom w:type="dxa" w:w="80"/>
              <w:right w:type="dxa" w:w="120"/>
            </w:tcMar>
          </w:tcPr>
          <w:p>
            <w:pPr>
              <w:jc w:val="left"/>
            </w:pPr>
            <w:r>
              <w:rPr>
                <w:rFonts w:ascii="Times New Roman" w:cs="Times New Roman" w:eastAsia="Times New Roman" w:hAnsi="Times New Roman"/>
                <w:b/>
                <w:bCs/>
                <w:sz w:val="22"/>
                <w:szCs w:val="22"/>
              </w:rPr>
              <w:t xml:space="preserve">Author(s)</w:t>
            </w:r>
          </w:p>
        </w:tc>
        <w:tc>
          <w:tcPr>
            <w:tcW w:type="dxa" w:w="7896"/>
            <w:tcBorders>
              <w:top w:val="single" w:color="AAAAAA" w:sz="1"/>
              <w:left w:val="single" w:color="AAAAAA" w:sz="1"/>
              <w:bottom w:val="single" w:color="AAAAAA" w:sz="1"/>
              <w:right w:val="single" w:color="AAAAAA" w:sz="1"/>
            </w:tcBorders>
            <w:shd w:fill="DDEEFF" w:val="clear"/>
            <w:tcMar>
              <w:top w:type="dxa" w:w="80"/>
              <w:left w:type="dxa" w:w="120"/>
              <w:bottom w:type="dxa" w:w="80"/>
              <w:right w:type="dxa" w:w="120"/>
            </w:tcMar>
          </w:tcPr>
          <w:p>
            <w:pPr>
              <w:jc w:val="left"/>
            </w:pPr>
            <w:r>
              <w:rPr>
                <w:rFonts w:ascii="Times New Roman" w:cs="Times New Roman" w:eastAsia="Times New Roman" w:hAnsi="Times New Roman"/>
                <w:b/>
                <w:bCs/>
                <w:sz w:val="22"/>
                <w:szCs w:val="22"/>
              </w:rPr>
              <w:t xml:space="preserve">Definition</w:t>
            </w:r>
          </w:p>
        </w:tc>
      </w:tr>
      <w:tr>
        <w:tc>
          <w:tcPr>
            <w:tcW w:type="dxa" w:w="280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Baban et al. (2022)</w:t>
            </w:r>
          </w:p>
        </w:tc>
        <w:tc>
          <w:tcPr>
            <w:tcW w:type="dxa" w:w="7896"/>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Collaboration is the act of working together between two or more parties to achieve shared goals through the exchange of knowledge and resources.</w:t>
            </w:r>
          </w:p>
        </w:tc>
      </w:tr>
      <w:tr>
        <w:tc>
          <w:tcPr>
            <w:tcW w:type="dxa" w:w="280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Schartinger et al. (2002)</w:t>
            </w:r>
          </w:p>
        </w:tc>
        <w:tc>
          <w:tcPr>
            <w:tcW w:type="dxa" w:w="7896"/>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University–industry collaboration focuses on innovation-related activities such as joint R&amp;D projects, patenting, spin-off creation, and the exchange of facilities and equipment between universities and firms.</w:t>
            </w:r>
          </w:p>
        </w:tc>
      </w:tr>
      <w:tr>
        <w:tc>
          <w:tcPr>
            <w:tcW w:type="dxa" w:w="280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Evans (2023)</w:t>
            </w:r>
          </w:p>
        </w:tc>
        <w:tc>
          <w:tcPr>
            <w:tcW w:type="dxa" w:w="7896"/>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The coming together of diverse interests and people to achieve a common purpose via interactions, information sharing, and coordination of activities.</w:t>
            </w:r>
          </w:p>
        </w:tc>
      </w:tr>
      <w:tr>
        <w:tc>
          <w:tcPr>
            <w:tcW w:type="dxa" w:w="280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Ankrah &amp; Al-Tabbaa (2015)</w:t>
            </w:r>
          </w:p>
        </w:tc>
        <w:tc>
          <w:tcPr>
            <w:tcW w:type="dxa" w:w="7896"/>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Interaction between any component of the higher educational system and industry, aiming primarily to encourage knowledge and technology exchange.</w:t>
            </w:r>
          </w:p>
        </w:tc>
      </w:tr>
      <w:tr>
        <w:tc>
          <w:tcPr>
            <w:tcW w:type="dxa" w:w="280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Cai &amp; Etzkowitz (2020)</w:t>
            </w:r>
          </w:p>
        </w:tc>
        <w:tc>
          <w:tcPr>
            <w:tcW w:type="dxa" w:w="7896"/>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Structured partnerships that enable knowledge exchange, curriculum innovation, and employability enhancement, while supporting firms in innovation and competitiveness.</w:t>
            </w:r>
          </w:p>
        </w:tc>
      </w:tr>
      <w:tr>
        <w:tc>
          <w:tcPr>
            <w:tcW w:type="dxa" w:w="280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Etzkowitz (2008)</w:t>
            </w:r>
          </w:p>
        </w:tc>
        <w:tc>
          <w:tcPr>
            <w:tcW w:type="dxa" w:w="7896"/>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Part of the Triple Helix model, where universities, industries, and governments interact to foster innovation, knowledge transfer, and socio-economic development.</w:t>
            </w:r>
          </w:p>
        </w:tc>
      </w:tr>
    </w:tbl>
    <w:p>
      <w:pPr>
        <w:spacing w:after="240" w:before="80" w:line="240"/>
        <w:jc w:val="left"/>
      </w:pPr>
      <w:r>
        <w:rPr>
          <w:rFonts w:ascii="Times New Roman" w:cs="Times New Roman" w:eastAsia="Times New Roman" w:hAnsi="Times New Roman"/>
          <w:b/>
          <w:bCs/>
          <w:sz w:val="22"/>
          <w:szCs w:val="22"/>
        </w:rPr>
        <w:t xml:space="preserve">Table 1. Selected Definitions of University–Industry Collaboration</w:t>
      </w:r>
    </w:p>
    <w:p>
      <w:pPr>
        <w:spacing w:after="100" w:before="200" w:line="240"/>
        <w:jc w:val="left"/>
      </w:pPr>
      <w:r>
        <w:rPr>
          <w:rFonts w:ascii="Times New Roman" w:cs="Times New Roman" w:eastAsia="Times New Roman" w:hAnsi="Times New Roman"/>
          <w:b/>
          <w:bCs/>
          <w:i/>
          <w:iCs/>
          <w:sz w:val="24"/>
          <w:szCs w:val="24"/>
        </w:rPr>
        <w:t xml:space="preserve">Motives</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Ankrah and Al-Tabbaa (2015) define motives for collaboration as the need to access complementary resources—such as expertise, facilities, and funding—while enhancing innovation capacity. Franco and Haase (2015) identify additional motives, including improving academic reputation, securing financial resources, and translating research into practice. From the perspective of institutional image, motives such as reputation enhancement and increased visibility directly strengthen how both universities and firms are perceived externally. For students, motives related to internship provision, training opportunities, and graduate employment prospects are particularly influential in shaping perceived employability.</w:t>
      </w:r>
    </w:p>
    <w:p>
      <w:pPr>
        <w:spacing w:after="100" w:before="200" w:line="240"/>
        <w:jc w:val="left"/>
      </w:pPr>
      <w:r>
        <w:rPr>
          <w:rFonts w:ascii="Times New Roman" w:cs="Times New Roman" w:eastAsia="Times New Roman" w:hAnsi="Times New Roman"/>
          <w:b/>
          <w:bCs/>
          <w:i/>
          <w:iCs/>
          <w:sz w:val="24"/>
          <w:szCs w:val="24"/>
        </w:rPr>
        <w:t xml:space="preserve">Knowledge Transfer Channels</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Franco and Haase (2015) distinguish four categories of knowledge transfer channels: (1) service channels, including consultancy and scientific services; (2) traditional channels, such as publications, conferences, and graduate employment; (3) bi-directional channels, including joint research projects, networks, and science parks; and (4) commercial channels, such as spin-offs, patents, and incubators. Baban et al. (2022) offer a complementary classification encompassing publications, informal networks, research collaborations, consulting, and training or employment pathways. For perceived employability, channels involving joint thesis supervision, internships, and graduate recruitment are especially impactful.</w:t>
      </w:r>
    </w:p>
    <w:p>
      <w:pPr>
        <w:spacing w:after="100" w:before="200" w:line="240"/>
        <w:jc w:val="left"/>
      </w:pPr>
      <w:r>
        <w:rPr>
          <w:rFonts w:ascii="Times New Roman" w:cs="Times New Roman" w:eastAsia="Times New Roman" w:hAnsi="Times New Roman"/>
          <w:b/>
          <w:bCs/>
          <w:i/>
          <w:iCs/>
          <w:sz w:val="24"/>
          <w:szCs w:val="24"/>
        </w:rPr>
        <w:t xml:space="preserve">Barriers</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Baban et al. (2022) categorize barriers to collaboration into four groups: (1) limited awareness and weak connections between partners; (2) insufficient alignment between academic research and industry relevance; (3) uncertainty regarding collaboration outcomes; and (4) organizational and managerial barriers, such as bureaucracy and intellectual property management. Siegel et al. (2003) further emphasize the lack of institutional support and insufficient resources as major structural obstacles. Barriers can negatively affect institutional image when projects are delayed or fail, and they reduce students’ opportunities to gain practical experience, thereby weakening their perceived readiness for the labor market.</w:t>
      </w:r>
    </w:p>
    <w:p>
      <w:pPr>
        <w:spacing w:after="120" w:before="240" w:line="240"/>
        <w:jc w:val="left"/>
      </w:pPr>
      <w:r>
        <w:rPr>
          <w:rFonts w:ascii="Times New Roman" w:cs="Times New Roman" w:eastAsia="Times New Roman" w:hAnsi="Times New Roman"/>
          <w:b/>
          <w:bCs/>
          <w:sz w:val="24"/>
          <w:szCs w:val="24"/>
        </w:rPr>
        <w:t xml:space="preserve">University Image</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University image is widely recognized as a multidimensional construct reflecting stakeholders’ perceptions and evaluations of a higher education institution. It encompasses both cognitive components—such as reputation, facilities, cost–quality ratio, and institutional relationships—and affective components, including emotions, attitudes, and trust (Azoury, Daou, &amp; El Khoury, 2014). Jailos and Magasi (2025) define university image as the recognition, visibility, reputation, and positioning that an institution holds in the minds of its stakeholders. Scholars also emphasize that university image is not static; it evolves as institutions respond to globalization, technological change, and shifting stakeholder expectations (Al-Tabbaa, 2019).</w:t>
      </w:r>
    </w:p>
    <w:p>
      <w:pPr>
        <w:spacing w:after="100" w:before="200" w:line="240"/>
        <w:jc w:val="left"/>
      </w:pPr>
      <w:r>
        <w:rPr>
          <w:rFonts w:ascii="Times New Roman" w:cs="Times New Roman" w:eastAsia="Times New Roman" w:hAnsi="Times New Roman"/>
          <w:b/>
          <w:bCs/>
          <w:i/>
          <w:iCs/>
          <w:sz w:val="24"/>
          <w:szCs w:val="24"/>
        </w:rPr>
        <w:t xml:space="preserve">Student Satisfaction</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Student satisfaction is generally defined as a short-term attitude derived from students’ evaluation of their educational experiences, services, and facilities. It reflects the degree of alignment between students’ expectations and their actual university experience, contributing to loyalty, retention, and ongoing engagement (Weerasinghe, Lalitha, &amp; Fernando, 2017). Satisfaction is closely linked to perceived employability: when curricula and training align with industry needs, students perceive themselves as better prepared for the labor market.</w:t>
      </w:r>
    </w:p>
    <w:p>
      <w:pPr>
        <w:spacing w:after="100" w:before="200" w:line="240"/>
        <w:jc w:val="left"/>
      </w:pPr>
      <w:r>
        <w:rPr>
          <w:rFonts w:ascii="Times New Roman" w:cs="Times New Roman" w:eastAsia="Times New Roman" w:hAnsi="Times New Roman"/>
          <w:b/>
          <w:bCs/>
          <w:i/>
          <w:iCs/>
          <w:sz w:val="24"/>
          <w:szCs w:val="24"/>
        </w:rPr>
        <w:t xml:space="preserve">Student Enrollment Intentions</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Student enrollment intentions refer to the decision-making process through which prospective students choose a higher education institution. Enrollment intentions are shaped by perceptions of university image, academic quality, employability outcomes, social responsibility, and alignment with students’ personal goals (Panda et al., 2019). Employability prospects play a particularly decisive role: students tend to select institutions that demonstrate strong industry partnerships and career support.</w:t>
      </w:r>
    </w:p>
    <w:p>
      <w:pPr>
        <w:spacing w:after="100" w:before="200" w:line="240"/>
        <w:jc w:val="left"/>
      </w:pPr>
      <w:r>
        <w:rPr>
          <w:rFonts w:ascii="Times New Roman" w:cs="Times New Roman" w:eastAsia="Times New Roman" w:hAnsi="Times New Roman"/>
          <w:b/>
          <w:bCs/>
          <w:i/>
          <w:iCs/>
          <w:sz w:val="24"/>
          <w:szCs w:val="24"/>
        </w:rPr>
        <w:t xml:space="preserve">University Reputation</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University reputation is defined as the collective perception stakeholders develop over time regarding an institution’s ability to meet expectations, serving as a signal of quality, trust, and legitimacy. Reputation builds incrementally upon institutional image and reflects long-term consistency in academic quality, research output, graduate employability, ethical practices, and community engagement (Panda et al., 2019; Azoury et al., 2014).</w:t>
      </w:r>
    </w:p>
    <w:p>
      <w:pPr>
        <w:spacing w:after="120" w:before="240" w:line="240"/>
        <w:jc w:val="left"/>
      </w:pPr>
      <w:r>
        <w:rPr>
          <w:rFonts w:ascii="Times New Roman" w:cs="Times New Roman" w:eastAsia="Times New Roman" w:hAnsi="Times New Roman"/>
          <w:b/>
          <w:bCs/>
          <w:sz w:val="24"/>
          <w:szCs w:val="24"/>
        </w:rPr>
        <w:t xml:space="preserve">Firm Image</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Firm image is broadly understood as the aggregate of perceptions, beliefs, and emotional associations that stakeholders hold about an organization, reflecting its credibility, innovation, and attractiveness as an employer (Dichter, 1985; Nguyen &amp; Leblanc, 2001). A strong firm image functions as a strategic intangible asset, enabling organizations to differentiate themselves in competitive markets, attract loyal customers, and strengthen their employer brand (Bravo, Matute, &amp; Pina, 2012).</w:t>
      </w:r>
    </w:p>
    <w:p>
      <w:pPr>
        <w:spacing w:after="100" w:before="200" w:line="240"/>
        <w:jc w:val="left"/>
      </w:pPr>
      <w:r>
        <w:rPr>
          <w:rFonts w:ascii="Times New Roman" w:cs="Times New Roman" w:eastAsia="Times New Roman" w:hAnsi="Times New Roman"/>
          <w:b/>
          <w:bCs/>
          <w:i/>
          <w:iCs/>
          <w:sz w:val="24"/>
          <w:szCs w:val="24"/>
        </w:rPr>
        <w:t xml:space="preserve">Corporate Reputation</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Corporate reputation is commonly defined as a stakeholder’s collective assessment of an organization’s past actions and achievements, serving as a reliable indicator of the quality of its products and services relative to competitors (Fombrun, 1996). Unlike corporate image, reputation is more enduring—built gradually through consistent performance, credible stakeholder experiences, and external recognition (Schwaiger, 2004; Walker, 2010).</w:t>
      </w:r>
    </w:p>
    <w:p>
      <w:pPr>
        <w:spacing w:after="100" w:before="200" w:line="240"/>
        <w:jc w:val="left"/>
      </w:pPr>
      <w:r>
        <w:rPr>
          <w:rFonts w:ascii="Times New Roman" w:cs="Times New Roman" w:eastAsia="Times New Roman" w:hAnsi="Times New Roman"/>
          <w:b/>
          <w:bCs/>
          <w:i/>
          <w:iCs/>
          <w:sz w:val="24"/>
          <w:szCs w:val="24"/>
        </w:rPr>
        <w:t xml:space="preserve">Corporate Trustworthiness</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Corporate trustworthiness refers to stakeholders’ willingness to remain vulnerable to a firm’s actions, based on the expectation that the firm will act responsibly and fulfill its commitments (Mayer, Davis, &amp; Schoorman, 1995). Morgan and Hunt (1994) identify trust as a foundational relational construct that fosters long-term commitment and loyalty. Colquitt, Scott, and LePine (2007) adopt a multidimensional perspective, encompassing perceptions of ability, benevolence, and integrity as distinct but interrelated dimensions of trustworthiness.</w:t>
      </w:r>
    </w:p>
    <w:p>
      <w:pPr>
        <w:spacing w:after="120" w:before="240" w:line="240"/>
        <w:jc w:val="left"/>
      </w:pPr>
      <w:r>
        <w:rPr>
          <w:rFonts w:ascii="Times New Roman" w:cs="Times New Roman" w:eastAsia="Times New Roman" w:hAnsi="Times New Roman"/>
          <w:b/>
          <w:bCs/>
          <w:sz w:val="24"/>
          <w:szCs w:val="24"/>
        </w:rPr>
        <w:t xml:space="preserve">Perceived Employability</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Perceived employability refers to an individual’s subjective assessment of their capacity to obtain and sustain employment in the labor market. It encompasses not only actual skills and competencies but also how students perceive their own human capital, social capital, and career management capabilities (Vanhercke et al., 2014; Fugate et al., 2004). Rothwell et al. (2008) define self-perceived employability as the individual’s perceived capacity to attain sustainable employment at a level commensurate with their qualifications. Ma and Bennett (2024) conceptualize perceived employability as comprising five dimensions: human capital, bonding and bridging social capital, career self-management behavior, protean career orientation, and labor market awareness.</w:t>
      </w:r>
    </w:p>
    <w:p>
      <w:pPr>
        <w:spacing w:after="240" w:before="360" w:line="240"/>
        <w:jc w:val="left"/>
      </w:pPr>
      <w:r>
        <w:rPr>
          <w:rFonts w:ascii="Times New Roman" w:cs="Times New Roman" w:eastAsia="Times New Roman" w:hAnsi="Times New Roman"/>
          <w:b/>
          <w:bCs/>
          <w:sz w:val="28"/>
          <w:szCs w:val="28"/>
        </w:rPr>
        <w:t xml:space="preserve">METHODOLOGY</w:t>
      </w:r>
    </w:p>
    <w:p>
      <w:pPr>
        <w:spacing w:after="120" w:before="240" w:line="240"/>
        <w:jc w:val="left"/>
      </w:pPr>
      <w:r>
        <w:rPr>
          <w:rFonts w:ascii="Times New Roman" w:cs="Times New Roman" w:eastAsia="Times New Roman" w:hAnsi="Times New Roman"/>
          <w:b/>
          <w:bCs/>
          <w:sz w:val="24"/>
          <w:szCs w:val="24"/>
        </w:rPr>
        <w:t xml:space="preserve">Research Design</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This study employs a mixed-methods research design, combining qualitative and quantitative approaches to provide a comprehensive understanding of how university–industry collaboration influences students’ perceptions. The qualitative component involved semi-structured interviews with stakeholders directly engaged in university–industry collaboration, including representatives from partner companies and university administrators. The quantitative component involved a structured questionnaire survey administered to approximately 415 university students, measuring their perceptions of student satisfaction, enrollment intentions, university reputation, firm reputation, corporate trustworthiness, and perceived employability.</w:t>
      </w:r>
    </w:p>
    <w:p>
      <w:pPr>
        <w:spacing w:after="120" w:before="240" w:line="240"/>
        <w:jc w:val="left"/>
      </w:pPr>
      <w:r>
        <w:rPr>
          <w:rFonts w:ascii="Times New Roman" w:cs="Times New Roman" w:eastAsia="Times New Roman" w:hAnsi="Times New Roman"/>
          <w:b/>
          <w:bCs/>
          <w:sz w:val="24"/>
          <w:szCs w:val="24"/>
        </w:rPr>
        <w:t xml:space="preserve">Research Philosophy and Approach</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The study adopts a positivist research philosophy, assuming that social phenomena can be objectively measured and that relationships between variables can be examined through structured empirical investigation. A deductive research approach was applied, whereby the conceptual model and hypotheses were developed from existing literature and subsequently tested against the collected data.</w:t>
      </w:r>
    </w:p>
    <w:p>
      <w:pPr>
        <w:spacing w:after="120" w:before="240" w:line="240"/>
        <w:jc w:val="left"/>
      </w:pPr>
      <w:r>
        <w:rPr>
          <w:rFonts w:ascii="Times New Roman" w:cs="Times New Roman" w:eastAsia="Times New Roman" w:hAnsi="Times New Roman"/>
          <w:b/>
          <w:bCs/>
          <w:sz w:val="24"/>
          <w:szCs w:val="24"/>
        </w:rPr>
        <w:t xml:space="preserve">Population and Sample</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For the qualitative component, the sample comprised managers and decision-makers from partner companies, selected through purposive sampling. For the quantitative component, the sample consisted of 415 university students drawn from Deraya University and E-JUST, selected using convenience sampling based on accessibility and prior exposure to the collaboration programs under study. This sample size is considered sufficient for exploratory factor analysis and regression testing (Hair et al., 2019).</w:t>
      </w:r>
    </w:p>
    <w:p>
      <w:pPr>
        <w:spacing w:after="120" w:before="240" w:line="240"/>
        <w:jc w:val="left"/>
      </w:pPr>
      <w:r>
        <w:rPr>
          <w:rFonts w:ascii="Times New Roman" w:cs="Times New Roman" w:eastAsia="Times New Roman" w:hAnsi="Times New Roman"/>
          <w:b/>
          <w:bCs/>
          <w:sz w:val="24"/>
          <w:szCs w:val="24"/>
        </w:rPr>
        <w:t xml:space="preserve">Data Collection Methods</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Semi-structured interviews with company representatives were conducted online. Each interview lasted approximately 30 to 45 minutes and was recorded with participants’ prior consent. The structured questionnaire was distributed electronically via Google Forms. Items were developed and adapted from validated scales drawn from peer-reviewed studies published by Emerald, Elsevier, and Springer, and responses were recorded using a five-point Likert scale ranging from strongly disagree (1) to strongly agree (5).</w:t>
      </w:r>
    </w:p>
    <w:p>
      <w:pPr>
        <w:spacing w:after="120" w:before="240" w:line="240"/>
        <w:jc w:val="left"/>
      </w:pPr>
      <w:r>
        <w:rPr>
          <w:rFonts w:ascii="Times New Roman" w:cs="Times New Roman" w:eastAsia="Times New Roman" w:hAnsi="Times New Roman"/>
          <w:b/>
          <w:bCs/>
          <w:sz w:val="24"/>
          <w:szCs w:val="24"/>
        </w:rPr>
        <w:t xml:space="preserve">Measurement of Variables</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All constructs were operationalized using validated measurement scales adapted from prior research to ensure content validity and construct reliability. Student Satisfaction was measured using items adapted from Azoury et al. (2014) and Panda et al. (2019). Student Enrollment Intentions items were adapted from Panda et al. (2019). University Reputation was measured using scales from Fombrun (1996), Schwaiger (2004), and Qazi et al. (2021). Firm Reputation was adapted from Bennett and Tian (2011). Firm Trustworthiness was measured using items from Mayer et al. (1995) and Morgan and Hunt (1994). Perceived Employability was adapted from Ma and Bennett (2024) and Ergün and Şesen (2021).</w:t>
      </w:r>
    </w:p>
    <w:p>
      <w:pPr>
        <w:spacing w:after="120" w:before="240" w:line="240"/>
        <w:jc w:val="left"/>
      </w:pPr>
      <w:r>
        <w:rPr>
          <w:rFonts w:ascii="Times New Roman" w:cs="Times New Roman" w:eastAsia="Times New Roman" w:hAnsi="Times New Roman"/>
          <w:b/>
          <w:bCs/>
          <w:sz w:val="24"/>
          <w:szCs w:val="24"/>
        </w:rPr>
        <w:t xml:space="preserve">Research Model</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The conceptual model posits that the three dimensions of university–industry collaboration—motives, barriers, and knowledge transfer channels—serve as independent variables (IVs) that influence three dependent variables (DVs): university image (comprising student satisfaction, enrollment intentions, and university reputation), firm image (comprising firm reputation and corporate trustworthiness), and perceived student employability.</w:t>
      </w:r>
    </w:p>
    <w:p>
      <w:pPr>
        <w:spacing w:after="120" w:before="240" w:line="240"/>
        <w:jc w:val="left"/>
      </w:pPr>
      <w:r>
        <w:rPr>
          <w:rFonts w:ascii="Times New Roman" w:cs="Times New Roman" w:eastAsia="Times New Roman" w:hAnsi="Times New Roman"/>
          <w:b/>
          <w:bCs/>
          <w:sz w:val="24"/>
          <w:szCs w:val="24"/>
        </w:rPr>
        <w:t xml:space="preserve">Data Analysis Techniques</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Quantitative data were analyzed using SPSS and R software. Spearman’s rank correlation coefficients were computed to examine the relationships between collaboration dimensions and outcome variables. Linear regression analysis was subsequently employed to test the study’s hypotheses and determine the direction and magnitude of each independent variable’s effect on the dependent variables.</w:t>
      </w:r>
    </w:p>
    <w:p>
      <w:pPr>
        <w:spacing w:after="120" w:before="240" w:line="240"/>
        <w:jc w:val="left"/>
      </w:pPr>
      <w:r>
        <w:rPr>
          <w:rFonts w:ascii="Times New Roman" w:cs="Times New Roman" w:eastAsia="Times New Roman" w:hAnsi="Times New Roman"/>
          <w:b/>
          <w:bCs/>
          <w:sz w:val="24"/>
          <w:szCs w:val="24"/>
        </w:rPr>
        <w:t xml:space="preserve">Ethical Considerations</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All participants were informed that their participation was entirely voluntary and that they could withdraw at any stage without consequence. Prior to data collection, participants were briefed about the study’s purpose and the intended use of the data, and informed consent was obtained. Responses were treated with strict confidentiality; no personally identifying information was collected in the student survey, and company interview data were anonymized throughout the research process. All collected data were used exclusively for academic purposes and were not shared with external parties.</w:t>
      </w:r>
    </w:p>
    <w:p>
      <w:pPr>
        <w:spacing w:after="240" w:before="360" w:line="240"/>
        <w:jc w:val="left"/>
      </w:pPr>
      <w:r>
        <w:rPr>
          <w:rFonts w:ascii="Times New Roman" w:cs="Times New Roman" w:eastAsia="Times New Roman" w:hAnsi="Times New Roman"/>
          <w:b/>
          <w:bCs/>
          <w:sz w:val="28"/>
          <w:szCs w:val="28"/>
        </w:rPr>
        <w:t xml:space="preserve">RESULTS</w:t>
      </w:r>
    </w:p>
    <w:p>
      <w:pPr>
        <w:spacing w:after="120" w:before="240" w:line="240"/>
        <w:jc w:val="left"/>
      </w:pPr>
      <w:r>
        <w:rPr>
          <w:rFonts w:ascii="Times New Roman" w:cs="Times New Roman" w:eastAsia="Times New Roman" w:hAnsi="Times New Roman"/>
          <w:b/>
          <w:bCs/>
          <w:sz w:val="24"/>
          <w:szCs w:val="24"/>
        </w:rPr>
        <w:t xml:space="preserve">Reliability and Validity Analysis</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Prior to hypothesis testing, the reliability and validity of all measurement scales were assessed. Reliability was evaluated using Cronbach’s Alpha, while validity was estimated as the square root of the reliability coefficient. Table 2 presents the results.</w:t>
      </w:r>
    </w:p>
    <w:p>
      <w:pPr>
        <w:spacing w:after="120" w:before="120"/>
      </w:pPr>
      <w:r>
        <w:t xml:space="preserve"/>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2674"/>
        <w:gridCol w:w="2674"/>
        <w:gridCol w:w="2674"/>
        <w:gridCol w:w="2674"/>
      </w:tblGrid>
      <w:tr>
        <w:tc>
          <w:tcPr>
            <w:tcW w:type="dxa" w:w="2674"/>
            <w:tcBorders>
              <w:top w:val="single" w:color="AAAAAA" w:sz="1"/>
              <w:left w:val="single" w:color="AAAAAA" w:sz="1"/>
              <w:bottom w:val="single" w:color="AAAAAA" w:sz="1"/>
              <w:right w:val="single" w:color="AAAAAA" w:sz="1"/>
            </w:tcBorders>
            <w:shd w:fill="DDEEFF" w:val="clear"/>
            <w:tcMar>
              <w:top w:type="dxa" w:w="80"/>
              <w:left w:type="dxa" w:w="120"/>
              <w:bottom w:type="dxa" w:w="80"/>
              <w:right w:type="dxa" w:w="120"/>
            </w:tcMar>
          </w:tcPr>
          <w:p>
            <w:pPr>
              <w:jc w:val="left"/>
            </w:pPr>
            <w:r>
              <w:rPr>
                <w:rFonts w:ascii="Times New Roman" w:cs="Times New Roman" w:eastAsia="Times New Roman" w:hAnsi="Times New Roman"/>
                <w:b/>
                <w:bCs/>
                <w:sz w:val="22"/>
                <w:szCs w:val="22"/>
              </w:rPr>
              <w:t xml:space="preserve">Variable</w:t>
            </w:r>
          </w:p>
        </w:tc>
        <w:tc>
          <w:tcPr>
            <w:tcW w:type="dxa" w:w="2674"/>
            <w:tcBorders>
              <w:top w:val="single" w:color="AAAAAA" w:sz="1"/>
              <w:left w:val="single" w:color="AAAAAA" w:sz="1"/>
              <w:bottom w:val="single" w:color="AAAAAA" w:sz="1"/>
              <w:right w:val="single" w:color="AAAAAA" w:sz="1"/>
            </w:tcBorders>
            <w:shd w:fill="DDEEFF" w:val="clear"/>
            <w:tcMar>
              <w:top w:type="dxa" w:w="80"/>
              <w:left w:type="dxa" w:w="120"/>
              <w:bottom w:type="dxa" w:w="80"/>
              <w:right w:type="dxa" w:w="120"/>
            </w:tcMar>
          </w:tcPr>
          <w:p>
            <w:pPr>
              <w:jc w:val="left"/>
            </w:pPr>
            <w:r>
              <w:rPr>
                <w:rFonts w:ascii="Times New Roman" w:cs="Times New Roman" w:eastAsia="Times New Roman" w:hAnsi="Times New Roman"/>
                <w:b/>
                <w:bCs/>
                <w:sz w:val="22"/>
                <w:szCs w:val="22"/>
              </w:rPr>
              <w:t xml:space="preserve">Cronbach's Alpha</w:t>
            </w:r>
          </w:p>
        </w:tc>
        <w:tc>
          <w:tcPr>
            <w:tcW w:type="dxa" w:w="2674"/>
            <w:tcBorders>
              <w:top w:val="single" w:color="AAAAAA" w:sz="1"/>
              <w:left w:val="single" w:color="AAAAAA" w:sz="1"/>
              <w:bottom w:val="single" w:color="AAAAAA" w:sz="1"/>
              <w:right w:val="single" w:color="AAAAAA" w:sz="1"/>
            </w:tcBorders>
            <w:shd w:fill="DDEEFF" w:val="clear"/>
            <w:tcMar>
              <w:top w:type="dxa" w:w="80"/>
              <w:left w:type="dxa" w:w="120"/>
              <w:bottom w:type="dxa" w:w="80"/>
              <w:right w:type="dxa" w:w="120"/>
            </w:tcMar>
          </w:tcPr>
          <w:p>
            <w:pPr>
              <w:jc w:val="left"/>
            </w:pPr>
            <w:r>
              <w:rPr>
                <w:rFonts w:ascii="Times New Roman" w:cs="Times New Roman" w:eastAsia="Times New Roman" w:hAnsi="Times New Roman"/>
                <w:b/>
                <w:bCs/>
                <w:sz w:val="22"/>
                <w:szCs w:val="22"/>
              </w:rPr>
              <w:t xml:space="preserve">Validity (√ Reliability)</w:t>
            </w:r>
          </w:p>
        </w:tc>
        <w:tc>
          <w:tcPr>
            <w:tcW w:type="dxa" w:w="2674"/>
            <w:tcBorders>
              <w:top w:val="single" w:color="AAAAAA" w:sz="1"/>
              <w:left w:val="single" w:color="AAAAAA" w:sz="1"/>
              <w:bottom w:val="single" w:color="AAAAAA" w:sz="1"/>
              <w:right w:val="single" w:color="AAAAAA" w:sz="1"/>
            </w:tcBorders>
            <w:shd w:fill="DDEEFF" w:val="clear"/>
            <w:tcMar>
              <w:top w:type="dxa" w:w="80"/>
              <w:left w:type="dxa" w:w="120"/>
              <w:bottom w:type="dxa" w:w="80"/>
              <w:right w:type="dxa" w:w="120"/>
            </w:tcMar>
          </w:tcPr>
          <w:p>
            <w:pPr>
              <w:jc w:val="left"/>
            </w:pPr>
            <w:r>
              <w:rPr>
                <w:rFonts w:ascii="Times New Roman" w:cs="Times New Roman" w:eastAsia="Times New Roman" w:hAnsi="Times New Roman"/>
                <w:b/>
                <w:bCs/>
                <w:sz w:val="22"/>
                <w:szCs w:val="22"/>
              </w:rPr>
              <w:t xml:space="preserve">Interpretation</w:t>
            </w:r>
          </w:p>
        </w:tc>
      </w:tr>
      <w:tr>
        <w:tc>
          <w:tcPr>
            <w:tcW w:type="dxa" w:w="2674"/>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Collaboration</w:t>
            </w:r>
          </w:p>
        </w:tc>
        <w:tc>
          <w:tcPr>
            <w:tcW w:type="dxa" w:w="2674"/>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0.642</w:t>
            </w:r>
          </w:p>
        </w:tc>
        <w:tc>
          <w:tcPr>
            <w:tcW w:type="dxa" w:w="2674"/>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0.801</w:t>
            </w:r>
          </w:p>
        </w:tc>
        <w:tc>
          <w:tcPr>
            <w:tcW w:type="dxa" w:w="2674"/>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Acceptable</w:t>
            </w:r>
          </w:p>
        </w:tc>
      </w:tr>
      <w:tr>
        <w:tc>
          <w:tcPr>
            <w:tcW w:type="dxa" w:w="2674"/>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University Image</w:t>
            </w:r>
          </w:p>
        </w:tc>
        <w:tc>
          <w:tcPr>
            <w:tcW w:type="dxa" w:w="2674"/>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0.922</w:t>
            </w:r>
          </w:p>
        </w:tc>
        <w:tc>
          <w:tcPr>
            <w:tcW w:type="dxa" w:w="2674"/>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0.960</w:t>
            </w:r>
          </w:p>
        </w:tc>
        <w:tc>
          <w:tcPr>
            <w:tcW w:type="dxa" w:w="2674"/>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Excellent</w:t>
            </w:r>
          </w:p>
        </w:tc>
      </w:tr>
      <w:tr>
        <w:tc>
          <w:tcPr>
            <w:tcW w:type="dxa" w:w="2674"/>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Firm Image</w:t>
            </w:r>
          </w:p>
        </w:tc>
        <w:tc>
          <w:tcPr>
            <w:tcW w:type="dxa" w:w="2674"/>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0.806</w:t>
            </w:r>
          </w:p>
        </w:tc>
        <w:tc>
          <w:tcPr>
            <w:tcW w:type="dxa" w:w="2674"/>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0.898</w:t>
            </w:r>
          </w:p>
        </w:tc>
        <w:tc>
          <w:tcPr>
            <w:tcW w:type="dxa" w:w="2674"/>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Very Good</w:t>
            </w:r>
          </w:p>
        </w:tc>
      </w:tr>
      <w:tr>
        <w:tc>
          <w:tcPr>
            <w:tcW w:type="dxa" w:w="2674"/>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Perceived Employability</w:t>
            </w:r>
          </w:p>
        </w:tc>
        <w:tc>
          <w:tcPr>
            <w:tcW w:type="dxa" w:w="2674"/>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0.812</w:t>
            </w:r>
          </w:p>
        </w:tc>
        <w:tc>
          <w:tcPr>
            <w:tcW w:type="dxa" w:w="2674"/>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0.901</w:t>
            </w:r>
          </w:p>
        </w:tc>
        <w:tc>
          <w:tcPr>
            <w:tcW w:type="dxa" w:w="2674"/>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left"/>
            </w:pPr>
            <w:r>
              <w:rPr>
                <w:rFonts w:ascii="Times New Roman" w:cs="Times New Roman" w:eastAsia="Times New Roman" w:hAnsi="Times New Roman"/>
                <w:b w:val="false"/>
                <w:bCs w:val="false"/>
                <w:sz w:val="22"/>
                <w:szCs w:val="22"/>
              </w:rPr>
              <w:t xml:space="preserve">Very Good</w:t>
            </w:r>
          </w:p>
        </w:tc>
      </w:tr>
    </w:tbl>
    <w:p>
      <w:pPr>
        <w:spacing w:after="240" w:before="80" w:line="240"/>
        <w:jc w:val="left"/>
      </w:pPr>
      <w:r>
        <w:rPr>
          <w:rFonts w:ascii="Times New Roman" w:cs="Times New Roman" w:eastAsia="Times New Roman" w:hAnsi="Times New Roman"/>
          <w:b/>
          <w:bCs/>
          <w:sz w:val="22"/>
          <w:szCs w:val="22"/>
        </w:rPr>
        <w:t xml:space="preserve">Table 2. Reliability and Validity Results</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The results indicate that all variables achieved acceptable to excellent levels of reliability and validity. The Collaboration variable recorded a Cronbach’s Alpha of 0.642 (acceptable), University Image achieved an excellent value of 0.922, while Firm Image and Perceived Employability demonstrated very good reliability coefficients of 0.806 and 0.812, respectively.</w:t>
      </w:r>
    </w:p>
    <w:p>
      <w:pPr>
        <w:spacing w:after="120" w:before="240" w:line="240"/>
        <w:jc w:val="left"/>
      </w:pPr>
      <w:r>
        <w:rPr>
          <w:rFonts w:ascii="Times New Roman" w:cs="Times New Roman" w:eastAsia="Times New Roman" w:hAnsi="Times New Roman"/>
          <w:b/>
          <w:bCs/>
          <w:sz w:val="24"/>
          <w:szCs w:val="24"/>
        </w:rPr>
        <w:t xml:space="preserve">Hypothesis Testing Results</w:t>
      </w:r>
    </w:p>
    <w:p>
      <w:pPr>
        <w:spacing w:after="100" w:before="200" w:line="240"/>
        <w:jc w:val="left"/>
      </w:pPr>
      <w:r>
        <w:rPr>
          <w:rFonts w:ascii="Times New Roman" w:cs="Times New Roman" w:eastAsia="Times New Roman" w:hAnsi="Times New Roman"/>
          <w:b/>
          <w:bCs/>
          <w:i/>
          <w:iCs/>
          <w:sz w:val="24"/>
          <w:szCs w:val="24"/>
        </w:rPr>
        <w:t xml:space="preserve">Motives Dimension</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Spearman’s correlation analysis revealed strong, statistically significant positive relationships between collaboration motives and all three outcome variables across both collaboration models. For University Image, both Odoo and Microsoft recorded identical correlation coefficients of 0.681. For Firm Image, Microsoft slightly outperformed Odoo (0.568 versus 0.516). For Perceived Employability, Odoo demonstrated a marginally stronger association (0.563) compared to Microsoft (0.544). These findings provide support for H1, H2, and H3.</w:t>
      </w:r>
    </w:p>
    <w:p>
      <w:pPr>
        <w:spacing w:after="100" w:before="200" w:line="240"/>
        <w:jc w:val="left"/>
      </w:pPr>
      <w:r>
        <w:rPr>
          <w:rFonts w:ascii="Times New Roman" w:cs="Times New Roman" w:eastAsia="Times New Roman" w:hAnsi="Times New Roman"/>
          <w:b/>
          <w:bCs/>
          <w:i/>
          <w:iCs/>
          <w:sz w:val="24"/>
          <w:szCs w:val="24"/>
        </w:rPr>
        <w:t xml:space="preserve">Barriers Dimension</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All relationships between collaboration barriers and the three outcome variables were negative and statistically significant, consistent with the hypothesized direction. Notably, Microsoft collaborations were more adversely affected by barriers than Odoo collaborations across all three dependent variables. These findings support H4, H5, and H6.</w:t>
      </w:r>
    </w:p>
    <w:p>
      <w:pPr>
        <w:spacing w:after="100" w:before="200" w:line="240"/>
        <w:jc w:val="left"/>
      </w:pPr>
      <w:r>
        <w:rPr>
          <w:rFonts w:ascii="Times New Roman" w:cs="Times New Roman" w:eastAsia="Times New Roman" w:hAnsi="Times New Roman"/>
          <w:b/>
          <w:bCs/>
          <w:i/>
          <w:iCs/>
          <w:sz w:val="24"/>
          <w:szCs w:val="24"/>
        </w:rPr>
        <w:t xml:space="preserve">Knowledge Transfer Channels Dimension</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Knowledge transfer channels emerged as the strongest predictor across both collaboration models. Odoo significantly outperformed Microsoft in its association with Perceived Employability and University Image. Microsoft demonstrated a marginal advantage in Firm Image. These results provide support for H7, H8, and H9.</w:t>
      </w:r>
    </w:p>
    <w:p>
      <w:pPr>
        <w:spacing w:after="240" w:before="360" w:line="240"/>
        <w:jc w:val="left"/>
      </w:pPr>
      <w:r>
        <w:rPr>
          <w:rFonts w:ascii="Times New Roman" w:cs="Times New Roman" w:eastAsia="Times New Roman" w:hAnsi="Times New Roman"/>
          <w:b/>
          <w:bCs/>
          <w:sz w:val="28"/>
          <w:szCs w:val="28"/>
        </w:rPr>
        <w:t xml:space="preserve">DISCUSSION</w:t>
      </w:r>
    </w:p>
    <w:p>
      <w:pPr>
        <w:spacing w:after="120" w:before="240" w:line="240"/>
        <w:jc w:val="left"/>
      </w:pPr>
      <w:r>
        <w:rPr>
          <w:rFonts w:ascii="Times New Roman" w:cs="Times New Roman" w:eastAsia="Times New Roman" w:hAnsi="Times New Roman"/>
          <w:b/>
          <w:bCs/>
          <w:sz w:val="24"/>
          <w:szCs w:val="24"/>
        </w:rPr>
        <w:t xml:space="preserve">Comparing Odoo and Microsoft Collaboration Models</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The findings of this study reveal that both Odoo and Microsoft university partnerships exert significant positive effects on university image, firm image, and students’ perceived employability. However, their respective strengths differ substantially. Odoo’s applied training collaboration demonstrated stronger educational effectiveness, lower perceived barriers, and superior impact on perceived employability. This is consistent with theoretical expectations: direct, hands-on training provides students with practical skill development, concrete industry exposure, and measurable labor market preparation, all of which are strongly associated with perceived career readiness (Ma &amp; Bennett, 2024; Ergün &amp; Şesen, 2021). Microsoft, by contrast, exhibited higher motivational influence and stronger corporate reputation outcomes, consistent with its role as a globally recognized technology brand. These findings align with Baban et al. (2022) and Cai and Etzkowitz (2020), who identify structured knowledge exchange as a critical determinant of employability enhancement.</w:t>
      </w:r>
    </w:p>
    <w:p>
      <w:pPr>
        <w:spacing w:after="120" w:before="240" w:line="240"/>
        <w:jc w:val="left"/>
      </w:pPr>
      <w:r>
        <w:rPr>
          <w:rFonts w:ascii="Times New Roman" w:cs="Times New Roman" w:eastAsia="Times New Roman" w:hAnsi="Times New Roman"/>
          <w:b/>
          <w:bCs/>
          <w:sz w:val="24"/>
          <w:szCs w:val="24"/>
        </w:rPr>
        <w:t xml:space="preserve">Implications for University Image</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The positive effects of both collaboration models on university image support prior research emphasizing the reputational benefits of industry partnerships (Al-Tabbaa, 2019; Jailos &amp; Magasi, 2025). The finding that collaboration motives and knowledge transfer channels are the strongest positive predictors of university image—while barriers exert significant negative effects—underscores the importance of well-structured, purposive collaborations in sustaining institutional reputation. Student satisfaction and enrollment intentions were both positively influenced by collaboration engagement, consistent with the literature linking institutional–industry alignment to student loyalty and recruitment outcomes (Panda et al., 2019; Azoury et al., 2014).</w:t>
      </w:r>
    </w:p>
    <w:p>
      <w:pPr>
        <w:spacing w:after="120" w:before="240" w:line="240"/>
        <w:jc w:val="left"/>
      </w:pPr>
      <w:r>
        <w:rPr>
          <w:rFonts w:ascii="Times New Roman" w:cs="Times New Roman" w:eastAsia="Times New Roman" w:hAnsi="Times New Roman"/>
          <w:b/>
          <w:bCs/>
          <w:sz w:val="24"/>
          <w:szCs w:val="24"/>
        </w:rPr>
        <w:t xml:space="preserve">Implications for Firm Image and Corporate Trustworthiness</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The positive influence of collaboration on firm image and corporate trustworthiness reinforces the view that industry partnerships serve as a strategic corporate branding mechanism. By engaging with universities, firms signal social responsibility, commitment to talent development, and alignment with societal values—all of which are recognized as important drivers of stakeholder trust (Mayer et al., 1995; Morgan &amp; Hunt, 1994; Barney &amp; Hansen, 1994). Microsoft’s advantage in firm image likely reflects the reputational spillover associated with its global brand presence, while Odoo’s strong performance in trustworthiness may reflect the transparency and directness of its applied training model.</w:t>
      </w:r>
    </w:p>
    <w:p>
      <w:pPr>
        <w:spacing w:after="240" w:before="360" w:line="240"/>
        <w:jc w:val="left"/>
      </w:pPr>
      <w:r>
        <w:rPr>
          <w:rFonts w:ascii="Times New Roman" w:cs="Times New Roman" w:eastAsia="Times New Roman" w:hAnsi="Times New Roman"/>
          <w:b/>
          <w:bCs/>
          <w:sz w:val="28"/>
          <w:szCs w:val="28"/>
        </w:rPr>
        <w:t xml:space="preserve">CONCLUSION</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This study examined the differential effects of two types of university–industry collaboration—applied training (Odoo) and digital infrastructure support (Microsoft)—on university image, firm image, and students’ perceived employability within the Egyptian higher education context. Using a mixed-methods design, data were collected from 415 students and multiple industry stakeholders across Deraya University and E-JUST. The results confirm that both collaboration models positively influence all three outcome constructs, while demonstrating meaningful differences in their relative strengths. Applied training collaboration (Odoo) generates stronger employability outcomes through direct skill transfer, practical engagement, and lower barrier sensitivity. Digital infrastructure collaboration (Microsoft) offers stronger motivational influence and institutional prestige, but with comparatively weaker direct effects on perceived employability. The study’s key theoretical contribution lies in its treatment of university–industry collaboration as a heterogeneous construct, offering a more nuanced framework for understanding and leveraging collaboration in higher education strategy.</w:t>
      </w:r>
    </w:p>
    <w:p>
      <w:pPr>
        <w:spacing w:after="240" w:before="360" w:line="240"/>
        <w:jc w:val="left"/>
      </w:pPr>
      <w:r>
        <w:rPr>
          <w:rFonts w:ascii="Times New Roman" w:cs="Times New Roman" w:eastAsia="Times New Roman" w:hAnsi="Times New Roman"/>
          <w:b/>
          <w:bCs/>
          <w:sz w:val="28"/>
          <w:szCs w:val="28"/>
        </w:rPr>
        <w:t xml:space="preserve">RECOMMENDATIONS</w:t>
      </w:r>
    </w:p>
    <w:p>
      <w:pPr>
        <w:spacing w:after="120" w:before="240" w:line="240"/>
        <w:jc w:val="left"/>
      </w:pPr>
      <w:r>
        <w:rPr>
          <w:rFonts w:ascii="Times New Roman" w:cs="Times New Roman" w:eastAsia="Times New Roman" w:hAnsi="Times New Roman"/>
          <w:b/>
          <w:bCs/>
          <w:sz w:val="24"/>
          <w:szCs w:val="24"/>
        </w:rPr>
        <w:t xml:space="preserve">Recommendations for Universities</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Prioritize employability-centered collaboration models that combine practical training with academic content, rather than limiting partnerships to digital infrastructure provision alone.</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Consider hybrid collaboration designs that leverage the institutional prestige benefits of digital infrastructure partners while incorporating applied, hands-on training components.</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Regularly assess students’ perceptions of collaboration effectiveness and use this feedback to refine partnership models and address emerging barriers.</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Invest in communication strategies that make the value of industry partnerships visible to prospective students.</w:t>
      </w:r>
    </w:p>
    <w:p>
      <w:pPr>
        <w:spacing w:after="120" w:before="240" w:line="240"/>
        <w:jc w:val="left"/>
      </w:pPr>
      <w:r>
        <w:rPr>
          <w:rFonts w:ascii="Times New Roman" w:cs="Times New Roman" w:eastAsia="Times New Roman" w:hAnsi="Times New Roman"/>
          <w:b/>
          <w:bCs/>
          <w:sz w:val="24"/>
          <w:szCs w:val="24"/>
        </w:rPr>
        <w:t xml:space="preserve">Recommendations for Odoo</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Expand practical experimentation and hands-on project opportunities within the collaboration framework.</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Increase the frequency of applied workshops and real-world business simulations.</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Develop structured internship pipelines that provide students with direct recruitment pathways following their training.</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Strengthen knowledge transfer mechanisms by involving faculty members more actively in collaboration program design.</w:t>
      </w:r>
    </w:p>
    <w:p>
      <w:pPr>
        <w:spacing w:after="120" w:before="240" w:line="240"/>
        <w:jc w:val="left"/>
      </w:pPr>
      <w:r>
        <w:rPr>
          <w:rFonts w:ascii="Times New Roman" w:cs="Times New Roman" w:eastAsia="Times New Roman" w:hAnsi="Times New Roman"/>
          <w:b/>
          <w:bCs/>
          <w:sz w:val="24"/>
          <w:szCs w:val="24"/>
        </w:rPr>
        <w:t xml:space="preserve">Recommendations for Microsoft</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Invest more substantively in practical and applied learning experiences beyond infrastructure support, particularly through mentorship programs and industry-relevant certification pathways.</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Expand employability-centered programming in collaboration with emerging universities such as Deraya University and E-JUST.</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Work to reduce perceived complexity barriers by providing tailored onboarding and ongoing support to students unfamiliar with enterprise-level digital platforms.</w:t>
      </w:r>
    </w:p>
    <w:p>
      <w:pPr>
        <w:pStyle w:val="ListParagraph"/>
        <w:numPr>
          <w:ilvl w:val="0"/>
          <w:numId w:val="2"/>
        </w:numPr>
        <w:spacing w:after="240" w:before="240" w:line="240"/>
        <w:jc w:val="both"/>
      </w:pPr>
      <w:r>
        <w:rPr>
          <w:rFonts w:ascii="Times New Roman" w:cs="Times New Roman" w:eastAsia="Times New Roman" w:hAnsi="Times New Roman"/>
          <w:sz w:val="24"/>
          <w:szCs w:val="24"/>
        </w:rPr>
        <w:t xml:space="preserve">Position digital infrastructure collaborations as career development tools, linking platform use to recognizable industry credentials.</w:t>
      </w:r>
    </w:p>
    <w:p>
      <w:pPr>
        <w:spacing w:after="240" w:before="360" w:line="240"/>
        <w:jc w:val="left"/>
      </w:pPr>
      <w:r>
        <w:rPr>
          <w:rFonts w:ascii="Times New Roman" w:cs="Times New Roman" w:eastAsia="Times New Roman" w:hAnsi="Times New Roman"/>
          <w:b/>
          <w:bCs/>
          <w:sz w:val="28"/>
          <w:szCs w:val="28"/>
        </w:rPr>
        <w:t xml:space="preserve">LIMITATIONS</w:t>
      </w:r>
    </w:p>
    <w:p>
      <w:pPr>
        <w:spacing w:after="240" w:before="240" w:line="240"/>
        <w:jc w:val="both"/>
      </w:pPr>
      <w:r>
        <w:rPr>
          <w:rFonts w:ascii="Times New Roman" w:cs="Times New Roman" w:eastAsia="Times New Roman" w:hAnsi="Times New Roman"/>
          <w:b w:val="false"/>
          <w:bCs w:val="false"/>
          <w:i w:val="false"/>
          <w:iCs w:val="false"/>
          <w:caps w:val="false"/>
          <w:sz w:val="24"/>
          <w:szCs w:val="24"/>
        </w:rPr>
        <w:t xml:space="preserve">This study is subject to several limitations. First, the use of convenience sampling for the student questionnaire may limit the generalizability of findings to the broader Egyptian student population. Second, the study was conducted at two universities only, which may not fully capture the diversity of university–industry collaboration experiences across Egypt’s higher education landscape. Third, reliance on self-reported questionnaire data introduces the possibility of social desirability bias. Fourth, the cross-sectional design prevents causal inferences about the longitudinal effects of collaboration on employability and institutional reputation. Finally, the study focuses exclusively on two collaboration types and does not account for other forms of university–industry partnership, such as joint research projects or spin-off ventures.</w:t>
      </w:r>
    </w:p>
    <w:p>
      <w:pPr>
        <w:spacing w:after="240" w:before="360" w:line="240"/>
        <w:jc w:val="left"/>
      </w:pPr>
      <w:r>
        <w:rPr>
          <w:rFonts w:ascii="Times New Roman" w:cs="Times New Roman" w:eastAsia="Times New Roman" w:hAnsi="Times New Roman"/>
          <w:b/>
          <w:bCs/>
          <w:sz w:val="28"/>
          <w:szCs w:val="28"/>
        </w:rPr>
        <w:t>ETHICAL APPROVAL</w:t>
      </w:r>
    </w:p>
    <w:p>
      <w:pPr>
        <w:spacing w:after="240" w:before="240" w:line="240"/>
        <w:jc w:val="both"/>
      </w:pPr>
      <w:r>
        <w:rPr>
          <w:rFonts w:ascii="Times New Roman" w:cs="Times New Roman" w:eastAsia="Times New Roman" w:hAnsi="Times New Roman"/>
          <w:sz w:val="24"/>
          <w:szCs w:val="24"/>
        </w:rPr>
        <w:t>Ethical approval for this study was obtained from the Faculty of Business Administration at Deraya University prior to the commencement of data collection. All procedures involving human participants were conducted in accordance with ethical standards. Informed consent was obtained from all participants prior to their involvement in the study.</w:t>
      </w:r>
    </w:p>
    <w:p>
      <w:pPr>
        <w:spacing w:after="240" w:before="360" w:line="240"/>
        <w:jc w:val="left"/>
      </w:pPr>
      <w:r>
        <w:rPr>
          <w:rFonts w:ascii="Times New Roman" w:cs="Times New Roman" w:eastAsia="Times New Roman" w:hAnsi="Times New Roman"/>
          <w:b/>
          <w:bCs/>
          <w:sz w:val="28"/>
          <w:szCs w:val="28"/>
        </w:rPr>
        <w:t>CONFLICT OF INTEREST</w:t>
      </w:r>
    </w:p>
    <w:p>
      <w:pPr>
        <w:spacing w:after="240" w:before="240" w:line="240"/>
        <w:jc w:val="both"/>
      </w:pPr>
      <w:r>
        <w:rPr>
          <w:rFonts w:ascii="Times New Roman" w:cs="Times New Roman" w:eastAsia="Times New Roman" w:hAnsi="Times New Roman"/>
          <w:sz w:val="24"/>
          <w:szCs w:val="24"/>
        </w:rPr>
        <w:t>The authors declare no conflict of interest. No funding was received from any commercial, public, or non-profit organization that may have a financial interest in the subject matter discussed in this manuscript.</w:t>
      </w:r>
    </w:p>
    <w:p>
      <w:pPr>
        <w:spacing w:after="240" w:before="360" w:line="240"/>
        <w:jc w:val="left"/>
      </w:pPr>
      <w:r>
        <w:rPr>
          <w:rFonts w:ascii="Times New Roman" w:cs="Times New Roman" w:eastAsia="Times New Roman" w:hAnsi="Times New Roman"/>
          <w:b/>
          <w:bCs/>
          <w:sz w:val="28"/>
          <w:szCs w:val="28"/>
        </w:rPr>
        <w:t>DATA AVAILABILITY STATEMENT</w:t>
      </w:r>
    </w:p>
    <w:p>
      <w:pPr>
        <w:spacing w:after="240" w:before="240" w:line="240"/>
        <w:jc w:val="both"/>
      </w:pPr>
      <w:r>
        <w:rPr>
          <w:rFonts w:ascii="Times New Roman" w:cs="Times New Roman" w:eastAsia="Times New Roman" w:hAnsi="Times New Roman"/>
          <w:sz w:val="24"/>
          <w:szCs w:val="24"/>
        </w:rPr>
        <w:t>The data supporting the findings of this study are not publicly available due to privacy and confidentiality considerations. However, the data may be made available upon reasonable request to the corresponding author at rahma.osman_4230009@student.deraya.edu.eg.</w:t>
      </w:r>
    </w:p>
    <w:p>
      <w:pPr>
        <w:spacing w:after="240" w:before="360" w:line="240"/>
        <w:jc w:val="left"/>
      </w:pPr>
      <w:r>
        <w:rPr>
          <w:rFonts w:ascii="Times New Roman" w:cs="Times New Roman" w:eastAsia="Times New Roman" w:hAnsi="Times New Roman"/>
          <w:b/>
          <w:bCs/>
          <w:sz w:val="28"/>
          <w:szCs w:val="28"/>
        </w:rPr>
        <w:t>REFERENCES</w:t>
      </w:r>
    </w:p>
    <w:p>
      <w:pPr>
        <w:spacing w:after="120" w:before="120" w:line="240"/>
        <w:ind w:left="720" w:hanging="360"/>
        <w:jc w:val="left"/>
      </w:pPr>
      <w:r>
        <w:rPr>
          <w:rFonts w:ascii="Times New Roman" w:cs="Times New Roman" w:eastAsia="Times New Roman" w:hAnsi="Times New Roman"/>
          <w:b/>
          <w:bCs/>
          <w:sz w:val="24"/>
          <w:szCs w:val="24"/>
        </w:rPr>
        <w:t xml:space="preserve">1. </w:t>
      </w:r>
      <w:r>
        <w:rPr>
          <w:rFonts w:ascii="Times New Roman" w:cs="Times New Roman" w:eastAsia="Times New Roman" w:hAnsi="Times New Roman"/>
          <w:sz w:val="24"/>
          <w:szCs w:val="24"/>
        </w:rPr>
        <w:t xml:space="preserve">Al-Tabbaa, O. (2019). University–industry collaboration and institutional image: A stakeholder perspective. Journal of Business Research, 96, 114–127.</w:t>
      </w:r>
    </w:p>
    <w:p>
      <w:pPr>
        <w:spacing w:after="120" w:before="120" w:line="240"/>
        <w:ind w:left="720" w:hanging="360"/>
        <w:jc w:val="left"/>
      </w:pPr>
      <w:r>
        <w:rPr>
          <w:rFonts w:ascii="Times New Roman" w:cs="Times New Roman" w:eastAsia="Times New Roman" w:hAnsi="Times New Roman"/>
          <w:b/>
          <w:bCs/>
          <w:sz w:val="24"/>
          <w:szCs w:val="24"/>
        </w:rPr>
        <w:t xml:space="preserve">2. </w:t>
      </w:r>
      <w:r>
        <w:rPr>
          <w:rFonts w:ascii="Times New Roman" w:cs="Times New Roman" w:eastAsia="Times New Roman" w:hAnsi="Times New Roman"/>
          <w:sz w:val="24"/>
          <w:szCs w:val="24"/>
        </w:rPr>
        <w:t xml:space="preserve">Ankrah, S., &amp; Al-Tabbaa, O. (2015). Universities–industry collaboration: A systematic review. Scandinavian Journal of Management, 31(3), 387–408.</w:t>
      </w:r>
    </w:p>
    <w:p>
      <w:pPr>
        <w:spacing w:after="120" w:before="120" w:line="240"/>
        <w:ind w:left="720" w:hanging="360"/>
        <w:jc w:val="left"/>
      </w:pPr>
      <w:r>
        <w:rPr>
          <w:rFonts w:ascii="Times New Roman" w:cs="Times New Roman" w:eastAsia="Times New Roman" w:hAnsi="Times New Roman"/>
          <w:b/>
          <w:bCs/>
          <w:sz w:val="24"/>
          <w:szCs w:val="24"/>
        </w:rPr>
        <w:t xml:space="preserve">3. </w:t>
      </w:r>
      <w:r>
        <w:rPr>
          <w:rFonts w:ascii="Times New Roman" w:cs="Times New Roman" w:eastAsia="Times New Roman" w:hAnsi="Times New Roman"/>
          <w:sz w:val="24"/>
          <w:szCs w:val="24"/>
        </w:rPr>
        <w:t xml:space="preserve">Azoury, N., Daou, L., &amp; El Khoury, C. (2014). University image and its relationship to student satisfaction. Journal of Executive Education, 13(1), 25–37.</w:t>
      </w:r>
    </w:p>
    <w:p>
      <w:pPr>
        <w:spacing w:after="120" w:before="120" w:line="240"/>
        <w:ind w:left="720" w:hanging="360"/>
        <w:jc w:val="left"/>
      </w:pPr>
      <w:r>
        <w:rPr>
          <w:rFonts w:ascii="Times New Roman" w:cs="Times New Roman" w:eastAsia="Times New Roman" w:hAnsi="Times New Roman"/>
          <w:b/>
          <w:bCs/>
          <w:sz w:val="24"/>
          <w:szCs w:val="24"/>
        </w:rPr>
        <w:t xml:space="preserve">4. </w:t>
      </w:r>
      <w:r>
        <w:rPr>
          <w:rFonts w:ascii="Times New Roman" w:cs="Times New Roman" w:eastAsia="Times New Roman" w:hAnsi="Times New Roman"/>
          <w:sz w:val="24"/>
          <w:szCs w:val="24"/>
        </w:rPr>
        <w:t xml:space="preserve">Baban, C.F., Baban, M., &amp; Rangone, A. (2022). Barriers and drivers of university–industry collaboration: A systematic literature review. Journal of Technology Transfer, 47, 1423–1456.</w:t>
      </w:r>
    </w:p>
    <w:p>
      <w:pPr>
        <w:spacing w:after="120" w:before="120" w:line="240"/>
        <w:ind w:left="720" w:hanging="360"/>
        <w:jc w:val="left"/>
      </w:pPr>
      <w:r>
        <w:rPr>
          <w:rFonts w:ascii="Times New Roman" w:cs="Times New Roman" w:eastAsia="Times New Roman" w:hAnsi="Times New Roman"/>
          <w:b/>
          <w:bCs/>
          <w:sz w:val="24"/>
          <w:szCs w:val="24"/>
        </w:rPr>
        <w:t xml:space="preserve">5. </w:t>
      </w:r>
      <w:r>
        <w:rPr>
          <w:rFonts w:ascii="Times New Roman" w:cs="Times New Roman" w:eastAsia="Times New Roman" w:hAnsi="Times New Roman"/>
          <w:sz w:val="24"/>
          <w:szCs w:val="24"/>
        </w:rPr>
        <w:t xml:space="preserve">Barney, J.B., &amp; Hansen, M.H. (1994). Trustworthiness as a source of competitive advantage. Strategic Management Journal, 15(S1), 175–190.</w:t>
      </w:r>
    </w:p>
    <w:p>
      <w:pPr>
        <w:spacing w:after="120" w:before="120" w:line="240"/>
        <w:ind w:left="720" w:hanging="360"/>
        <w:jc w:val="left"/>
      </w:pPr>
      <w:r>
        <w:rPr>
          <w:rFonts w:ascii="Times New Roman" w:cs="Times New Roman" w:eastAsia="Times New Roman" w:hAnsi="Times New Roman"/>
          <w:b/>
          <w:bCs/>
          <w:sz w:val="24"/>
          <w:szCs w:val="24"/>
        </w:rPr>
        <w:t xml:space="preserve">6. </w:t>
      </w:r>
      <w:r>
        <w:rPr>
          <w:rFonts w:ascii="Times New Roman" w:cs="Times New Roman" w:eastAsia="Times New Roman" w:hAnsi="Times New Roman"/>
          <w:sz w:val="24"/>
          <w:szCs w:val="24"/>
        </w:rPr>
        <w:t xml:space="preserve">Bravo, R., Matute, J., &amp; Pina, J.M. (2012). Corporate social responsibility as a vehicle to reveal the corporate identity. Journal of Business Ethics, 107(2), 129–146.</w:t>
      </w:r>
    </w:p>
    <w:p>
      <w:pPr>
        <w:spacing w:after="120" w:before="120" w:line="240"/>
        <w:ind w:left="720" w:hanging="360"/>
        <w:jc w:val="left"/>
      </w:pPr>
      <w:r>
        <w:rPr>
          <w:rFonts w:ascii="Times New Roman" w:cs="Times New Roman" w:eastAsia="Times New Roman" w:hAnsi="Times New Roman"/>
          <w:b/>
          <w:bCs/>
          <w:sz w:val="24"/>
          <w:szCs w:val="24"/>
        </w:rPr>
        <w:t xml:space="preserve">7. </w:t>
      </w:r>
      <w:r>
        <w:rPr>
          <w:rFonts w:ascii="Times New Roman" w:cs="Times New Roman" w:eastAsia="Times New Roman" w:hAnsi="Times New Roman"/>
          <w:sz w:val="24"/>
          <w:szCs w:val="24"/>
        </w:rPr>
        <w:t xml:space="preserve">Cai, Y., &amp; Etzkowitz, H. (2020). Theorizing the Triple Helix model: Past, present, and future. Triple Helix, 7(2–3), 189–226.</w:t>
      </w:r>
    </w:p>
    <w:p>
      <w:pPr>
        <w:spacing w:after="120" w:before="120" w:line="240"/>
        <w:ind w:left="720" w:hanging="360"/>
        <w:jc w:val="left"/>
      </w:pPr>
      <w:r>
        <w:rPr>
          <w:rFonts w:ascii="Times New Roman" w:cs="Times New Roman" w:eastAsia="Times New Roman" w:hAnsi="Times New Roman"/>
          <w:b/>
          <w:bCs/>
          <w:sz w:val="24"/>
          <w:szCs w:val="24"/>
        </w:rPr>
        <w:t xml:space="preserve">8. </w:t>
      </w:r>
      <w:r>
        <w:rPr>
          <w:rFonts w:ascii="Times New Roman" w:cs="Times New Roman" w:eastAsia="Times New Roman" w:hAnsi="Times New Roman"/>
          <w:sz w:val="24"/>
          <w:szCs w:val="24"/>
        </w:rPr>
        <w:t xml:space="preserve">Colquitt, J.A., Scott, B.A., &amp; LePine, J.A. (2007). Trust, trustworthiness, and trust propensity. Journal of Applied Psychology, 92(4), 909–927.</w:t>
      </w:r>
    </w:p>
    <w:p>
      <w:pPr>
        <w:spacing w:after="120" w:before="120" w:line="240"/>
        <w:ind w:left="720" w:hanging="360"/>
        <w:jc w:val="left"/>
      </w:pPr>
      <w:r>
        <w:rPr>
          <w:rFonts w:ascii="Times New Roman" w:cs="Times New Roman" w:eastAsia="Times New Roman" w:hAnsi="Times New Roman"/>
          <w:b/>
          <w:bCs/>
          <w:sz w:val="24"/>
          <w:szCs w:val="24"/>
        </w:rPr>
        <w:t xml:space="preserve">9. </w:t>
      </w:r>
      <w:r>
        <w:rPr>
          <w:rFonts w:ascii="Times New Roman" w:cs="Times New Roman" w:eastAsia="Times New Roman" w:hAnsi="Times New Roman"/>
          <w:sz w:val="24"/>
          <w:szCs w:val="24"/>
        </w:rPr>
        <w:t xml:space="preserve">Creswell, J.W. (2014). Research design: Qualitative, quantitative, and mixed methods approaches (4th ed.). SAGE Publications.</w:t>
      </w:r>
    </w:p>
    <w:p>
      <w:pPr>
        <w:spacing w:after="120" w:before="120" w:line="240"/>
        <w:ind w:left="720" w:hanging="360"/>
        <w:jc w:val="left"/>
      </w:pPr>
      <w:r>
        <w:rPr>
          <w:rFonts w:ascii="Times New Roman" w:cs="Times New Roman" w:eastAsia="Times New Roman" w:hAnsi="Times New Roman"/>
          <w:b/>
          <w:bCs/>
          <w:sz w:val="24"/>
          <w:szCs w:val="24"/>
        </w:rPr>
        <w:t xml:space="preserve">10. </w:t>
      </w:r>
      <w:r>
        <w:rPr>
          <w:rFonts w:ascii="Times New Roman" w:cs="Times New Roman" w:eastAsia="Times New Roman" w:hAnsi="Times New Roman"/>
          <w:sz w:val="24"/>
          <w:szCs w:val="24"/>
        </w:rPr>
        <w:t xml:space="preserve">Dichter, E. (1985). What’s in an image? Journal of Consumer Marketing, 2(1), 75–81.</w:t>
      </w:r>
    </w:p>
    <w:p>
      <w:pPr>
        <w:spacing w:after="120" w:before="120" w:line="240"/>
        <w:ind w:left="720" w:hanging="360"/>
        <w:jc w:val="left"/>
      </w:pPr>
      <w:r>
        <w:rPr>
          <w:rFonts w:ascii="Times New Roman" w:cs="Times New Roman" w:eastAsia="Times New Roman" w:hAnsi="Times New Roman"/>
          <w:b/>
          <w:bCs/>
          <w:sz w:val="24"/>
          <w:szCs w:val="24"/>
        </w:rPr>
        <w:t xml:space="preserve">11. </w:t>
      </w:r>
      <w:r>
        <w:rPr>
          <w:rFonts w:ascii="Times New Roman" w:cs="Times New Roman" w:eastAsia="Times New Roman" w:hAnsi="Times New Roman"/>
          <w:sz w:val="24"/>
          <w:szCs w:val="24"/>
        </w:rPr>
        <w:t xml:space="preserve">Ergün, E., &amp; Şesen, H. (2021). Perceived employability and graduates’ job outcomes. SAGE Open, 11(4), 1–11.</w:t>
      </w:r>
    </w:p>
    <w:p>
      <w:pPr>
        <w:spacing w:after="120" w:before="120" w:line="240"/>
        <w:ind w:left="720" w:hanging="360"/>
        <w:jc w:val="left"/>
      </w:pPr>
      <w:r>
        <w:rPr>
          <w:rFonts w:ascii="Times New Roman" w:cs="Times New Roman" w:eastAsia="Times New Roman" w:hAnsi="Times New Roman"/>
          <w:b/>
          <w:bCs/>
          <w:sz w:val="24"/>
          <w:szCs w:val="24"/>
        </w:rPr>
        <w:t xml:space="preserve">12. </w:t>
      </w:r>
      <w:r>
        <w:rPr>
          <w:rFonts w:ascii="Times New Roman" w:cs="Times New Roman" w:eastAsia="Times New Roman" w:hAnsi="Times New Roman"/>
          <w:sz w:val="24"/>
          <w:szCs w:val="24"/>
        </w:rPr>
        <w:t xml:space="preserve">Etzkowitz, H. (2008). The Triple Helix: University–industry–government innovation in action. Routledge.</w:t>
      </w:r>
    </w:p>
    <w:p>
      <w:pPr>
        <w:spacing w:after="120" w:before="120" w:line="240"/>
        <w:ind w:left="720" w:hanging="360"/>
        <w:jc w:val="left"/>
      </w:pPr>
      <w:r>
        <w:rPr>
          <w:rFonts w:ascii="Times New Roman" w:cs="Times New Roman" w:eastAsia="Times New Roman" w:hAnsi="Times New Roman"/>
          <w:b/>
          <w:bCs/>
          <w:sz w:val="24"/>
          <w:szCs w:val="24"/>
        </w:rPr>
        <w:t xml:space="preserve">13. </w:t>
      </w:r>
      <w:r>
        <w:rPr>
          <w:rFonts w:ascii="Times New Roman" w:cs="Times New Roman" w:eastAsia="Times New Roman" w:hAnsi="Times New Roman"/>
          <w:sz w:val="24"/>
          <w:szCs w:val="24"/>
        </w:rPr>
        <w:t xml:space="preserve">Evans, N. (2023). University–industry collaboration: Definitions, models, and strategic implications. Higher Education Research &amp; Development, 42(1), 45–61.</w:t>
      </w:r>
    </w:p>
    <w:p>
      <w:pPr>
        <w:spacing w:after="120" w:before="120" w:line="240"/>
        <w:ind w:left="720" w:hanging="360"/>
        <w:jc w:val="left"/>
      </w:pPr>
      <w:r>
        <w:rPr>
          <w:rFonts w:ascii="Times New Roman" w:cs="Times New Roman" w:eastAsia="Times New Roman" w:hAnsi="Times New Roman"/>
          <w:b/>
          <w:bCs/>
          <w:sz w:val="24"/>
          <w:szCs w:val="24"/>
        </w:rPr>
        <w:t xml:space="preserve">14. </w:t>
      </w:r>
      <w:r>
        <w:rPr>
          <w:rFonts w:ascii="Times New Roman" w:cs="Times New Roman" w:eastAsia="Times New Roman" w:hAnsi="Times New Roman"/>
          <w:sz w:val="24"/>
          <w:szCs w:val="24"/>
        </w:rPr>
        <w:t xml:space="preserve">Fombrun, C.J. (1996). Reputation: Realizing value from the corporate image. Harvard Business School Press.</w:t>
      </w:r>
    </w:p>
    <w:p>
      <w:pPr>
        <w:spacing w:after="120" w:before="120" w:line="240"/>
        <w:ind w:left="720" w:hanging="360"/>
        <w:jc w:val="left"/>
      </w:pPr>
      <w:r>
        <w:rPr>
          <w:rFonts w:ascii="Times New Roman" w:cs="Times New Roman" w:eastAsia="Times New Roman" w:hAnsi="Times New Roman"/>
          <w:b/>
          <w:bCs/>
          <w:sz w:val="24"/>
          <w:szCs w:val="24"/>
        </w:rPr>
        <w:t xml:space="preserve">15. </w:t>
      </w:r>
      <w:r>
        <w:rPr>
          <w:rFonts w:ascii="Times New Roman" w:cs="Times New Roman" w:eastAsia="Times New Roman" w:hAnsi="Times New Roman"/>
          <w:sz w:val="24"/>
          <w:szCs w:val="24"/>
        </w:rPr>
        <w:t xml:space="preserve">Franco, M., &amp; Haase, H. (2015). University–industry cooperation: Researchers’ motivations and interaction channels. Journal of Engineering and Technology Management, 36, 41–51.</w:t>
      </w:r>
    </w:p>
    <w:p>
      <w:pPr>
        <w:spacing w:after="120" w:before="120" w:line="240"/>
        <w:ind w:left="720" w:hanging="360"/>
        <w:jc w:val="left"/>
      </w:pPr>
      <w:r>
        <w:rPr>
          <w:rFonts w:ascii="Times New Roman" w:cs="Times New Roman" w:eastAsia="Times New Roman" w:hAnsi="Times New Roman"/>
          <w:b/>
          <w:bCs/>
          <w:sz w:val="24"/>
          <w:szCs w:val="24"/>
        </w:rPr>
        <w:t xml:space="preserve">16. </w:t>
      </w:r>
      <w:r>
        <w:rPr>
          <w:rFonts w:ascii="Times New Roman" w:cs="Times New Roman" w:eastAsia="Times New Roman" w:hAnsi="Times New Roman"/>
          <w:sz w:val="24"/>
          <w:szCs w:val="24"/>
        </w:rPr>
        <w:t xml:space="preserve">Fugate, M., Kinicki, A.J., &amp; Ashforth, B.E. (2004). Employability: A psycho-social construct, its dimensions, and applications. Journal of Vocational Behavior, 65(1), 14–38.</w:t>
      </w:r>
    </w:p>
    <w:p>
      <w:pPr>
        <w:spacing w:after="120" w:before="120" w:line="240"/>
        <w:ind w:left="720" w:hanging="360"/>
        <w:jc w:val="left"/>
      </w:pPr>
      <w:r>
        <w:rPr>
          <w:rFonts w:ascii="Times New Roman" w:cs="Times New Roman" w:eastAsia="Times New Roman" w:hAnsi="Times New Roman"/>
          <w:b/>
          <w:bCs/>
          <w:sz w:val="24"/>
          <w:szCs w:val="24"/>
        </w:rPr>
        <w:t xml:space="preserve">17. </w:t>
      </w:r>
      <w:r>
        <w:rPr>
          <w:rFonts w:ascii="Times New Roman" w:cs="Times New Roman" w:eastAsia="Times New Roman" w:hAnsi="Times New Roman"/>
          <w:sz w:val="24"/>
          <w:szCs w:val="24"/>
        </w:rPr>
        <w:t xml:space="preserve">Hair, J.F., Black, W.C., Babin, B.J., &amp; Anderson, R.E. (2019). Multivariate data analysis (8th ed.). Cengage Learning.</w:t>
      </w:r>
    </w:p>
    <w:p>
      <w:pPr>
        <w:spacing w:after="120" w:before="120" w:line="240"/>
        <w:ind w:left="720" w:hanging="360"/>
        <w:jc w:val="left"/>
      </w:pPr>
      <w:r>
        <w:rPr>
          <w:rFonts w:ascii="Times New Roman" w:cs="Times New Roman" w:eastAsia="Times New Roman" w:hAnsi="Times New Roman"/>
          <w:b/>
          <w:bCs/>
          <w:sz w:val="24"/>
          <w:szCs w:val="24"/>
        </w:rPr>
        <w:t xml:space="preserve">18. </w:t>
      </w:r>
      <w:r>
        <w:rPr>
          <w:rFonts w:ascii="Times New Roman" w:cs="Times New Roman" w:eastAsia="Times New Roman" w:hAnsi="Times New Roman"/>
          <w:sz w:val="24"/>
          <w:szCs w:val="24"/>
        </w:rPr>
        <w:t xml:space="preserve">Jailos, H.M., &amp; Magasi, C. (2025). University image and stakeholder perception. International Journal of Educational Management, 39(1), 12–28.</w:t>
      </w:r>
    </w:p>
    <w:p>
      <w:pPr>
        <w:spacing w:after="120" w:before="120" w:line="240"/>
        <w:ind w:left="720" w:hanging="360"/>
        <w:jc w:val="left"/>
      </w:pPr>
      <w:r>
        <w:rPr>
          <w:rFonts w:ascii="Times New Roman" w:cs="Times New Roman" w:eastAsia="Times New Roman" w:hAnsi="Times New Roman"/>
          <w:b/>
          <w:bCs/>
          <w:sz w:val="24"/>
          <w:szCs w:val="24"/>
        </w:rPr>
        <w:t xml:space="preserve">19. </w:t>
      </w:r>
      <w:r>
        <w:rPr>
          <w:rFonts w:ascii="Times New Roman" w:cs="Times New Roman" w:eastAsia="Times New Roman" w:hAnsi="Times New Roman"/>
          <w:sz w:val="24"/>
          <w:szCs w:val="24"/>
        </w:rPr>
        <w:t xml:space="preserve">Ma, Y., &amp; Bennett, D. (2024). Perceived employability and career readiness among university graduates. Journal of Education and Work, 37(1), 1–18.</w:t>
      </w:r>
    </w:p>
    <w:p>
      <w:pPr>
        <w:spacing w:after="120" w:before="120" w:line="240"/>
        <w:ind w:left="720" w:hanging="360"/>
        <w:jc w:val="left"/>
      </w:pPr>
      <w:r>
        <w:rPr>
          <w:rFonts w:ascii="Times New Roman" w:cs="Times New Roman" w:eastAsia="Times New Roman" w:hAnsi="Times New Roman"/>
          <w:b/>
          <w:bCs/>
          <w:sz w:val="24"/>
          <w:szCs w:val="24"/>
        </w:rPr>
        <w:t xml:space="preserve">20. </w:t>
      </w:r>
      <w:r>
        <w:rPr>
          <w:rFonts w:ascii="Times New Roman" w:cs="Times New Roman" w:eastAsia="Times New Roman" w:hAnsi="Times New Roman"/>
          <w:sz w:val="24"/>
          <w:szCs w:val="24"/>
        </w:rPr>
        <w:t xml:space="preserve">Mayer, R.C., Davis, J.H., &amp; Schoorman, F.D. (1995). An integrative model of organizational trust. Academy of Management Review, 20(3), 709–734.</w:t>
      </w:r>
    </w:p>
    <w:p>
      <w:pPr>
        <w:spacing w:after="120" w:before="120" w:line="240"/>
        <w:ind w:left="720" w:hanging="360"/>
        <w:jc w:val="left"/>
      </w:pPr>
      <w:r>
        <w:rPr>
          <w:rFonts w:ascii="Times New Roman" w:cs="Times New Roman" w:eastAsia="Times New Roman" w:hAnsi="Times New Roman"/>
          <w:b/>
          <w:bCs/>
          <w:sz w:val="24"/>
          <w:szCs w:val="24"/>
        </w:rPr>
        <w:t xml:space="preserve">21. </w:t>
      </w:r>
      <w:r>
        <w:rPr>
          <w:rFonts w:ascii="Times New Roman" w:cs="Times New Roman" w:eastAsia="Times New Roman" w:hAnsi="Times New Roman"/>
          <w:sz w:val="24"/>
          <w:szCs w:val="24"/>
        </w:rPr>
        <w:t xml:space="preserve">Morgan, R.M., &amp; Hunt, S.D. (1994). The commitment–trust theory of relationship marketing. Journal of Marketing, 58(3), 20–38.</w:t>
      </w:r>
    </w:p>
    <w:p>
      <w:pPr>
        <w:spacing w:after="120" w:before="120" w:line="240"/>
        <w:ind w:left="720" w:hanging="360"/>
        <w:jc w:val="left"/>
      </w:pPr>
      <w:r>
        <w:rPr>
          <w:rFonts w:ascii="Times New Roman" w:cs="Times New Roman" w:eastAsia="Times New Roman" w:hAnsi="Times New Roman"/>
          <w:b/>
          <w:bCs/>
          <w:sz w:val="24"/>
          <w:szCs w:val="24"/>
        </w:rPr>
        <w:t xml:space="preserve">22. </w:t>
      </w:r>
      <w:r>
        <w:rPr>
          <w:rFonts w:ascii="Times New Roman" w:cs="Times New Roman" w:eastAsia="Times New Roman" w:hAnsi="Times New Roman"/>
          <w:sz w:val="24"/>
          <w:szCs w:val="24"/>
        </w:rPr>
        <w:t xml:space="preserve">Nguyen, N., &amp; Leblanc, G. (2001). Corporate image and corporate reputation in customers’ retention decisions in services. Journal of Retailing and Consumer Services, 8(4), 227–236.</w:t>
      </w:r>
    </w:p>
    <w:p>
      <w:pPr>
        <w:spacing w:after="120" w:before="120" w:line="240"/>
        <w:ind w:left="720" w:hanging="360"/>
        <w:jc w:val="left"/>
      </w:pPr>
      <w:r>
        <w:rPr>
          <w:rFonts w:ascii="Times New Roman" w:cs="Times New Roman" w:eastAsia="Times New Roman" w:hAnsi="Times New Roman"/>
          <w:b/>
          <w:bCs/>
          <w:sz w:val="24"/>
          <w:szCs w:val="24"/>
        </w:rPr>
        <w:t xml:space="preserve">23. </w:t>
      </w:r>
      <w:r>
        <w:rPr>
          <w:rFonts w:ascii="Times New Roman" w:cs="Times New Roman" w:eastAsia="Times New Roman" w:hAnsi="Times New Roman"/>
          <w:sz w:val="24"/>
          <w:szCs w:val="24"/>
        </w:rPr>
        <w:t xml:space="preserve">Panda, S., Pandey, S.C., Bennett, A., &amp; Tian, X. (2019). University brand image as a competitive advantage. International Journal of Educational Management, 33(2), 234–251.</w:t>
      </w:r>
    </w:p>
    <w:p>
      <w:pPr>
        <w:spacing w:after="120" w:before="120" w:line="240"/>
        <w:ind w:left="720" w:hanging="360"/>
        <w:jc w:val="left"/>
      </w:pPr>
      <w:r>
        <w:rPr>
          <w:rFonts w:ascii="Times New Roman" w:cs="Times New Roman" w:eastAsia="Times New Roman" w:hAnsi="Times New Roman"/>
          <w:b/>
          <w:bCs/>
          <w:sz w:val="24"/>
          <w:szCs w:val="24"/>
        </w:rPr>
        <w:t xml:space="preserve">24. </w:t>
      </w:r>
      <w:r>
        <w:rPr>
          <w:rFonts w:ascii="Times New Roman" w:cs="Times New Roman" w:eastAsia="Times New Roman" w:hAnsi="Times New Roman"/>
          <w:sz w:val="24"/>
          <w:szCs w:val="24"/>
        </w:rPr>
        <w:t xml:space="preserve">Parris, D.L., &amp; Guzmán, F. (2023). Relationships between industry–university collaboration, innovation, and competitive advantage. Journal of Business Research, 159, 113700.</w:t>
      </w:r>
    </w:p>
    <w:p>
      <w:pPr>
        <w:spacing w:after="120" w:before="120" w:line="240"/>
        <w:ind w:left="720" w:hanging="360"/>
        <w:jc w:val="left"/>
      </w:pPr>
      <w:r>
        <w:rPr>
          <w:rFonts w:ascii="Times New Roman" w:cs="Times New Roman" w:eastAsia="Times New Roman" w:hAnsi="Times New Roman"/>
          <w:b/>
          <w:bCs/>
          <w:sz w:val="24"/>
          <w:szCs w:val="24"/>
        </w:rPr>
        <w:t xml:space="preserve">25. </w:t>
      </w:r>
      <w:r>
        <w:rPr>
          <w:rFonts w:ascii="Times New Roman" w:cs="Times New Roman" w:eastAsia="Times New Roman" w:hAnsi="Times New Roman"/>
          <w:sz w:val="24"/>
          <w:szCs w:val="24"/>
        </w:rPr>
        <w:t xml:space="preserve">Plumeyer, A., Kottemann, P., Böger, D., &amp; Decker, R. (2019). Measuring brand image: A systematic review. Review of Managerial Science, 13(2), 227–265.</w:t>
      </w:r>
    </w:p>
    <w:p>
      <w:pPr>
        <w:spacing w:after="120" w:before="120" w:line="240"/>
        <w:ind w:left="720" w:hanging="360"/>
        <w:jc w:val="left"/>
      </w:pPr>
      <w:r>
        <w:rPr>
          <w:rFonts w:ascii="Times New Roman" w:cs="Times New Roman" w:eastAsia="Times New Roman" w:hAnsi="Times New Roman"/>
          <w:b/>
          <w:bCs/>
          <w:sz w:val="24"/>
          <w:szCs w:val="24"/>
        </w:rPr>
        <w:t xml:space="preserve">26. </w:t>
      </w:r>
      <w:r>
        <w:rPr>
          <w:rFonts w:ascii="Times New Roman" w:cs="Times New Roman" w:eastAsia="Times New Roman" w:hAnsi="Times New Roman"/>
          <w:sz w:val="24"/>
          <w:szCs w:val="24"/>
        </w:rPr>
        <w:t xml:space="preserve">Rothwell, A., Herbert, I., &amp; Rothwell, F. (2008). Self-perceived employability: Construction and initial validation. Journal of Vocational Behavior, 73(1), 1–12.</w:t>
      </w:r>
    </w:p>
    <w:p>
      <w:pPr>
        <w:spacing w:after="120" w:before="120" w:line="240"/>
        <w:ind w:left="720" w:hanging="360"/>
        <w:jc w:val="left"/>
      </w:pPr>
      <w:r>
        <w:rPr>
          <w:rFonts w:ascii="Times New Roman" w:cs="Times New Roman" w:eastAsia="Times New Roman" w:hAnsi="Times New Roman"/>
          <w:b/>
          <w:bCs/>
          <w:sz w:val="24"/>
          <w:szCs w:val="24"/>
        </w:rPr>
        <w:t xml:space="preserve">27. </w:t>
      </w:r>
      <w:r>
        <w:rPr>
          <w:rFonts w:ascii="Times New Roman" w:cs="Times New Roman" w:eastAsia="Times New Roman" w:hAnsi="Times New Roman"/>
          <w:sz w:val="24"/>
          <w:szCs w:val="24"/>
        </w:rPr>
        <w:t xml:space="preserve">Schartinger, D., Rammer, C., Fischer, M.M., &amp; Fröhlich, J. (2002). Knowledge interactions between universities and industry in Austria. Research Policy, 31(3), 303–328.</w:t>
      </w:r>
    </w:p>
    <w:p>
      <w:pPr>
        <w:spacing w:after="120" w:before="120" w:line="240"/>
        <w:ind w:left="720" w:hanging="360"/>
        <w:jc w:val="left"/>
      </w:pPr>
      <w:r>
        <w:rPr>
          <w:rFonts w:ascii="Times New Roman" w:cs="Times New Roman" w:eastAsia="Times New Roman" w:hAnsi="Times New Roman"/>
          <w:b/>
          <w:bCs/>
          <w:sz w:val="24"/>
          <w:szCs w:val="24"/>
        </w:rPr>
        <w:t xml:space="preserve">28. </w:t>
      </w:r>
      <w:r>
        <w:rPr>
          <w:rFonts w:ascii="Times New Roman" w:cs="Times New Roman" w:eastAsia="Times New Roman" w:hAnsi="Times New Roman"/>
          <w:sz w:val="24"/>
          <w:szCs w:val="24"/>
        </w:rPr>
        <w:t xml:space="preserve">Schwaiger, M. (2004). Components and parameters of corporate reputation. Schmalenbach Business Review, 56(1), 46–71.</w:t>
      </w:r>
    </w:p>
    <w:p>
      <w:pPr>
        <w:spacing w:after="120" w:before="120" w:line="240"/>
        <w:ind w:left="720" w:hanging="360"/>
        <w:jc w:val="left"/>
      </w:pPr>
      <w:r>
        <w:rPr>
          <w:rFonts w:ascii="Times New Roman" w:cs="Times New Roman" w:eastAsia="Times New Roman" w:hAnsi="Times New Roman"/>
          <w:b/>
          <w:bCs/>
          <w:sz w:val="24"/>
          <w:szCs w:val="24"/>
        </w:rPr>
        <w:t xml:space="preserve">29. </w:t>
      </w:r>
      <w:r>
        <w:rPr>
          <w:rFonts w:ascii="Times New Roman" w:cs="Times New Roman" w:eastAsia="Times New Roman" w:hAnsi="Times New Roman"/>
          <w:sz w:val="24"/>
          <w:szCs w:val="24"/>
        </w:rPr>
        <w:t xml:space="preserve">Sheykhan, S., Boozary, P., GhorbanTanhaei, H., Behzadi, S., Rahmani, F., &amp; Rabiee, M. (2024). The role of university image in shaping student loyalty and enrollment intentions. Journal of Higher Education Policy and Management, 46(1), 77–93.</w:t>
      </w:r>
    </w:p>
    <w:p>
      <w:pPr>
        <w:spacing w:after="120" w:before="120" w:line="240"/>
        <w:ind w:left="720" w:hanging="360"/>
        <w:jc w:val="left"/>
      </w:pPr>
      <w:r>
        <w:rPr>
          <w:rFonts w:ascii="Times New Roman" w:cs="Times New Roman" w:eastAsia="Times New Roman" w:hAnsi="Times New Roman"/>
          <w:b/>
          <w:bCs/>
          <w:sz w:val="24"/>
          <w:szCs w:val="24"/>
        </w:rPr>
        <w:t xml:space="preserve">30. </w:t>
      </w:r>
      <w:r>
        <w:rPr>
          <w:rFonts w:ascii="Times New Roman" w:cs="Times New Roman" w:eastAsia="Times New Roman" w:hAnsi="Times New Roman"/>
          <w:sz w:val="24"/>
          <w:szCs w:val="24"/>
        </w:rPr>
        <w:t xml:space="preserve">Siegel, D.S., Waldman, D., Atwater, L., &amp; Link, A.N. (2003). Commercial knowledge transfers from universities to firms. Journal of High Technology Management Research, 14(1), 111–133.</w:t>
      </w:r>
    </w:p>
    <w:p>
      <w:pPr>
        <w:spacing w:after="120" w:before="120" w:line="240"/>
        <w:ind w:left="720" w:hanging="360"/>
        <w:jc w:val="left"/>
      </w:pPr>
      <w:r>
        <w:rPr>
          <w:rFonts w:ascii="Times New Roman" w:cs="Times New Roman" w:eastAsia="Times New Roman" w:hAnsi="Times New Roman"/>
          <w:b/>
          <w:bCs/>
          <w:sz w:val="24"/>
          <w:szCs w:val="24"/>
        </w:rPr>
        <w:t xml:space="preserve">31. </w:t>
      </w:r>
      <w:r>
        <w:rPr>
          <w:rFonts w:ascii="Times New Roman" w:cs="Times New Roman" w:eastAsia="Times New Roman" w:hAnsi="Times New Roman"/>
          <w:sz w:val="24"/>
          <w:szCs w:val="24"/>
        </w:rPr>
        <w:t xml:space="preserve">Vanhercke, D., De Cuyper, N., Peeters, E., &amp; De Witte, H. (2014). Defining perceived employability: A psychological approach. Personnel Review, 43(4), 592–605.</w:t>
      </w:r>
    </w:p>
    <w:p>
      <w:pPr>
        <w:spacing w:after="120" w:before="120" w:line="240"/>
        <w:ind w:left="720" w:hanging="360"/>
        <w:jc w:val="left"/>
      </w:pPr>
      <w:r>
        <w:rPr>
          <w:rFonts w:ascii="Times New Roman" w:cs="Times New Roman" w:eastAsia="Times New Roman" w:hAnsi="Times New Roman"/>
          <w:b/>
          <w:bCs/>
          <w:sz w:val="24"/>
          <w:szCs w:val="24"/>
        </w:rPr>
        <w:t xml:space="preserve">32. </w:t>
      </w:r>
      <w:r>
        <w:rPr>
          <w:rFonts w:ascii="Times New Roman" w:cs="Times New Roman" w:eastAsia="Times New Roman" w:hAnsi="Times New Roman"/>
          <w:sz w:val="24"/>
          <w:szCs w:val="24"/>
        </w:rPr>
        <w:t xml:space="preserve">Vargas, J.H., Sánchez-Queija, M.I., &amp; Rothwell, A. (2018). Self-perceived employability in Spain. Education and Training, 60(3), 226–237.</w:t>
      </w:r>
    </w:p>
    <w:p>
      <w:pPr>
        <w:spacing w:after="120" w:before="120" w:line="240"/>
        <w:ind w:left="720" w:hanging="360"/>
        <w:jc w:val="left"/>
      </w:pPr>
      <w:r>
        <w:rPr>
          <w:rFonts w:ascii="Times New Roman" w:cs="Times New Roman" w:eastAsia="Times New Roman" w:hAnsi="Times New Roman"/>
          <w:b/>
          <w:bCs/>
          <w:sz w:val="24"/>
          <w:szCs w:val="24"/>
        </w:rPr>
        <w:t xml:space="preserve">33. </w:t>
      </w:r>
      <w:r>
        <w:rPr>
          <w:rFonts w:ascii="Times New Roman" w:cs="Times New Roman" w:eastAsia="Times New Roman" w:hAnsi="Times New Roman"/>
          <w:sz w:val="24"/>
          <w:szCs w:val="24"/>
        </w:rPr>
        <w:t xml:space="preserve">Walker, K. (2010). A systematic review of the corporate reputation literature. Corporate Reputation Review, 12(4), 357–387.</w:t>
      </w:r>
    </w:p>
    <w:p>
      <w:pPr>
        <w:spacing w:after="120" w:before="120" w:line="240"/>
        <w:ind w:left="720" w:hanging="360"/>
        <w:jc w:val="left"/>
      </w:pPr>
      <w:r>
        <w:rPr>
          <w:rFonts w:ascii="Times New Roman" w:cs="Times New Roman" w:eastAsia="Times New Roman" w:hAnsi="Times New Roman"/>
          <w:b/>
          <w:bCs/>
          <w:sz w:val="24"/>
          <w:szCs w:val="24"/>
        </w:rPr>
        <w:t xml:space="preserve">34. </w:t>
      </w:r>
      <w:r>
        <w:rPr>
          <w:rFonts w:ascii="Times New Roman" w:cs="Times New Roman" w:eastAsia="Times New Roman" w:hAnsi="Times New Roman"/>
          <w:sz w:val="24"/>
          <w:szCs w:val="24"/>
        </w:rPr>
        <w:t xml:space="preserve">Weerasinghe, I.M.S., Lalitha, R., &amp; Fernando, S. (2017). Students’ satisfaction in higher education literature review. American Journal of Educational Research, 5(5), 533–539.</w:t>
      </w:r>
    </w:p>
    <w:sectPr>
      <w:headerReference w:type="default" r:id="rId7"/>
      <w:footerReference w:type="default" r:id="rId8"/>
      <w:pgSz w:w="11906" w:h="16838" w:orient="portrait"/>
      <w:pgMar w:top="1094" w:right="605" w:bottom="605" w:left="605" w:header="346" w:footer="403"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2026-06-01T21:21:04.896Z</dcterms:created>
  <dcterms:modified xsi:type="dcterms:W3CDTF">2026-06-01T21:21:04.912Z</dcterms:modified>
</cp:coreProperties>
</file>

<file path=docProps/custom.xml><?xml version="1.0" encoding="utf-8"?>
<Properties xmlns="http://schemas.openxmlformats.org/officeDocument/2006/custom-properties" xmlns:vt="http://schemas.openxmlformats.org/officeDocument/2006/docPropsVTypes"/>
</file>