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4424" w:rsidRPr="00245D38" w:rsidRDefault="008B4424" w:rsidP="008B4424">
      <w:pPr>
        <w:jc w:val="center"/>
        <w:rPr>
          <w:rFonts w:ascii="Times New Roman" w:hAnsi="Times New Roman" w:cs="Times New Roman"/>
          <w:b/>
          <w:sz w:val="24"/>
          <w:szCs w:val="24"/>
        </w:rPr>
      </w:pPr>
      <w:r w:rsidRPr="00245D38">
        <w:rPr>
          <w:rFonts w:ascii="Times New Roman" w:hAnsi="Times New Roman" w:cs="Times New Roman"/>
          <w:b/>
          <w:sz w:val="24"/>
          <w:szCs w:val="24"/>
        </w:rPr>
        <w:t>HISTOPATHOLOGICAL EFFECTS OF ODOGWU BITTERS HERBAL DRINK ON THE TESTIS, PANCREAS AND DUODENUM OF ADULT MALE WISTAR RATS</w:t>
      </w:r>
      <w:r>
        <w:rPr>
          <w:rFonts w:ascii="Times New Roman" w:hAnsi="Times New Roman" w:cs="Times New Roman"/>
          <w:b/>
          <w:sz w:val="24"/>
          <w:szCs w:val="24"/>
        </w:rPr>
        <w:t xml:space="preserve"> IN EBONYI STATE NIGERIA.</w:t>
      </w:r>
    </w:p>
    <w:p w:rsidR="008B4424" w:rsidRPr="00CB7293" w:rsidRDefault="008B4424" w:rsidP="008B4424">
      <w:pPr>
        <w:pStyle w:val="TableParagraph"/>
        <w:spacing w:before="142"/>
        <w:ind w:left="38"/>
        <w:jc w:val="center"/>
        <w:rPr>
          <w:b/>
          <w:spacing w:val="-4"/>
          <w:sz w:val="24"/>
        </w:rPr>
      </w:pPr>
      <w:r w:rsidRPr="00CB7293">
        <w:rPr>
          <w:b/>
          <w:spacing w:val="-4"/>
          <w:sz w:val="24"/>
        </w:rPr>
        <w:t/>
      </w:r>
    </w:p>
    <w:p w:rsidR="008B4424" w:rsidRDefault="008B4424" w:rsidP="008B4424">
      <w:pPr>
        <w:pStyle w:val="TableParagraph"/>
        <w:spacing w:before="142"/>
        <w:ind w:left="38"/>
        <w:jc w:val="center"/>
        <w:rPr>
          <w:b/>
          <w:sz w:val="24"/>
        </w:rPr>
      </w:pPr>
      <w:r w:rsidRPr="00725939">
        <w:rPr>
          <w:b/>
          <w:sz w:val="24"/>
          <w:vertAlign w:val="superscript"/>
        </w:rPr>
        <w:t/>
      </w:r>
      <w:r w:rsidRPr="00725939">
        <w:rPr>
          <w:b/>
          <w:sz w:val="24"/>
        </w:rPr>
        <w:t xml:space="preserve"/>
      </w:r>
      <w:proofErr w:type="spellStart"/>
      <w:r w:rsidRPr="00725939">
        <w:rPr>
          <w:b/>
          <w:sz w:val="24"/>
        </w:rPr>
        <w:t/>
      </w:r>
      <w:proofErr w:type="spellEnd"/>
      <w:proofErr w:type="gramStart"/>
      <w:r w:rsidRPr="00725939">
        <w:rPr>
          <w:b/>
          <w:sz w:val="24"/>
        </w:rPr>
        <w:t xml:space="preserve"/>
      </w:r>
      <w:r>
        <w:rPr>
          <w:b/>
          <w:sz w:val="24"/>
        </w:rPr>
        <w:t xml:space="preserve"/>
      </w:r>
      <w:r w:rsidRPr="00725939">
        <w:rPr>
          <w:b/>
          <w:sz w:val="24"/>
          <w:vertAlign w:val="superscript"/>
        </w:rPr>
        <w:t/>
      </w:r>
      <w:r w:rsidRPr="00725939">
        <w:rPr>
          <w:b/>
          <w:sz w:val="24"/>
        </w:rPr>
        <w:t/>
      </w:r>
      <w:proofErr w:type="gramEnd"/>
      <w:r w:rsidRPr="00725939">
        <w:rPr>
          <w:b/>
          <w:sz w:val="24"/>
        </w:rPr>
        <w:t xml:space="preserve"/>
      </w:r>
      <w:proofErr w:type="spellStart"/>
      <w:r w:rsidRPr="00725939">
        <w:rPr>
          <w:b/>
          <w:sz w:val="24"/>
        </w:rPr>
        <w:t/>
      </w:r>
      <w:proofErr w:type="spellEnd"/>
      <w:r w:rsidRPr="00725939">
        <w:rPr>
          <w:b/>
          <w:sz w:val="24"/>
        </w:rPr>
        <w:t xml:space="preserve"/>
      </w:r>
      <w:r w:rsidRPr="007B25D9">
        <w:rPr>
          <w:b/>
          <w:sz w:val="24"/>
          <w:vertAlign w:val="superscript"/>
        </w:rPr>
        <w:t/>
      </w:r>
      <w:r w:rsidRPr="00725939">
        <w:rPr>
          <w:b/>
          <w:sz w:val="24"/>
        </w:rPr>
        <w:t xml:space="preserve"/>
      </w:r>
      <w:proofErr w:type="spellStart"/>
      <w:r w:rsidRPr="00725939">
        <w:rPr>
          <w:b/>
          <w:sz w:val="24"/>
        </w:rPr>
        <w:t/>
      </w:r>
      <w:proofErr w:type="spellEnd"/>
      <w:r w:rsidRPr="00725939">
        <w:rPr>
          <w:b/>
          <w:sz w:val="24"/>
        </w:rPr>
        <w:t xml:space="preserve"/>
      </w:r>
      <w:proofErr w:type="spellStart"/>
      <w:r w:rsidRPr="00725939">
        <w:rPr>
          <w:b/>
          <w:sz w:val="24"/>
        </w:rPr>
        <w:t/>
      </w:r>
      <w:proofErr w:type="spellEnd"/>
      <w:r w:rsidRPr="00725939">
        <w:rPr>
          <w:b/>
          <w:sz w:val="24"/>
        </w:rPr>
        <w:t xml:space="preserve"/>
      </w:r>
      <w:r w:rsidRPr="007B25D9">
        <w:rPr>
          <w:b/>
          <w:sz w:val="24"/>
          <w:vertAlign w:val="superscript"/>
        </w:rPr>
        <w:t/>
      </w:r>
      <w:r w:rsidRPr="00725939">
        <w:rPr>
          <w:b/>
          <w:sz w:val="24"/>
        </w:rPr>
        <w:t xml:space="preserve"/>
      </w:r>
      <w:proofErr w:type="spellStart"/>
      <w:r w:rsidRPr="00725939">
        <w:rPr>
          <w:b/>
          <w:sz w:val="24"/>
        </w:rPr>
        <w:t/>
      </w:r>
      <w:proofErr w:type="spellEnd"/>
    </w:p>
    <w:p w:rsidR="00EB133F" w:rsidRPr="00725939" w:rsidRDefault="000E3F6E" w:rsidP="000E3F6E">
      <w:pPr>
        <w:pStyle w:val="TableParagraph"/>
        <w:tabs>
          <w:tab w:val="left" w:pos="8115"/>
        </w:tabs>
        <w:spacing w:before="142"/>
        <w:ind w:left="38"/>
        <w:rPr>
          <w:b/>
          <w:sz w:val="24"/>
        </w:rPr>
      </w:pPr>
      <w:r>
        <w:rPr>
          <w:b/>
          <w:sz w:val="24"/>
        </w:rPr>
        <w:tab/>
      </w:r>
    </w:p>
    <w:p w:rsidR="008B4424" w:rsidRDefault="008B4424" w:rsidP="00EB133F">
      <w:pPr>
        <w:pStyle w:val="TableParagraph"/>
        <w:ind w:left="38"/>
        <w:jc w:val="center"/>
        <w:rPr>
          <w:sz w:val="24"/>
        </w:rPr>
      </w:pPr>
      <w:proofErr w:type="gramStart"/>
      <w:r>
        <w:rPr>
          <w:sz w:val="24"/>
          <w:vertAlign w:val="superscript"/>
        </w:rPr>
        <w:t/>
      </w:r>
      <w:r w:rsidRPr="00CB7293">
        <w:rPr>
          <w:sz w:val="24"/>
        </w:rPr>
        <w:t xml:space="preserve"/>
      </w:r>
      <w:r>
        <w:rPr>
          <w:sz w:val="24"/>
        </w:rPr>
        <w:t xml:space="preserve"/>
      </w:r>
      <w:r w:rsidRPr="00CB7293">
        <w:rPr>
          <w:sz w:val="24"/>
        </w:rPr>
        <w:t xml:space="preserve"/>
      </w:r>
      <w:proofErr w:type="spellStart"/>
      <w:r w:rsidRPr="00CB7293">
        <w:rPr>
          <w:sz w:val="24"/>
        </w:rPr>
        <w:t/>
      </w:r>
      <w:proofErr w:type="spellEnd"/>
      <w:r w:rsidRPr="00CB7293">
        <w:rPr>
          <w:sz w:val="24"/>
        </w:rPr>
        <w:t xml:space="preserve"/>
      </w:r>
      <w:proofErr w:type="spellStart"/>
      <w:r w:rsidRPr="00CB7293">
        <w:rPr>
          <w:sz w:val="24"/>
        </w:rPr>
        <w:t/>
      </w:r>
      <w:proofErr w:type="spellEnd"/>
      <w:r w:rsidRPr="00CB7293">
        <w:rPr>
          <w:sz w:val="24"/>
        </w:rPr>
        <w:t/>
      </w:r>
      <w:proofErr w:type="gramEnd"/>
    </w:p>
    <w:p w:rsidR="008B4424" w:rsidRDefault="008B4424" w:rsidP="00EB133F">
      <w:pPr>
        <w:pStyle w:val="TableParagraph"/>
        <w:ind w:left="38"/>
        <w:jc w:val="center"/>
        <w:rPr>
          <w:sz w:val="24"/>
        </w:rPr>
      </w:pPr>
      <w:proofErr w:type="gramStart"/>
      <w:r w:rsidRPr="007B25D9">
        <w:rPr>
          <w:sz w:val="24"/>
          <w:vertAlign w:val="superscript"/>
        </w:rPr>
        <w:t/>
      </w:r>
      <w:r>
        <w:rPr>
          <w:sz w:val="24"/>
        </w:rPr>
        <w:t xml:space="preserve"/>
      </w:r>
      <w:r w:rsidRPr="00CB7293">
        <w:rPr>
          <w:sz w:val="24"/>
        </w:rPr>
        <w:t xml:space="preserve"/>
      </w:r>
      <w:proofErr w:type="spellStart"/>
      <w:r w:rsidRPr="00CB7293">
        <w:rPr>
          <w:sz w:val="24"/>
        </w:rPr>
        <w:t/>
      </w:r>
      <w:proofErr w:type="spellEnd"/>
      <w:r w:rsidRPr="00CB7293">
        <w:rPr>
          <w:sz w:val="24"/>
        </w:rPr>
        <w:t xml:space="preserve"/>
      </w:r>
      <w:proofErr w:type="spellStart"/>
      <w:r w:rsidRPr="00CB7293">
        <w:rPr>
          <w:sz w:val="24"/>
        </w:rPr>
        <w:t/>
      </w:r>
      <w:proofErr w:type="spellEnd"/>
      <w:r w:rsidRPr="00CB7293">
        <w:rPr>
          <w:sz w:val="24"/>
        </w:rPr>
        <w:t/>
      </w:r>
      <w:proofErr w:type="gramEnd"/>
    </w:p>
    <w:p w:rsidR="008B4424" w:rsidRPr="00245D38" w:rsidRDefault="008B4424" w:rsidP="00EB133F">
      <w:pPr>
        <w:pStyle w:val="TableParagraph"/>
        <w:ind w:left="38"/>
        <w:jc w:val="center"/>
        <w:rPr>
          <w:sz w:val="24"/>
        </w:rPr>
      </w:pPr>
      <w:proofErr w:type="gramStart"/>
      <w:r w:rsidRPr="007B25D9">
        <w:rPr>
          <w:sz w:val="24"/>
          <w:vertAlign w:val="superscript"/>
        </w:rPr>
        <w:t/>
      </w:r>
      <w:r>
        <w:rPr>
          <w:sz w:val="24"/>
        </w:rPr>
        <w:t xml:space="preserve"/>
      </w:r>
      <w:r w:rsidRPr="00CB7293">
        <w:rPr>
          <w:sz w:val="24"/>
        </w:rPr>
        <w:t xml:space="preserve"/>
      </w:r>
      <w:proofErr w:type="spellStart"/>
      <w:r w:rsidRPr="00CB7293">
        <w:rPr>
          <w:sz w:val="24"/>
        </w:rPr>
        <w:t/>
      </w:r>
      <w:proofErr w:type="spellEnd"/>
      <w:r w:rsidRPr="00CB7293">
        <w:rPr>
          <w:sz w:val="24"/>
        </w:rPr>
        <w:t xml:space="preserve"/>
      </w:r>
      <w:proofErr w:type="spellStart"/>
      <w:r w:rsidRPr="00CB7293">
        <w:rPr>
          <w:sz w:val="24"/>
        </w:rPr>
        <w:t/>
      </w:r>
      <w:proofErr w:type="spellEnd"/>
      <w:r w:rsidRPr="00CB7293">
        <w:rPr>
          <w:sz w:val="24"/>
        </w:rPr>
        <w:t/>
      </w:r>
      <w:proofErr w:type="gramEnd"/>
    </w:p>
    <w:p w:rsidR="008B4424" w:rsidRPr="00245D38" w:rsidRDefault="008B4424" w:rsidP="00EB133F">
      <w:pPr>
        <w:pStyle w:val="TableParagraph"/>
        <w:ind w:left="38"/>
        <w:jc w:val="center"/>
        <w:rPr>
          <w:sz w:val="24"/>
        </w:rPr>
      </w:pPr>
    </w:p>
    <w:p w:rsidR="008B4424" w:rsidRDefault="008B4424" w:rsidP="00EB133F">
      <w:pPr>
        <w:jc w:val="center"/>
        <w:rPr>
          <w:rFonts w:ascii="Times New Roman" w:hAnsi="Times New Roman" w:cs="Times New Roman"/>
          <w:sz w:val="24"/>
        </w:rPr>
      </w:pPr>
      <w:r>
        <w:rPr>
          <w:rFonts w:ascii="Times New Roman" w:hAnsi="Times New Roman" w:cs="Times New Roman"/>
          <w:sz w:val="24"/>
          <w:vertAlign w:val="superscript"/>
        </w:rPr>
        <w:t/>
      </w:r>
      <w:r w:rsidRPr="00CB7293">
        <w:rPr>
          <w:rFonts w:ascii="Times New Roman" w:hAnsi="Times New Roman" w:cs="Times New Roman"/>
          <w:sz w:val="24"/>
        </w:rPr>
        <w:t xml:space="preserve"/>
      </w:r>
      <w:proofErr w:type="gramStart"/>
      <w:r w:rsidRPr="00CB7293">
        <w:rPr>
          <w:rFonts w:ascii="Times New Roman" w:hAnsi="Times New Roman" w:cs="Times New Roman"/>
          <w:sz w:val="24"/>
        </w:rPr>
        <w:t/>
      </w:r>
      <w:proofErr w:type="gramEnd"/>
      <w:r w:rsidRPr="00CB7293">
        <w:rPr>
          <w:rFonts w:ascii="Times New Roman" w:hAnsi="Times New Roman" w:cs="Times New Roman"/>
          <w:sz w:val="24"/>
        </w:rPr>
        <w:t xml:space="preserve"/>
      </w:r>
      <w:proofErr w:type="spellStart"/>
      <w:r w:rsidRPr="00CB7293">
        <w:rPr>
          <w:rFonts w:ascii="Times New Roman" w:hAnsi="Times New Roman" w:cs="Times New Roman"/>
          <w:sz w:val="24"/>
        </w:rPr>
        <w:t/>
      </w:r>
      <w:proofErr w:type="spellEnd"/>
      <w:r>
        <w:rPr>
          <w:rFonts w:ascii="Times New Roman" w:hAnsi="Times New Roman" w:cs="Times New Roman"/>
          <w:sz w:val="24"/>
        </w:rPr>
        <w:t/>
      </w:r>
    </w:p>
    <w:p w:rsidR="00EB133F" w:rsidRDefault="00EB133F" w:rsidP="00EB133F">
      <w:pPr>
        <w:spacing w:after="0"/>
        <w:jc w:val="center"/>
        <w:rPr>
          <w:rFonts w:ascii="Times New Roman" w:hAnsi="Times New Roman" w:cs="Times New Roman"/>
          <w:sz w:val="24"/>
        </w:rPr>
      </w:pPr>
      <w:r>
        <w:rPr>
          <w:rFonts w:ascii="Times New Roman" w:hAnsi="Times New Roman" w:cs="Times New Roman"/>
          <w:sz w:val="24"/>
        </w:rPr>
        <w:t/>
      </w:r>
    </w:p>
    <w:p w:rsidR="00EB133F" w:rsidRDefault="00916701" w:rsidP="00EB133F">
      <w:pPr>
        <w:spacing w:after="0"/>
        <w:jc w:val="center"/>
        <w:rPr>
          <w:rFonts w:ascii="Times New Roman" w:hAnsi="Times New Roman" w:cs="Times New Roman"/>
          <w:sz w:val="24"/>
        </w:rPr>
      </w:pPr>
      <w:hyperlink r:id="rId8" w:history="1">
        <w:r w:rsidR="00EB133F" w:rsidRPr="002A6377">
          <w:rPr>
            <w:rStyle w:val="Hyperlink"/>
            <w:rFonts w:ascii="Times New Roman" w:hAnsi="Times New Roman" w:cs="Times New Roman"/>
            <w:sz w:val="24"/>
          </w:rPr>
          <w:t/>
        </w:r>
      </w:hyperlink>
    </w:p>
    <w:p w:rsidR="00EB133F" w:rsidRPr="008B4424" w:rsidRDefault="00EB133F" w:rsidP="008B4424">
      <w:pPr>
        <w:jc w:val="center"/>
        <w:rPr>
          <w:rFonts w:ascii="Times New Roman" w:hAnsi="Times New Roman" w:cs="Times New Roman"/>
        </w:rPr>
      </w:pPr>
    </w:p>
    <w:p w:rsidR="00720E0D" w:rsidRPr="00200C66" w:rsidRDefault="00720E0D" w:rsidP="00720E0D">
      <w:pPr>
        <w:spacing w:after="0" w:line="240" w:lineRule="auto"/>
        <w:jc w:val="both"/>
        <w:rPr>
          <w:rFonts w:ascii="Times New Roman" w:eastAsia="Times New Roman" w:hAnsi="Times New Roman" w:cs="Times New Roman"/>
          <w:i/>
          <w:sz w:val="24"/>
          <w:szCs w:val="24"/>
        </w:rPr>
      </w:pPr>
      <w:r w:rsidRPr="008B4424">
        <w:rPr>
          <w:rFonts w:ascii="Times New Roman" w:eastAsia="Times New Roman" w:hAnsi="Times New Roman" w:cs="Times New Roman"/>
          <w:b/>
          <w:bCs/>
          <w:sz w:val="24"/>
          <w:szCs w:val="24"/>
        </w:rPr>
        <w:t/>
      </w:r>
      <w:r w:rsidRPr="00200C66">
        <w:rPr>
          <w:rFonts w:ascii="Times New Roman" w:eastAsia="Times New Roman" w:hAnsi="Times New Roman" w:cs="Times New Roman"/>
          <w:i/>
          <w:sz w:val="24"/>
          <w:szCs w:val="24"/>
        </w:rPr>
        <w:br/>
      </w:r>
      <w:proofErr w:type="gramStart"/>
      <w:r w:rsidRPr="00200C66">
        <w:rPr>
          <w:rFonts w:ascii="Times New Roman" w:eastAsia="Times New Roman" w:hAnsi="Times New Roman" w:cs="Times New Roman"/>
          <w:i/>
          <w:sz w:val="24"/>
          <w:szCs w:val="24"/>
        </w:rPr>
        <w:t/>
      </w:r>
      <w:proofErr w:type="gramEnd"/>
      <w:r w:rsidRPr="00200C66">
        <w:rPr>
          <w:rFonts w:ascii="Times New Roman" w:eastAsia="Times New Roman" w:hAnsi="Times New Roman" w:cs="Times New Roman"/>
          <w:i/>
          <w:sz w:val="24"/>
          <w:szCs w:val="24"/>
        </w:rPr>
        <w:t xml:space="preserve"/>
      </w:r>
      <w:bookmarkStart w:id="0" w:name="_GoBack"/>
      <w:bookmarkEnd w:id="0"/>
      <w:r w:rsidRPr="00200C66">
        <w:rPr>
          <w:rFonts w:ascii="Times New Roman" w:eastAsia="Times New Roman" w:hAnsi="Times New Roman" w:cs="Times New Roman"/>
          <w:i/>
          <w:sz w:val="24"/>
          <w:szCs w:val="24"/>
        </w:rPr>
        <w:t xml:space="preserve"/>
      </w:r>
      <w:proofErr w:type="spellStart"/>
      <w:r w:rsidRPr="00200C66">
        <w:rPr>
          <w:rFonts w:ascii="Times New Roman" w:eastAsia="Times New Roman" w:hAnsi="Times New Roman" w:cs="Times New Roman"/>
          <w:i/>
          <w:sz w:val="24"/>
          <w:szCs w:val="24"/>
        </w:rPr>
        <w:t/>
      </w:r>
      <w:proofErr w:type="spellEnd"/>
      <w:r w:rsidRPr="00200C66">
        <w:rPr>
          <w:rFonts w:ascii="Times New Roman" w:eastAsia="Times New Roman" w:hAnsi="Times New Roman" w:cs="Times New Roman"/>
          <w:i/>
          <w:sz w:val="24"/>
          <w:szCs w:val="24"/>
        </w:rPr>
        <w:t xml:space="preserve"/>
      </w:r>
      <w:proofErr w:type="spellStart"/>
      <w:r w:rsidRPr="00200C66">
        <w:rPr>
          <w:rFonts w:ascii="Times New Roman" w:eastAsia="Times New Roman" w:hAnsi="Times New Roman" w:cs="Times New Roman"/>
          <w:i/>
          <w:sz w:val="24"/>
          <w:szCs w:val="24"/>
        </w:rPr>
        <w:t/>
      </w:r>
      <w:proofErr w:type="spellEnd"/>
      <w:r w:rsidRPr="00200C66">
        <w:rPr>
          <w:rFonts w:ascii="Times New Roman" w:eastAsia="Times New Roman" w:hAnsi="Times New Roman" w:cs="Times New Roman"/>
          <w:i/>
          <w:sz w:val="24"/>
          <w:szCs w:val="24"/>
        </w:rPr>
        <w:t xml:space="preserve"/>
      </w:r>
      <w:proofErr w:type="spellStart"/>
      <w:r w:rsidRPr="00200C66">
        <w:rPr>
          <w:rFonts w:ascii="Times New Roman" w:eastAsia="Times New Roman" w:hAnsi="Times New Roman" w:cs="Times New Roman"/>
          <w:i/>
          <w:sz w:val="24"/>
          <w:szCs w:val="24"/>
        </w:rPr>
        <w:t/>
      </w:r>
      <w:proofErr w:type="spellEnd"/>
      <w:r w:rsidRPr="00200C66">
        <w:rPr>
          <w:rFonts w:ascii="Times New Roman" w:eastAsia="Times New Roman" w:hAnsi="Times New Roman" w:cs="Times New Roman"/>
          <w:i/>
          <w:sz w:val="24"/>
          <w:szCs w:val="24"/>
        </w:rPr>
        <w:t xml:space="preserve"/>
      </w:r>
      <w:proofErr w:type="spellStart"/>
      <w:r w:rsidRPr="00200C66">
        <w:rPr>
          <w:rFonts w:ascii="Times New Roman" w:eastAsia="Times New Roman" w:hAnsi="Times New Roman" w:cs="Times New Roman"/>
          <w:i/>
          <w:sz w:val="24"/>
          <w:szCs w:val="24"/>
        </w:rPr>
        <w:t/>
      </w:r>
      <w:proofErr w:type="spellEnd"/>
      <w:r w:rsidRPr="00200C66">
        <w:rPr>
          <w:rFonts w:ascii="Times New Roman" w:eastAsia="Times New Roman" w:hAnsi="Times New Roman" w:cs="Times New Roman"/>
          <w:i/>
          <w:sz w:val="24"/>
          <w:szCs w:val="24"/>
        </w:rPr>
        <w:t xml:space="preserve"/>
      </w:r>
      <w:proofErr w:type="spellStart"/>
      <w:r w:rsidRPr="00200C66">
        <w:rPr>
          <w:rFonts w:ascii="Times New Roman" w:eastAsia="Times New Roman" w:hAnsi="Times New Roman" w:cs="Times New Roman"/>
          <w:i/>
          <w:sz w:val="24"/>
          <w:szCs w:val="24"/>
        </w:rPr>
        <w:t/>
      </w:r>
      <w:proofErr w:type="spellEnd"/>
      <w:r w:rsidRPr="00200C66">
        <w:rPr>
          <w:rFonts w:ascii="Times New Roman" w:eastAsia="Times New Roman" w:hAnsi="Times New Roman" w:cs="Times New Roman"/>
          <w:i/>
          <w:sz w:val="24"/>
          <w:szCs w:val="24"/>
        </w:rPr>
        <w:t xml:space="preserve"/>
      </w:r>
      <w:proofErr w:type="spellStart"/>
      <w:r w:rsidRPr="00200C66">
        <w:rPr>
          <w:rFonts w:ascii="Times New Roman" w:eastAsia="Times New Roman" w:hAnsi="Times New Roman" w:cs="Times New Roman"/>
          <w:i/>
          <w:sz w:val="24"/>
          <w:szCs w:val="24"/>
        </w:rPr>
        <w:t/>
      </w:r>
      <w:proofErr w:type="spellEnd"/>
      <w:r w:rsidRPr="00200C66">
        <w:rPr>
          <w:rFonts w:ascii="Times New Roman" w:eastAsia="Times New Roman" w:hAnsi="Times New Roman" w:cs="Times New Roman"/>
          <w:i/>
          <w:sz w:val="24"/>
          <w:szCs w:val="24"/>
        </w:rPr>
        <w:t xml:space="preserve"/>
      </w:r>
      <w:proofErr w:type="spellStart"/>
      <w:r w:rsidRPr="00200C66">
        <w:rPr>
          <w:rFonts w:ascii="Times New Roman" w:eastAsia="Times New Roman" w:hAnsi="Times New Roman" w:cs="Times New Roman"/>
          <w:i/>
          <w:sz w:val="24"/>
          <w:szCs w:val="24"/>
        </w:rPr>
        <w:t/>
      </w:r>
      <w:proofErr w:type="spellEnd"/>
      <w:r w:rsidRPr="00200C66">
        <w:rPr>
          <w:rFonts w:ascii="Times New Roman" w:eastAsia="Times New Roman" w:hAnsi="Times New Roman" w:cs="Times New Roman"/>
          <w:i/>
          <w:sz w:val="24"/>
          <w:szCs w:val="24"/>
        </w:rPr>
        <w:t xml:space="preserve"/>
      </w:r>
    </w:p>
    <w:p w:rsidR="00720E0D" w:rsidRPr="00200C66" w:rsidRDefault="00720E0D" w:rsidP="00720E0D">
      <w:pPr>
        <w:spacing w:after="0" w:line="240" w:lineRule="auto"/>
        <w:jc w:val="both"/>
        <w:rPr>
          <w:rFonts w:ascii="Times New Roman" w:eastAsia="Times New Roman" w:hAnsi="Times New Roman" w:cs="Times New Roman"/>
          <w:i/>
          <w:sz w:val="24"/>
          <w:szCs w:val="24"/>
        </w:rPr>
      </w:pPr>
      <w:r w:rsidRPr="00200C66">
        <w:rPr>
          <w:rFonts w:ascii="Times New Roman" w:eastAsia="Times New Roman" w:hAnsi="Times New Roman" w:cs="Times New Roman"/>
          <w:b/>
          <w:bCs/>
          <w:i/>
          <w:sz w:val="24"/>
          <w:szCs w:val="24"/>
        </w:rPr>
        <w:t/>
      </w:r>
      <w:r w:rsidRPr="00200C66">
        <w:rPr>
          <w:rFonts w:ascii="Times New Roman" w:eastAsia="Times New Roman" w:hAnsi="Times New Roman" w:cs="Times New Roman"/>
          <w:i/>
          <w:sz w:val="24"/>
          <w:szCs w:val="24"/>
        </w:rPr>
        <w:t xml:space="preserve"/>
      </w:r>
      <w:proofErr w:type="spellStart"/>
      <w:r w:rsidRPr="00200C66">
        <w:rPr>
          <w:rFonts w:ascii="Times New Roman" w:eastAsia="Times New Roman" w:hAnsi="Times New Roman" w:cs="Times New Roman"/>
          <w:b/>
          <w:i/>
          <w:sz w:val="24"/>
          <w:szCs w:val="24"/>
        </w:rPr>
        <w:t/>
      </w:r>
      <w:proofErr w:type="spellEnd"/>
      <w:r w:rsidRPr="00200C66">
        <w:rPr>
          <w:rFonts w:ascii="Times New Roman" w:eastAsia="Times New Roman" w:hAnsi="Times New Roman" w:cs="Times New Roman"/>
          <w:b/>
          <w:i/>
          <w:sz w:val="24"/>
          <w:szCs w:val="24"/>
        </w:rPr>
        <w:t xml:space="preserve"/>
      </w:r>
      <w:proofErr w:type="spellStart"/>
      <w:r w:rsidRPr="00200C66">
        <w:rPr>
          <w:rFonts w:ascii="Times New Roman" w:eastAsia="Times New Roman" w:hAnsi="Times New Roman" w:cs="Times New Roman"/>
          <w:b/>
          <w:i/>
          <w:sz w:val="24"/>
          <w:szCs w:val="24"/>
        </w:rPr>
        <w:t/>
      </w:r>
      <w:proofErr w:type="spellEnd"/>
      <w:r w:rsidRPr="00200C66">
        <w:rPr>
          <w:rFonts w:ascii="Times New Roman" w:eastAsia="Times New Roman" w:hAnsi="Times New Roman" w:cs="Times New Roman"/>
          <w:b/>
          <w:i/>
          <w:sz w:val="24"/>
          <w:szCs w:val="24"/>
        </w:rPr>
        <w:t xml:space="preserve"/>
      </w:r>
    </w:p>
    <w:p w:rsidR="00720E0D" w:rsidRPr="00720E0D" w:rsidRDefault="00720E0D" w:rsidP="00720E0D">
      <w:pPr>
        <w:spacing w:after="0" w:line="240" w:lineRule="auto"/>
        <w:rPr>
          <w:rFonts w:ascii="Times New Roman" w:eastAsia="Times New Roman" w:hAnsi="Times New Roman" w:cs="Times New Roman"/>
          <w:sz w:val="24"/>
          <w:szCs w:val="24"/>
        </w:rPr>
      </w:pPr>
    </w:p>
    <w:p w:rsidR="00720E0D" w:rsidRPr="00200C66" w:rsidRDefault="00720E0D" w:rsidP="00200C66">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200C66">
        <w:rPr>
          <w:rFonts w:ascii="Times New Roman" w:eastAsia="Times New Roman" w:hAnsi="Times New Roman" w:cs="Times New Roman"/>
          <w:b/>
          <w:bCs/>
          <w:sz w:val="28"/>
          <w:szCs w:val="28"/>
        </w:rPr>
        <w:t>INTRODUCTION</w:t>
      </w:r>
    </w:p>
    <w:p w:rsidR="00200C66" w:rsidRPr="00200C66" w:rsidRDefault="00200C66" w:rsidP="00200C66">
      <w:pPr>
        <w:pStyle w:val="NormalWeb"/>
        <w:spacing w:line="360" w:lineRule="auto"/>
        <w:jc w:val="both"/>
        <w:rPr>
          <w:sz w:val="28"/>
          <w:szCs w:val="28"/>
        </w:rPr>
      </w:pPr>
      <w:r w:rsidRPr="00200C66">
        <w:rPr>
          <w:sz w:val="28"/>
          <w:szCs w:val="28"/>
        </w:rPr>
        <w:lastRenderedPageBreak/>
        <w:t>Human reliance on herbal medicine dates back thousands of years, making it one of the oldest forms of treatment. Globally, it is estimated that nearly 80% of the population depends on traditional medicine for primary healthcare needs, particularly in developing countries where access to modern medical facilities is limited (World Health Organization, 2023). While many medicinal plants possess proven therapeutic properties, their use presents a paradox: improper preparation, inaccurate dosage, and prolonged consumption can result in adverse health outcomes.</w:t>
      </w:r>
    </w:p>
    <w:p w:rsidR="00200C66" w:rsidRPr="00200C66" w:rsidRDefault="00200C66" w:rsidP="00200C66">
      <w:pPr>
        <w:pStyle w:val="NormalWeb"/>
        <w:spacing w:line="360" w:lineRule="auto"/>
        <w:jc w:val="both"/>
        <w:rPr>
          <w:sz w:val="28"/>
          <w:szCs w:val="28"/>
        </w:rPr>
      </w:pPr>
      <w:r w:rsidRPr="00200C66">
        <w:rPr>
          <w:sz w:val="28"/>
          <w:szCs w:val="28"/>
        </w:rPr>
        <w:t xml:space="preserve">In recent years, commercially produced herbal formulations particularly herbal bitters such as </w:t>
      </w:r>
      <w:proofErr w:type="spellStart"/>
      <w:r w:rsidRPr="00200C66">
        <w:rPr>
          <w:rStyle w:val="Emphasis"/>
          <w:sz w:val="28"/>
          <w:szCs w:val="28"/>
        </w:rPr>
        <w:t>Odogwu</w:t>
      </w:r>
      <w:proofErr w:type="spellEnd"/>
      <w:r w:rsidRPr="00200C66">
        <w:rPr>
          <w:rStyle w:val="Emphasis"/>
          <w:sz w:val="28"/>
          <w:szCs w:val="28"/>
        </w:rPr>
        <w:t xml:space="preserve"> Bitters</w:t>
      </w:r>
      <w:r w:rsidRPr="00200C66">
        <w:rPr>
          <w:sz w:val="28"/>
          <w:szCs w:val="28"/>
        </w:rPr>
        <w:t xml:space="preserve"> have transformed traditional medicine consumption patterns in Nigeria. Unlike carefully prepared indigenous remedies, these products are industrially manufactured alcoholic mixtures, often containing between 20% and 40% ethanol (</w:t>
      </w:r>
      <w:proofErr w:type="spellStart"/>
      <w:r w:rsidRPr="00200C66">
        <w:rPr>
          <w:sz w:val="28"/>
          <w:szCs w:val="28"/>
        </w:rPr>
        <w:t>Okoye</w:t>
      </w:r>
      <w:proofErr w:type="spellEnd"/>
      <w:r w:rsidRPr="00200C66">
        <w:rPr>
          <w:sz w:val="28"/>
          <w:szCs w:val="28"/>
        </w:rPr>
        <w:t xml:space="preserve"> et al., 2022). They are aggressively marketed with broad claims including enhancement of vitality, detoxification, and regulation of blood sugar levels. However, manufacturers frequently fail to disclose complete ingredient compositions, making scientific safety evaluation difficult.</w:t>
      </w:r>
    </w:p>
    <w:p w:rsidR="00200C66" w:rsidRPr="00200C66" w:rsidRDefault="00200C66" w:rsidP="00200C66">
      <w:pPr>
        <w:pStyle w:val="NormalWeb"/>
        <w:spacing w:line="360" w:lineRule="auto"/>
        <w:jc w:val="both"/>
        <w:rPr>
          <w:sz w:val="28"/>
          <w:szCs w:val="28"/>
        </w:rPr>
      </w:pPr>
      <w:r w:rsidRPr="00200C66">
        <w:rPr>
          <w:sz w:val="28"/>
          <w:szCs w:val="28"/>
        </w:rPr>
        <w:t>The rising popularity of herbal bitters in Nigeria is driven by several socio-economic factors, including limited access to affordable healthcare, distrust in conventional pharmaceuticals, and widespread cultural acceptance of herbal remedies (</w:t>
      </w:r>
      <w:proofErr w:type="spellStart"/>
      <w:r w:rsidRPr="00200C66">
        <w:rPr>
          <w:sz w:val="28"/>
          <w:szCs w:val="28"/>
        </w:rPr>
        <w:t>Ekor</w:t>
      </w:r>
      <w:proofErr w:type="spellEnd"/>
      <w:r w:rsidRPr="00200C66">
        <w:rPr>
          <w:sz w:val="28"/>
          <w:szCs w:val="28"/>
        </w:rPr>
        <w:t xml:space="preserve">, 2014; </w:t>
      </w:r>
      <w:proofErr w:type="spellStart"/>
      <w:r w:rsidRPr="00200C66">
        <w:rPr>
          <w:sz w:val="28"/>
          <w:szCs w:val="28"/>
        </w:rPr>
        <w:t>Adeyemi</w:t>
      </w:r>
      <w:proofErr w:type="spellEnd"/>
      <w:r w:rsidRPr="00200C66">
        <w:rPr>
          <w:sz w:val="28"/>
          <w:szCs w:val="28"/>
        </w:rPr>
        <w:t xml:space="preserve"> et al., 2021). These products are often perceived as harmless “health tonics,” a misconception that obscures their potential risks such as organ toxicity, alcohol dependency, and harmful drug herb interactions.</w:t>
      </w:r>
    </w:p>
    <w:p w:rsidR="00200C66" w:rsidRPr="00200C66" w:rsidRDefault="00200C66" w:rsidP="00200C66">
      <w:pPr>
        <w:pStyle w:val="NormalWeb"/>
        <w:spacing w:line="360" w:lineRule="auto"/>
        <w:jc w:val="both"/>
        <w:rPr>
          <w:sz w:val="28"/>
          <w:szCs w:val="28"/>
        </w:rPr>
      </w:pPr>
      <w:r w:rsidRPr="00200C66">
        <w:rPr>
          <w:sz w:val="28"/>
          <w:szCs w:val="28"/>
        </w:rPr>
        <w:t>Although certain constituents commonly found in herbal bitters such as ginger (</w:t>
      </w:r>
      <w:proofErr w:type="spellStart"/>
      <w:r w:rsidRPr="00200C66">
        <w:rPr>
          <w:rStyle w:val="Emphasis"/>
          <w:sz w:val="28"/>
          <w:szCs w:val="28"/>
        </w:rPr>
        <w:t>Zingiber</w:t>
      </w:r>
      <w:proofErr w:type="spellEnd"/>
      <w:r w:rsidRPr="00200C66">
        <w:rPr>
          <w:rStyle w:val="Emphasis"/>
          <w:sz w:val="28"/>
          <w:szCs w:val="28"/>
        </w:rPr>
        <w:t xml:space="preserve"> </w:t>
      </w:r>
      <w:proofErr w:type="spellStart"/>
      <w:r w:rsidRPr="00200C66">
        <w:rPr>
          <w:rStyle w:val="Emphasis"/>
          <w:sz w:val="28"/>
          <w:szCs w:val="28"/>
        </w:rPr>
        <w:t>officinale</w:t>
      </w:r>
      <w:proofErr w:type="spellEnd"/>
      <w:r w:rsidRPr="00200C66">
        <w:rPr>
          <w:sz w:val="28"/>
          <w:szCs w:val="28"/>
        </w:rPr>
        <w:t xml:space="preserve">) and honey are known to possess antioxidant and anti-inflammatory properties, their combined effects with high alcohol content and </w:t>
      </w:r>
      <w:r w:rsidRPr="00200C66">
        <w:rPr>
          <w:sz w:val="28"/>
          <w:szCs w:val="28"/>
        </w:rPr>
        <w:lastRenderedPageBreak/>
        <w:t>other undisclosed phytochemicals remain poorly understood (</w:t>
      </w:r>
      <w:proofErr w:type="spellStart"/>
      <w:r w:rsidRPr="00200C66">
        <w:rPr>
          <w:sz w:val="28"/>
          <w:szCs w:val="28"/>
        </w:rPr>
        <w:t>Oyenihi</w:t>
      </w:r>
      <w:proofErr w:type="spellEnd"/>
      <w:r w:rsidRPr="00200C66">
        <w:rPr>
          <w:sz w:val="28"/>
          <w:szCs w:val="28"/>
        </w:rPr>
        <w:t xml:space="preserve"> et al., 2020). Furthermore, the pattern of consumption has shifted from occasional therapeutic use to frequent daily intake, significantly increasing the risk of cumulative toxicity.</w:t>
      </w:r>
    </w:p>
    <w:p w:rsidR="00200C66" w:rsidRPr="00200C66" w:rsidRDefault="00200C66" w:rsidP="00200C66">
      <w:pPr>
        <w:pStyle w:val="NormalWeb"/>
        <w:spacing w:line="360" w:lineRule="auto"/>
        <w:jc w:val="both"/>
        <w:rPr>
          <w:sz w:val="28"/>
          <w:szCs w:val="28"/>
        </w:rPr>
      </w:pPr>
      <w:r w:rsidRPr="00200C66">
        <w:rPr>
          <w:sz w:val="28"/>
          <w:szCs w:val="28"/>
        </w:rPr>
        <w:t xml:space="preserve">Critical organs such as the testis, pancreas, and duodenum are particularly susceptible to toxic insult. The testis is highly sensitive due to its active </w:t>
      </w:r>
      <w:proofErr w:type="spellStart"/>
      <w:r w:rsidRPr="00200C66">
        <w:rPr>
          <w:sz w:val="28"/>
          <w:szCs w:val="28"/>
        </w:rPr>
        <w:t>spermatogenic</w:t>
      </w:r>
      <w:proofErr w:type="spellEnd"/>
      <w:r w:rsidRPr="00200C66">
        <w:rPr>
          <w:sz w:val="28"/>
          <w:szCs w:val="28"/>
        </w:rPr>
        <w:t xml:space="preserve"> processes and limited detoxification capacity (Aitken &amp; Roman, 2008). The pancreas is vulnerable to alcohol-induced oxidative stress and inflammation, which may lead to pancreatitis and metabolic dysfunction (</w:t>
      </w:r>
      <w:proofErr w:type="spellStart"/>
      <w:r w:rsidRPr="00200C66">
        <w:rPr>
          <w:sz w:val="28"/>
          <w:szCs w:val="28"/>
        </w:rPr>
        <w:t>Ceni</w:t>
      </w:r>
      <w:proofErr w:type="spellEnd"/>
      <w:r w:rsidRPr="00200C66">
        <w:rPr>
          <w:sz w:val="28"/>
          <w:szCs w:val="28"/>
        </w:rPr>
        <w:t xml:space="preserve"> et al., 2014). Meanwhile, the duodenum, though capable of rapid regeneration, can be compromised by prolonged exposure to irritants, resulting in mucosal erosion and impaired nutrient absorption.</w:t>
      </w:r>
    </w:p>
    <w:p w:rsidR="00200C66" w:rsidRPr="00200C66" w:rsidRDefault="00200C66" w:rsidP="00200C66">
      <w:pPr>
        <w:pStyle w:val="Heading2"/>
        <w:spacing w:line="360" w:lineRule="auto"/>
        <w:jc w:val="both"/>
        <w:rPr>
          <w:color w:val="auto"/>
          <w:sz w:val="28"/>
          <w:szCs w:val="28"/>
        </w:rPr>
      </w:pPr>
      <w:r w:rsidRPr="00200C66">
        <w:rPr>
          <w:rStyle w:val="Strong"/>
          <w:b/>
          <w:bCs/>
          <w:color w:val="auto"/>
          <w:sz w:val="28"/>
          <w:szCs w:val="28"/>
        </w:rPr>
        <w:t>PROBLEM STATEMENT</w:t>
      </w:r>
    </w:p>
    <w:p w:rsidR="00200C66" w:rsidRPr="00200C66" w:rsidRDefault="00200C66" w:rsidP="00200C66">
      <w:pPr>
        <w:pStyle w:val="NormalWeb"/>
        <w:spacing w:line="360" w:lineRule="auto"/>
        <w:jc w:val="both"/>
        <w:rPr>
          <w:sz w:val="28"/>
          <w:szCs w:val="28"/>
        </w:rPr>
      </w:pPr>
      <w:r w:rsidRPr="00200C66">
        <w:rPr>
          <w:sz w:val="28"/>
          <w:szCs w:val="28"/>
        </w:rPr>
        <w:t>Despite the widespread consumption of herbal bitters in Nigeria, there is a significant gap in scientific knowledge regarding their safety and long-term health implications. While previous studies have documented the adverse effects of herbal formulations on organs such as the liver and kidneys, limited research has specifically examined their impact on the pancreas and intestinal tissues organs directly associated with digestion and metabolic regulation, which are often the primary targets of product claims.</w:t>
      </w:r>
    </w:p>
    <w:p w:rsidR="00200C66" w:rsidRPr="00200C66" w:rsidRDefault="00200C66" w:rsidP="00200C66">
      <w:pPr>
        <w:pStyle w:val="NormalWeb"/>
        <w:spacing w:line="360" w:lineRule="auto"/>
        <w:jc w:val="both"/>
        <w:rPr>
          <w:sz w:val="28"/>
          <w:szCs w:val="28"/>
        </w:rPr>
      </w:pPr>
      <w:r w:rsidRPr="00200C66">
        <w:rPr>
          <w:sz w:val="28"/>
          <w:szCs w:val="28"/>
        </w:rPr>
        <w:t>Additionally, the lack of regulatory transparency regarding ingredient composition, dosage standardization, and toxicity profiling further complicates risk assessment (National Agency for Food and Drug Administration and Control, 2022). Consumers are therefore exposed to potential health hazards under the false assumption of safety due to the “natural” origin of these products.</w:t>
      </w:r>
    </w:p>
    <w:p w:rsidR="00D51120" w:rsidRPr="00D51120" w:rsidRDefault="00200C66" w:rsidP="00D51120">
      <w:pPr>
        <w:pStyle w:val="NormalWeb"/>
        <w:spacing w:line="360" w:lineRule="auto"/>
        <w:jc w:val="both"/>
        <w:rPr>
          <w:sz w:val="28"/>
          <w:szCs w:val="28"/>
        </w:rPr>
      </w:pPr>
      <w:r w:rsidRPr="00200C66">
        <w:rPr>
          <w:sz w:val="28"/>
          <w:szCs w:val="28"/>
        </w:rPr>
        <w:lastRenderedPageBreak/>
        <w:t xml:space="preserve">Given the increasing prevalence of herbal bitters consumption and the potential for dose-dependent toxicity, there is an urgent need for controlled experimental studies to evaluate their </w:t>
      </w:r>
      <w:proofErr w:type="spellStart"/>
      <w:r w:rsidRPr="00200C66">
        <w:rPr>
          <w:sz w:val="28"/>
          <w:szCs w:val="28"/>
        </w:rPr>
        <w:t>histopathological</w:t>
      </w:r>
      <w:proofErr w:type="spellEnd"/>
      <w:r w:rsidRPr="00200C66">
        <w:rPr>
          <w:sz w:val="28"/>
          <w:szCs w:val="28"/>
        </w:rPr>
        <w:t xml:space="preserve"> effects on vital organs. This study aims to address this gap by investigating the effects of </w:t>
      </w:r>
      <w:proofErr w:type="spellStart"/>
      <w:r w:rsidRPr="00200C66">
        <w:rPr>
          <w:rStyle w:val="Emphasis"/>
          <w:sz w:val="28"/>
          <w:szCs w:val="28"/>
        </w:rPr>
        <w:t>Odogwu</w:t>
      </w:r>
      <w:proofErr w:type="spellEnd"/>
      <w:r w:rsidRPr="00200C66">
        <w:rPr>
          <w:rStyle w:val="Emphasis"/>
          <w:sz w:val="28"/>
          <w:szCs w:val="28"/>
        </w:rPr>
        <w:t xml:space="preserve"> Bitters</w:t>
      </w:r>
      <w:r w:rsidRPr="00200C66">
        <w:rPr>
          <w:sz w:val="28"/>
          <w:szCs w:val="28"/>
        </w:rPr>
        <w:t xml:space="preserve"> on the testis, pancreas, and duodenum, with a focus on establishing dose-response relationships and providing scientific evidence to inform public health policy and consumer awareness.</w:t>
      </w:r>
    </w:p>
    <w:p w:rsidR="00D51120" w:rsidRPr="00D51120" w:rsidRDefault="00D51120" w:rsidP="00D51120">
      <w:pPr>
        <w:pStyle w:val="Heading3"/>
        <w:spacing w:line="360" w:lineRule="auto"/>
        <w:jc w:val="both"/>
        <w:rPr>
          <w:sz w:val="28"/>
          <w:szCs w:val="28"/>
        </w:rPr>
      </w:pPr>
      <w:r w:rsidRPr="00D51120">
        <w:rPr>
          <w:rStyle w:val="Strong"/>
          <w:b/>
          <w:bCs/>
          <w:sz w:val="28"/>
          <w:szCs w:val="28"/>
        </w:rPr>
        <w:t>METHODOLOGY</w:t>
      </w:r>
    </w:p>
    <w:p w:rsidR="00D51120" w:rsidRPr="00D51120" w:rsidRDefault="00D51120" w:rsidP="00D51120">
      <w:pPr>
        <w:pStyle w:val="NormalWeb"/>
        <w:spacing w:line="360" w:lineRule="auto"/>
        <w:jc w:val="both"/>
        <w:rPr>
          <w:sz w:val="28"/>
          <w:szCs w:val="28"/>
        </w:rPr>
      </w:pPr>
      <w:r w:rsidRPr="00D51120">
        <w:rPr>
          <w:sz w:val="28"/>
          <w:szCs w:val="28"/>
        </w:rPr>
        <w:t xml:space="preserve">This study adopted a randomized, controlled experimental approach and was carried out over a period of 28 days, following an initial 7-day acclimatization phase. Ethical clearance was obtained from the institutional ethics committee (DUFUHS/IACUC/2025/024). All experimental procedures were conducted at the Animal House Facility of David </w:t>
      </w:r>
      <w:proofErr w:type="spellStart"/>
      <w:r w:rsidRPr="00D51120">
        <w:rPr>
          <w:sz w:val="28"/>
          <w:szCs w:val="28"/>
        </w:rPr>
        <w:t>Umahi</w:t>
      </w:r>
      <w:proofErr w:type="spellEnd"/>
      <w:r w:rsidRPr="00D51120">
        <w:rPr>
          <w:sz w:val="28"/>
          <w:szCs w:val="28"/>
        </w:rPr>
        <w:t xml:space="preserve"> Federal University of Health Sciences, while tissue analyses were performed in the institution’s Histopathology Laboratory.</w:t>
      </w:r>
    </w:p>
    <w:p w:rsidR="00D51120" w:rsidRPr="00D51120" w:rsidRDefault="00D51120" w:rsidP="00D51120">
      <w:pPr>
        <w:pStyle w:val="NormalWeb"/>
        <w:spacing w:line="360" w:lineRule="auto"/>
        <w:jc w:val="both"/>
        <w:rPr>
          <w:sz w:val="28"/>
          <w:szCs w:val="28"/>
        </w:rPr>
      </w:pPr>
      <w:proofErr w:type="spellStart"/>
      <w:r w:rsidRPr="00D51120">
        <w:rPr>
          <w:sz w:val="28"/>
          <w:szCs w:val="28"/>
        </w:rPr>
        <w:t>Odogwu</w:t>
      </w:r>
      <w:proofErr w:type="spellEnd"/>
      <w:r w:rsidRPr="00D51120">
        <w:rPr>
          <w:sz w:val="28"/>
          <w:szCs w:val="28"/>
        </w:rPr>
        <w:t xml:space="preserve"> Bitters used in this study was purchased from a licensed vendor in </w:t>
      </w:r>
      <w:proofErr w:type="spellStart"/>
      <w:r w:rsidRPr="00D51120">
        <w:rPr>
          <w:sz w:val="28"/>
          <w:szCs w:val="28"/>
        </w:rPr>
        <w:t>Uburu</w:t>
      </w:r>
      <w:proofErr w:type="spellEnd"/>
      <w:r w:rsidRPr="00D51120">
        <w:rPr>
          <w:sz w:val="28"/>
          <w:szCs w:val="28"/>
        </w:rPr>
        <w:t xml:space="preserve"> and verified by batch authentication. Independent laboratory assessment showed that the product contained 22.5% alcohol by volume, had a pH of 4.2, and a specific gravity of 1.045. The sample was stored at room temperature and used within 30 days of purchase.</w:t>
      </w:r>
    </w:p>
    <w:p w:rsidR="00D51120" w:rsidRPr="00D51120" w:rsidRDefault="00D51120" w:rsidP="00D51120">
      <w:pPr>
        <w:pStyle w:val="NormalWeb"/>
        <w:spacing w:line="360" w:lineRule="auto"/>
        <w:jc w:val="both"/>
        <w:rPr>
          <w:sz w:val="28"/>
          <w:szCs w:val="28"/>
        </w:rPr>
      </w:pPr>
      <w:r w:rsidRPr="00D51120">
        <w:rPr>
          <w:sz w:val="28"/>
          <w:szCs w:val="28"/>
        </w:rPr>
        <w:t xml:space="preserve">A total of thirty adult male </w:t>
      </w:r>
      <w:proofErr w:type="spellStart"/>
      <w:r w:rsidRPr="00D51120">
        <w:rPr>
          <w:sz w:val="28"/>
          <w:szCs w:val="28"/>
        </w:rPr>
        <w:t>Wistar</w:t>
      </w:r>
      <w:proofErr w:type="spellEnd"/>
      <w:r w:rsidRPr="00D51120">
        <w:rPr>
          <w:sz w:val="28"/>
          <w:szCs w:val="28"/>
        </w:rPr>
        <w:t xml:space="preserve"> rats, weighing between 180 and 220 g and aged 10–12 </w:t>
      </w:r>
      <w:proofErr w:type="gramStart"/>
      <w:r w:rsidRPr="00D51120">
        <w:rPr>
          <w:sz w:val="28"/>
          <w:szCs w:val="28"/>
        </w:rPr>
        <w:t>weeks,</w:t>
      </w:r>
      <w:proofErr w:type="gramEnd"/>
      <w:r w:rsidRPr="00D51120">
        <w:rPr>
          <w:sz w:val="28"/>
          <w:szCs w:val="28"/>
        </w:rPr>
        <w:t xml:space="preserve"> were sourced from the university’s breeding unit. The animals were housed in standard polypropylene cages under controlled environmental conditions, including a temperature range of 22–25°C, relative humidity of 50–</w:t>
      </w:r>
      <w:r w:rsidRPr="00D51120">
        <w:rPr>
          <w:sz w:val="28"/>
          <w:szCs w:val="28"/>
        </w:rPr>
        <w:lastRenderedPageBreak/>
        <w:t>60%, and a 12-hour light/dark cycle. They were given unrestricted access to feed and water. Bedding materials were replaced every 48 hours, and cages were thoroughly cleaned weekly in line with standard animal care protocols.</w:t>
      </w:r>
    </w:p>
    <w:p w:rsidR="00D51120" w:rsidRPr="00D51120" w:rsidRDefault="00D51120" w:rsidP="00D51120">
      <w:pPr>
        <w:pStyle w:val="NormalWeb"/>
        <w:spacing w:line="360" w:lineRule="auto"/>
        <w:jc w:val="both"/>
        <w:rPr>
          <w:sz w:val="28"/>
          <w:szCs w:val="28"/>
        </w:rPr>
      </w:pPr>
      <w:r w:rsidRPr="00D51120">
        <w:rPr>
          <w:sz w:val="28"/>
          <w:szCs w:val="28"/>
        </w:rPr>
        <w:t xml:space="preserve">Following acclimatization, the median lethal dose (LD₅₀) of </w:t>
      </w:r>
      <w:proofErr w:type="spellStart"/>
      <w:r w:rsidRPr="00D51120">
        <w:rPr>
          <w:sz w:val="28"/>
          <w:szCs w:val="28"/>
        </w:rPr>
        <w:t>Odogwu</w:t>
      </w:r>
      <w:proofErr w:type="spellEnd"/>
      <w:r w:rsidRPr="00D51120">
        <w:rPr>
          <w:sz w:val="28"/>
          <w:szCs w:val="28"/>
        </w:rPr>
        <w:t xml:space="preserve"> Bitters was determined using </w:t>
      </w:r>
      <w:proofErr w:type="spellStart"/>
      <w:r w:rsidRPr="00D51120">
        <w:rPr>
          <w:sz w:val="28"/>
          <w:szCs w:val="28"/>
        </w:rPr>
        <w:t>Lorke’s</w:t>
      </w:r>
      <w:proofErr w:type="spellEnd"/>
      <w:r w:rsidRPr="00D51120">
        <w:rPr>
          <w:sz w:val="28"/>
          <w:szCs w:val="28"/>
        </w:rPr>
        <w:t xml:space="preserve"> method. A separate group of ten rats received graded oral doses ranging from 10 to 2900 mg/kg. The LD₅₀ value was calculated using the formula </w:t>
      </w:r>
      <w:proofErr w:type="gramStart"/>
      <w:r w:rsidRPr="00D51120">
        <w:rPr>
          <w:sz w:val="28"/>
          <w:szCs w:val="28"/>
        </w:rPr>
        <w:t>√(</w:t>
      </w:r>
      <w:proofErr w:type="gramEnd"/>
      <w:r w:rsidRPr="00D51120">
        <w:rPr>
          <w:sz w:val="28"/>
          <w:szCs w:val="28"/>
        </w:rPr>
        <w:t>D₀ × D₁₀₀).</w:t>
      </w:r>
    </w:p>
    <w:p w:rsidR="00D51120" w:rsidRPr="00D51120" w:rsidRDefault="00D51120" w:rsidP="00D51120">
      <w:pPr>
        <w:pStyle w:val="NormalWeb"/>
        <w:spacing w:line="360" w:lineRule="auto"/>
        <w:jc w:val="both"/>
        <w:rPr>
          <w:sz w:val="28"/>
          <w:szCs w:val="28"/>
        </w:rPr>
      </w:pPr>
      <w:r w:rsidRPr="00D51120">
        <w:rPr>
          <w:sz w:val="28"/>
          <w:szCs w:val="28"/>
        </w:rPr>
        <w:t xml:space="preserve">For the main experiment, twenty rats were randomly divided into four groups of five animals each. The control group received distilled water (5 mL/kg), while the treatment groups were administered low (2.5 mL/kg), medium (5.0 mL/kg), and high (10.0 mL/kg) doses of </w:t>
      </w:r>
      <w:proofErr w:type="spellStart"/>
      <w:r w:rsidRPr="00D51120">
        <w:rPr>
          <w:sz w:val="28"/>
          <w:szCs w:val="28"/>
        </w:rPr>
        <w:t>Odogwu</w:t>
      </w:r>
      <w:proofErr w:type="spellEnd"/>
      <w:r w:rsidRPr="00D51120">
        <w:rPr>
          <w:sz w:val="28"/>
          <w:szCs w:val="28"/>
        </w:rPr>
        <w:t xml:space="preserve"> Bitters, respectively. All treatments were given orally once daily for 28 days, with dosage adjustments made weekly based on body weight changes.</w:t>
      </w:r>
    </w:p>
    <w:p w:rsidR="00D51120" w:rsidRPr="00D51120" w:rsidRDefault="00D51120" w:rsidP="00D51120">
      <w:pPr>
        <w:pStyle w:val="NormalWeb"/>
        <w:spacing w:line="360" w:lineRule="auto"/>
        <w:jc w:val="both"/>
        <w:rPr>
          <w:sz w:val="28"/>
          <w:szCs w:val="28"/>
        </w:rPr>
      </w:pPr>
      <w:r w:rsidRPr="00D51120">
        <w:rPr>
          <w:sz w:val="28"/>
          <w:szCs w:val="28"/>
        </w:rPr>
        <w:t>Throughout the study, animals were closely monitored for observable clinical signs, including behavioral, gastrointestinal, respiratory, and neurological changes. Body weight was recorded weekly, while food and water intake were measured on a daily basis.</w:t>
      </w:r>
      <w:r w:rsidR="008F1E3C">
        <w:rPr>
          <w:sz w:val="28"/>
          <w:szCs w:val="28"/>
        </w:rPr>
        <w:t xml:space="preserve"> </w:t>
      </w:r>
      <w:r w:rsidRPr="00D51120">
        <w:rPr>
          <w:sz w:val="28"/>
          <w:szCs w:val="28"/>
        </w:rPr>
        <w:t>At the end of the experimental period, the animals were fasted overnight before being sedated using carbon dioxide and subsequently anesthetized, with loss of reflexes confirming adequate anesthesia. Blood samples were collected via retro-orbital puncture. Humane euthanasia was then carried out through cervical dislocation under deep anesthesia.</w:t>
      </w:r>
    </w:p>
    <w:p w:rsidR="00D51120" w:rsidRPr="00D51120" w:rsidRDefault="00D51120" w:rsidP="00D51120">
      <w:pPr>
        <w:pStyle w:val="NormalWeb"/>
        <w:spacing w:line="360" w:lineRule="auto"/>
        <w:jc w:val="both"/>
        <w:rPr>
          <w:sz w:val="28"/>
          <w:szCs w:val="28"/>
        </w:rPr>
      </w:pPr>
      <w:r w:rsidRPr="00D51120">
        <w:rPr>
          <w:sz w:val="28"/>
          <w:szCs w:val="28"/>
        </w:rPr>
        <w:t>The testes, pancreas, and a 1.5 cm segment of the duodenum were carefully excised. These tissues were rinsed in cold phosphate-buffered saline, blotted dry, weighed, and fixed in 10% neutral buffered formalin for preservation.</w:t>
      </w:r>
      <w:r>
        <w:rPr>
          <w:sz w:val="28"/>
          <w:szCs w:val="28"/>
        </w:rPr>
        <w:t xml:space="preserve"> </w:t>
      </w:r>
      <w:r w:rsidRPr="00D51120">
        <w:rPr>
          <w:sz w:val="28"/>
          <w:szCs w:val="28"/>
        </w:rPr>
        <w:t xml:space="preserve">Standard </w:t>
      </w:r>
      <w:r w:rsidRPr="00D51120">
        <w:rPr>
          <w:sz w:val="28"/>
          <w:szCs w:val="28"/>
        </w:rPr>
        <w:lastRenderedPageBreak/>
        <w:t xml:space="preserve">histological techniques were employed in tissue processing. </w:t>
      </w:r>
      <w:proofErr w:type="gramStart"/>
      <w:r w:rsidRPr="00D51120">
        <w:rPr>
          <w:sz w:val="28"/>
          <w:szCs w:val="28"/>
        </w:rPr>
        <w:t xml:space="preserve">This involved fixation, dehydration through graded ethanol, clearing in xylene, embedding in paraffin, and sectioning at a thickness of 5 </w:t>
      </w:r>
      <w:proofErr w:type="spellStart"/>
      <w:r w:rsidRPr="00D51120">
        <w:rPr>
          <w:sz w:val="28"/>
          <w:szCs w:val="28"/>
        </w:rPr>
        <w:t>μm</w:t>
      </w:r>
      <w:proofErr w:type="spellEnd"/>
      <w:r w:rsidRPr="00D51120">
        <w:rPr>
          <w:sz w:val="28"/>
          <w:szCs w:val="28"/>
        </w:rPr>
        <w:t>.</w:t>
      </w:r>
      <w:proofErr w:type="gramEnd"/>
      <w:r w:rsidRPr="00D51120">
        <w:rPr>
          <w:sz w:val="28"/>
          <w:szCs w:val="28"/>
        </w:rPr>
        <w:t xml:space="preserve"> Tissue sections were stained using </w:t>
      </w:r>
      <w:proofErr w:type="spellStart"/>
      <w:r w:rsidRPr="00D51120">
        <w:rPr>
          <w:sz w:val="28"/>
          <w:szCs w:val="28"/>
        </w:rPr>
        <w:t>hematoxylin</w:t>
      </w:r>
      <w:proofErr w:type="spellEnd"/>
      <w:r w:rsidRPr="00D51120">
        <w:rPr>
          <w:sz w:val="28"/>
          <w:szCs w:val="28"/>
        </w:rPr>
        <w:t xml:space="preserve"> and eosin (H&amp;E) for microscopic examination.</w:t>
      </w:r>
    </w:p>
    <w:p w:rsidR="00D51120" w:rsidRPr="00D51120" w:rsidRDefault="00D51120" w:rsidP="00D51120">
      <w:pPr>
        <w:pStyle w:val="NormalWeb"/>
        <w:spacing w:line="360" w:lineRule="auto"/>
        <w:jc w:val="both"/>
        <w:rPr>
          <w:sz w:val="28"/>
          <w:szCs w:val="28"/>
        </w:rPr>
      </w:pPr>
      <w:proofErr w:type="spellStart"/>
      <w:r w:rsidRPr="00D51120">
        <w:rPr>
          <w:sz w:val="28"/>
          <w:szCs w:val="28"/>
        </w:rPr>
        <w:t>Histopathological</w:t>
      </w:r>
      <w:proofErr w:type="spellEnd"/>
      <w:r w:rsidRPr="00D51120">
        <w:rPr>
          <w:sz w:val="28"/>
          <w:szCs w:val="28"/>
        </w:rPr>
        <w:t xml:space="preserve"> assessment was carried out in a blinded manner using an Olympus BX53 microscope. </w:t>
      </w:r>
      <w:proofErr w:type="gramStart"/>
      <w:r w:rsidRPr="00D51120">
        <w:rPr>
          <w:sz w:val="28"/>
          <w:szCs w:val="28"/>
        </w:rPr>
        <w:t xml:space="preserve">Specific features evaluated included testicular structure (seminiferous tubules, germinal epithelium, spermatogenesis, and </w:t>
      </w:r>
      <w:proofErr w:type="spellStart"/>
      <w:r w:rsidRPr="00D51120">
        <w:rPr>
          <w:sz w:val="28"/>
          <w:szCs w:val="28"/>
        </w:rPr>
        <w:t>interstitium</w:t>
      </w:r>
      <w:proofErr w:type="spellEnd"/>
      <w:r w:rsidRPr="00D51120">
        <w:rPr>
          <w:sz w:val="28"/>
          <w:szCs w:val="28"/>
        </w:rPr>
        <w:t xml:space="preserve">), pancreatic architecture (islet cell morphology, </w:t>
      </w:r>
      <w:proofErr w:type="spellStart"/>
      <w:r w:rsidRPr="00D51120">
        <w:rPr>
          <w:sz w:val="28"/>
          <w:szCs w:val="28"/>
        </w:rPr>
        <w:t>acinar</w:t>
      </w:r>
      <w:proofErr w:type="spellEnd"/>
      <w:r w:rsidRPr="00D51120">
        <w:rPr>
          <w:sz w:val="28"/>
          <w:szCs w:val="28"/>
        </w:rPr>
        <w:t xml:space="preserve"> structure, and inflammatory changes), and duodenal integrity (villus structure, crypts, epithelial lining, goblet cells, and inflammation).</w:t>
      </w:r>
      <w:proofErr w:type="gramEnd"/>
      <w:r w:rsidRPr="00D51120">
        <w:rPr>
          <w:sz w:val="28"/>
          <w:szCs w:val="28"/>
        </w:rPr>
        <w:t xml:space="preserve"> Observations were graded semi-quantitatively on a scale of 0 to 3. Representative photomicrographs were captured at magnifications of ×100, ×200, and ×400.</w:t>
      </w:r>
    </w:p>
    <w:p w:rsidR="00D51120" w:rsidRPr="00D51120" w:rsidRDefault="00D51120" w:rsidP="00D51120">
      <w:pPr>
        <w:pStyle w:val="NormalWeb"/>
        <w:spacing w:line="360" w:lineRule="auto"/>
        <w:jc w:val="both"/>
        <w:rPr>
          <w:sz w:val="28"/>
          <w:szCs w:val="28"/>
        </w:rPr>
      </w:pPr>
      <w:r w:rsidRPr="00D51120">
        <w:rPr>
          <w:sz w:val="28"/>
          <w:szCs w:val="28"/>
        </w:rPr>
        <w:t>Data analysis was performed using SPSS version 25. The Shapiro–</w:t>
      </w:r>
      <w:proofErr w:type="spellStart"/>
      <w:r w:rsidRPr="00D51120">
        <w:rPr>
          <w:sz w:val="28"/>
          <w:szCs w:val="28"/>
        </w:rPr>
        <w:t>Wilk</w:t>
      </w:r>
      <w:proofErr w:type="spellEnd"/>
      <w:r w:rsidRPr="00D51120">
        <w:rPr>
          <w:sz w:val="28"/>
          <w:szCs w:val="28"/>
        </w:rPr>
        <w:t xml:space="preserve"> test was used to assess data normality. Parametric variables, such as body and organ weights, were analyzed using one-way ANOVA followed by </w:t>
      </w:r>
      <w:proofErr w:type="spellStart"/>
      <w:r w:rsidRPr="00D51120">
        <w:rPr>
          <w:sz w:val="28"/>
          <w:szCs w:val="28"/>
        </w:rPr>
        <w:t>Tukey’s</w:t>
      </w:r>
      <w:proofErr w:type="spellEnd"/>
      <w:r w:rsidRPr="00D51120">
        <w:rPr>
          <w:sz w:val="28"/>
          <w:szCs w:val="28"/>
        </w:rPr>
        <w:t xml:space="preserve"> post-hoc test. Non-parametric data, including </w:t>
      </w:r>
      <w:proofErr w:type="spellStart"/>
      <w:r w:rsidRPr="00D51120">
        <w:rPr>
          <w:sz w:val="28"/>
          <w:szCs w:val="28"/>
        </w:rPr>
        <w:t>histopathological</w:t>
      </w:r>
      <w:proofErr w:type="spellEnd"/>
      <w:r w:rsidRPr="00D51120">
        <w:rPr>
          <w:sz w:val="28"/>
          <w:szCs w:val="28"/>
        </w:rPr>
        <w:t xml:space="preserve"> scores, were analyzed using the </w:t>
      </w:r>
      <w:proofErr w:type="spellStart"/>
      <w:r w:rsidRPr="00D51120">
        <w:rPr>
          <w:sz w:val="28"/>
          <w:szCs w:val="28"/>
        </w:rPr>
        <w:t>Kruskal</w:t>
      </w:r>
      <w:proofErr w:type="spellEnd"/>
      <w:r w:rsidRPr="00D51120">
        <w:rPr>
          <w:sz w:val="28"/>
          <w:szCs w:val="28"/>
        </w:rPr>
        <w:t xml:space="preserve">–Wallis test, with subsequent Mann Whitney U tests and </w:t>
      </w:r>
      <w:proofErr w:type="spellStart"/>
      <w:r w:rsidRPr="00D51120">
        <w:rPr>
          <w:sz w:val="28"/>
          <w:szCs w:val="28"/>
        </w:rPr>
        <w:t>Bonferroni</w:t>
      </w:r>
      <w:proofErr w:type="spellEnd"/>
      <w:r w:rsidRPr="00D51120">
        <w:rPr>
          <w:sz w:val="28"/>
          <w:szCs w:val="28"/>
        </w:rPr>
        <w:t xml:space="preserve"> correction where applicable. Statistical significance was set at p &lt; 0.05. Results were presented as mean ± standard deviation or as median with interquartile range.</w:t>
      </w:r>
    </w:p>
    <w:p w:rsidR="00200C66" w:rsidRPr="008B4424" w:rsidRDefault="00D51120" w:rsidP="008B4424">
      <w:pPr>
        <w:pStyle w:val="NormalWeb"/>
        <w:spacing w:line="360" w:lineRule="auto"/>
        <w:jc w:val="both"/>
        <w:rPr>
          <w:sz w:val="28"/>
          <w:szCs w:val="28"/>
        </w:rPr>
      </w:pPr>
      <w:r w:rsidRPr="00D51120">
        <w:rPr>
          <w:sz w:val="28"/>
          <w:szCs w:val="28"/>
        </w:rPr>
        <w:t>All procedures were conducted in strict accordance with established ethical standards for animal research. Efforts were made to minimize animal use, reduce suffering, and improve overall welfare through measures such as environmental enrichment and careful handling throughout the study.</w:t>
      </w:r>
    </w:p>
    <w:p w:rsidR="0099474B" w:rsidRPr="00C05F2E" w:rsidRDefault="0091626A" w:rsidP="00C05F2E">
      <w:pPr>
        <w:spacing w:line="360" w:lineRule="auto"/>
        <w:jc w:val="both"/>
        <w:rPr>
          <w:rFonts w:ascii="Times New Roman" w:hAnsi="Times New Roman" w:cs="Times New Roman"/>
          <w:b/>
          <w:sz w:val="28"/>
          <w:szCs w:val="28"/>
        </w:rPr>
      </w:pPr>
      <w:r w:rsidRPr="00C05F2E">
        <w:rPr>
          <w:rFonts w:ascii="Times New Roman" w:hAnsi="Times New Roman" w:cs="Times New Roman"/>
          <w:b/>
          <w:sz w:val="28"/>
          <w:szCs w:val="28"/>
        </w:rPr>
        <w:t>RESULTS</w:t>
      </w:r>
    </w:p>
    <w:p w:rsidR="00F502FB" w:rsidRPr="00C05F2E" w:rsidRDefault="00F502FB" w:rsidP="00C05F2E">
      <w:pPr>
        <w:pStyle w:val="NormalWeb"/>
        <w:spacing w:line="360" w:lineRule="auto"/>
        <w:jc w:val="both"/>
        <w:rPr>
          <w:sz w:val="28"/>
          <w:szCs w:val="28"/>
        </w:rPr>
      </w:pPr>
      <w:r w:rsidRPr="00C05F2E">
        <w:rPr>
          <w:sz w:val="28"/>
          <w:szCs w:val="28"/>
        </w:rPr>
        <w:lastRenderedPageBreak/>
        <w:t>Acute toxic</w:t>
      </w:r>
      <w:r w:rsidR="00223342" w:rsidRPr="00C05F2E">
        <w:rPr>
          <w:sz w:val="28"/>
          <w:szCs w:val="28"/>
        </w:rPr>
        <w:t xml:space="preserve">ity testing showed a clear dose </w:t>
      </w:r>
      <w:r w:rsidRPr="00C05F2E">
        <w:rPr>
          <w:sz w:val="28"/>
          <w:szCs w:val="28"/>
        </w:rPr>
        <w:t xml:space="preserve">response pattern. In phase 1, no deaths occurred at 10 or 100 mg/kg, while 1000 mg/kg caused transient lethargy without mortality. In phase 2, 1600 mg/kg produced no deaths but reduced activity, whereas 2000 mg/kg caused 33.3% mortality within 18 hours, with lethargy and anorexia in survivors. At 2900 mg/kg, mortality reached 100% within 24 hours, preceded by respiratory distress and convulsions. The LD₅₀ was estimated at 2154 mg/kg and refined to 2236 mg/kg, placing the study doses (2.5–10.0 mL/kg) within accepted </w:t>
      </w:r>
      <w:proofErr w:type="spellStart"/>
      <w:r w:rsidRPr="00C05F2E">
        <w:rPr>
          <w:sz w:val="28"/>
          <w:szCs w:val="28"/>
        </w:rPr>
        <w:t>subchronic</w:t>
      </w:r>
      <w:proofErr w:type="spellEnd"/>
      <w:r w:rsidRPr="00C05F2E">
        <w:rPr>
          <w:sz w:val="28"/>
          <w:szCs w:val="28"/>
        </w:rPr>
        <w:t xml:space="preserve"> safety margins. This aligns with earlier toxicological reports indicating that alcohol-containing herbal formulations often exhibit delayed systemic toxicity at higher doses.</w:t>
      </w:r>
    </w:p>
    <w:p w:rsidR="00F502FB" w:rsidRPr="00C05F2E" w:rsidRDefault="00F502FB" w:rsidP="00C05F2E">
      <w:pPr>
        <w:pStyle w:val="NormalWeb"/>
        <w:spacing w:line="360" w:lineRule="auto"/>
        <w:jc w:val="both"/>
        <w:rPr>
          <w:sz w:val="28"/>
          <w:szCs w:val="28"/>
        </w:rPr>
      </w:pPr>
      <w:r w:rsidRPr="00C05F2E">
        <w:rPr>
          <w:sz w:val="28"/>
          <w:szCs w:val="28"/>
        </w:rPr>
        <w:t>No mortality occurred during the 28-day exposure; however, clinical signs increased with dose. Control animals remained normal, while treated groups showed progressive lethargy, reduced grooming, diarrhea, and</w:t>
      </w:r>
      <w:r w:rsidR="000D5C91" w:rsidRPr="00C05F2E">
        <w:rPr>
          <w:sz w:val="28"/>
          <w:szCs w:val="28"/>
        </w:rPr>
        <w:t xml:space="preserve"> weight decline at higher doses </w:t>
      </w:r>
      <w:r w:rsidRPr="00C05F2E">
        <w:rPr>
          <w:sz w:val="28"/>
          <w:szCs w:val="28"/>
        </w:rPr>
        <w:t>patterns consistent with systemic stress responses reported in experimental toxicology studies.</w:t>
      </w:r>
    </w:p>
    <w:p w:rsidR="00F502FB" w:rsidRPr="00C05F2E" w:rsidRDefault="00F502FB" w:rsidP="00C05F2E">
      <w:pPr>
        <w:pStyle w:val="NormalWeb"/>
        <w:spacing w:line="360" w:lineRule="auto"/>
        <w:jc w:val="both"/>
        <w:rPr>
          <w:sz w:val="28"/>
          <w:szCs w:val="28"/>
        </w:rPr>
      </w:pPr>
      <w:r w:rsidRPr="00C05F2E">
        <w:rPr>
          <w:sz w:val="28"/>
          <w:szCs w:val="28"/>
        </w:rPr>
        <w:t>Body weight changes are summarized in Table 1. Controls showed steady growth, whereas high-dose animals exhibited significant weight loss (p &lt; 0.05). Reduced weight gain and wasting at higher doses agree with findings that toxic agents impair nutrient utilization and metabolic balance.</w:t>
      </w:r>
    </w:p>
    <w:p w:rsidR="00F502FB" w:rsidRPr="00C05F2E" w:rsidRDefault="00F502FB" w:rsidP="00C05F2E">
      <w:pPr>
        <w:pStyle w:val="NormalWeb"/>
        <w:jc w:val="both"/>
        <w:rPr>
          <w:sz w:val="28"/>
          <w:szCs w:val="28"/>
        </w:rPr>
      </w:pPr>
      <w:r w:rsidRPr="00C05F2E">
        <w:rPr>
          <w:rStyle w:val="Strong"/>
          <w:sz w:val="28"/>
          <w:szCs w:val="28"/>
        </w:rPr>
        <w:t>Table 1: Body Weight Changes (g) Over 28 Days</w:t>
      </w:r>
    </w:p>
    <w:tbl>
      <w:tblPr>
        <w:tblW w:w="9694"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898"/>
        <w:gridCol w:w="1559"/>
        <w:gridCol w:w="1560"/>
        <w:gridCol w:w="1417"/>
        <w:gridCol w:w="1559"/>
        <w:gridCol w:w="1701"/>
      </w:tblGrid>
      <w:tr w:rsidR="005D72BA" w:rsidRPr="00C05F2E" w:rsidTr="00C05F2E">
        <w:trPr>
          <w:tblHeader/>
          <w:tblCellSpacing w:w="15" w:type="dxa"/>
        </w:trPr>
        <w:tc>
          <w:tcPr>
            <w:tcW w:w="1853"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b/>
                <w:bCs/>
                <w:sz w:val="28"/>
                <w:szCs w:val="28"/>
              </w:rPr>
            </w:pPr>
            <w:r w:rsidRPr="00C05F2E">
              <w:rPr>
                <w:b/>
                <w:bCs/>
                <w:sz w:val="28"/>
                <w:szCs w:val="28"/>
              </w:rPr>
              <w:t>Group</w:t>
            </w:r>
          </w:p>
        </w:tc>
        <w:tc>
          <w:tcPr>
            <w:tcW w:w="1529"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b/>
                <w:bCs/>
                <w:sz w:val="28"/>
                <w:szCs w:val="28"/>
              </w:rPr>
            </w:pPr>
            <w:r w:rsidRPr="00C05F2E">
              <w:rPr>
                <w:b/>
                <w:bCs/>
                <w:sz w:val="28"/>
                <w:szCs w:val="28"/>
              </w:rPr>
              <w:t>Day 0</w:t>
            </w:r>
          </w:p>
        </w:tc>
        <w:tc>
          <w:tcPr>
            <w:tcW w:w="1530"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b/>
                <w:bCs/>
                <w:sz w:val="28"/>
                <w:szCs w:val="28"/>
              </w:rPr>
            </w:pPr>
            <w:r w:rsidRPr="00C05F2E">
              <w:rPr>
                <w:b/>
                <w:bCs/>
                <w:sz w:val="28"/>
                <w:szCs w:val="28"/>
              </w:rPr>
              <w:t>Day 7</w:t>
            </w:r>
          </w:p>
        </w:tc>
        <w:tc>
          <w:tcPr>
            <w:tcW w:w="1387"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b/>
                <w:bCs/>
                <w:sz w:val="28"/>
                <w:szCs w:val="28"/>
              </w:rPr>
            </w:pPr>
            <w:r w:rsidRPr="00C05F2E">
              <w:rPr>
                <w:b/>
                <w:bCs/>
                <w:sz w:val="28"/>
                <w:szCs w:val="28"/>
              </w:rPr>
              <w:t>Day 14</w:t>
            </w:r>
          </w:p>
        </w:tc>
        <w:tc>
          <w:tcPr>
            <w:tcW w:w="1529"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b/>
                <w:bCs/>
                <w:sz w:val="28"/>
                <w:szCs w:val="28"/>
              </w:rPr>
            </w:pPr>
            <w:r w:rsidRPr="00C05F2E">
              <w:rPr>
                <w:b/>
                <w:bCs/>
                <w:sz w:val="28"/>
                <w:szCs w:val="28"/>
              </w:rPr>
              <w:t>Day 21</w:t>
            </w:r>
          </w:p>
        </w:tc>
        <w:tc>
          <w:tcPr>
            <w:tcW w:w="1656" w:type="dxa"/>
            <w:tcBorders>
              <w:top w:val="nil"/>
              <w:bottom w:val="single" w:sz="4" w:space="0" w:color="auto"/>
              <w:right w:val="nil"/>
            </w:tcBorders>
            <w:vAlign w:val="center"/>
            <w:hideMark/>
          </w:tcPr>
          <w:p w:rsidR="00F502FB" w:rsidRPr="00C05F2E" w:rsidRDefault="00F502FB" w:rsidP="00C05F2E">
            <w:pPr>
              <w:spacing w:line="240" w:lineRule="auto"/>
              <w:jc w:val="both"/>
              <w:rPr>
                <w:b/>
                <w:bCs/>
                <w:sz w:val="28"/>
                <w:szCs w:val="28"/>
              </w:rPr>
            </w:pPr>
            <w:r w:rsidRPr="00C05F2E">
              <w:rPr>
                <w:b/>
                <w:bCs/>
                <w:sz w:val="28"/>
                <w:szCs w:val="28"/>
              </w:rPr>
              <w:t>Day 28</w:t>
            </w:r>
          </w:p>
        </w:tc>
      </w:tr>
      <w:tr w:rsidR="005D72BA" w:rsidRPr="00C05F2E" w:rsidTr="00C05F2E">
        <w:trPr>
          <w:tblCellSpacing w:w="15" w:type="dxa"/>
        </w:trPr>
        <w:tc>
          <w:tcPr>
            <w:tcW w:w="1853"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A (Control)</w:t>
            </w:r>
          </w:p>
        </w:tc>
        <w:tc>
          <w:tcPr>
            <w:tcW w:w="1529"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198.4 ± 8.2</w:t>
            </w:r>
          </w:p>
        </w:tc>
        <w:tc>
          <w:tcPr>
            <w:tcW w:w="1530"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212.6 ± 9.1</w:t>
            </w:r>
          </w:p>
        </w:tc>
        <w:tc>
          <w:tcPr>
            <w:tcW w:w="1387"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226.3 ± 9.8</w:t>
            </w:r>
          </w:p>
        </w:tc>
        <w:tc>
          <w:tcPr>
            <w:tcW w:w="1529"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238.7 ± 10.2</w:t>
            </w:r>
          </w:p>
        </w:tc>
        <w:tc>
          <w:tcPr>
            <w:tcW w:w="1656" w:type="dxa"/>
            <w:tcBorders>
              <w:top w:val="nil"/>
              <w:bottom w:val="single" w:sz="4" w:space="0" w:color="auto"/>
              <w:right w:val="nil"/>
            </w:tcBorders>
            <w:vAlign w:val="center"/>
            <w:hideMark/>
          </w:tcPr>
          <w:p w:rsidR="00F502FB" w:rsidRPr="00C05F2E" w:rsidRDefault="00F502FB" w:rsidP="00C05F2E">
            <w:pPr>
              <w:spacing w:line="240" w:lineRule="auto"/>
              <w:jc w:val="both"/>
              <w:rPr>
                <w:sz w:val="28"/>
                <w:szCs w:val="28"/>
              </w:rPr>
            </w:pPr>
            <w:r w:rsidRPr="00C05F2E">
              <w:rPr>
                <w:sz w:val="28"/>
                <w:szCs w:val="28"/>
              </w:rPr>
              <w:t>249.5 ± 10.5</w:t>
            </w:r>
          </w:p>
        </w:tc>
      </w:tr>
      <w:tr w:rsidR="005D72BA" w:rsidRPr="00C05F2E" w:rsidTr="00C05F2E">
        <w:trPr>
          <w:tblCellSpacing w:w="15" w:type="dxa"/>
        </w:trPr>
        <w:tc>
          <w:tcPr>
            <w:tcW w:w="1853"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B (2.5 mL/kg)</w:t>
            </w:r>
          </w:p>
        </w:tc>
        <w:tc>
          <w:tcPr>
            <w:tcW w:w="1529"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196.8 ± 7.9</w:t>
            </w:r>
          </w:p>
        </w:tc>
        <w:tc>
          <w:tcPr>
            <w:tcW w:w="1530"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208.3 ± 8.5</w:t>
            </w:r>
          </w:p>
        </w:tc>
        <w:tc>
          <w:tcPr>
            <w:tcW w:w="1387"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218.9 ± 9.2</w:t>
            </w:r>
          </w:p>
        </w:tc>
        <w:tc>
          <w:tcPr>
            <w:tcW w:w="1529"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226.4 ± 9.6</w:t>
            </w:r>
          </w:p>
        </w:tc>
        <w:tc>
          <w:tcPr>
            <w:tcW w:w="1656" w:type="dxa"/>
            <w:tcBorders>
              <w:top w:val="nil"/>
              <w:bottom w:val="single" w:sz="4" w:space="0" w:color="auto"/>
              <w:right w:val="nil"/>
            </w:tcBorders>
            <w:vAlign w:val="center"/>
            <w:hideMark/>
          </w:tcPr>
          <w:p w:rsidR="00F502FB" w:rsidRPr="00C05F2E" w:rsidRDefault="00F502FB" w:rsidP="00C05F2E">
            <w:pPr>
              <w:spacing w:line="240" w:lineRule="auto"/>
              <w:jc w:val="both"/>
              <w:rPr>
                <w:sz w:val="28"/>
                <w:szCs w:val="28"/>
              </w:rPr>
            </w:pPr>
            <w:r w:rsidRPr="00C05F2E">
              <w:rPr>
                <w:sz w:val="28"/>
                <w:szCs w:val="28"/>
              </w:rPr>
              <w:t>249.5 ± 10.5</w:t>
            </w:r>
          </w:p>
        </w:tc>
      </w:tr>
      <w:tr w:rsidR="005D72BA" w:rsidRPr="00C05F2E" w:rsidTr="00C05F2E">
        <w:trPr>
          <w:tblCellSpacing w:w="15" w:type="dxa"/>
        </w:trPr>
        <w:tc>
          <w:tcPr>
            <w:tcW w:w="1853"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lastRenderedPageBreak/>
              <w:t>C (5.0 mL/kg)</w:t>
            </w:r>
          </w:p>
        </w:tc>
        <w:tc>
          <w:tcPr>
            <w:tcW w:w="1529"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199.2 ± 8.5</w:t>
            </w:r>
          </w:p>
        </w:tc>
        <w:tc>
          <w:tcPr>
            <w:tcW w:w="1530"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204.7 ± 8.9</w:t>
            </w:r>
          </w:p>
        </w:tc>
        <w:tc>
          <w:tcPr>
            <w:tcW w:w="1387"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208.2 ± 9.4</w:t>
            </w:r>
          </w:p>
        </w:tc>
        <w:tc>
          <w:tcPr>
            <w:tcW w:w="1529" w:type="dxa"/>
            <w:tcBorders>
              <w:top w:val="nil"/>
              <w:bottom w:val="single" w:sz="4" w:space="0" w:color="auto"/>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209.1 ± 9.7</w:t>
            </w:r>
          </w:p>
        </w:tc>
        <w:tc>
          <w:tcPr>
            <w:tcW w:w="1656" w:type="dxa"/>
            <w:tcBorders>
              <w:top w:val="nil"/>
              <w:bottom w:val="single" w:sz="4" w:space="0" w:color="auto"/>
              <w:right w:val="nil"/>
            </w:tcBorders>
            <w:vAlign w:val="center"/>
            <w:hideMark/>
          </w:tcPr>
          <w:p w:rsidR="00F502FB" w:rsidRPr="00C05F2E" w:rsidRDefault="00F502FB" w:rsidP="00C05F2E">
            <w:pPr>
              <w:spacing w:line="240" w:lineRule="auto"/>
              <w:jc w:val="both"/>
              <w:rPr>
                <w:sz w:val="28"/>
                <w:szCs w:val="28"/>
              </w:rPr>
            </w:pPr>
            <w:r w:rsidRPr="00C05F2E">
              <w:rPr>
                <w:sz w:val="28"/>
                <w:szCs w:val="28"/>
              </w:rPr>
              <w:t>210.3 ± 9.9</w:t>
            </w:r>
          </w:p>
        </w:tc>
      </w:tr>
      <w:tr w:rsidR="005D72BA" w:rsidRPr="00C05F2E" w:rsidTr="00C05F2E">
        <w:trPr>
          <w:tblCellSpacing w:w="15" w:type="dxa"/>
        </w:trPr>
        <w:tc>
          <w:tcPr>
            <w:tcW w:w="1853" w:type="dxa"/>
            <w:tcBorders>
              <w:top w:val="nil"/>
              <w:bottom w:val="nil"/>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D (10.0 mL/kg)</w:t>
            </w:r>
          </w:p>
        </w:tc>
        <w:tc>
          <w:tcPr>
            <w:tcW w:w="1529" w:type="dxa"/>
            <w:tcBorders>
              <w:top w:val="nil"/>
              <w:bottom w:val="nil"/>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197.5 ± 8.1</w:t>
            </w:r>
          </w:p>
        </w:tc>
        <w:tc>
          <w:tcPr>
            <w:tcW w:w="1530" w:type="dxa"/>
            <w:tcBorders>
              <w:top w:val="nil"/>
              <w:bottom w:val="nil"/>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195.3 ± 8.3</w:t>
            </w:r>
          </w:p>
        </w:tc>
        <w:tc>
          <w:tcPr>
            <w:tcW w:w="1387" w:type="dxa"/>
            <w:tcBorders>
              <w:top w:val="nil"/>
              <w:bottom w:val="nil"/>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189.6 ± 8.7</w:t>
            </w:r>
          </w:p>
        </w:tc>
        <w:tc>
          <w:tcPr>
            <w:tcW w:w="1529" w:type="dxa"/>
            <w:tcBorders>
              <w:top w:val="nil"/>
              <w:bottom w:val="nil"/>
              <w:right w:val="single" w:sz="4" w:space="0" w:color="auto"/>
            </w:tcBorders>
            <w:vAlign w:val="center"/>
            <w:hideMark/>
          </w:tcPr>
          <w:p w:rsidR="00F502FB" w:rsidRPr="00C05F2E" w:rsidRDefault="00F502FB" w:rsidP="00C05F2E">
            <w:pPr>
              <w:spacing w:line="240" w:lineRule="auto"/>
              <w:jc w:val="both"/>
              <w:rPr>
                <w:sz w:val="28"/>
                <w:szCs w:val="28"/>
              </w:rPr>
            </w:pPr>
            <w:r w:rsidRPr="00C05F2E">
              <w:rPr>
                <w:sz w:val="28"/>
                <w:szCs w:val="28"/>
              </w:rPr>
              <w:t>183.2 ± 8.4</w:t>
            </w:r>
          </w:p>
        </w:tc>
        <w:tc>
          <w:tcPr>
            <w:tcW w:w="1656" w:type="dxa"/>
            <w:tcBorders>
              <w:top w:val="nil"/>
              <w:bottom w:val="nil"/>
              <w:right w:val="nil"/>
            </w:tcBorders>
            <w:vAlign w:val="center"/>
            <w:hideMark/>
          </w:tcPr>
          <w:p w:rsidR="00F502FB" w:rsidRPr="00C05F2E" w:rsidRDefault="00F502FB" w:rsidP="00C05F2E">
            <w:pPr>
              <w:spacing w:line="240" w:lineRule="auto"/>
              <w:jc w:val="both"/>
              <w:rPr>
                <w:sz w:val="28"/>
                <w:szCs w:val="28"/>
              </w:rPr>
            </w:pPr>
            <w:r w:rsidRPr="00C05F2E">
              <w:rPr>
                <w:sz w:val="28"/>
                <w:szCs w:val="28"/>
              </w:rPr>
              <w:t>181.1 ± 8.2</w:t>
            </w:r>
          </w:p>
        </w:tc>
      </w:tr>
    </w:tbl>
    <w:p w:rsidR="00F502FB" w:rsidRPr="00C05F2E" w:rsidRDefault="00F502FB" w:rsidP="00C05F2E">
      <w:pPr>
        <w:pStyle w:val="NormalWeb"/>
        <w:jc w:val="both"/>
        <w:rPr>
          <w:sz w:val="28"/>
          <w:szCs w:val="28"/>
        </w:rPr>
      </w:pPr>
      <w:r w:rsidRPr="00C05F2E">
        <w:rPr>
          <w:sz w:val="28"/>
          <w:szCs w:val="28"/>
        </w:rPr>
        <w:t xml:space="preserve">Values are mean ± SD (n=5); p &lt; 0.05 </w:t>
      </w:r>
      <w:proofErr w:type="spellStart"/>
      <w:r w:rsidRPr="00C05F2E">
        <w:rPr>
          <w:sz w:val="28"/>
          <w:szCs w:val="28"/>
        </w:rPr>
        <w:t>vs</w:t>
      </w:r>
      <w:proofErr w:type="spellEnd"/>
      <w:r w:rsidRPr="00C05F2E">
        <w:rPr>
          <w:sz w:val="28"/>
          <w:szCs w:val="28"/>
        </w:rPr>
        <w:t xml:space="preserve"> control.</w:t>
      </w:r>
    </w:p>
    <w:p w:rsidR="00582385" w:rsidRPr="00C05F2E" w:rsidRDefault="00F502FB" w:rsidP="00C05F2E">
      <w:pPr>
        <w:pStyle w:val="NormalWeb"/>
        <w:spacing w:line="360" w:lineRule="auto"/>
        <w:jc w:val="both"/>
        <w:rPr>
          <w:rStyle w:val="Strong"/>
          <w:b w:val="0"/>
          <w:bCs w:val="0"/>
          <w:sz w:val="28"/>
          <w:szCs w:val="28"/>
        </w:rPr>
      </w:pPr>
      <w:r w:rsidRPr="00C05F2E">
        <w:rPr>
          <w:sz w:val="28"/>
          <w:szCs w:val="28"/>
        </w:rPr>
        <w:t>Organ weights (Table 2) showed dose-dependent reductions, particularly in the testis and pancreas, with significant decreases at high dose (p &lt; 0.05). Such reductions are widely reported as indicators of organ a</w:t>
      </w:r>
      <w:r w:rsidR="00C05F2E">
        <w:rPr>
          <w:sz w:val="28"/>
          <w:szCs w:val="28"/>
        </w:rPr>
        <w:t>trophy following toxic exposure</w:t>
      </w:r>
      <w:r w:rsidR="00C05F2E">
        <w:rPr>
          <w:rStyle w:val="Strong"/>
          <w:b w:val="0"/>
          <w:bCs w:val="0"/>
          <w:sz w:val="28"/>
          <w:szCs w:val="28"/>
        </w:rPr>
        <w:t>.</w:t>
      </w:r>
    </w:p>
    <w:p w:rsidR="00F502FB" w:rsidRPr="00C05F2E" w:rsidRDefault="00F502FB" w:rsidP="00C05F2E">
      <w:pPr>
        <w:pStyle w:val="NormalWeb"/>
        <w:spacing w:line="276" w:lineRule="auto"/>
        <w:jc w:val="both"/>
        <w:rPr>
          <w:rStyle w:val="Strong"/>
          <w:sz w:val="28"/>
          <w:szCs w:val="28"/>
        </w:rPr>
      </w:pPr>
      <w:r w:rsidRPr="00C05F2E">
        <w:rPr>
          <w:rStyle w:val="Strong"/>
          <w:sz w:val="28"/>
          <w:szCs w:val="28"/>
        </w:rPr>
        <w:t>Table 2: Absolute and Relative Organ Weights</w:t>
      </w:r>
    </w:p>
    <w:tbl>
      <w:tblPr>
        <w:tblStyle w:val="TableGrid"/>
        <w:tblW w:w="0" w:type="auto"/>
        <w:tblLook w:val="04A0" w:firstRow="1" w:lastRow="0" w:firstColumn="1" w:lastColumn="0" w:noHBand="0" w:noVBand="1"/>
      </w:tblPr>
      <w:tblGrid>
        <w:gridCol w:w="1596"/>
        <w:gridCol w:w="1596"/>
        <w:gridCol w:w="1596"/>
        <w:gridCol w:w="1596"/>
        <w:gridCol w:w="1596"/>
      </w:tblGrid>
      <w:tr w:rsidR="00877A6B" w:rsidRPr="00C05F2E" w:rsidTr="00A5340E">
        <w:tc>
          <w:tcPr>
            <w:tcW w:w="1596" w:type="dxa"/>
            <w:vAlign w:val="center"/>
          </w:tcPr>
          <w:p w:rsidR="00877A6B" w:rsidRPr="00C05F2E" w:rsidRDefault="00877A6B" w:rsidP="00C05F2E">
            <w:pPr>
              <w:spacing w:line="276" w:lineRule="auto"/>
              <w:jc w:val="both"/>
              <w:rPr>
                <w:b/>
                <w:bCs/>
                <w:sz w:val="28"/>
                <w:szCs w:val="28"/>
              </w:rPr>
            </w:pPr>
            <w:r w:rsidRPr="00C05F2E">
              <w:rPr>
                <w:b/>
                <w:bCs/>
                <w:sz w:val="28"/>
                <w:szCs w:val="28"/>
              </w:rPr>
              <w:t>Organ</w:t>
            </w:r>
          </w:p>
        </w:tc>
        <w:tc>
          <w:tcPr>
            <w:tcW w:w="1596" w:type="dxa"/>
            <w:vAlign w:val="center"/>
          </w:tcPr>
          <w:p w:rsidR="00877A6B" w:rsidRPr="00C05F2E" w:rsidRDefault="00877A6B" w:rsidP="00C05F2E">
            <w:pPr>
              <w:spacing w:line="276" w:lineRule="auto"/>
              <w:jc w:val="both"/>
              <w:rPr>
                <w:b/>
                <w:bCs/>
                <w:sz w:val="28"/>
                <w:szCs w:val="28"/>
              </w:rPr>
            </w:pPr>
            <w:r w:rsidRPr="00C05F2E">
              <w:rPr>
                <w:b/>
                <w:bCs/>
                <w:sz w:val="28"/>
                <w:szCs w:val="28"/>
              </w:rPr>
              <w:t>Parameter</w:t>
            </w:r>
          </w:p>
        </w:tc>
        <w:tc>
          <w:tcPr>
            <w:tcW w:w="1596" w:type="dxa"/>
            <w:vAlign w:val="center"/>
          </w:tcPr>
          <w:p w:rsidR="00877A6B" w:rsidRPr="00C05F2E" w:rsidRDefault="00877A6B" w:rsidP="00C05F2E">
            <w:pPr>
              <w:spacing w:line="276" w:lineRule="auto"/>
              <w:jc w:val="both"/>
              <w:rPr>
                <w:b/>
                <w:bCs/>
                <w:sz w:val="28"/>
                <w:szCs w:val="28"/>
              </w:rPr>
            </w:pPr>
            <w:r w:rsidRPr="00C05F2E">
              <w:rPr>
                <w:b/>
                <w:bCs/>
                <w:sz w:val="28"/>
                <w:szCs w:val="28"/>
              </w:rPr>
              <w:t>A</w:t>
            </w:r>
          </w:p>
        </w:tc>
        <w:tc>
          <w:tcPr>
            <w:tcW w:w="1596" w:type="dxa"/>
            <w:vAlign w:val="center"/>
          </w:tcPr>
          <w:p w:rsidR="00877A6B" w:rsidRPr="00C05F2E" w:rsidRDefault="00877A6B" w:rsidP="00C05F2E">
            <w:pPr>
              <w:spacing w:line="276" w:lineRule="auto"/>
              <w:jc w:val="both"/>
              <w:rPr>
                <w:b/>
                <w:bCs/>
                <w:sz w:val="28"/>
                <w:szCs w:val="28"/>
              </w:rPr>
            </w:pPr>
            <w:r w:rsidRPr="00C05F2E">
              <w:rPr>
                <w:b/>
                <w:bCs/>
                <w:sz w:val="28"/>
                <w:szCs w:val="28"/>
              </w:rPr>
              <w:t>B</w:t>
            </w:r>
          </w:p>
        </w:tc>
        <w:tc>
          <w:tcPr>
            <w:tcW w:w="1596" w:type="dxa"/>
            <w:vAlign w:val="center"/>
          </w:tcPr>
          <w:p w:rsidR="00877A6B" w:rsidRPr="00C05F2E" w:rsidRDefault="00877A6B" w:rsidP="00C05F2E">
            <w:pPr>
              <w:spacing w:line="276" w:lineRule="auto"/>
              <w:jc w:val="both"/>
              <w:rPr>
                <w:b/>
                <w:bCs/>
                <w:sz w:val="28"/>
                <w:szCs w:val="28"/>
              </w:rPr>
            </w:pPr>
            <w:r w:rsidRPr="00C05F2E">
              <w:rPr>
                <w:b/>
                <w:bCs/>
                <w:sz w:val="28"/>
                <w:szCs w:val="28"/>
              </w:rPr>
              <w:t>C</w:t>
            </w:r>
          </w:p>
        </w:tc>
      </w:tr>
      <w:tr w:rsidR="00877A6B" w:rsidRPr="00C05F2E" w:rsidTr="00A5340E">
        <w:tc>
          <w:tcPr>
            <w:tcW w:w="1596" w:type="dxa"/>
            <w:vAlign w:val="center"/>
          </w:tcPr>
          <w:p w:rsidR="00877A6B" w:rsidRPr="00C05F2E" w:rsidRDefault="00877A6B" w:rsidP="00C05F2E">
            <w:pPr>
              <w:spacing w:line="276" w:lineRule="auto"/>
              <w:jc w:val="both"/>
              <w:rPr>
                <w:sz w:val="28"/>
                <w:szCs w:val="28"/>
              </w:rPr>
            </w:pPr>
            <w:r w:rsidRPr="00C05F2E">
              <w:rPr>
                <w:sz w:val="28"/>
                <w:szCs w:val="28"/>
              </w:rPr>
              <w:t>Testis</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Absolute (g)</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1.42±0.11</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1.35±0.13</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1.21±0.14</w:t>
            </w:r>
          </w:p>
        </w:tc>
      </w:tr>
      <w:tr w:rsidR="00877A6B" w:rsidRPr="00C05F2E" w:rsidTr="00A5340E">
        <w:tc>
          <w:tcPr>
            <w:tcW w:w="1596" w:type="dxa"/>
            <w:vAlign w:val="center"/>
          </w:tcPr>
          <w:p w:rsidR="00877A6B" w:rsidRPr="00C05F2E" w:rsidRDefault="00877A6B" w:rsidP="00C05F2E">
            <w:pPr>
              <w:spacing w:line="276" w:lineRule="auto"/>
              <w:jc w:val="both"/>
              <w:rPr>
                <w:sz w:val="28"/>
                <w:szCs w:val="28"/>
              </w:rPr>
            </w:pP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Relative (%)</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0.57±0.04</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0.58±0.05</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0.58±0.06</w:t>
            </w:r>
          </w:p>
        </w:tc>
      </w:tr>
      <w:tr w:rsidR="00877A6B" w:rsidRPr="00C05F2E" w:rsidTr="00A5340E">
        <w:tc>
          <w:tcPr>
            <w:tcW w:w="1596" w:type="dxa"/>
            <w:vAlign w:val="center"/>
          </w:tcPr>
          <w:p w:rsidR="00877A6B" w:rsidRPr="00C05F2E" w:rsidRDefault="00877A6B" w:rsidP="00C05F2E">
            <w:pPr>
              <w:spacing w:line="276" w:lineRule="auto"/>
              <w:jc w:val="both"/>
              <w:rPr>
                <w:sz w:val="28"/>
                <w:szCs w:val="28"/>
              </w:rPr>
            </w:pPr>
            <w:r w:rsidRPr="00C05F2E">
              <w:rPr>
                <w:sz w:val="28"/>
                <w:szCs w:val="28"/>
              </w:rPr>
              <w:t>Pancreas</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Absolute (g)</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0.89±0.08</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0.84±0.09</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0.76±0.11</w:t>
            </w:r>
          </w:p>
        </w:tc>
      </w:tr>
      <w:tr w:rsidR="00877A6B" w:rsidRPr="00C05F2E" w:rsidTr="00A5340E">
        <w:tc>
          <w:tcPr>
            <w:tcW w:w="1596" w:type="dxa"/>
            <w:vAlign w:val="center"/>
          </w:tcPr>
          <w:p w:rsidR="00877A6B" w:rsidRPr="00C05F2E" w:rsidRDefault="00877A6B" w:rsidP="00C05F2E">
            <w:pPr>
              <w:spacing w:line="276" w:lineRule="auto"/>
              <w:jc w:val="both"/>
              <w:rPr>
                <w:sz w:val="28"/>
                <w:szCs w:val="28"/>
              </w:rPr>
            </w:pP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Relative (%)</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0.36±0.03</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0.36±0.04</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0.36±0.05</w:t>
            </w:r>
          </w:p>
        </w:tc>
      </w:tr>
      <w:tr w:rsidR="00877A6B" w:rsidRPr="00C05F2E" w:rsidTr="00A5340E">
        <w:tc>
          <w:tcPr>
            <w:tcW w:w="1596" w:type="dxa"/>
            <w:vAlign w:val="center"/>
          </w:tcPr>
          <w:p w:rsidR="00877A6B" w:rsidRPr="00C05F2E" w:rsidRDefault="00877A6B" w:rsidP="00C05F2E">
            <w:pPr>
              <w:spacing w:line="276" w:lineRule="auto"/>
              <w:jc w:val="both"/>
              <w:rPr>
                <w:sz w:val="28"/>
                <w:szCs w:val="28"/>
              </w:rPr>
            </w:pPr>
            <w:r w:rsidRPr="00C05F2E">
              <w:rPr>
                <w:sz w:val="28"/>
                <w:szCs w:val="28"/>
              </w:rPr>
              <w:t>Duodenum</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Absolute (g)</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0.52±0.06</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0.50±0.07</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0.48±0.08</w:t>
            </w:r>
          </w:p>
        </w:tc>
      </w:tr>
      <w:tr w:rsidR="00877A6B" w:rsidRPr="00C05F2E" w:rsidTr="00A5340E">
        <w:tc>
          <w:tcPr>
            <w:tcW w:w="1596" w:type="dxa"/>
            <w:vAlign w:val="center"/>
          </w:tcPr>
          <w:p w:rsidR="00877A6B" w:rsidRPr="00C05F2E" w:rsidRDefault="00877A6B" w:rsidP="00C05F2E">
            <w:pPr>
              <w:spacing w:line="276" w:lineRule="auto"/>
              <w:jc w:val="both"/>
              <w:rPr>
                <w:sz w:val="28"/>
                <w:szCs w:val="28"/>
              </w:rPr>
            </w:pP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Relative (%)</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0.21±0.02</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0.21±0.03</w:t>
            </w:r>
          </w:p>
        </w:tc>
        <w:tc>
          <w:tcPr>
            <w:tcW w:w="1596" w:type="dxa"/>
            <w:vAlign w:val="center"/>
          </w:tcPr>
          <w:p w:rsidR="00877A6B" w:rsidRPr="00C05F2E" w:rsidRDefault="00877A6B" w:rsidP="00C05F2E">
            <w:pPr>
              <w:spacing w:line="276" w:lineRule="auto"/>
              <w:jc w:val="both"/>
              <w:rPr>
                <w:sz w:val="28"/>
                <w:szCs w:val="28"/>
              </w:rPr>
            </w:pPr>
            <w:r w:rsidRPr="00C05F2E">
              <w:rPr>
                <w:sz w:val="28"/>
                <w:szCs w:val="28"/>
              </w:rPr>
              <w:t>0.23±0.03</w:t>
            </w:r>
          </w:p>
        </w:tc>
      </w:tr>
    </w:tbl>
    <w:p w:rsidR="00F502FB" w:rsidRPr="00C05F2E" w:rsidRDefault="00F502FB" w:rsidP="00C05F2E">
      <w:pPr>
        <w:pStyle w:val="NormalWeb"/>
        <w:spacing w:line="276" w:lineRule="auto"/>
        <w:jc w:val="both"/>
        <w:rPr>
          <w:sz w:val="28"/>
          <w:szCs w:val="28"/>
        </w:rPr>
      </w:pPr>
      <w:r w:rsidRPr="00C05F2E">
        <w:rPr>
          <w:sz w:val="28"/>
          <w:szCs w:val="28"/>
        </w:rPr>
        <w:t xml:space="preserve">Values are mean ± SD (n=5); p &lt; 0.05 </w:t>
      </w:r>
      <w:proofErr w:type="spellStart"/>
      <w:r w:rsidRPr="00C05F2E">
        <w:rPr>
          <w:sz w:val="28"/>
          <w:szCs w:val="28"/>
        </w:rPr>
        <w:t>vs</w:t>
      </w:r>
      <w:proofErr w:type="spellEnd"/>
      <w:r w:rsidRPr="00C05F2E">
        <w:rPr>
          <w:sz w:val="28"/>
          <w:szCs w:val="28"/>
        </w:rPr>
        <w:t xml:space="preserve"> control.</w:t>
      </w:r>
    </w:p>
    <w:p w:rsidR="00F502FB" w:rsidRPr="00C05F2E" w:rsidRDefault="00F502FB" w:rsidP="00C05F2E">
      <w:pPr>
        <w:pStyle w:val="NormalWeb"/>
        <w:spacing w:line="360" w:lineRule="auto"/>
        <w:jc w:val="both"/>
        <w:rPr>
          <w:sz w:val="28"/>
          <w:szCs w:val="28"/>
        </w:rPr>
      </w:pPr>
      <w:proofErr w:type="spellStart"/>
      <w:r w:rsidRPr="00C05F2E">
        <w:rPr>
          <w:sz w:val="28"/>
          <w:szCs w:val="28"/>
        </w:rPr>
        <w:t>Histopathological</w:t>
      </w:r>
      <w:proofErr w:type="spellEnd"/>
      <w:r w:rsidRPr="00C05F2E">
        <w:rPr>
          <w:sz w:val="28"/>
          <w:szCs w:val="28"/>
        </w:rPr>
        <w:t xml:space="preserve"> findings revealed progressive tissue injury. Testicular sections showed a transition from normal architecture in controls to severe seminiferous tubular atrophy, germ cell loss, and </w:t>
      </w:r>
      <w:proofErr w:type="spellStart"/>
      <w:r w:rsidRPr="00C05F2E">
        <w:rPr>
          <w:sz w:val="28"/>
          <w:szCs w:val="28"/>
        </w:rPr>
        <w:t>spermatogenic</w:t>
      </w:r>
      <w:proofErr w:type="spellEnd"/>
      <w:r w:rsidRPr="00C05F2E">
        <w:rPr>
          <w:sz w:val="28"/>
          <w:szCs w:val="28"/>
        </w:rPr>
        <w:t xml:space="preserve"> arrest at high dose. These findings are consistent with reports linking toxic agents and alcohol exposure to impaired spermatogenesis and </w:t>
      </w:r>
      <w:proofErr w:type="spellStart"/>
      <w:r w:rsidRPr="00C05F2E">
        <w:rPr>
          <w:sz w:val="28"/>
          <w:szCs w:val="28"/>
        </w:rPr>
        <w:t>Leydig</w:t>
      </w:r>
      <w:proofErr w:type="spellEnd"/>
      <w:r w:rsidRPr="00C05F2E">
        <w:rPr>
          <w:sz w:val="28"/>
          <w:szCs w:val="28"/>
        </w:rPr>
        <w:t xml:space="preserve"> cell dysfunction.</w:t>
      </w:r>
    </w:p>
    <w:p w:rsidR="00F502FB" w:rsidRPr="00C05F2E" w:rsidRDefault="00F502FB" w:rsidP="00C05F2E">
      <w:pPr>
        <w:pStyle w:val="NormalWeb"/>
        <w:spacing w:line="360" w:lineRule="auto"/>
        <w:jc w:val="both"/>
        <w:rPr>
          <w:sz w:val="28"/>
          <w:szCs w:val="28"/>
        </w:rPr>
      </w:pPr>
      <w:r w:rsidRPr="00C05F2E">
        <w:rPr>
          <w:sz w:val="28"/>
          <w:szCs w:val="28"/>
        </w:rPr>
        <w:t xml:space="preserve">Pancreatic tissues demonstrated increasing </w:t>
      </w:r>
      <w:proofErr w:type="spellStart"/>
      <w:r w:rsidRPr="00C05F2E">
        <w:rPr>
          <w:sz w:val="28"/>
          <w:szCs w:val="28"/>
        </w:rPr>
        <w:t>acinar</w:t>
      </w:r>
      <w:proofErr w:type="spellEnd"/>
      <w:r w:rsidRPr="00C05F2E">
        <w:rPr>
          <w:sz w:val="28"/>
          <w:szCs w:val="28"/>
        </w:rPr>
        <w:t xml:space="preserve"> degeneration, necrosis, and islet cell damage with dose. The observed β-cell degranulation and islet atrophy at high </w:t>
      </w:r>
      <w:r w:rsidRPr="00C05F2E">
        <w:rPr>
          <w:sz w:val="28"/>
          <w:szCs w:val="28"/>
        </w:rPr>
        <w:lastRenderedPageBreak/>
        <w:t>dose suggest endocrine dysfunction, supporting previous studies that associate toxic insults with impaired insulin regulation.</w:t>
      </w:r>
    </w:p>
    <w:p w:rsidR="00F502FB" w:rsidRPr="00C05F2E" w:rsidRDefault="00F502FB" w:rsidP="00C05F2E">
      <w:pPr>
        <w:pStyle w:val="NormalWeb"/>
        <w:spacing w:line="360" w:lineRule="auto"/>
        <w:jc w:val="both"/>
        <w:rPr>
          <w:sz w:val="28"/>
          <w:szCs w:val="28"/>
        </w:rPr>
      </w:pPr>
      <w:r w:rsidRPr="00C05F2E">
        <w:rPr>
          <w:sz w:val="28"/>
          <w:szCs w:val="28"/>
        </w:rPr>
        <w:t xml:space="preserve">Duodenal sections showed marked dose-dependent injury, including villous atrophy, crypt hyperplasia, goblet cell depletion, and inflammatory infiltration. These features resemble toxic </w:t>
      </w:r>
      <w:proofErr w:type="spellStart"/>
      <w:r w:rsidRPr="00C05F2E">
        <w:rPr>
          <w:sz w:val="28"/>
          <w:szCs w:val="28"/>
        </w:rPr>
        <w:t>enteropathy</w:t>
      </w:r>
      <w:proofErr w:type="spellEnd"/>
      <w:r w:rsidRPr="00C05F2E">
        <w:rPr>
          <w:sz w:val="28"/>
          <w:szCs w:val="28"/>
        </w:rPr>
        <w:t xml:space="preserve"> described in experimental models, indicating compromised intestinal integrity and absorption.</w:t>
      </w:r>
    </w:p>
    <w:p w:rsidR="00C05F2E" w:rsidRDefault="00C05F2E" w:rsidP="00C05F2E">
      <w:pPr>
        <w:pStyle w:val="NormalWeb"/>
        <w:jc w:val="both"/>
        <w:rPr>
          <w:rStyle w:val="Strong"/>
          <w:sz w:val="28"/>
          <w:szCs w:val="28"/>
        </w:rPr>
      </w:pPr>
    </w:p>
    <w:p w:rsidR="00C05F2E" w:rsidRDefault="00C05F2E" w:rsidP="00C05F2E">
      <w:pPr>
        <w:pStyle w:val="NormalWeb"/>
        <w:jc w:val="both"/>
        <w:rPr>
          <w:rStyle w:val="Strong"/>
          <w:sz w:val="28"/>
          <w:szCs w:val="28"/>
        </w:rPr>
      </w:pPr>
    </w:p>
    <w:p w:rsidR="00F502FB" w:rsidRPr="00C05F2E" w:rsidRDefault="00F502FB" w:rsidP="00C05F2E">
      <w:pPr>
        <w:pStyle w:val="NormalWeb"/>
        <w:jc w:val="both"/>
        <w:rPr>
          <w:rStyle w:val="Strong"/>
          <w:sz w:val="28"/>
          <w:szCs w:val="28"/>
        </w:rPr>
      </w:pPr>
      <w:r w:rsidRPr="00C05F2E">
        <w:rPr>
          <w:rStyle w:val="Strong"/>
          <w:sz w:val="28"/>
          <w:szCs w:val="28"/>
        </w:rPr>
        <w:t xml:space="preserve">Table 3: </w:t>
      </w:r>
      <w:proofErr w:type="spellStart"/>
      <w:r w:rsidRPr="00C05F2E">
        <w:rPr>
          <w:rStyle w:val="Strong"/>
          <w:sz w:val="28"/>
          <w:szCs w:val="28"/>
        </w:rPr>
        <w:t>Histopathological</w:t>
      </w:r>
      <w:proofErr w:type="spellEnd"/>
      <w:r w:rsidRPr="00C05F2E">
        <w:rPr>
          <w:rStyle w:val="Strong"/>
          <w:sz w:val="28"/>
          <w:szCs w:val="28"/>
        </w:rPr>
        <w:t xml:space="preserve"> Grading (Median, IQR)</w:t>
      </w:r>
    </w:p>
    <w:tbl>
      <w:tblPr>
        <w:tblStyle w:val="TableGrid"/>
        <w:tblW w:w="0" w:type="auto"/>
        <w:tblLook w:val="04A0" w:firstRow="1" w:lastRow="0" w:firstColumn="1" w:lastColumn="0" w:noHBand="0" w:noVBand="1"/>
      </w:tblPr>
      <w:tblGrid>
        <w:gridCol w:w="1489"/>
        <w:gridCol w:w="1753"/>
        <w:gridCol w:w="1255"/>
        <w:gridCol w:w="1255"/>
        <w:gridCol w:w="1255"/>
        <w:gridCol w:w="1255"/>
        <w:gridCol w:w="1314"/>
      </w:tblGrid>
      <w:tr w:rsidR="00E12CB4" w:rsidRPr="00C05F2E" w:rsidTr="00FC2559">
        <w:tc>
          <w:tcPr>
            <w:tcW w:w="1368" w:type="dxa"/>
            <w:vAlign w:val="center"/>
          </w:tcPr>
          <w:p w:rsidR="00E12CB4" w:rsidRPr="00C05F2E" w:rsidRDefault="00E12CB4" w:rsidP="00C05F2E">
            <w:pPr>
              <w:jc w:val="both"/>
              <w:rPr>
                <w:b/>
                <w:bCs/>
                <w:sz w:val="28"/>
                <w:szCs w:val="28"/>
              </w:rPr>
            </w:pPr>
            <w:r w:rsidRPr="00C05F2E">
              <w:rPr>
                <w:b/>
                <w:bCs/>
                <w:sz w:val="28"/>
                <w:szCs w:val="28"/>
              </w:rPr>
              <w:t>Organ</w:t>
            </w:r>
          </w:p>
        </w:tc>
        <w:tc>
          <w:tcPr>
            <w:tcW w:w="1368" w:type="dxa"/>
            <w:vAlign w:val="center"/>
          </w:tcPr>
          <w:p w:rsidR="00E12CB4" w:rsidRPr="00C05F2E" w:rsidRDefault="00E12CB4" w:rsidP="00C05F2E">
            <w:pPr>
              <w:jc w:val="both"/>
              <w:rPr>
                <w:b/>
                <w:bCs/>
                <w:sz w:val="28"/>
                <w:szCs w:val="28"/>
              </w:rPr>
            </w:pPr>
            <w:r w:rsidRPr="00C05F2E">
              <w:rPr>
                <w:b/>
                <w:bCs/>
                <w:sz w:val="28"/>
                <w:szCs w:val="28"/>
              </w:rPr>
              <w:t>Parameter</w:t>
            </w:r>
          </w:p>
        </w:tc>
        <w:tc>
          <w:tcPr>
            <w:tcW w:w="1368" w:type="dxa"/>
            <w:vAlign w:val="center"/>
          </w:tcPr>
          <w:p w:rsidR="00E12CB4" w:rsidRPr="00C05F2E" w:rsidRDefault="00E12CB4" w:rsidP="00C05F2E">
            <w:pPr>
              <w:jc w:val="both"/>
              <w:rPr>
                <w:b/>
                <w:bCs/>
                <w:sz w:val="28"/>
                <w:szCs w:val="28"/>
              </w:rPr>
            </w:pPr>
            <w:r w:rsidRPr="00C05F2E">
              <w:rPr>
                <w:b/>
                <w:bCs/>
                <w:sz w:val="28"/>
                <w:szCs w:val="28"/>
              </w:rPr>
              <w:t>A</w:t>
            </w:r>
          </w:p>
        </w:tc>
        <w:tc>
          <w:tcPr>
            <w:tcW w:w="1368" w:type="dxa"/>
            <w:vAlign w:val="center"/>
          </w:tcPr>
          <w:p w:rsidR="00E12CB4" w:rsidRPr="00C05F2E" w:rsidRDefault="00E12CB4" w:rsidP="00C05F2E">
            <w:pPr>
              <w:jc w:val="both"/>
              <w:rPr>
                <w:b/>
                <w:bCs/>
                <w:sz w:val="28"/>
                <w:szCs w:val="28"/>
              </w:rPr>
            </w:pPr>
            <w:r w:rsidRPr="00C05F2E">
              <w:rPr>
                <w:b/>
                <w:bCs/>
                <w:sz w:val="28"/>
                <w:szCs w:val="28"/>
              </w:rPr>
              <w:t>B</w:t>
            </w:r>
          </w:p>
        </w:tc>
        <w:tc>
          <w:tcPr>
            <w:tcW w:w="1368" w:type="dxa"/>
            <w:vAlign w:val="center"/>
          </w:tcPr>
          <w:p w:rsidR="00E12CB4" w:rsidRPr="00C05F2E" w:rsidRDefault="00E12CB4" w:rsidP="00C05F2E">
            <w:pPr>
              <w:jc w:val="both"/>
              <w:rPr>
                <w:b/>
                <w:bCs/>
                <w:sz w:val="28"/>
                <w:szCs w:val="28"/>
              </w:rPr>
            </w:pPr>
            <w:r w:rsidRPr="00C05F2E">
              <w:rPr>
                <w:b/>
                <w:bCs/>
                <w:sz w:val="28"/>
                <w:szCs w:val="28"/>
              </w:rPr>
              <w:t>C</w:t>
            </w:r>
          </w:p>
        </w:tc>
        <w:tc>
          <w:tcPr>
            <w:tcW w:w="1368" w:type="dxa"/>
            <w:vAlign w:val="center"/>
          </w:tcPr>
          <w:p w:rsidR="00E12CB4" w:rsidRPr="00C05F2E" w:rsidRDefault="00E12CB4" w:rsidP="00C05F2E">
            <w:pPr>
              <w:jc w:val="both"/>
              <w:rPr>
                <w:b/>
                <w:bCs/>
                <w:sz w:val="28"/>
                <w:szCs w:val="28"/>
              </w:rPr>
            </w:pPr>
            <w:r w:rsidRPr="00C05F2E">
              <w:rPr>
                <w:b/>
                <w:bCs/>
                <w:sz w:val="28"/>
                <w:szCs w:val="28"/>
              </w:rPr>
              <w:t>D</w:t>
            </w:r>
          </w:p>
        </w:tc>
        <w:tc>
          <w:tcPr>
            <w:tcW w:w="1368" w:type="dxa"/>
            <w:vAlign w:val="center"/>
          </w:tcPr>
          <w:p w:rsidR="00E12CB4" w:rsidRPr="00C05F2E" w:rsidRDefault="00E12CB4" w:rsidP="00C05F2E">
            <w:pPr>
              <w:jc w:val="both"/>
              <w:rPr>
                <w:b/>
                <w:bCs/>
                <w:sz w:val="28"/>
                <w:szCs w:val="28"/>
              </w:rPr>
            </w:pPr>
            <w:r w:rsidRPr="00C05F2E">
              <w:rPr>
                <w:b/>
                <w:bCs/>
                <w:sz w:val="28"/>
                <w:szCs w:val="28"/>
              </w:rPr>
              <w:t>p-value</w:t>
            </w:r>
          </w:p>
        </w:tc>
      </w:tr>
      <w:tr w:rsidR="00E12CB4" w:rsidRPr="00C05F2E" w:rsidTr="00FC2559">
        <w:tc>
          <w:tcPr>
            <w:tcW w:w="1368" w:type="dxa"/>
            <w:vAlign w:val="center"/>
          </w:tcPr>
          <w:p w:rsidR="00E12CB4" w:rsidRPr="00C05F2E" w:rsidRDefault="00E12CB4" w:rsidP="00C05F2E">
            <w:pPr>
              <w:jc w:val="both"/>
              <w:rPr>
                <w:sz w:val="28"/>
                <w:szCs w:val="28"/>
              </w:rPr>
            </w:pPr>
            <w:r w:rsidRPr="00C05F2E">
              <w:rPr>
                <w:sz w:val="28"/>
                <w:szCs w:val="28"/>
              </w:rPr>
              <w:t>Testis</w:t>
            </w:r>
          </w:p>
        </w:tc>
        <w:tc>
          <w:tcPr>
            <w:tcW w:w="1368" w:type="dxa"/>
            <w:vAlign w:val="center"/>
          </w:tcPr>
          <w:p w:rsidR="00E12CB4" w:rsidRPr="00C05F2E" w:rsidRDefault="00E12CB4" w:rsidP="00C05F2E">
            <w:pPr>
              <w:jc w:val="both"/>
              <w:rPr>
                <w:sz w:val="28"/>
                <w:szCs w:val="28"/>
              </w:rPr>
            </w:pPr>
            <w:r w:rsidRPr="00C05F2E">
              <w:rPr>
                <w:sz w:val="28"/>
                <w:szCs w:val="28"/>
              </w:rPr>
              <w:t>Tubular atrophy</w:t>
            </w:r>
          </w:p>
        </w:tc>
        <w:tc>
          <w:tcPr>
            <w:tcW w:w="1368" w:type="dxa"/>
            <w:vAlign w:val="center"/>
          </w:tcPr>
          <w:p w:rsidR="00E12CB4" w:rsidRPr="00C05F2E" w:rsidRDefault="00E12CB4" w:rsidP="00C05F2E">
            <w:pPr>
              <w:jc w:val="both"/>
              <w:rPr>
                <w:sz w:val="28"/>
                <w:szCs w:val="28"/>
              </w:rPr>
            </w:pPr>
            <w:r w:rsidRPr="00C05F2E">
              <w:rPr>
                <w:sz w:val="28"/>
                <w:szCs w:val="28"/>
              </w:rPr>
              <w:t>0 (0–0)</w:t>
            </w:r>
          </w:p>
        </w:tc>
        <w:tc>
          <w:tcPr>
            <w:tcW w:w="1368" w:type="dxa"/>
            <w:vAlign w:val="center"/>
          </w:tcPr>
          <w:p w:rsidR="00E12CB4" w:rsidRPr="00C05F2E" w:rsidRDefault="00E12CB4" w:rsidP="00C05F2E">
            <w:pPr>
              <w:jc w:val="both"/>
              <w:rPr>
                <w:sz w:val="28"/>
                <w:szCs w:val="28"/>
              </w:rPr>
            </w:pPr>
            <w:r w:rsidRPr="00C05F2E">
              <w:rPr>
                <w:sz w:val="28"/>
                <w:szCs w:val="28"/>
              </w:rPr>
              <w:t>1 (1–1)</w:t>
            </w:r>
          </w:p>
        </w:tc>
        <w:tc>
          <w:tcPr>
            <w:tcW w:w="1368" w:type="dxa"/>
            <w:vAlign w:val="center"/>
          </w:tcPr>
          <w:p w:rsidR="00E12CB4" w:rsidRPr="00C05F2E" w:rsidRDefault="00E12CB4" w:rsidP="00C05F2E">
            <w:pPr>
              <w:jc w:val="both"/>
              <w:rPr>
                <w:sz w:val="28"/>
                <w:szCs w:val="28"/>
              </w:rPr>
            </w:pPr>
            <w:r w:rsidRPr="00C05F2E">
              <w:rPr>
                <w:sz w:val="28"/>
                <w:szCs w:val="28"/>
              </w:rPr>
              <w:t>2 (2–2)</w:t>
            </w:r>
          </w:p>
        </w:tc>
        <w:tc>
          <w:tcPr>
            <w:tcW w:w="1368" w:type="dxa"/>
            <w:vAlign w:val="center"/>
          </w:tcPr>
          <w:p w:rsidR="00E12CB4" w:rsidRPr="00C05F2E" w:rsidRDefault="00E12CB4" w:rsidP="00C05F2E">
            <w:pPr>
              <w:jc w:val="both"/>
              <w:rPr>
                <w:sz w:val="28"/>
                <w:szCs w:val="28"/>
              </w:rPr>
            </w:pPr>
            <w:r w:rsidRPr="00C05F2E">
              <w:rPr>
                <w:sz w:val="28"/>
                <w:szCs w:val="28"/>
              </w:rPr>
              <w:t>3 (3–3)</w:t>
            </w:r>
          </w:p>
        </w:tc>
        <w:tc>
          <w:tcPr>
            <w:tcW w:w="1368" w:type="dxa"/>
            <w:vAlign w:val="center"/>
          </w:tcPr>
          <w:p w:rsidR="00E12CB4" w:rsidRPr="00C05F2E" w:rsidRDefault="00E12CB4" w:rsidP="00C05F2E">
            <w:pPr>
              <w:jc w:val="both"/>
              <w:rPr>
                <w:sz w:val="28"/>
                <w:szCs w:val="28"/>
              </w:rPr>
            </w:pPr>
            <w:r w:rsidRPr="00C05F2E">
              <w:rPr>
                <w:sz w:val="28"/>
                <w:szCs w:val="28"/>
              </w:rPr>
              <w:t>&lt;0.001</w:t>
            </w:r>
          </w:p>
        </w:tc>
      </w:tr>
      <w:tr w:rsidR="00E12CB4" w:rsidRPr="00C05F2E" w:rsidTr="00FC2559">
        <w:tc>
          <w:tcPr>
            <w:tcW w:w="1368" w:type="dxa"/>
            <w:vAlign w:val="center"/>
          </w:tcPr>
          <w:p w:rsidR="00E12CB4" w:rsidRPr="00C05F2E" w:rsidRDefault="00E12CB4" w:rsidP="00C05F2E">
            <w:pPr>
              <w:jc w:val="both"/>
              <w:rPr>
                <w:sz w:val="28"/>
                <w:szCs w:val="28"/>
              </w:rPr>
            </w:pPr>
          </w:p>
        </w:tc>
        <w:tc>
          <w:tcPr>
            <w:tcW w:w="1368" w:type="dxa"/>
            <w:vAlign w:val="center"/>
          </w:tcPr>
          <w:p w:rsidR="00E12CB4" w:rsidRPr="00C05F2E" w:rsidRDefault="00E12CB4" w:rsidP="00C05F2E">
            <w:pPr>
              <w:jc w:val="both"/>
              <w:rPr>
                <w:sz w:val="28"/>
                <w:szCs w:val="28"/>
              </w:rPr>
            </w:pPr>
            <w:r w:rsidRPr="00C05F2E">
              <w:rPr>
                <w:sz w:val="28"/>
                <w:szCs w:val="28"/>
              </w:rPr>
              <w:t>Germ cell depletion</w:t>
            </w:r>
          </w:p>
        </w:tc>
        <w:tc>
          <w:tcPr>
            <w:tcW w:w="1368" w:type="dxa"/>
            <w:vAlign w:val="center"/>
          </w:tcPr>
          <w:p w:rsidR="00E12CB4" w:rsidRPr="00C05F2E" w:rsidRDefault="00E12CB4" w:rsidP="00C05F2E">
            <w:pPr>
              <w:jc w:val="both"/>
              <w:rPr>
                <w:sz w:val="28"/>
                <w:szCs w:val="28"/>
              </w:rPr>
            </w:pPr>
            <w:r w:rsidRPr="00C05F2E">
              <w:rPr>
                <w:sz w:val="28"/>
                <w:szCs w:val="28"/>
              </w:rPr>
              <w:t>0 (0–0)</w:t>
            </w:r>
          </w:p>
        </w:tc>
        <w:tc>
          <w:tcPr>
            <w:tcW w:w="1368" w:type="dxa"/>
            <w:vAlign w:val="center"/>
          </w:tcPr>
          <w:p w:rsidR="00E12CB4" w:rsidRPr="00C05F2E" w:rsidRDefault="00E12CB4" w:rsidP="00C05F2E">
            <w:pPr>
              <w:jc w:val="both"/>
              <w:rPr>
                <w:sz w:val="28"/>
                <w:szCs w:val="28"/>
              </w:rPr>
            </w:pPr>
            <w:r w:rsidRPr="00C05F2E">
              <w:rPr>
                <w:sz w:val="28"/>
                <w:szCs w:val="28"/>
              </w:rPr>
              <w:t>1 (1–1)</w:t>
            </w:r>
          </w:p>
        </w:tc>
        <w:tc>
          <w:tcPr>
            <w:tcW w:w="1368" w:type="dxa"/>
            <w:vAlign w:val="center"/>
          </w:tcPr>
          <w:p w:rsidR="00E12CB4" w:rsidRPr="00C05F2E" w:rsidRDefault="00E12CB4" w:rsidP="00C05F2E">
            <w:pPr>
              <w:jc w:val="both"/>
              <w:rPr>
                <w:sz w:val="28"/>
                <w:szCs w:val="28"/>
              </w:rPr>
            </w:pPr>
            <w:r w:rsidRPr="00C05F2E">
              <w:rPr>
                <w:sz w:val="28"/>
                <w:szCs w:val="28"/>
              </w:rPr>
              <w:t>2 (2–3)</w:t>
            </w:r>
          </w:p>
        </w:tc>
        <w:tc>
          <w:tcPr>
            <w:tcW w:w="1368" w:type="dxa"/>
            <w:vAlign w:val="center"/>
          </w:tcPr>
          <w:p w:rsidR="00E12CB4" w:rsidRPr="00C05F2E" w:rsidRDefault="00E12CB4" w:rsidP="00C05F2E">
            <w:pPr>
              <w:jc w:val="both"/>
              <w:rPr>
                <w:sz w:val="28"/>
                <w:szCs w:val="28"/>
              </w:rPr>
            </w:pPr>
            <w:r w:rsidRPr="00C05F2E">
              <w:rPr>
                <w:sz w:val="28"/>
                <w:szCs w:val="28"/>
              </w:rPr>
              <w:t>3 (3–3)</w:t>
            </w:r>
          </w:p>
        </w:tc>
        <w:tc>
          <w:tcPr>
            <w:tcW w:w="1368" w:type="dxa"/>
            <w:vAlign w:val="center"/>
          </w:tcPr>
          <w:p w:rsidR="00E12CB4" w:rsidRPr="00C05F2E" w:rsidRDefault="00E12CB4" w:rsidP="00C05F2E">
            <w:pPr>
              <w:jc w:val="both"/>
              <w:rPr>
                <w:sz w:val="28"/>
                <w:szCs w:val="28"/>
              </w:rPr>
            </w:pPr>
            <w:r w:rsidRPr="00C05F2E">
              <w:rPr>
                <w:sz w:val="28"/>
                <w:szCs w:val="28"/>
              </w:rPr>
              <w:t>&lt;0.001</w:t>
            </w:r>
          </w:p>
        </w:tc>
      </w:tr>
      <w:tr w:rsidR="00E12CB4" w:rsidRPr="00C05F2E" w:rsidTr="00FC2559">
        <w:tc>
          <w:tcPr>
            <w:tcW w:w="1368" w:type="dxa"/>
            <w:vAlign w:val="center"/>
          </w:tcPr>
          <w:p w:rsidR="00E12CB4" w:rsidRPr="00C05F2E" w:rsidRDefault="00E12CB4" w:rsidP="00C05F2E">
            <w:pPr>
              <w:jc w:val="both"/>
              <w:rPr>
                <w:sz w:val="28"/>
                <w:szCs w:val="28"/>
              </w:rPr>
            </w:pPr>
          </w:p>
        </w:tc>
        <w:tc>
          <w:tcPr>
            <w:tcW w:w="1368" w:type="dxa"/>
            <w:vAlign w:val="center"/>
          </w:tcPr>
          <w:p w:rsidR="00E12CB4" w:rsidRPr="00C05F2E" w:rsidRDefault="00E12CB4" w:rsidP="00C05F2E">
            <w:pPr>
              <w:jc w:val="both"/>
              <w:rPr>
                <w:sz w:val="28"/>
                <w:szCs w:val="28"/>
              </w:rPr>
            </w:pPr>
            <w:r w:rsidRPr="00C05F2E">
              <w:rPr>
                <w:sz w:val="28"/>
                <w:szCs w:val="28"/>
              </w:rPr>
              <w:t>Interstitial changes</w:t>
            </w:r>
          </w:p>
        </w:tc>
        <w:tc>
          <w:tcPr>
            <w:tcW w:w="1368" w:type="dxa"/>
            <w:vAlign w:val="center"/>
          </w:tcPr>
          <w:p w:rsidR="00E12CB4" w:rsidRPr="00C05F2E" w:rsidRDefault="00E12CB4" w:rsidP="00C05F2E">
            <w:pPr>
              <w:jc w:val="both"/>
              <w:rPr>
                <w:sz w:val="28"/>
                <w:szCs w:val="28"/>
              </w:rPr>
            </w:pPr>
            <w:r w:rsidRPr="00C05F2E">
              <w:rPr>
                <w:sz w:val="28"/>
                <w:szCs w:val="28"/>
              </w:rPr>
              <w:t>0 (0–0)</w:t>
            </w:r>
          </w:p>
        </w:tc>
        <w:tc>
          <w:tcPr>
            <w:tcW w:w="1368" w:type="dxa"/>
            <w:vAlign w:val="center"/>
          </w:tcPr>
          <w:p w:rsidR="00E12CB4" w:rsidRPr="00C05F2E" w:rsidRDefault="00E12CB4" w:rsidP="00C05F2E">
            <w:pPr>
              <w:jc w:val="both"/>
              <w:rPr>
                <w:sz w:val="28"/>
                <w:szCs w:val="28"/>
              </w:rPr>
            </w:pPr>
            <w:r w:rsidRPr="00C05F2E">
              <w:rPr>
                <w:sz w:val="28"/>
                <w:szCs w:val="28"/>
              </w:rPr>
              <w:t>1 (1–1)</w:t>
            </w:r>
          </w:p>
        </w:tc>
        <w:tc>
          <w:tcPr>
            <w:tcW w:w="1368" w:type="dxa"/>
            <w:vAlign w:val="center"/>
          </w:tcPr>
          <w:p w:rsidR="00E12CB4" w:rsidRPr="00C05F2E" w:rsidRDefault="00E12CB4" w:rsidP="00C05F2E">
            <w:pPr>
              <w:jc w:val="both"/>
              <w:rPr>
                <w:sz w:val="28"/>
                <w:szCs w:val="28"/>
              </w:rPr>
            </w:pPr>
            <w:r w:rsidRPr="00C05F2E">
              <w:rPr>
                <w:sz w:val="28"/>
                <w:szCs w:val="28"/>
              </w:rPr>
              <w:t>1 (1–2)</w:t>
            </w:r>
          </w:p>
        </w:tc>
        <w:tc>
          <w:tcPr>
            <w:tcW w:w="1368" w:type="dxa"/>
            <w:vAlign w:val="center"/>
          </w:tcPr>
          <w:p w:rsidR="00E12CB4" w:rsidRPr="00C05F2E" w:rsidRDefault="00E12CB4" w:rsidP="00C05F2E">
            <w:pPr>
              <w:jc w:val="both"/>
              <w:rPr>
                <w:sz w:val="28"/>
                <w:szCs w:val="28"/>
              </w:rPr>
            </w:pPr>
            <w:r w:rsidRPr="00C05F2E">
              <w:rPr>
                <w:sz w:val="28"/>
                <w:szCs w:val="28"/>
              </w:rPr>
              <w:t>2 (2–3)</w:t>
            </w:r>
          </w:p>
        </w:tc>
        <w:tc>
          <w:tcPr>
            <w:tcW w:w="1368" w:type="dxa"/>
            <w:vAlign w:val="center"/>
          </w:tcPr>
          <w:p w:rsidR="00E12CB4" w:rsidRPr="00C05F2E" w:rsidRDefault="00E12CB4" w:rsidP="00C05F2E">
            <w:pPr>
              <w:jc w:val="both"/>
              <w:rPr>
                <w:sz w:val="28"/>
                <w:szCs w:val="28"/>
              </w:rPr>
            </w:pPr>
            <w:r w:rsidRPr="00C05F2E">
              <w:rPr>
                <w:sz w:val="28"/>
                <w:szCs w:val="28"/>
              </w:rPr>
              <w:t>&lt;0.001</w:t>
            </w:r>
          </w:p>
        </w:tc>
      </w:tr>
      <w:tr w:rsidR="00E12CB4" w:rsidRPr="00C05F2E" w:rsidTr="00FC2559">
        <w:tc>
          <w:tcPr>
            <w:tcW w:w="1368" w:type="dxa"/>
            <w:vAlign w:val="center"/>
          </w:tcPr>
          <w:p w:rsidR="00E12CB4" w:rsidRPr="00C05F2E" w:rsidRDefault="00E12CB4" w:rsidP="00C05F2E">
            <w:pPr>
              <w:jc w:val="both"/>
              <w:rPr>
                <w:sz w:val="28"/>
                <w:szCs w:val="28"/>
              </w:rPr>
            </w:pPr>
            <w:r w:rsidRPr="00C05F2E">
              <w:rPr>
                <w:sz w:val="28"/>
                <w:szCs w:val="28"/>
              </w:rPr>
              <w:t>Pancreas</w:t>
            </w:r>
          </w:p>
        </w:tc>
        <w:tc>
          <w:tcPr>
            <w:tcW w:w="1368" w:type="dxa"/>
            <w:vAlign w:val="center"/>
          </w:tcPr>
          <w:p w:rsidR="00E12CB4" w:rsidRPr="00C05F2E" w:rsidRDefault="00E12CB4" w:rsidP="00C05F2E">
            <w:pPr>
              <w:jc w:val="both"/>
              <w:rPr>
                <w:sz w:val="28"/>
                <w:szCs w:val="28"/>
              </w:rPr>
            </w:pPr>
            <w:proofErr w:type="spellStart"/>
            <w:r w:rsidRPr="00C05F2E">
              <w:rPr>
                <w:sz w:val="28"/>
                <w:szCs w:val="28"/>
              </w:rPr>
              <w:t>Acinar</w:t>
            </w:r>
            <w:proofErr w:type="spellEnd"/>
            <w:r w:rsidRPr="00C05F2E">
              <w:rPr>
                <w:sz w:val="28"/>
                <w:szCs w:val="28"/>
              </w:rPr>
              <w:t xml:space="preserve"> damage</w:t>
            </w:r>
          </w:p>
        </w:tc>
        <w:tc>
          <w:tcPr>
            <w:tcW w:w="1368" w:type="dxa"/>
            <w:vAlign w:val="center"/>
          </w:tcPr>
          <w:p w:rsidR="00E12CB4" w:rsidRPr="00C05F2E" w:rsidRDefault="00E12CB4" w:rsidP="00C05F2E">
            <w:pPr>
              <w:jc w:val="both"/>
              <w:rPr>
                <w:sz w:val="28"/>
                <w:szCs w:val="28"/>
              </w:rPr>
            </w:pPr>
            <w:r w:rsidRPr="00C05F2E">
              <w:rPr>
                <w:sz w:val="28"/>
                <w:szCs w:val="28"/>
              </w:rPr>
              <w:t>0 (0–0)</w:t>
            </w:r>
          </w:p>
        </w:tc>
        <w:tc>
          <w:tcPr>
            <w:tcW w:w="1368" w:type="dxa"/>
            <w:vAlign w:val="center"/>
          </w:tcPr>
          <w:p w:rsidR="00E12CB4" w:rsidRPr="00C05F2E" w:rsidRDefault="00E12CB4" w:rsidP="00C05F2E">
            <w:pPr>
              <w:jc w:val="both"/>
              <w:rPr>
                <w:sz w:val="28"/>
                <w:szCs w:val="28"/>
              </w:rPr>
            </w:pPr>
            <w:r w:rsidRPr="00C05F2E">
              <w:rPr>
                <w:sz w:val="28"/>
                <w:szCs w:val="28"/>
              </w:rPr>
              <w:t>1 (1–1)</w:t>
            </w:r>
          </w:p>
        </w:tc>
        <w:tc>
          <w:tcPr>
            <w:tcW w:w="1368" w:type="dxa"/>
            <w:vAlign w:val="center"/>
          </w:tcPr>
          <w:p w:rsidR="00E12CB4" w:rsidRPr="00C05F2E" w:rsidRDefault="00E12CB4" w:rsidP="00C05F2E">
            <w:pPr>
              <w:jc w:val="both"/>
              <w:rPr>
                <w:sz w:val="28"/>
                <w:szCs w:val="28"/>
              </w:rPr>
            </w:pPr>
            <w:r w:rsidRPr="00C05F2E">
              <w:rPr>
                <w:sz w:val="28"/>
                <w:szCs w:val="28"/>
              </w:rPr>
              <w:t>2 (2–2)</w:t>
            </w:r>
          </w:p>
        </w:tc>
        <w:tc>
          <w:tcPr>
            <w:tcW w:w="1368" w:type="dxa"/>
            <w:vAlign w:val="center"/>
          </w:tcPr>
          <w:p w:rsidR="00E12CB4" w:rsidRPr="00C05F2E" w:rsidRDefault="00E12CB4" w:rsidP="00C05F2E">
            <w:pPr>
              <w:jc w:val="both"/>
              <w:rPr>
                <w:sz w:val="28"/>
                <w:szCs w:val="28"/>
              </w:rPr>
            </w:pPr>
            <w:r w:rsidRPr="00C05F2E">
              <w:rPr>
                <w:sz w:val="28"/>
                <w:szCs w:val="28"/>
              </w:rPr>
              <w:t>3 (3–3)</w:t>
            </w:r>
          </w:p>
        </w:tc>
        <w:tc>
          <w:tcPr>
            <w:tcW w:w="1368" w:type="dxa"/>
            <w:vAlign w:val="center"/>
          </w:tcPr>
          <w:p w:rsidR="00E12CB4" w:rsidRPr="00C05F2E" w:rsidRDefault="00E12CB4" w:rsidP="00C05F2E">
            <w:pPr>
              <w:jc w:val="both"/>
              <w:rPr>
                <w:sz w:val="28"/>
                <w:szCs w:val="28"/>
              </w:rPr>
            </w:pPr>
            <w:r w:rsidRPr="00C05F2E">
              <w:rPr>
                <w:sz w:val="28"/>
                <w:szCs w:val="28"/>
              </w:rPr>
              <w:t>&lt;0.001</w:t>
            </w:r>
          </w:p>
        </w:tc>
      </w:tr>
      <w:tr w:rsidR="00E12CB4" w:rsidRPr="00C05F2E" w:rsidTr="00FC2559">
        <w:tc>
          <w:tcPr>
            <w:tcW w:w="1368" w:type="dxa"/>
            <w:vAlign w:val="center"/>
          </w:tcPr>
          <w:p w:rsidR="00E12CB4" w:rsidRPr="00C05F2E" w:rsidRDefault="00E12CB4" w:rsidP="00C05F2E">
            <w:pPr>
              <w:jc w:val="both"/>
              <w:rPr>
                <w:sz w:val="28"/>
                <w:szCs w:val="28"/>
              </w:rPr>
            </w:pPr>
          </w:p>
        </w:tc>
        <w:tc>
          <w:tcPr>
            <w:tcW w:w="1368" w:type="dxa"/>
            <w:vAlign w:val="center"/>
          </w:tcPr>
          <w:p w:rsidR="00E12CB4" w:rsidRPr="00C05F2E" w:rsidRDefault="00E12CB4" w:rsidP="00C05F2E">
            <w:pPr>
              <w:jc w:val="both"/>
              <w:rPr>
                <w:sz w:val="28"/>
                <w:szCs w:val="28"/>
              </w:rPr>
            </w:pPr>
            <w:r w:rsidRPr="00C05F2E">
              <w:rPr>
                <w:sz w:val="28"/>
                <w:szCs w:val="28"/>
              </w:rPr>
              <w:t>Islet changes</w:t>
            </w:r>
          </w:p>
        </w:tc>
        <w:tc>
          <w:tcPr>
            <w:tcW w:w="1368" w:type="dxa"/>
            <w:vAlign w:val="center"/>
          </w:tcPr>
          <w:p w:rsidR="00E12CB4" w:rsidRPr="00C05F2E" w:rsidRDefault="00E12CB4" w:rsidP="00C05F2E">
            <w:pPr>
              <w:jc w:val="both"/>
              <w:rPr>
                <w:sz w:val="28"/>
                <w:szCs w:val="28"/>
              </w:rPr>
            </w:pPr>
            <w:r w:rsidRPr="00C05F2E">
              <w:rPr>
                <w:sz w:val="28"/>
                <w:szCs w:val="28"/>
              </w:rPr>
              <w:t>0 (0–0)</w:t>
            </w:r>
          </w:p>
        </w:tc>
        <w:tc>
          <w:tcPr>
            <w:tcW w:w="1368" w:type="dxa"/>
            <w:vAlign w:val="center"/>
          </w:tcPr>
          <w:p w:rsidR="00E12CB4" w:rsidRPr="00C05F2E" w:rsidRDefault="00E12CB4" w:rsidP="00C05F2E">
            <w:pPr>
              <w:jc w:val="both"/>
              <w:rPr>
                <w:sz w:val="28"/>
                <w:szCs w:val="28"/>
              </w:rPr>
            </w:pPr>
            <w:r w:rsidRPr="00C05F2E">
              <w:rPr>
                <w:sz w:val="28"/>
                <w:szCs w:val="28"/>
              </w:rPr>
              <w:t>1 (1–1)</w:t>
            </w:r>
          </w:p>
        </w:tc>
        <w:tc>
          <w:tcPr>
            <w:tcW w:w="1368" w:type="dxa"/>
            <w:vAlign w:val="center"/>
          </w:tcPr>
          <w:p w:rsidR="00E12CB4" w:rsidRPr="00C05F2E" w:rsidRDefault="00E12CB4" w:rsidP="00C05F2E">
            <w:pPr>
              <w:jc w:val="both"/>
              <w:rPr>
                <w:sz w:val="28"/>
                <w:szCs w:val="28"/>
              </w:rPr>
            </w:pPr>
            <w:r w:rsidRPr="00C05F2E">
              <w:rPr>
                <w:sz w:val="28"/>
                <w:szCs w:val="28"/>
              </w:rPr>
              <w:t>2 (1–2)</w:t>
            </w:r>
          </w:p>
        </w:tc>
        <w:tc>
          <w:tcPr>
            <w:tcW w:w="1368" w:type="dxa"/>
            <w:vAlign w:val="center"/>
          </w:tcPr>
          <w:p w:rsidR="00E12CB4" w:rsidRPr="00C05F2E" w:rsidRDefault="00E12CB4" w:rsidP="00C05F2E">
            <w:pPr>
              <w:jc w:val="both"/>
              <w:rPr>
                <w:sz w:val="28"/>
                <w:szCs w:val="28"/>
              </w:rPr>
            </w:pPr>
            <w:r w:rsidRPr="00C05F2E">
              <w:rPr>
                <w:sz w:val="28"/>
                <w:szCs w:val="28"/>
              </w:rPr>
              <w:t>3 (2–3)</w:t>
            </w:r>
          </w:p>
        </w:tc>
        <w:tc>
          <w:tcPr>
            <w:tcW w:w="1368" w:type="dxa"/>
            <w:vAlign w:val="center"/>
          </w:tcPr>
          <w:p w:rsidR="00E12CB4" w:rsidRPr="00C05F2E" w:rsidRDefault="00E12CB4" w:rsidP="00C05F2E">
            <w:pPr>
              <w:jc w:val="both"/>
              <w:rPr>
                <w:sz w:val="28"/>
                <w:szCs w:val="28"/>
              </w:rPr>
            </w:pPr>
            <w:r w:rsidRPr="00C05F2E">
              <w:rPr>
                <w:sz w:val="28"/>
                <w:szCs w:val="28"/>
              </w:rPr>
              <w:t>&lt;0.001</w:t>
            </w:r>
          </w:p>
        </w:tc>
      </w:tr>
      <w:tr w:rsidR="00E12CB4" w:rsidRPr="00C05F2E" w:rsidTr="00FC2559">
        <w:tc>
          <w:tcPr>
            <w:tcW w:w="1368" w:type="dxa"/>
            <w:vAlign w:val="center"/>
          </w:tcPr>
          <w:p w:rsidR="00E12CB4" w:rsidRPr="00C05F2E" w:rsidRDefault="00E12CB4" w:rsidP="00C05F2E">
            <w:pPr>
              <w:jc w:val="both"/>
              <w:rPr>
                <w:sz w:val="28"/>
                <w:szCs w:val="28"/>
              </w:rPr>
            </w:pPr>
          </w:p>
        </w:tc>
        <w:tc>
          <w:tcPr>
            <w:tcW w:w="1368" w:type="dxa"/>
            <w:vAlign w:val="center"/>
          </w:tcPr>
          <w:p w:rsidR="00E12CB4" w:rsidRPr="00C05F2E" w:rsidRDefault="00E12CB4" w:rsidP="00C05F2E">
            <w:pPr>
              <w:jc w:val="both"/>
              <w:rPr>
                <w:sz w:val="28"/>
                <w:szCs w:val="28"/>
              </w:rPr>
            </w:pPr>
            <w:r w:rsidRPr="00C05F2E">
              <w:rPr>
                <w:sz w:val="28"/>
                <w:szCs w:val="28"/>
              </w:rPr>
              <w:t>Inflammation</w:t>
            </w:r>
          </w:p>
        </w:tc>
        <w:tc>
          <w:tcPr>
            <w:tcW w:w="1368" w:type="dxa"/>
            <w:vAlign w:val="center"/>
          </w:tcPr>
          <w:p w:rsidR="00E12CB4" w:rsidRPr="00C05F2E" w:rsidRDefault="00E12CB4" w:rsidP="00C05F2E">
            <w:pPr>
              <w:jc w:val="both"/>
              <w:rPr>
                <w:sz w:val="28"/>
                <w:szCs w:val="28"/>
              </w:rPr>
            </w:pPr>
            <w:r w:rsidRPr="00C05F2E">
              <w:rPr>
                <w:sz w:val="28"/>
                <w:szCs w:val="28"/>
              </w:rPr>
              <w:t>0 (0–0)</w:t>
            </w:r>
          </w:p>
        </w:tc>
        <w:tc>
          <w:tcPr>
            <w:tcW w:w="1368" w:type="dxa"/>
            <w:vAlign w:val="center"/>
          </w:tcPr>
          <w:p w:rsidR="00E12CB4" w:rsidRPr="00C05F2E" w:rsidRDefault="00E12CB4" w:rsidP="00C05F2E">
            <w:pPr>
              <w:jc w:val="both"/>
              <w:rPr>
                <w:sz w:val="28"/>
                <w:szCs w:val="28"/>
              </w:rPr>
            </w:pPr>
            <w:r w:rsidRPr="00C05F2E">
              <w:rPr>
                <w:sz w:val="28"/>
                <w:szCs w:val="28"/>
              </w:rPr>
              <w:t>0 (0–1)</w:t>
            </w:r>
          </w:p>
        </w:tc>
        <w:tc>
          <w:tcPr>
            <w:tcW w:w="1368" w:type="dxa"/>
            <w:vAlign w:val="center"/>
          </w:tcPr>
          <w:p w:rsidR="00E12CB4" w:rsidRPr="00C05F2E" w:rsidRDefault="00E12CB4" w:rsidP="00C05F2E">
            <w:pPr>
              <w:jc w:val="both"/>
              <w:rPr>
                <w:sz w:val="28"/>
                <w:szCs w:val="28"/>
              </w:rPr>
            </w:pPr>
            <w:r w:rsidRPr="00C05F2E">
              <w:rPr>
                <w:sz w:val="28"/>
                <w:szCs w:val="28"/>
              </w:rPr>
              <w:t>1 (1–2)</w:t>
            </w:r>
          </w:p>
        </w:tc>
        <w:tc>
          <w:tcPr>
            <w:tcW w:w="1368" w:type="dxa"/>
            <w:vAlign w:val="center"/>
          </w:tcPr>
          <w:p w:rsidR="00E12CB4" w:rsidRPr="00C05F2E" w:rsidRDefault="00E12CB4" w:rsidP="00C05F2E">
            <w:pPr>
              <w:jc w:val="both"/>
              <w:rPr>
                <w:sz w:val="28"/>
                <w:szCs w:val="28"/>
              </w:rPr>
            </w:pPr>
            <w:r w:rsidRPr="00C05F2E">
              <w:rPr>
                <w:sz w:val="28"/>
                <w:szCs w:val="28"/>
              </w:rPr>
              <w:t>2 (2–3)</w:t>
            </w:r>
          </w:p>
        </w:tc>
        <w:tc>
          <w:tcPr>
            <w:tcW w:w="1368" w:type="dxa"/>
            <w:vAlign w:val="center"/>
          </w:tcPr>
          <w:p w:rsidR="00E12CB4" w:rsidRPr="00C05F2E" w:rsidRDefault="00E12CB4" w:rsidP="00C05F2E">
            <w:pPr>
              <w:jc w:val="both"/>
              <w:rPr>
                <w:sz w:val="28"/>
                <w:szCs w:val="28"/>
              </w:rPr>
            </w:pPr>
            <w:r w:rsidRPr="00C05F2E">
              <w:rPr>
                <w:sz w:val="28"/>
                <w:szCs w:val="28"/>
              </w:rPr>
              <w:t>&lt;0.001</w:t>
            </w:r>
          </w:p>
        </w:tc>
      </w:tr>
      <w:tr w:rsidR="00E12CB4" w:rsidRPr="00C05F2E" w:rsidTr="00FC2559">
        <w:tc>
          <w:tcPr>
            <w:tcW w:w="1368" w:type="dxa"/>
            <w:vAlign w:val="center"/>
          </w:tcPr>
          <w:p w:rsidR="00E12CB4" w:rsidRPr="00C05F2E" w:rsidRDefault="00E12CB4" w:rsidP="00C05F2E">
            <w:pPr>
              <w:jc w:val="both"/>
              <w:rPr>
                <w:sz w:val="28"/>
                <w:szCs w:val="28"/>
              </w:rPr>
            </w:pPr>
            <w:r w:rsidRPr="00C05F2E">
              <w:rPr>
                <w:sz w:val="28"/>
                <w:szCs w:val="28"/>
              </w:rPr>
              <w:t>Duodenum</w:t>
            </w:r>
          </w:p>
        </w:tc>
        <w:tc>
          <w:tcPr>
            <w:tcW w:w="1368" w:type="dxa"/>
            <w:vAlign w:val="center"/>
          </w:tcPr>
          <w:p w:rsidR="00E12CB4" w:rsidRPr="00C05F2E" w:rsidRDefault="00E12CB4" w:rsidP="00C05F2E">
            <w:pPr>
              <w:jc w:val="both"/>
              <w:rPr>
                <w:sz w:val="28"/>
                <w:szCs w:val="28"/>
              </w:rPr>
            </w:pPr>
            <w:r w:rsidRPr="00C05F2E">
              <w:rPr>
                <w:sz w:val="28"/>
                <w:szCs w:val="28"/>
              </w:rPr>
              <w:t>Villous atrophy</w:t>
            </w:r>
          </w:p>
        </w:tc>
        <w:tc>
          <w:tcPr>
            <w:tcW w:w="1368" w:type="dxa"/>
            <w:vAlign w:val="center"/>
          </w:tcPr>
          <w:p w:rsidR="00E12CB4" w:rsidRPr="00C05F2E" w:rsidRDefault="00E12CB4" w:rsidP="00C05F2E">
            <w:pPr>
              <w:jc w:val="both"/>
              <w:rPr>
                <w:sz w:val="28"/>
                <w:szCs w:val="28"/>
              </w:rPr>
            </w:pPr>
            <w:r w:rsidRPr="00C05F2E">
              <w:rPr>
                <w:sz w:val="28"/>
                <w:szCs w:val="28"/>
              </w:rPr>
              <w:t>0 (0–0)</w:t>
            </w:r>
          </w:p>
        </w:tc>
        <w:tc>
          <w:tcPr>
            <w:tcW w:w="1368" w:type="dxa"/>
            <w:vAlign w:val="center"/>
          </w:tcPr>
          <w:p w:rsidR="00E12CB4" w:rsidRPr="00C05F2E" w:rsidRDefault="00E12CB4" w:rsidP="00C05F2E">
            <w:pPr>
              <w:jc w:val="both"/>
              <w:rPr>
                <w:sz w:val="28"/>
                <w:szCs w:val="28"/>
              </w:rPr>
            </w:pPr>
            <w:r w:rsidRPr="00C05F2E">
              <w:rPr>
                <w:sz w:val="28"/>
                <w:szCs w:val="28"/>
              </w:rPr>
              <w:t>1 (1–1)</w:t>
            </w:r>
          </w:p>
        </w:tc>
        <w:tc>
          <w:tcPr>
            <w:tcW w:w="1368" w:type="dxa"/>
            <w:vAlign w:val="center"/>
          </w:tcPr>
          <w:p w:rsidR="00E12CB4" w:rsidRPr="00C05F2E" w:rsidRDefault="00E12CB4" w:rsidP="00C05F2E">
            <w:pPr>
              <w:jc w:val="both"/>
              <w:rPr>
                <w:sz w:val="28"/>
                <w:szCs w:val="28"/>
              </w:rPr>
            </w:pPr>
            <w:r w:rsidRPr="00C05F2E">
              <w:rPr>
                <w:sz w:val="28"/>
                <w:szCs w:val="28"/>
              </w:rPr>
              <w:t>2 (2–2)</w:t>
            </w:r>
          </w:p>
        </w:tc>
        <w:tc>
          <w:tcPr>
            <w:tcW w:w="1368" w:type="dxa"/>
            <w:vAlign w:val="center"/>
          </w:tcPr>
          <w:p w:rsidR="00E12CB4" w:rsidRPr="00C05F2E" w:rsidRDefault="00E12CB4" w:rsidP="00C05F2E">
            <w:pPr>
              <w:jc w:val="both"/>
              <w:rPr>
                <w:sz w:val="28"/>
                <w:szCs w:val="28"/>
              </w:rPr>
            </w:pPr>
            <w:r w:rsidRPr="00C05F2E">
              <w:rPr>
                <w:sz w:val="28"/>
                <w:szCs w:val="28"/>
              </w:rPr>
              <w:t>3 (2–3)</w:t>
            </w:r>
          </w:p>
        </w:tc>
        <w:tc>
          <w:tcPr>
            <w:tcW w:w="1368" w:type="dxa"/>
            <w:vAlign w:val="center"/>
          </w:tcPr>
          <w:p w:rsidR="00E12CB4" w:rsidRPr="00C05F2E" w:rsidRDefault="00E12CB4" w:rsidP="00C05F2E">
            <w:pPr>
              <w:jc w:val="both"/>
              <w:rPr>
                <w:sz w:val="28"/>
                <w:szCs w:val="28"/>
              </w:rPr>
            </w:pPr>
            <w:r w:rsidRPr="00C05F2E">
              <w:rPr>
                <w:sz w:val="28"/>
                <w:szCs w:val="28"/>
              </w:rPr>
              <w:t>&lt;0.001</w:t>
            </w:r>
          </w:p>
        </w:tc>
      </w:tr>
      <w:tr w:rsidR="00E12CB4" w:rsidRPr="00C05F2E" w:rsidTr="00FC2559">
        <w:tc>
          <w:tcPr>
            <w:tcW w:w="1368" w:type="dxa"/>
            <w:vAlign w:val="center"/>
          </w:tcPr>
          <w:p w:rsidR="00E12CB4" w:rsidRPr="00C05F2E" w:rsidRDefault="00E12CB4" w:rsidP="00C05F2E">
            <w:pPr>
              <w:jc w:val="both"/>
              <w:rPr>
                <w:sz w:val="28"/>
                <w:szCs w:val="28"/>
              </w:rPr>
            </w:pPr>
          </w:p>
        </w:tc>
        <w:tc>
          <w:tcPr>
            <w:tcW w:w="1368" w:type="dxa"/>
            <w:vAlign w:val="center"/>
          </w:tcPr>
          <w:p w:rsidR="00E12CB4" w:rsidRPr="00C05F2E" w:rsidRDefault="00E12CB4" w:rsidP="00C05F2E">
            <w:pPr>
              <w:jc w:val="both"/>
              <w:rPr>
                <w:sz w:val="28"/>
                <w:szCs w:val="28"/>
              </w:rPr>
            </w:pPr>
            <w:r w:rsidRPr="00C05F2E">
              <w:rPr>
                <w:sz w:val="28"/>
                <w:szCs w:val="28"/>
              </w:rPr>
              <w:t>Crypt hyperplasia</w:t>
            </w:r>
          </w:p>
        </w:tc>
        <w:tc>
          <w:tcPr>
            <w:tcW w:w="1368" w:type="dxa"/>
            <w:vAlign w:val="center"/>
          </w:tcPr>
          <w:p w:rsidR="00E12CB4" w:rsidRPr="00C05F2E" w:rsidRDefault="00E12CB4" w:rsidP="00C05F2E">
            <w:pPr>
              <w:jc w:val="both"/>
              <w:rPr>
                <w:sz w:val="28"/>
                <w:szCs w:val="28"/>
              </w:rPr>
            </w:pPr>
            <w:r w:rsidRPr="00C05F2E">
              <w:rPr>
                <w:sz w:val="28"/>
                <w:szCs w:val="28"/>
              </w:rPr>
              <w:t>0 (0–0)</w:t>
            </w:r>
          </w:p>
        </w:tc>
        <w:tc>
          <w:tcPr>
            <w:tcW w:w="1368" w:type="dxa"/>
            <w:vAlign w:val="center"/>
          </w:tcPr>
          <w:p w:rsidR="00E12CB4" w:rsidRPr="00C05F2E" w:rsidRDefault="00E12CB4" w:rsidP="00C05F2E">
            <w:pPr>
              <w:jc w:val="both"/>
              <w:rPr>
                <w:sz w:val="28"/>
                <w:szCs w:val="28"/>
              </w:rPr>
            </w:pPr>
            <w:r w:rsidRPr="00C05F2E">
              <w:rPr>
                <w:sz w:val="28"/>
                <w:szCs w:val="28"/>
              </w:rPr>
              <w:t>1 (1–1)</w:t>
            </w:r>
          </w:p>
        </w:tc>
        <w:tc>
          <w:tcPr>
            <w:tcW w:w="1368" w:type="dxa"/>
            <w:vAlign w:val="center"/>
          </w:tcPr>
          <w:p w:rsidR="00E12CB4" w:rsidRPr="00C05F2E" w:rsidRDefault="00E12CB4" w:rsidP="00C05F2E">
            <w:pPr>
              <w:jc w:val="both"/>
              <w:rPr>
                <w:sz w:val="28"/>
                <w:szCs w:val="28"/>
              </w:rPr>
            </w:pPr>
            <w:r w:rsidRPr="00C05F2E">
              <w:rPr>
                <w:sz w:val="28"/>
                <w:szCs w:val="28"/>
              </w:rPr>
              <w:t>2 (1–2)</w:t>
            </w:r>
          </w:p>
        </w:tc>
        <w:tc>
          <w:tcPr>
            <w:tcW w:w="1368" w:type="dxa"/>
            <w:vAlign w:val="center"/>
          </w:tcPr>
          <w:p w:rsidR="00E12CB4" w:rsidRPr="00C05F2E" w:rsidRDefault="00E12CB4" w:rsidP="00C05F2E">
            <w:pPr>
              <w:jc w:val="both"/>
              <w:rPr>
                <w:sz w:val="28"/>
                <w:szCs w:val="28"/>
              </w:rPr>
            </w:pPr>
            <w:r w:rsidRPr="00C05F2E">
              <w:rPr>
                <w:sz w:val="28"/>
                <w:szCs w:val="28"/>
              </w:rPr>
              <w:t>3 (2–3)</w:t>
            </w:r>
          </w:p>
        </w:tc>
        <w:tc>
          <w:tcPr>
            <w:tcW w:w="1368" w:type="dxa"/>
            <w:vAlign w:val="center"/>
          </w:tcPr>
          <w:p w:rsidR="00E12CB4" w:rsidRPr="00C05F2E" w:rsidRDefault="00E12CB4" w:rsidP="00C05F2E">
            <w:pPr>
              <w:jc w:val="both"/>
              <w:rPr>
                <w:sz w:val="28"/>
                <w:szCs w:val="28"/>
              </w:rPr>
            </w:pPr>
            <w:r w:rsidRPr="00C05F2E">
              <w:rPr>
                <w:sz w:val="28"/>
                <w:szCs w:val="28"/>
              </w:rPr>
              <w:t>&lt;0.001</w:t>
            </w:r>
          </w:p>
        </w:tc>
      </w:tr>
      <w:tr w:rsidR="00E12CB4" w:rsidRPr="00C05F2E" w:rsidTr="00FC2559">
        <w:tc>
          <w:tcPr>
            <w:tcW w:w="1368" w:type="dxa"/>
            <w:vAlign w:val="center"/>
          </w:tcPr>
          <w:p w:rsidR="00E12CB4" w:rsidRPr="00C05F2E" w:rsidRDefault="00E12CB4" w:rsidP="00C05F2E">
            <w:pPr>
              <w:jc w:val="both"/>
              <w:rPr>
                <w:sz w:val="28"/>
                <w:szCs w:val="28"/>
              </w:rPr>
            </w:pPr>
          </w:p>
        </w:tc>
        <w:tc>
          <w:tcPr>
            <w:tcW w:w="1368" w:type="dxa"/>
            <w:vAlign w:val="center"/>
          </w:tcPr>
          <w:p w:rsidR="00E12CB4" w:rsidRPr="00C05F2E" w:rsidRDefault="00E12CB4" w:rsidP="00C05F2E">
            <w:pPr>
              <w:jc w:val="both"/>
              <w:rPr>
                <w:sz w:val="28"/>
                <w:szCs w:val="28"/>
              </w:rPr>
            </w:pPr>
            <w:r w:rsidRPr="00C05F2E">
              <w:rPr>
                <w:sz w:val="28"/>
                <w:szCs w:val="28"/>
              </w:rPr>
              <w:t>Inflammation</w:t>
            </w:r>
          </w:p>
        </w:tc>
        <w:tc>
          <w:tcPr>
            <w:tcW w:w="1368" w:type="dxa"/>
            <w:vAlign w:val="center"/>
          </w:tcPr>
          <w:p w:rsidR="00E12CB4" w:rsidRPr="00C05F2E" w:rsidRDefault="00E12CB4" w:rsidP="00C05F2E">
            <w:pPr>
              <w:jc w:val="both"/>
              <w:rPr>
                <w:sz w:val="28"/>
                <w:szCs w:val="28"/>
              </w:rPr>
            </w:pPr>
            <w:r w:rsidRPr="00C05F2E">
              <w:rPr>
                <w:sz w:val="28"/>
                <w:szCs w:val="28"/>
              </w:rPr>
              <w:t>0 (0–0)</w:t>
            </w:r>
          </w:p>
        </w:tc>
        <w:tc>
          <w:tcPr>
            <w:tcW w:w="1368" w:type="dxa"/>
            <w:vAlign w:val="center"/>
          </w:tcPr>
          <w:p w:rsidR="00E12CB4" w:rsidRPr="00C05F2E" w:rsidRDefault="00E12CB4" w:rsidP="00C05F2E">
            <w:pPr>
              <w:jc w:val="both"/>
              <w:rPr>
                <w:sz w:val="28"/>
                <w:szCs w:val="28"/>
              </w:rPr>
            </w:pPr>
            <w:r w:rsidRPr="00C05F2E">
              <w:rPr>
                <w:sz w:val="28"/>
                <w:szCs w:val="28"/>
              </w:rPr>
              <w:t>1 (0–1)</w:t>
            </w:r>
          </w:p>
        </w:tc>
        <w:tc>
          <w:tcPr>
            <w:tcW w:w="1368" w:type="dxa"/>
            <w:vAlign w:val="center"/>
          </w:tcPr>
          <w:p w:rsidR="00E12CB4" w:rsidRPr="00C05F2E" w:rsidRDefault="00E12CB4" w:rsidP="00C05F2E">
            <w:pPr>
              <w:jc w:val="both"/>
              <w:rPr>
                <w:sz w:val="28"/>
                <w:szCs w:val="28"/>
              </w:rPr>
            </w:pPr>
            <w:r w:rsidRPr="00C05F2E">
              <w:rPr>
                <w:sz w:val="28"/>
                <w:szCs w:val="28"/>
              </w:rPr>
              <w:t>1 (1–2)</w:t>
            </w:r>
          </w:p>
        </w:tc>
        <w:tc>
          <w:tcPr>
            <w:tcW w:w="1368" w:type="dxa"/>
            <w:vAlign w:val="center"/>
          </w:tcPr>
          <w:p w:rsidR="00E12CB4" w:rsidRPr="00C05F2E" w:rsidRDefault="00E12CB4" w:rsidP="00C05F2E">
            <w:pPr>
              <w:jc w:val="both"/>
              <w:rPr>
                <w:sz w:val="28"/>
                <w:szCs w:val="28"/>
              </w:rPr>
            </w:pPr>
            <w:r w:rsidRPr="00C05F2E">
              <w:rPr>
                <w:sz w:val="28"/>
                <w:szCs w:val="28"/>
              </w:rPr>
              <w:t>2 (2–3)</w:t>
            </w:r>
          </w:p>
        </w:tc>
        <w:tc>
          <w:tcPr>
            <w:tcW w:w="1368" w:type="dxa"/>
            <w:vAlign w:val="center"/>
          </w:tcPr>
          <w:p w:rsidR="00E12CB4" w:rsidRPr="00C05F2E" w:rsidRDefault="00E12CB4" w:rsidP="00C05F2E">
            <w:pPr>
              <w:jc w:val="both"/>
              <w:rPr>
                <w:sz w:val="28"/>
                <w:szCs w:val="28"/>
              </w:rPr>
            </w:pPr>
            <w:r w:rsidRPr="00C05F2E">
              <w:rPr>
                <w:sz w:val="28"/>
                <w:szCs w:val="28"/>
              </w:rPr>
              <w:t>&lt;0.001</w:t>
            </w:r>
          </w:p>
        </w:tc>
      </w:tr>
    </w:tbl>
    <w:p w:rsidR="00F502FB" w:rsidRPr="00C05F2E" w:rsidRDefault="00F502FB" w:rsidP="00C05F2E">
      <w:pPr>
        <w:pStyle w:val="NormalWeb"/>
        <w:jc w:val="both"/>
        <w:rPr>
          <w:sz w:val="28"/>
          <w:szCs w:val="28"/>
        </w:rPr>
      </w:pPr>
      <w:proofErr w:type="spellStart"/>
      <w:proofErr w:type="gramStart"/>
      <w:r w:rsidRPr="00C05F2E">
        <w:rPr>
          <w:sz w:val="28"/>
          <w:szCs w:val="28"/>
        </w:rPr>
        <w:t>Kruskal</w:t>
      </w:r>
      <w:proofErr w:type="spellEnd"/>
      <w:r w:rsidRPr="00C05F2E">
        <w:rPr>
          <w:sz w:val="28"/>
          <w:szCs w:val="28"/>
        </w:rPr>
        <w:t>–Wallis test; all p &lt; 0.001.</w:t>
      </w:r>
      <w:proofErr w:type="gramEnd"/>
    </w:p>
    <w:p w:rsidR="00F502FB" w:rsidRPr="00C05F2E" w:rsidRDefault="00DE3D02" w:rsidP="00C05F2E">
      <w:pPr>
        <w:pStyle w:val="NormalWeb"/>
        <w:spacing w:line="360" w:lineRule="auto"/>
        <w:jc w:val="both"/>
        <w:rPr>
          <w:sz w:val="28"/>
          <w:szCs w:val="28"/>
        </w:rPr>
      </w:pPr>
      <w:r>
        <w:rPr>
          <w:sz w:val="28"/>
          <w:szCs w:val="28"/>
        </w:rPr>
        <w:t xml:space="preserve">Overall, a strong dose </w:t>
      </w:r>
      <w:r w:rsidR="00F502FB" w:rsidRPr="00C05F2E">
        <w:rPr>
          <w:sz w:val="28"/>
          <w:szCs w:val="28"/>
        </w:rPr>
        <w:t xml:space="preserve">response relationship was evident. The duodenum appeared most sensitive, followed by the testis, while the pancreas showed relative </w:t>
      </w:r>
      <w:r w:rsidR="00F502FB" w:rsidRPr="00C05F2E">
        <w:rPr>
          <w:sz w:val="28"/>
          <w:szCs w:val="28"/>
        </w:rPr>
        <w:lastRenderedPageBreak/>
        <w:t>resistance at lower doses but severe damage at higher exposure. These findings are consistent with literature indicating that gastrointestinal tissues are often the first targets of orally administered toxic agents, while reproductive and endocrine organs exhibit cumulative damage with sustained exposure.</w:t>
      </w:r>
    </w:p>
    <w:p w:rsidR="00EB16E9" w:rsidRPr="00DE3D02" w:rsidRDefault="00DE3D02" w:rsidP="00EB16E9">
      <w:pPr>
        <w:pStyle w:val="Heading2"/>
        <w:rPr>
          <w:b w:val="0"/>
          <w:color w:val="auto"/>
        </w:rPr>
      </w:pPr>
      <w:r w:rsidRPr="00DE3D02">
        <w:rPr>
          <w:rStyle w:val="Strong"/>
          <w:b/>
          <w:bCs/>
          <w:color w:val="auto"/>
        </w:rPr>
        <w:t xml:space="preserve">DISCUSSION </w:t>
      </w:r>
    </w:p>
    <w:p w:rsidR="00EB16E9" w:rsidRPr="00DE3D02" w:rsidRDefault="00EB16E9" w:rsidP="00DE3D02">
      <w:pPr>
        <w:pStyle w:val="NormalWeb"/>
        <w:spacing w:line="360" w:lineRule="auto"/>
        <w:jc w:val="both"/>
        <w:rPr>
          <w:sz w:val="28"/>
          <w:szCs w:val="28"/>
        </w:rPr>
      </w:pPr>
      <w:r w:rsidRPr="00DE3D02">
        <w:rPr>
          <w:sz w:val="28"/>
          <w:szCs w:val="28"/>
        </w:rPr>
        <w:t xml:space="preserve">The results of this study clearly show that </w:t>
      </w:r>
      <w:proofErr w:type="spellStart"/>
      <w:r w:rsidRPr="00DE3D02">
        <w:rPr>
          <w:rStyle w:val="Emphasis"/>
          <w:sz w:val="28"/>
          <w:szCs w:val="28"/>
        </w:rPr>
        <w:t>Odogwu</w:t>
      </w:r>
      <w:proofErr w:type="spellEnd"/>
      <w:r w:rsidRPr="00DE3D02">
        <w:rPr>
          <w:rStyle w:val="Emphasis"/>
          <w:sz w:val="28"/>
          <w:szCs w:val="28"/>
        </w:rPr>
        <w:t xml:space="preserve"> Bitters</w:t>
      </w:r>
      <w:r w:rsidRPr="00DE3D02">
        <w:rPr>
          <w:sz w:val="28"/>
          <w:szCs w:val="28"/>
        </w:rPr>
        <w:t xml:space="preserve"> causes progressive, dose-dependent damage to the testis, pancreas, and duodenum in adult male </w:t>
      </w:r>
      <w:proofErr w:type="spellStart"/>
      <w:r w:rsidRPr="00DE3D02">
        <w:rPr>
          <w:sz w:val="28"/>
          <w:szCs w:val="28"/>
        </w:rPr>
        <w:t>Wistar</w:t>
      </w:r>
      <w:proofErr w:type="spellEnd"/>
      <w:r w:rsidRPr="00DE3D02">
        <w:rPr>
          <w:sz w:val="28"/>
          <w:szCs w:val="28"/>
        </w:rPr>
        <w:t xml:space="preserve"> rats. Mil</w:t>
      </w:r>
      <w:r w:rsidR="00DE3D02">
        <w:rPr>
          <w:sz w:val="28"/>
          <w:szCs w:val="28"/>
        </w:rPr>
        <w:t xml:space="preserve">d changes observed at 2.5 mL/kg </w:t>
      </w:r>
      <w:r w:rsidRPr="00DE3D02">
        <w:rPr>
          <w:sz w:val="28"/>
          <w:szCs w:val="28"/>
        </w:rPr>
        <w:t>com</w:t>
      </w:r>
      <w:r w:rsidR="00DE3D02">
        <w:rPr>
          <w:sz w:val="28"/>
          <w:szCs w:val="28"/>
        </w:rPr>
        <w:t xml:space="preserve">parable to typical human intake </w:t>
      </w:r>
      <w:r w:rsidRPr="00DE3D02">
        <w:rPr>
          <w:sz w:val="28"/>
          <w:szCs w:val="28"/>
        </w:rPr>
        <w:t>gradually worsened into severe tissue injury at higher doses. This pattern strongly supports the alternative hypothesis and is consistent with established toxicological principles and previous research on herbal alcoholic mixtures.</w:t>
      </w:r>
    </w:p>
    <w:p w:rsidR="00EB16E9" w:rsidRPr="00DE3D02" w:rsidRDefault="00EB16E9" w:rsidP="00DE3D02">
      <w:pPr>
        <w:pStyle w:val="NormalWeb"/>
        <w:spacing w:line="360" w:lineRule="auto"/>
        <w:jc w:val="both"/>
        <w:rPr>
          <w:sz w:val="28"/>
          <w:szCs w:val="28"/>
        </w:rPr>
      </w:pPr>
      <w:r w:rsidRPr="00DE3D02">
        <w:rPr>
          <w:sz w:val="28"/>
          <w:szCs w:val="28"/>
        </w:rPr>
        <w:t xml:space="preserve">In the testes, structural damage such as shrinkage of seminiferous tubules, loss of germ cells, impaired sperm production, and abnormalities in </w:t>
      </w:r>
      <w:proofErr w:type="spellStart"/>
      <w:r w:rsidRPr="00DE3D02">
        <w:rPr>
          <w:sz w:val="28"/>
          <w:szCs w:val="28"/>
        </w:rPr>
        <w:t>Leydig</w:t>
      </w:r>
      <w:proofErr w:type="spellEnd"/>
      <w:r w:rsidRPr="00DE3D02">
        <w:rPr>
          <w:sz w:val="28"/>
          <w:szCs w:val="28"/>
        </w:rPr>
        <w:t xml:space="preserve"> cells points to significant reproductive toxicity. Similar findings were reported by </w:t>
      </w:r>
      <w:proofErr w:type="spellStart"/>
      <w:r w:rsidRPr="00DE3D02">
        <w:rPr>
          <w:sz w:val="28"/>
          <w:szCs w:val="28"/>
        </w:rPr>
        <w:t>Kayode</w:t>
      </w:r>
      <w:proofErr w:type="spellEnd"/>
      <w:r w:rsidRPr="00DE3D02">
        <w:rPr>
          <w:sz w:val="28"/>
          <w:szCs w:val="28"/>
        </w:rPr>
        <w:t xml:space="preserve"> et al. (2018), reinforcing concerns about the harmful effects of alcoholic bitters. The increasing severity across doses suggests cumulative toxicity. This may be largely driven by the high alcohol content, which can induce oxidative stress, disrupt hormonal regulation, and reduce testosterone production. Additionally, plant-derived compounds may interact with alcohol, further intensifying cellular damage (</w:t>
      </w:r>
      <w:proofErr w:type="spellStart"/>
      <w:r w:rsidRPr="00DE3D02">
        <w:rPr>
          <w:sz w:val="28"/>
          <w:szCs w:val="28"/>
        </w:rPr>
        <w:t>Omotosho</w:t>
      </w:r>
      <w:proofErr w:type="spellEnd"/>
      <w:r w:rsidRPr="00DE3D02">
        <w:rPr>
          <w:sz w:val="28"/>
          <w:szCs w:val="28"/>
        </w:rPr>
        <w:t xml:space="preserve">, 2018). Given that male infertility contributes significantly to reproductive challenges in Nigeria, these findings raise serious </w:t>
      </w:r>
      <w:proofErr w:type="gramStart"/>
      <w:r w:rsidRPr="00DE3D02">
        <w:rPr>
          <w:sz w:val="28"/>
          <w:szCs w:val="28"/>
        </w:rPr>
        <w:t>concerns,</w:t>
      </w:r>
      <w:proofErr w:type="gramEnd"/>
      <w:r w:rsidRPr="00DE3D02">
        <w:rPr>
          <w:sz w:val="28"/>
          <w:szCs w:val="28"/>
        </w:rPr>
        <w:t xml:space="preserve"> especially as such products are often marketed to enhance sexual performance.</w:t>
      </w:r>
    </w:p>
    <w:p w:rsidR="00EB16E9" w:rsidRPr="00DE3D02" w:rsidRDefault="00EB16E9" w:rsidP="00DE3D02">
      <w:pPr>
        <w:pStyle w:val="NormalWeb"/>
        <w:spacing w:line="360" w:lineRule="auto"/>
        <w:jc w:val="both"/>
        <w:rPr>
          <w:sz w:val="28"/>
          <w:szCs w:val="28"/>
        </w:rPr>
      </w:pPr>
      <w:r w:rsidRPr="00DE3D02">
        <w:rPr>
          <w:sz w:val="28"/>
          <w:szCs w:val="28"/>
        </w:rPr>
        <w:t xml:space="preserve">The pancreas also showed notable damage, including cell degeneration, necrosis, and inflammation affecting both its digestive and hormonal functions. While similar to alcohol-related pancreatic injury, the dominance of cellular </w:t>
      </w:r>
      <w:proofErr w:type="spellStart"/>
      <w:r w:rsidRPr="00DE3D02">
        <w:rPr>
          <w:sz w:val="28"/>
          <w:szCs w:val="28"/>
        </w:rPr>
        <w:t>vacuolation</w:t>
      </w:r>
      <w:proofErr w:type="spellEnd"/>
      <w:r w:rsidRPr="00DE3D02">
        <w:rPr>
          <w:sz w:val="28"/>
          <w:szCs w:val="28"/>
        </w:rPr>
        <w:t xml:space="preserve"> </w:t>
      </w:r>
      <w:r w:rsidRPr="00DE3D02">
        <w:rPr>
          <w:sz w:val="28"/>
          <w:szCs w:val="28"/>
        </w:rPr>
        <w:lastRenderedPageBreak/>
        <w:t>suggests early toxic effects before full inflammation develops. Importantly, damage to insulin-producing β-cells indicates a reduced ability to regulate blood sugar. This contradicts claims that bitters help control glucose levels and may instead worsen conditions like diabetes, which is already a growing public health issue in Nigeria.</w:t>
      </w:r>
    </w:p>
    <w:p w:rsidR="00EB16E9" w:rsidRPr="00DE3D02" w:rsidRDefault="00EB16E9" w:rsidP="00DE3D02">
      <w:pPr>
        <w:pStyle w:val="NormalWeb"/>
        <w:spacing w:line="360" w:lineRule="auto"/>
        <w:jc w:val="both"/>
        <w:rPr>
          <w:sz w:val="28"/>
          <w:szCs w:val="28"/>
        </w:rPr>
      </w:pPr>
      <w:r w:rsidRPr="00DE3D02">
        <w:rPr>
          <w:sz w:val="28"/>
          <w:szCs w:val="28"/>
        </w:rPr>
        <w:t>In the duodenum, structural disruptions such as villous atrophy, reduced goblet cells, and inflammation indicate impaired digestion and weakened intestinal protection. These changes likely contributed to reduced nutrient absorption and weight loss observed in high-dose groups. The findings align with earlier studies and suggest that prolonged exposure may also interfere with drug absorption, increasing the risk of herb–drug interactions.</w:t>
      </w:r>
    </w:p>
    <w:p w:rsidR="00EB16E9" w:rsidRPr="00DE3D02" w:rsidRDefault="00EB16E9" w:rsidP="00DE3D02">
      <w:pPr>
        <w:pStyle w:val="NormalWeb"/>
        <w:spacing w:line="360" w:lineRule="auto"/>
        <w:jc w:val="both"/>
        <w:rPr>
          <w:sz w:val="28"/>
          <w:szCs w:val="28"/>
        </w:rPr>
      </w:pPr>
      <w:r w:rsidRPr="00DE3D02">
        <w:rPr>
          <w:sz w:val="28"/>
          <w:szCs w:val="28"/>
        </w:rPr>
        <w:t xml:space="preserve">Overall, this study extends existing knowledge by showing that the toxic effects of </w:t>
      </w:r>
      <w:proofErr w:type="spellStart"/>
      <w:r w:rsidRPr="00DE3D02">
        <w:rPr>
          <w:rStyle w:val="Emphasis"/>
          <w:sz w:val="28"/>
          <w:szCs w:val="28"/>
        </w:rPr>
        <w:t>Odogwu</w:t>
      </w:r>
      <w:proofErr w:type="spellEnd"/>
      <w:r w:rsidRPr="00DE3D02">
        <w:rPr>
          <w:rStyle w:val="Emphasis"/>
          <w:sz w:val="28"/>
          <w:szCs w:val="28"/>
        </w:rPr>
        <w:t xml:space="preserve"> Bitters</w:t>
      </w:r>
      <w:r w:rsidRPr="00DE3D02">
        <w:rPr>
          <w:sz w:val="28"/>
          <w:szCs w:val="28"/>
        </w:rPr>
        <w:t xml:space="preserve"> are not limited to one organ but affect multiple systems. The mechanisms likely involve oxidative stress, mitochondrial dysfunction, and inflammatory processes, compounded by unknown ingredients.</w:t>
      </w:r>
    </w:p>
    <w:p w:rsidR="00EB16E9" w:rsidRPr="00DE3D02" w:rsidRDefault="00EB16E9" w:rsidP="00DE3D02">
      <w:pPr>
        <w:pStyle w:val="NormalWeb"/>
        <w:spacing w:line="360" w:lineRule="auto"/>
        <w:jc w:val="both"/>
        <w:rPr>
          <w:sz w:val="28"/>
          <w:szCs w:val="28"/>
        </w:rPr>
      </w:pPr>
      <w:r w:rsidRPr="00DE3D02">
        <w:rPr>
          <w:sz w:val="28"/>
          <w:szCs w:val="28"/>
        </w:rPr>
        <w:t xml:space="preserve">From a public health perspective, there is a clear need for stronger regulation by agencies like the National Agency for Food and Drug Administration and Control. Healthcare providers should also consider herbal bitters use when diagnosing unexplained health issues. In conclusion, </w:t>
      </w:r>
      <w:proofErr w:type="spellStart"/>
      <w:r w:rsidRPr="00DE3D02">
        <w:rPr>
          <w:rStyle w:val="Emphasis"/>
          <w:sz w:val="28"/>
          <w:szCs w:val="28"/>
        </w:rPr>
        <w:t>Odogwu</w:t>
      </w:r>
      <w:proofErr w:type="spellEnd"/>
      <w:r w:rsidRPr="00DE3D02">
        <w:rPr>
          <w:rStyle w:val="Emphasis"/>
          <w:sz w:val="28"/>
          <w:szCs w:val="28"/>
        </w:rPr>
        <w:t xml:space="preserve"> Bitters</w:t>
      </w:r>
      <w:r w:rsidRPr="00DE3D02">
        <w:rPr>
          <w:sz w:val="28"/>
          <w:szCs w:val="28"/>
        </w:rPr>
        <w:t xml:space="preserve"> is far from harmless and poses significant health risks, especially with frequent or high-dose consumption.</w:t>
      </w:r>
    </w:p>
    <w:p w:rsidR="00C32EB0" w:rsidRDefault="00C32EB0" w:rsidP="00C32EB0"/>
    <w:p w:rsidR="00C32EB0" w:rsidRPr="008B4424" w:rsidRDefault="00C32EB0" w:rsidP="00C05F2E">
      <w:pPr>
        <w:spacing w:line="360" w:lineRule="auto"/>
        <w:jc w:val="both"/>
        <w:rPr>
          <w:b/>
          <w:sz w:val="28"/>
          <w:szCs w:val="28"/>
        </w:rPr>
      </w:pPr>
      <w:r w:rsidRPr="008B4424">
        <w:rPr>
          <w:b/>
          <w:sz w:val="28"/>
          <w:szCs w:val="28"/>
        </w:rPr>
        <w:t>CONCLUSION</w:t>
      </w:r>
    </w:p>
    <w:p w:rsidR="00B05678" w:rsidRPr="00C05F2E" w:rsidRDefault="00B05678" w:rsidP="00C05F2E">
      <w:pPr>
        <w:spacing w:before="100" w:beforeAutospacing="1" w:after="100" w:afterAutospacing="1" w:line="360" w:lineRule="auto"/>
        <w:jc w:val="both"/>
        <w:rPr>
          <w:rFonts w:ascii="Times New Roman" w:eastAsia="Times New Roman" w:hAnsi="Times New Roman" w:cs="Times New Roman"/>
          <w:sz w:val="28"/>
          <w:szCs w:val="28"/>
        </w:rPr>
      </w:pPr>
      <w:r w:rsidRPr="00C05F2E">
        <w:rPr>
          <w:rFonts w:ascii="Times New Roman" w:eastAsia="Times New Roman" w:hAnsi="Times New Roman" w:cs="Times New Roman"/>
          <w:sz w:val="28"/>
          <w:szCs w:val="28"/>
        </w:rPr>
        <w:t xml:space="preserve">This investigation provides compelling experimental evidence that </w:t>
      </w:r>
      <w:proofErr w:type="spellStart"/>
      <w:r w:rsidRPr="00C05F2E">
        <w:rPr>
          <w:rFonts w:ascii="Times New Roman" w:eastAsia="Times New Roman" w:hAnsi="Times New Roman" w:cs="Times New Roman"/>
          <w:i/>
          <w:iCs/>
          <w:sz w:val="28"/>
          <w:szCs w:val="28"/>
        </w:rPr>
        <w:t>Odogwu</w:t>
      </w:r>
      <w:proofErr w:type="spellEnd"/>
      <w:r w:rsidRPr="00C05F2E">
        <w:rPr>
          <w:rFonts w:ascii="Times New Roman" w:eastAsia="Times New Roman" w:hAnsi="Times New Roman" w:cs="Times New Roman"/>
          <w:i/>
          <w:iCs/>
          <w:sz w:val="28"/>
          <w:szCs w:val="28"/>
        </w:rPr>
        <w:t xml:space="preserve"> Bitters</w:t>
      </w:r>
      <w:r w:rsidRPr="00C05F2E">
        <w:rPr>
          <w:rFonts w:ascii="Times New Roman" w:eastAsia="Times New Roman" w:hAnsi="Times New Roman" w:cs="Times New Roman"/>
          <w:sz w:val="28"/>
          <w:szCs w:val="28"/>
        </w:rPr>
        <w:t xml:space="preserve"> induces dose-dependent </w:t>
      </w:r>
      <w:proofErr w:type="spellStart"/>
      <w:r w:rsidRPr="00C05F2E">
        <w:rPr>
          <w:rFonts w:ascii="Times New Roman" w:eastAsia="Times New Roman" w:hAnsi="Times New Roman" w:cs="Times New Roman"/>
          <w:sz w:val="28"/>
          <w:szCs w:val="28"/>
        </w:rPr>
        <w:t>histopathological</w:t>
      </w:r>
      <w:proofErr w:type="spellEnd"/>
      <w:r w:rsidRPr="00C05F2E">
        <w:rPr>
          <w:rFonts w:ascii="Times New Roman" w:eastAsia="Times New Roman" w:hAnsi="Times New Roman" w:cs="Times New Roman"/>
          <w:sz w:val="28"/>
          <w:szCs w:val="28"/>
        </w:rPr>
        <w:t xml:space="preserve"> alterations in the testis, pancreas, and </w:t>
      </w:r>
      <w:r w:rsidRPr="00C05F2E">
        <w:rPr>
          <w:rFonts w:ascii="Times New Roman" w:eastAsia="Times New Roman" w:hAnsi="Times New Roman" w:cs="Times New Roman"/>
          <w:sz w:val="28"/>
          <w:szCs w:val="28"/>
        </w:rPr>
        <w:lastRenderedPageBreak/>
        <w:t xml:space="preserve">duodenum of adult male </w:t>
      </w:r>
      <w:proofErr w:type="spellStart"/>
      <w:r w:rsidRPr="00C05F2E">
        <w:rPr>
          <w:rFonts w:ascii="Times New Roman" w:eastAsia="Times New Roman" w:hAnsi="Times New Roman" w:cs="Times New Roman"/>
          <w:sz w:val="28"/>
          <w:szCs w:val="28"/>
        </w:rPr>
        <w:t>Wistar</w:t>
      </w:r>
      <w:proofErr w:type="spellEnd"/>
      <w:r w:rsidRPr="00C05F2E">
        <w:rPr>
          <w:rFonts w:ascii="Times New Roman" w:eastAsia="Times New Roman" w:hAnsi="Times New Roman" w:cs="Times New Roman"/>
          <w:sz w:val="28"/>
          <w:szCs w:val="28"/>
        </w:rPr>
        <w:t xml:space="preserve"> rats.</w:t>
      </w:r>
      <w:r w:rsidR="00FB09B3" w:rsidRPr="00C05F2E">
        <w:rPr>
          <w:rFonts w:ascii="Times New Roman" w:eastAsia="Times New Roman" w:hAnsi="Times New Roman" w:cs="Times New Roman"/>
          <w:sz w:val="28"/>
          <w:szCs w:val="28"/>
        </w:rPr>
        <w:t xml:space="preserve"> The observed pattern of injury </w:t>
      </w:r>
      <w:r w:rsidRPr="00C05F2E">
        <w:rPr>
          <w:rFonts w:ascii="Times New Roman" w:eastAsia="Times New Roman" w:hAnsi="Times New Roman" w:cs="Times New Roman"/>
          <w:sz w:val="28"/>
          <w:szCs w:val="28"/>
        </w:rPr>
        <w:t>ranging from subtle structural disruptions at 2.5 mL/kg (approximately analogous to routine human consumption levels) to severe and potentially irr</w:t>
      </w:r>
      <w:r w:rsidR="00FB09B3" w:rsidRPr="00C05F2E">
        <w:rPr>
          <w:rFonts w:ascii="Times New Roman" w:eastAsia="Times New Roman" w:hAnsi="Times New Roman" w:cs="Times New Roman"/>
          <w:sz w:val="28"/>
          <w:szCs w:val="28"/>
        </w:rPr>
        <w:t xml:space="preserve">eversible lesions at 10.0 mL/kg </w:t>
      </w:r>
      <w:r w:rsidRPr="00C05F2E">
        <w:rPr>
          <w:rFonts w:ascii="Times New Roman" w:eastAsia="Times New Roman" w:hAnsi="Times New Roman" w:cs="Times New Roman"/>
          <w:sz w:val="28"/>
          <w:szCs w:val="28"/>
        </w:rPr>
        <w:t>suggests a progressive toxicological effect. Importantly, these findings indicate that tissue damage may commence even at doses generally perceived as safe. The degeneration of seminiferous tubules and depletion of germ cells in the testis, combined with both exocrine and endocrine pancreatic impairment, and duodenal lesions such as villous atrophy and crypt hyperplasia, collectively underscore a multi-organ susceptibility rather than localized toxicity.</w:t>
      </w:r>
    </w:p>
    <w:p w:rsidR="00B05678" w:rsidRPr="00C05F2E" w:rsidRDefault="00B05678" w:rsidP="00C05F2E">
      <w:pPr>
        <w:spacing w:before="100" w:beforeAutospacing="1" w:after="100" w:afterAutospacing="1" w:line="360" w:lineRule="auto"/>
        <w:jc w:val="both"/>
        <w:rPr>
          <w:rFonts w:ascii="Times New Roman" w:eastAsia="Times New Roman" w:hAnsi="Times New Roman" w:cs="Times New Roman"/>
          <w:sz w:val="28"/>
          <w:szCs w:val="28"/>
        </w:rPr>
      </w:pPr>
      <w:r w:rsidRPr="00C05F2E">
        <w:rPr>
          <w:rFonts w:ascii="Times New Roman" w:eastAsia="Times New Roman" w:hAnsi="Times New Roman" w:cs="Times New Roman"/>
          <w:sz w:val="28"/>
          <w:szCs w:val="28"/>
        </w:rPr>
        <w:t xml:space="preserve">These results call into question widely promoted claims that such herbal alcoholic preparations enhance sexual performance, improve digestion, or aid </w:t>
      </w:r>
      <w:proofErr w:type="spellStart"/>
      <w:r w:rsidRPr="00C05F2E">
        <w:rPr>
          <w:rFonts w:ascii="Times New Roman" w:eastAsia="Times New Roman" w:hAnsi="Times New Roman" w:cs="Times New Roman"/>
          <w:sz w:val="28"/>
          <w:szCs w:val="28"/>
        </w:rPr>
        <w:t>glycaemic</w:t>
      </w:r>
      <w:proofErr w:type="spellEnd"/>
      <w:r w:rsidRPr="00C05F2E">
        <w:rPr>
          <w:rFonts w:ascii="Times New Roman" w:eastAsia="Times New Roman" w:hAnsi="Times New Roman" w:cs="Times New Roman"/>
          <w:sz w:val="28"/>
          <w:szCs w:val="28"/>
        </w:rPr>
        <w:t xml:space="preserve"> control. On the contrary, the data indicate a trajectory of physiological compromise, including diminished reproductive potential, impaired nutrient absorption, and disrupted metabolic regulation. Consequently, individuals consuming these products for perceived health benefits may be inadvertently exposed to cumulative adverse effects, with possible long-term outcomes such as infertility, gastrointestinal disorders, and </w:t>
      </w:r>
      <w:proofErr w:type="spellStart"/>
      <w:r w:rsidRPr="00C05F2E">
        <w:rPr>
          <w:rFonts w:ascii="Times New Roman" w:eastAsia="Times New Roman" w:hAnsi="Times New Roman" w:cs="Times New Roman"/>
          <w:sz w:val="28"/>
          <w:szCs w:val="28"/>
        </w:rPr>
        <w:t>dysregulated</w:t>
      </w:r>
      <w:proofErr w:type="spellEnd"/>
      <w:r w:rsidRPr="00C05F2E">
        <w:rPr>
          <w:rFonts w:ascii="Times New Roman" w:eastAsia="Times New Roman" w:hAnsi="Times New Roman" w:cs="Times New Roman"/>
          <w:sz w:val="28"/>
          <w:szCs w:val="28"/>
        </w:rPr>
        <w:t xml:space="preserve"> blood glucose levels.</w:t>
      </w:r>
    </w:p>
    <w:p w:rsidR="00B05678" w:rsidRPr="00C05F2E" w:rsidRDefault="00B05678" w:rsidP="00C05F2E">
      <w:pPr>
        <w:spacing w:before="100" w:beforeAutospacing="1" w:after="100" w:afterAutospacing="1" w:line="360" w:lineRule="auto"/>
        <w:jc w:val="both"/>
        <w:rPr>
          <w:rFonts w:ascii="Times New Roman" w:eastAsia="Times New Roman" w:hAnsi="Times New Roman" w:cs="Times New Roman"/>
          <w:sz w:val="28"/>
          <w:szCs w:val="28"/>
        </w:rPr>
      </w:pPr>
      <w:r w:rsidRPr="00C05F2E">
        <w:rPr>
          <w:rFonts w:ascii="Times New Roman" w:eastAsia="Times New Roman" w:hAnsi="Times New Roman" w:cs="Times New Roman"/>
          <w:sz w:val="28"/>
          <w:szCs w:val="28"/>
        </w:rPr>
        <w:t xml:space="preserve">From a scholarly perspective, this study advances existing knowledge by moving beyond single-organ toxicity assessments to a more integrated, systems-level evaluation of herbal alcoholic mixtures. Previous research has often focused on isolated renal or gastrointestinal outcomes; however, this work simultaneously examines reproductive, digestive, and endocrine systems within a unified dose–response framework. This integrative approach strengthens causal inference and highlights the interconnected nature of organ dysfunction. Furthermore, the findings support established toxicological concepts regarding the synergistic interactions between ethanol and bioactive phytochemicals, particularly in </w:t>
      </w:r>
      <w:r w:rsidRPr="00C05F2E">
        <w:rPr>
          <w:rFonts w:ascii="Times New Roman" w:eastAsia="Times New Roman" w:hAnsi="Times New Roman" w:cs="Times New Roman"/>
          <w:sz w:val="28"/>
          <w:szCs w:val="28"/>
        </w:rPr>
        <w:lastRenderedPageBreak/>
        <w:t>formulations where the full composition remains undisclosed (</w:t>
      </w:r>
      <w:proofErr w:type="spellStart"/>
      <w:r w:rsidRPr="00C05F2E">
        <w:rPr>
          <w:rFonts w:ascii="Times New Roman" w:eastAsia="Times New Roman" w:hAnsi="Times New Roman" w:cs="Times New Roman"/>
          <w:sz w:val="28"/>
          <w:szCs w:val="28"/>
        </w:rPr>
        <w:t>Ezeja</w:t>
      </w:r>
      <w:proofErr w:type="spellEnd"/>
      <w:r w:rsidRPr="00C05F2E">
        <w:rPr>
          <w:rFonts w:ascii="Times New Roman" w:eastAsia="Times New Roman" w:hAnsi="Times New Roman" w:cs="Times New Roman"/>
          <w:sz w:val="28"/>
          <w:szCs w:val="28"/>
        </w:rPr>
        <w:t xml:space="preserve"> et al., 2017; </w:t>
      </w:r>
      <w:proofErr w:type="spellStart"/>
      <w:r w:rsidRPr="00C05F2E">
        <w:rPr>
          <w:rFonts w:ascii="Times New Roman" w:eastAsia="Times New Roman" w:hAnsi="Times New Roman" w:cs="Times New Roman"/>
          <w:sz w:val="28"/>
          <w:szCs w:val="28"/>
        </w:rPr>
        <w:t>Yakubu</w:t>
      </w:r>
      <w:proofErr w:type="spellEnd"/>
      <w:r w:rsidRPr="00C05F2E">
        <w:rPr>
          <w:rFonts w:ascii="Times New Roman" w:eastAsia="Times New Roman" w:hAnsi="Times New Roman" w:cs="Times New Roman"/>
          <w:sz w:val="28"/>
          <w:szCs w:val="28"/>
        </w:rPr>
        <w:t xml:space="preserve"> &amp; </w:t>
      </w:r>
      <w:proofErr w:type="spellStart"/>
      <w:r w:rsidRPr="00C05F2E">
        <w:rPr>
          <w:rFonts w:ascii="Times New Roman" w:eastAsia="Times New Roman" w:hAnsi="Times New Roman" w:cs="Times New Roman"/>
          <w:sz w:val="28"/>
          <w:szCs w:val="28"/>
        </w:rPr>
        <w:t>Afolayan</w:t>
      </w:r>
      <w:proofErr w:type="spellEnd"/>
      <w:r w:rsidRPr="00C05F2E">
        <w:rPr>
          <w:rFonts w:ascii="Times New Roman" w:eastAsia="Times New Roman" w:hAnsi="Times New Roman" w:cs="Times New Roman"/>
          <w:sz w:val="28"/>
          <w:szCs w:val="28"/>
        </w:rPr>
        <w:t>, 2009).</w:t>
      </w:r>
    </w:p>
    <w:p w:rsidR="00B05678" w:rsidRPr="00C05F2E" w:rsidRDefault="00B05678" w:rsidP="00C05F2E">
      <w:pPr>
        <w:spacing w:before="100" w:beforeAutospacing="1" w:after="100" w:afterAutospacing="1" w:line="360" w:lineRule="auto"/>
        <w:jc w:val="both"/>
        <w:rPr>
          <w:rFonts w:ascii="Times New Roman" w:eastAsia="Times New Roman" w:hAnsi="Times New Roman" w:cs="Times New Roman"/>
          <w:sz w:val="28"/>
          <w:szCs w:val="28"/>
        </w:rPr>
      </w:pPr>
      <w:r w:rsidRPr="00C05F2E">
        <w:rPr>
          <w:rFonts w:ascii="Times New Roman" w:eastAsia="Times New Roman" w:hAnsi="Times New Roman" w:cs="Times New Roman"/>
          <w:sz w:val="28"/>
          <w:szCs w:val="28"/>
        </w:rPr>
        <w:t>From a public health perspective, the widespread consumption of alcoholic bitters in Nigeria reflects the interplay of cultural practices, aggressive marketing strategies, and regulatory limitations. These products often exist in a regulatory grey area, being neither strictly classified as pharmaceuticals nor purely as recreational beverages. This ambiguity underscores the need for stronger regulatory oversight. Agencies such as National Agency for Food and Drug Administration and Control (NAFDAC) are strategically positioned to address this gap through stricter enforcement of product standardization, mandatory disclosure of ingredients, and validation of health claims based on scientific evidence.</w:t>
      </w:r>
    </w:p>
    <w:p w:rsidR="008B4424" w:rsidRDefault="00B05678" w:rsidP="008B4424">
      <w:pPr>
        <w:spacing w:before="100" w:beforeAutospacing="1" w:after="100" w:afterAutospacing="1" w:line="360" w:lineRule="auto"/>
        <w:jc w:val="both"/>
        <w:rPr>
          <w:rFonts w:ascii="Times New Roman" w:eastAsia="Times New Roman" w:hAnsi="Times New Roman" w:cs="Times New Roman"/>
          <w:sz w:val="28"/>
          <w:szCs w:val="28"/>
        </w:rPr>
      </w:pPr>
      <w:r w:rsidRPr="008B4424">
        <w:rPr>
          <w:rFonts w:ascii="Times New Roman" w:eastAsia="Times New Roman" w:hAnsi="Times New Roman" w:cs="Times New Roman"/>
          <w:sz w:val="28"/>
          <w:szCs w:val="28"/>
        </w:rPr>
        <w:t>In summary, the assumption that “natural” products are inherently safe is not supported by the findings of this study. While traditional herbal remedies remain an important component of healthcare systems, their use must be guided by rigorous scientific validation. Where consistent evidence indicates potenti</w:t>
      </w:r>
      <w:r w:rsidR="00FB09B3" w:rsidRPr="008B4424">
        <w:rPr>
          <w:rFonts w:ascii="Times New Roman" w:eastAsia="Times New Roman" w:hAnsi="Times New Roman" w:cs="Times New Roman"/>
          <w:sz w:val="28"/>
          <w:szCs w:val="28"/>
        </w:rPr>
        <w:t xml:space="preserve">al harm, precautionary measures </w:t>
      </w:r>
      <w:r w:rsidRPr="008B4424">
        <w:rPr>
          <w:rFonts w:ascii="Times New Roman" w:eastAsia="Times New Roman" w:hAnsi="Times New Roman" w:cs="Times New Roman"/>
          <w:sz w:val="28"/>
          <w:szCs w:val="28"/>
        </w:rPr>
        <w:t xml:space="preserve">including </w:t>
      </w:r>
      <w:r w:rsidR="00FB09B3" w:rsidRPr="008B4424">
        <w:rPr>
          <w:rFonts w:ascii="Times New Roman" w:eastAsia="Times New Roman" w:hAnsi="Times New Roman" w:cs="Times New Roman"/>
          <w:sz w:val="28"/>
          <w:szCs w:val="28"/>
        </w:rPr>
        <w:t xml:space="preserve">regulation and public awareness </w:t>
      </w:r>
      <w:r w:rsidRPr="008B4424">
        <w:rPr>
          <w:rFonts w:ascii="Times New Roman" w:eastAsia="Times New Roman" w:hAnsi="Times New Roman" w:cs="Times New Roman"/>
          <w:sz w:val="28"/>
          <w:szCs w:val="28"/>
        </w:rPr>
        <w:t xml:space="preserve">are essential. Bridging traditional practices with modern toxicological research is critical to protecting public health and reducing preventable disease burdens associated with unregulated herbal product </w:t>
      </w:r>
      <w:r w:rsidR="00FB09B3" w:rsidRPr="008B4424">
        <w:rPr>
          <w:rFonts w:ascii="Times New Roman" w:eastAsia="Times New Roman" w:hAnsi="Times New Roman" w:cs="Times New Roman"/>
          <w:sz w:val="28"/>
          <w:szCs w:val="28"/>
        </w:rPr>
        <w:t xml:space="preserve">consumption. </w:t>
      </w:r>
    </w:p>
    <w:p w:rsidR="008B4424" w:rsidRPr="008B4424" w:rsidRDefault="00FB09B3" w:rsidP="008B4424">
      <w:pPr>
        <w:spacing w:before="100" w:beforeAutospacing="1" w:after="100" w:afterAutospacing="1" w:line="360" w:lineRule="auto"/>
        <w:jc w:val="both"/>
        <w:rPr>
          <w:rFonts w:ascii="Times New Roman" w:eastAsia="Times New Roman" w:hAnsi="Times New Roman" w:cs="Times New Roman"/>
          <w:sz w:val="28"/>
          <w:szCs w:val="28"/>
        </w:rPr>
      </w:pPr>
      <w:r w:rsidRPr="008B4424">
        <w:rPr>
          <w:rFonts w:ascii="Times New Roman" w:eastAsia="Times New Roman" w:hAnsi="Times New Roman" w:cs="Times New Roman"/>
          <w:sz w:val="28"/>
          <w:szCs w:val="28"/>
        </w:rPr>
        <w:t xml:space="preserve">The following recommendations are suggested, </w:t>
      </w:r>
      <w:r w:rsidR="00B05678" w:rsidRPr="008B4424">
        <w:rPr>
          <w:rFonts w:ascii="Times New Roman" w:eastAsia="Times New Roman" w:hAnsi="Times New Roman" w:cs="Times New Roman"/>
          <w:sz w:val="28"/>
          <w:szCs w:val="28"/>
        </w:rPr>
        <w:t>Regulatory bodies, particularly NAFDAC, should enforce stricter quality control measures, including comprehensive toxicological evaluation and mandatory ingredient disclosure for all herbal alcoholic products.</w:t>
      </w:r>
      <w:r w:rsidRPr="008B4424">
        <w:rPr>
          <w:rFonts w:ascii="Times New Roman" w:eastAsia="Times New Roman" w:hAnsi="Times New Roman" w:cs="Times New Roman"/>
          <w:sz w:val="28"/>
          <w:szCs w:val="28"/>
        </w:rPr>
        <w:t xml:space="preserve"> </w:t>
      </w:r>
      <w:r w:rsidR="00B05678" w:rsidRPr="008B4424">
        <w:rPr>
          <w:rFonts w:ascii="Times New Roman" w:eastAsia="Times New Roman" w:hAnsi="Times New Roman" w:cs="Times New Roman"/>
          <w:sz w:val="28"/>
          <w:szCs w:val="28"/>
        </w:rPr>
        <w:t xml:space="preserve">Targeted awareness campaigns should educate consumers on the potential risks associated with excessive or prolonged consumption of herbal bitters, emphasizing that “natural” does not necessarily </w:t>
      </w:r>
      <w:r w:rsidRPr="008B4424">
        <w:rPr>
          <w:rFonts w:ascii="Times New Roman" w:eastAsia="Times New Roman" w:hAnsi="Times New Roman" w:cs="Times New Roman"/>
          <w:sz w:val="28"/>
          <w:szCs w:val="28"/>
        </w:rPr>
        <w:lastRenderedPageBreak/>
        <w:t>imply safety and finally m</w:t>
      </w:r>
      <w:r w:rsidR="00B05678" w:rsidRPr="008B4424">
        <w:rPr>
          <w:rFonts w:ascii="Times New Roman" w:eastAsia="Times New Roman" w:hAnsi="Times New Roman" w:cs="Times New Roman"/>
          <w:sz w:val="28"/>
          <w:szCs w:val="28"/>
        </w:rPr>
        <w:t>anufacturers should be required to provide clear dosage guidelines and scientifically validated safety thresholds on product labels.</w:t>
      </w:r>
    </w:p>
    <w:p w:rsidR="008B4424" w:rsidRPr="008B4424" w:rsidRDefault="008B4424" w:rsidP="008B4424">
      <w:pPr>
        <w:pStyle w:val="Heading2"/>
        <w:rPr>
          <w:b w:val="0"/>
          <w:color w:val="auto"/>
        </w:rPr>
      </w:pPr>
      <w:r w:rsidRPr="008B4424">
        <w:rPr>
          <w:rStyle w:val="Strong"/>
          <w:b/>
          <w:bCs/>
          <w:color w:val="auto"/>
        </w:rPr>
        <w:t>References</w:t>
      </w:r>
    </w:p>
    <w:p w:rsidR="008B4424" w:rsidRDefault="008B4424" w:rsidP="008B4424">
      <w:pPr>
        <w:pStyle w:val="NormalWeb"/>
      </w:pPr>
      <w:proofErr w:type="spellStart"/>
      <w:proofErr w:type="gramStart"/>
      <w:r>
        <w:t>Adeyemi</w:t>
      </w:r>
      <w:proofErr w:type="spellEnd"/>
      <w:r>
        <w:t xml:space="preserve">, O. O., </w:t>
      </w:r>
      <w:proofErr w:type="spellStart"/>
      <w:r>
        <w:t>Akindele</w:t>
      </w:r>
      <w:proofErr w:type="spellEnd"/>
      <w:r>
        <w:t xml:space="preserve">, A. J., &amp; </w:t>
      </w:r>
      <w:proofErr w:type="spellStart"/>
      <w:r>
        <w:t>Ogunleye</w:t>
      </w:r>
      <w:proofErr w:type="spellEnd"/>
      <w:r>
        <w:t>, E. A. (2021).</w:t>
      </w:r>
      <w:proofErr w:type="gramEnd"/>
      <w:r>
        <w:t xml:space="preserve"> Herbal medicine use in Nigeria: Trends, challenges and prospects. </w:t>
      </w:r>
      <w:r>
        <w:rPr>
          <w:rStyle w:val="Emphasis"/>
        </w:rPr>
        <w:t>African Journal of Traditional, Complementary and Alternative Medicines, 18</w:t>
      </w:r>
      <w:r>
        <w:t>(2), 45–56.</w:t>
      </w:r>
    </w:p>
    <w:p w:rsidR="008B4424" w:rsidRDefault="008B4424" w:rsidP="008B4424">
      <w:pPr>
        <w:pStyle w:val="NormalWeb"/>
      </w:pPr>
      <w:proofErr w:type="gramStart"/>
      <w:r>
        <w:t>Aitken, R. J., &amp; Roman, S. D. (2008).</w:t>
      </w:r>
      <w:proofErr w:type="gramEnd"/>
      <w:r>
        <w:t xml:space="preserve"> </w:t>
      </w:r>
      <w:proofErr w:type="gramStart"/>
      <w:r>
        <w:t>Antioxidant systems and oxidative stress in the testes.</w:t>
      </w:r>
      <w:proofErr w:type="gramEnd"/>
      <w:r>
        <w:t xml:space="preserve"> </w:t>
      </w:r>
      <w:r>
        <w:rPr>
          <w:rStyle w:val="Emphasis"/>
        </w:rPr>
        <w:t>Oxidative Medicine and Cellular Longevity, 1</w:t>
      </w:r>
      <w:r>
        <w:t xml:space="preserve">(1), 15–24. </w:t>
      </w:r>
      <w:hyperlink r:id="rId9" w:history="1">
        <w:r>
          <w:rPr>
            <w:rStyle w:val="Hyperlink"/>
            <w:rFonts w:eastAsiaTheme="majorEastAsia"/>
          </w:rPr>
          <w:t>https://doi.org/10.4161/oxim.1.1.6843</w:t>
        </w:r>
      </w:hyperlink>
    </w:p>
    <w:p w:rsidR="008B4424" w:rsidRDefault="008B4424" w:rsidP="008B4424">
      <w:pPr>
        <w:pStyle w:val="NormalWeb"/>
      </w:pPr>
      <w:proofErr w:type="spellStart"/>
      <w:proofErr w:type="gramStart"/>
      <w:r>
        <w:t>Ceni</w:t>
      </w:r>
      <w:proofErr w:type="spellEnd"/>
      <w:r>
        <w:t xml:space="preserve">, E., Mello, T., &amp; </w:t>
      </w:r>
      <w:proofErr w:type="spellStart"/>
      <w:r>
        <w:t>Galli</w:t>
      </w:r>
      <w:proofErr w:type="spellEnd"/>
      <w:r>
        <w:t>, A. (2014).</w:t>
      </w:r>
      <w:proofErr w:type="gramEnd"/>
      <w:r>
        <w:t xml:space="preserve"> Pathogenesis of alcoholic liver disease: Role of oxidative metabolism. </w:t>
      </w:r>
      <w:r>
        <w:rPr>
          <w:rStyle w:val="Emphasis"/>
        </w:rPr>
        <w:t>World Journal of Gastroenterology, 20</w:t>
      </w:r>
      <w:r>
        <w:t>(47), 17756–17772.</w:t>
      </w:r>
    </w:p>
    <w:p w:rsidR="008B4424" w:rsidRDefault="008B4424" w:rsidP="008B4424">
      <w:pPr>
        <w:pStyle w:val="NormalWeb"/>
      </w:pPr>
      <w:proofErr w:type="spellStart"/>
      <w:proofErr w:type="gramStart"/>
      <w:r>
        <w:t>Ekor</w:t>
      </w:r>
      <w:proofErr w:type="spellEnd"/>
      <w:r>
        <w:t>, M. (2014).</w:t>
      </w:r>
      <w:proofErr w:type="gramEnd"/>
      <w:r>
        <w:t xml:space="preserve"> The growing use of herbal medicines: Issues relating to adverse reactions and challenges in monitoring safety. </w:t>
      </w:r>
      <w:proofErr w:type="gramStart"/>
      <w:r>
        <w:rPr>
          <w:rStyle w:val="Emphasis"/>
        </w:rPr>
        <w:t>Frontiers in Pharmacology, 4</w:t>
      </w:r>
      <w:r>
        <w:t>, 177.</w:t>
      </w:r>
      <w:proofErr w:type="gramEnd"/>
      <w:r>
        <w:t xml:space="preserve"> </w:t>
      </w:r>
      <w:hyperlink r:id="rId10" w:history="1">
        <w:r>
          <w:rPr>
            <w:rStyle w:val="Hyperlink"/>
            <w:rFonts w:eastAsiaTheme="majorEastAsia"/>
          </w:rPr>
          <w:t>https://doi.org/10.3389/fphar.2013.00177</w:t>
        </w:r>
      </w:hyperlink>
    </w:p>
    <w:p w:rsidR="008B4424" w:rsidRDefault="008B4424" w:rsidP="008B4424">
      <w:pPr>
        <w:pStyle w:val="NormalWeb"/>
      </w:pPr>
      <w:proofErr w:type="spellStart"/>
      <w:proofErr w:type="gramStart"/>
      <w:r>
        <w:t>Ezeja</w:t>
      </w:r>
      <w:proofErr w:type="spellEnd"/>
      <w:r>
        <w:t xml:space="preserve">, M. I., </w:t>
      </w:r>
      <w:proofErr w:type="spellStart"/>
      <w:r>
        <w:t>Anaga</w:t>
      </w:r>
      <w:proofErr w:type="spellEnd"/>
      <w:r>
        <w:t xml:space="preserve">, A. O., &amp; </w:t>
      </w:r>
      <w:proofErr w:type="spellStart"/>
      <w:r>
        <w:t>Asuzu</w:t>
      </w:r>
      <w:proofErr w:type="spellEnd"/>
      <w:r>
        <w:t>, I. U. (2017).</w:t>
      </w:r>
      <w:proofErr w:type="gramEnd"/>
      <w:r>
        <w:t xml:space="preserve"> </w:t>
      </w:r>
      <w:proofErr w:type="gramStart"/>
      <w:r>
        <w:t>Evaluation of the toxicity profile of herbal medicinal products in Nigeria.</w:t>
      </w:r>
      <w:proofErr w:type="gramEnd"/>
      <w:r>
        <w:t xml:space="preserve"> </w:t>
      </w:r>
      <w:r>
        <w:rPr>
          <w:rStyle w:val="Emphasis"/>
        </w:rPr>
        <w:t xml:space="preserve">Journal of </w:t>
      </w:r>
      <w:proofErr w:type="spellStart"/>
      <w:r>
        <w:rPr>
          <w:rStyle w:val="Emphasis"/>
        </w:rPr>
        <w:t>Ethnopharmacology</w:t>
      </w:r>
      <w:proofErr w:type="spellEnd"/>
      <w:r>
        <w:rPr>
          <w:rStyle w:val="Emphasis"/>
        </w:rPr>
        <w:t>, 202</w:t>
      </w:r>
      <w:r>
        <w:t>, 1–10.</w:t>
      </w:r>
    </w:p>
    <w:p w:rsidR="008B4424" w:rsidRDefault="008B4424" w:rsidP="008B4424">
      <w:pPr>
        <w:pStyle w:val="NormalWeb"/>
      </w:pPr>
      <w:proofErr w:type="gramStart"/>
      <w:r>
        <w:t>National Agency for Food and Drug Administration and Control (NAFDAC).</w:t>
      </w:r>
      <w:proofErr w:type="gramEnd"/>
      <w:r>
        <w:t xml:space="preserve"> </w:t>
      </w:r>
      <w:proofErr w:type="gramStart"/>
      <w:r>
        <w:t xml:space="preserve">(2020). </w:t>
      </w:r>
      <w:r>
        <w:rPr>
          <w:rStyle w:val="Emphasis"/>
        </w:rPr>
        <w:t>Guidelines for registration of herbal medicinal products in Nigeria</w:t>
      </w:r>
      <w:r>
        <w:t>.</w:t>
      </w:r>
      <w:proofErr w:type="gramEnd"/>
      <w:r>
        <w:t xml:space="preserve"> Abuja: NAFDAC.</w:t>
      </w:r>
    </w:p>
    <w:p w:rsidR="008B4424" w:rsidRDefault="008B4424" w:rsidP="008B4424">
      <w:pPr>
        <w:pStyle w:val="NormalWeb"/>
      </w:pPr>
      <w:proofErr w:type="gramStart"/>
      <w:r>
        <w:t>National Agency for Food and Drug Administration and Control (NAFDAC).</w:t>
      </w:r>
      <w:proofErr w:type="gramEnd"/>
      <w:r>
        <w:t xml:space="preserve"> </w:t>
      </w:r>
      <w:proofErr w:type="gramStart"/>
      <w:r>
        <w:t xml:space="preserve">(2022). </w:t>
      </w:r>
      <w:r>
        <w:rPr>
          <w:rStyle w:val="Emphasis"/>
        </w:rPr>
        <w:t>Guidelines for regulation of herbal medicinal products in Nigeria</w:t>
      </w:r>
      <w:r>
        <w:t>.</w:t>
      </w:r>
      <w:proofErr w:type="gramEnd"/>
    </w:p>
    <w:p w:rsidR="008B4424" w:rsidRDefault="008B4424" w:rsidP="008B4424">
      <w:pPr>
        <w:pStyle w:val="NormalWeb"/>
      </w:pPr>
      <w:proofErr w:type="spellStart"/>
      <w:proofErr w:type="gramStart"/>
      <w:r>
        <w:t>Okoye</w:t>
      </w:r>
      <w:proofErr w:type="spellEnd"/>
      <w:r>
        <w:t xml:space="preserve">, T. C., </w:t>
      </w:r>
      <w:proofErr w:type="spellStart"/>
      <w:r>
        <w:t>Akah</w:t>
      </w:r>
      <w:proofErr w:type="spellEnd"/>
      <w:r>
        <w:t xml:space="preserve">, P. A., &amp; </w:t>
      </w:r>
      <w:proofErr w:type="spellStart"/>
      <w:r>
        <w:t>Okoli</w:t>
      </w:r>
      <w:proofErr w:type="spellEnd"/>
      <w:r>
        <w:t>, C. O. (2022).</w:t>
      </w:r>
      <w:proofErr w:type="gramEnd"/>
      <w:r>
        <w:t xml:space="preserve"> Toxicological evaluation of herbal bitters commonly consumed in Nigeria. </w:t>
      </w:r>
      <w:proofErr w:type="gramStart"/>
      <w:r>
        <w:rPr>
          <w:rStyle w:val="Emphasis"/>
        </w:rPr>
        <w:t xml:space="preserve">Journal of </w:t>
      </w:r>
      <w:proofErr w:type="spellStart"/>
      <w:r>
        <w:rPr>
          <w:rStyle w:val="Emphasis"/>
        </w:rPr>
        <w:t>Ethnopharmacology</w:t>
      </w:r>
      <w:proofErr w:type="spellEnd"/>
      <w:r>
        <w:rPr>
          <w:rStyle w:val="Emphasis"/>
        </w:rPr>
        <w:t>, 285</w:t>
      </w:r>
      <w:r>
        <w:t>, 114890.</w:t>
      </w:r>
      <w:proofErr w:type="gramEnd"/>
    </w:p>
    <w:p w:rsidR="008B4424" w:rsidRDefault="008B4424" w:rsidP="008B4424">
      <w:pPr>
        <w:pStyle w:val="NormalWeb"/>
      </w:pPr>
      <w:proofErr w:type="spellStart"/>
      <w:proofErr w:type="gramStart"/>
      <w:r>
        <w:t>Oyenihi</w:t>
      </w:r>
      <w:proofErr w:type="spellEnd"/>
      <w:r>
        <w:t>, O. R., Smith, C., &amp; Areola, O. O. (2020).</w:t>
      </w:r>
      <w:proofErr w:type="gramEnd"/>
      <w:r>
        <w:t xml:space="preserve"> </w:t>
      </w:r>
      <w:proofErr w:type="gramStart"/>
      <w:r>
        <w:t>Antioxidant properties of commonly used Nigerian herbal plants.</w:t>
      </w:r>
      <w:proofErr w:type="gramEnd"/>
      <w:r>
        <w:t xml:space="preserve"> </w:t>
      </w:r>
      <w:r>
        <w:rPr>
          <w:rStyle w:val="Emphasis"/>
        </w:rPr>
        <w:t>Journal of Medicinal Plants Research, 14</w:t>
      </w:r>
      <w:r>
        <w:t>(5), 210–220.</w:t>
      </w:r>
    </w:p>
    <w:p w:rsidR="008B4424" w:rsidRDefault="008B4424" w:rsidP="008B4424">
      <w:pPr>
        <w:pStyle w:val="NormalWeb"/>
      </w:pPr>
      <w:proofErr w:type="gramStart"/>
      <w:r>
        <w:t>World Health Organization (WHO).</w:t>
      </w:r>
      <w:proofErr w:type="gramEnd"/>
      <w:r>
        <w:t xml:space="preserve"> </w:t>
      </w:r>
      <w:proofErr w:type="gramStart"/>
      <w:r>
        <w:t xml:space="preserve">(2013). </w:t>
      </w:r>
      <w:r>
        <w:rPr>
          <w:rStyle w:val="Emphasis"/>
        </w:rPr>
        <w:t>WHO traditional medicine strategy 2014–2023</w:t>
      </w:r>
      <w:r>
        <w:t>.</w:t>
      </w:r>
      <w:proofErr w:type="gramEnd"/>
      <w:r>
        <w:t xml:space="preserve"> Geneva: WHO Press.</w:t>
      </w:r>
    </w:p>
    <w:p w:rsidR="008B4424" w:rsidRDefault="008B4424" w:rsidP="008B4424">
      <w:pPr>
        <w:pStyle w:val="NormalWeb"/>
      </w:pPr>
      <w:proofErr w:type="gramStart"/>
      <w:r>
        <w:t>World Health Organization (WHO).</w:t>
      </w:r>
      <w:proofErr w:type="gramEnd"/>
      <w:r>
        <w:t xml:space="preserve"> </w:t>
      </w:r>
      <w:proofErr w:type="gramStart"/>
      <w:r>
        <w:t xml:space="preserve">(2023). </w:t>
      </w:r>
      <w:r>
        <w:rPr>
          <w:rStyle w:val="Emphasis"/>
        </w:rPr>
        <w:t>WHO global report on traditional and complementary medicine 2023</w:t>
      </w:r>
      <w:r>
        <w:t>.</w:t>
      </w:r>
      <w:proofErr w:type="gramEnd"/>
      <w:r>
        <w:t xml:space="preserve"> Geneva: WHO Press.</w:t>
      </w:r>
    </w:p>
    <w:p w:rsidR="008B4424" w:rsidRDefault="008B4424" w:rsidP="008B4424">
      <w:pPr>
        <w:pStyle w:val="NormalWeb"/>
      </w:pPr>
      <w:proofErr w:type="spellStart"/>
      <w:proofErr w:type="gramStart"/>
      <w:r>
        <w:t>Yakubu</w:t>
      </w:r>
      <w:proofErr w:type="spellEnd"/>
      <w:r>
        <w:t xml:space="preserve">, M. T., &amp; </w:t>
      </w:r>
      <w:proofErr w:type="spellStart"/>
      <w:r>
        <w:t>Afolayan</w:t>
      </w:r>
      <w:proofErr w:type="spellEnd"/>
      <w:r>
        <w:t>, A. J. (2009).</w:t>
      </w:r>
      <w:proofErr w:type="gramEnd"/>
      <w:r>
        <w:t xml:space="preserve"> </w:t>
      </w:r>
      <w:proofErr w:type="gramStart"/>
      <w:r>
        <w:t xml:space="preserve">Effect of aqueous extract of </w:t>
      </w:r>
      <w:proofErr w:type="spellStart"/>
      <w:r>
        <w:rPr>
          <w:rStyle w:val="Emphasis"/>
        </w:rPr>
        <w:t>Bulbine</w:t>
      </w:r>
      <w:proofErr w:type="spellEnd"/>
      <w:r>
        <w:rPr>
          <w:rStyle w:val="Emphasis"/>
        </w:rPr>
        <w:t xml:space="preserve"> </w:t>
      </w:r>
      <w:proofErr w:type="spellStart"/>
      <w:r>
        <w:rPr>
          <w:rStyle w:val="Emphasis"/>
        </w:rPr>
        <w:t>natalensis</w:t>
      </w:r>
      <w:proofErr w:type="spellEnd"/>
      <w:r>
        <w:t xml:space="preserve"> on testicular function in male </w:t>
      </w:r>
      <w:proofErr w:type="spellStart"/>
      <w:r>
        <w:t>Wistar</w:t>
      </w:r>
      <w:proofErr w:type="spellEnd"/>
      <w:r>
        <w:t xml:space="preserve"> rats.</w:t>
      </w:r>
      <w:proofErr w:type="gramEnd"/>
      <w:r>
        <w:t xml:space="preserve"> </w:t>
      </w:r>
      <w:r>
        <w:rPr>
          <w:rStyle w:val="Emphasis"/>
        </w:rPr>
        <w:t>Human &amp; Experimental Toxicology, 28</w:t>
      </w:r>
      <w:r>
        <w:t>(10), 699–704.</w:t>
      </w:r>
    </w:p>
    <w:p w:rsidR="00B05678" w:rsidRDefault="00B05678"/>
    <w:sectPr w:rsidR="00B0567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701" w:rsidRDefault="00916701" w:rsidP="00BE7E8C">
      <w:pPr>
        <w:spacing w:after="0" w:line="240" w:lineRule="auto"/>
      </w:pPr>
      <w:r>
        <w:separator/>
      </w:r>
    </w:p>
  </w:endnote>
  <w:endnote w:type="continuationSeparator" w:id="0">
    <w:p w:rsidR="00916701" w:rsidRDefault="00916701" w:rsidP="00BE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701" w:rsidRDefault="00916701" w:rsidP="00BE7E8C">
      <w:pPr>
        <w:spacing w:after="0" w:line="240" w:lineRule="auto"/>
      </w:pPr>
      <w:r>
        <w:separator/>
      </w:r>
    </w:p>
  </w:footnote>
  <w:footnote w:type="continuationSeparator" w:id="0">
    <w:p w:rsidR="00916701" w:rsidRDefault="00916701" w:rsidP="00BE7E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3B22"/>
    <w:multiLevelType w:val="multilevel"/>
    <w:tmpl w:val="B098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684DBE"/>
    <w:multiLevelType w:val="multilevel"/>
    <w:tmpl w:val="8E12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F601E"/>
    <w:multiLevelType w:val="multilevel"/>
    <w:tmpl w:val="52A6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0A668D"/>
    <w:multiLevelType w:val="multilevel"/>
    <w:tmpl w:val="03AAC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5337C0"/>
    <w:multiLevelType w:val="multilevel"/>
    <w:tmpl w:val="0958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48E144A"/>
    <w:multiLevelType w:val="multilevel"/>
    <w:tmpl w:val="0DB2A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5467A4D"/>
    <w:multiLevelType w:val="multilevel"/>
    <w:tmpl w:val="69A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D237DBE"/>
    <w:multiLevelType w:val="multilevel"/>
    <w:tmpl w:val="8518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0"/>
  </w:num>
  <w:num w:numId="4">
    <w:abstractNumId w:val="4"/>
  </w:num>
  <w:num w:numId="5">
    <w:abstractNumId w:val="7"/>
  </w:num>
  <w:num w:numId="6">
    <w:abstractNumId w:val="3"/>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E0D"/>
    <w:rsid w:val="00003503"/>
    <w:rsid w:val="000D5C91"/>
    <w:rsid w:val="000E3F6E"/>
    <w:rsid w:val="001E0C39"/>
    <w:rsid w:val="00200C66"/>
    <w:rsid w:val="00223342"/>
    <w:rsid w:val="002B5629"/>
    <w:rsid w:val="00321960"/>
    <w:rsid w:val="00390660"/>
    <w:rsid w:val="00425F30"/>
    <w:rsid w:val="00582385"/>
    <w:rsid w:val="005C7B56"/>
    <w:rsid w:val="005D72BA"/>
    <w:rsid w:val="00690178"/>
    <w:rsid w:val="00720E0D"/>
    <w:rsid w:val="00877A6B"/>
    <w:rsid w:val="00886AAC"/>
    <w:rsid w:val="008B4424"/>
    <w:rsid w:val="008F1E3C"/>
    <w:rsid w:val="0091626A"/>
    <w:rsid w:val="00916701"/>
    <w:rsid w:val="0099474B"/>
    <w:rsid w:val="009D6759"/>
    <w:rsid w:val="009F1579"/>
    <w:rsid w:val="00A83924"/>
    <w:rsid w:val="00B05678"/>
    <w:rsid w:val="00BE7E8C"/>
    <w:rsid w:val="00C05F2E"/>
    <w:rsid w:val="00C32EB0"/>
    <w:rsid w:val="00D51120"/>
    <w:rsid w:val="00D87D59"/>
    <w:rsid w:val="00DE3D02"/>
    <w:rsid w:val="00E02A56"/>
    <w:rsid w:val="00E12CB4"/>
    <w:rsid w:val="00EB133F"/>
    <w:rsid w:val="00EB16E9"/>
    <w:rsid w:val="00F502FB"/>
    <w:rsid w:val="00F96505"/>
    <w:rsid w:val="00FA4435"/>
    <w:rsid w:val="00FB09B3"/>
    <w:rsid w:val="00FB7EC8"/>
    <w:rsid w:val="00FC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2E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20E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62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0E0D"/>
    <w:rPr>
      <w:rFonts w:ascii="Times New Roman" w:eastAsia="Times New Roman" w:hAnsi="Times New Roman" w:cs="Times New Roman"/>
      <w:b/>
      <w:bCs/>
      <w:sz w:val="27"/>
      <w:szCs w:val="27"/>
    </w:rPr>
  </w:style>
  <w:style w:type="paragraph" w:styleId="NormalWeb">
    <w:name w:val="Normal (Web)"/>
    <w:basedOn w:val="Normal"/>
    <w:uiPriority w:val="99"/>
    <w:unhideWhenUsed/>
    <w:rsid w:val="00720E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E0D"/>
    <w:rPr>
      <w:b/>
      <w:bCs/>
    </w:rPr>
  </w:style>
  <w:style w:type="character" w:styleId="Emphasis">
    <w:name w:val="Emphasis"/>
    <w:basedOn w:val="DefaultParagraphFont"/>
    <w:uiPriority w:val="20"/>
    <w:qFormat/>
    <w:rsid w:val="00F96505"/>
    <w:rPr>
      <w:i/>
      <w:iCs/>
    </w:rPr>
  </w:style>
  <w:style w:type="character" w:customStyle="1" w:styleId="Heading4Char">
    <w:name w:val="Heading 4 Char"/>
    <w:basedOn w:val="DefaultParagraphFont"/>
    <w:link w:val="Heading4"/>
    <w:uiPriority w:val="9"/>
    <w:semiHidden/>
    <w:rsid w:val="0091626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E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E8C"/>
  </w:style>
  <w:style w:type="paragraph" w:styleId="Footer">
    <w:name w:val="footer"/>
    <w:basedOn w:val="Normal"/>
    <w:link w:val="FooterChar"/>
    <w:uiPriority w:val="99"/>
    <w:unhideWhenUsed/>
    <w:rsid w:val="00BE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E8C"/>
  </w:style>
  <w:style w:type="table" w:styleId="TableGrid">
    <w:name w:val="Table Grid"/>
    <w:basedOn w:val="TableNormal"/>
    <w:uiPriority w:val="59"/>
    <w:rsid w:val="00877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32EB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00C66"/>
    <w:rPr>
      <w:color w:val="0000FF"/>
      <w:u w:val="single"/>
    </w:rPr>
  </w:style>
  <w:style w:type="paragraph" w:customStyle="1" w:styleId="TableParagraph">
    <w:name w:val="Table Paragraph"/>
    <w:basedOn w:val="Normal"/>
    <w:uiPriority w:val="1"/>
    <w:qFormat/>
    <w:rsid w:val="008B4424"/>
    <w:pPr>
      <w:widowControl w:val="0"/>
      <w:autoSpaceDE w:val="0"/>
      <w:autoSpaceDN w:val="0"/>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32EB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720E0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162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20E0D"/>
    <w:rPr>
      <w:rFonts w:ascii="Times New Roman" w:eastAsia="Times New Roman" w:hAnsi="Times New Roman" w:cs="Times New Roman"/>
      <w:b/>
      <w:bCs/>
      <w:sz w:val="27"/>
      <w:szCs w:val="27"/>
    </w:rPr>
  </w:style>
  <w:style w:type="paragraph" w:styleId="NormalWeb">
    <w:name w:val="Normal (Web)"/>
    <w:basedOn w:val="Normal"/>
    <w:uiPriority w:val="99"/>
    <w:unhideWhenUsed/>
    <w:rsid w:val="00720E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0E0D"/>
    <w:rPr>
      <w:b/>
      <w:bCs/>
    </w:rPr>
  </w:style>
  <w:style w:type="character" w:styleId="Emphasis">
    <w:name w:val="Emphasis"/>
    <w:basedOn w:val="DefaultParagraphFont"/>
    <w:uiPriority w:val="20"/>
    <w:qFormat/>
    <w:rsid w:val="00F96505"/>
    <w:rPr>
      <w:i/>
      <w:iCs/>
    </w:rPr>
  </w:style>
  <w:style w:type="character" w:customStyle="1" w:styleId="Heading4Char">
    <w:name w:val="Heading 4 Char"/>
    <w:basedOn w:val="DefaultParagraphFont"/>
    <w:link w:val="Heading4"/>
    <w:uiPriority w:val="9"/>
    <w:semiHidden/>
    <w:rsid w:val="0091626A"/>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BE7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E8C"/>
  </w:style>
  <w:style w:type="paragraph" w:styleId="Footer">
    <w:name w:val="footer"/>
    <w:basedOn w:val="Normal"/>
    <w:link w:val="FooterChar"/>
    <w:uiPriority w:val="99"/>
    <w:unhideWhenUsed/>
    <w:rsid w:val="00BE7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E8C"/>
  </w:style>
  <w:style w:type="table" w:styleId="TableGrid">
    <w:name w:val="Table Grid"/>
    <w:basedOn w:val="TableNormal"/>
    <w:uiPriority w:val="59"/>
    <w:rsid w:val="00877A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C32EB0"/>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200C66"/>
    <w:rPr>
      <w:color w:val="0000FF"/>
      <w:u w:val="single"/>
    </w:rPr>
  </w:style>
  <w:style w:type="paragraph" w:customStyle="1" w:styleId="TableParagraph">
    <w:name w:val="Table Paragraph"/>
    <w:basedOn w:val="Normal"/>
    <w:uiPriority w:val="1"/>
    <w:qFormat/>
    <w:rsid w:val="008B4424"/>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193346">
      <w:bodyDiv w:val="1"/>
      <w:marLeft w:val="0"/>
      <w:marRight w:val="0"/>
      <w:marTop w:val="0"/>
      <w:marBottom w:val="0"/>
      <w:divBdr>
        <w:top w:val="none" w:sz="0" w:space="0" w:color="auto"/>
        <w:left w:val="none" w:sz="0" w:space="0" w:color="auto"/>
        <w:bottom w:val="none" w:sz="0" w:space="0" w:color="auto"/>
        <w:right w:val="none" w:sz="0" w:space="0" w:color="auto"/>
      </w:divBdr>
    </w:div>
    <w:div w:id="284192145">
      <w:bodyDiv w:val="1"/>
      <w:marLeft w:val="0"/>
      <w:marRight w:val="0"/>
      <w:marTop w:val="0"/>
      <w:marBottom w:val="0"/>
      <w:divBdr>
        <w:top w:val="none" w:sz="0" w:space="0" w:color="auto"/>
        <w:left w:val="none" w:sz="0" w:space="0" w:color="auto"/>
        <w:bottom w:val="none" w:sz="0" w:space="0" w:color="auto"/>
        <w:right w:val="none" w:sz="0" w:space="0" w:color="auto"/>
      </w:divBdr>
    </w:div>
    <w:div w:id="312564329">
      <w:bodyDiv w:val="1"/>
      <w:marLeft w:val="0"/>
      <w:marRight w:val="0"/>
      <w:marTop w:val="0"/>
      <w:marBottom w:val="0"/>
      <w:divBdr>
        <w:top w:val="none" w:sz="0" w:space="0" w:color="auto"/>
        <w:left w:val="none" w:sz="0" w:space="0" w:color="auto"/>
        <w:bottom w:val="none" w:sz="0" w:space="0" w:color="auto"/>
        <w:right w:val="none" w:sz="0" w:space="0" w:color="auto"/>
      </w:divBdr>
    </w:div>
    <w:div w:id="684553534">
      <w:bodyDiv w:val="1"/>
      <w:marLeft w:val="0"/>
      <w:marRight w:val="0"/>
      <w:marTop w:val="0"/>
      <w:marBottom w:val="0"/>
      <w:divBdr>
        <w:top w:val="none" w:sz="0" w:space="0" w:color="auto"/>
        <w:left w:val="none" w:sz="0" w:space="0" w:color="auto"/>
        <w:bottom w:val="none" w:sz="0" w:space="0" w:color="auto"/>
        <w:right w:val="none" w:sz="0" w:space="0" w:color="auto"/>
      </w:divBdr>
    </w:div>
    <w:div w:id="769739672">
      <w:bodyDiv w:val="1"/>
      <w:marLeft w:val="0"/>
      <w:marRight w:val="0"/>
      <w:marTop w:val="0"/>
      <w:marBottom w:val="0"/>
      <w:divBdr>
        <w:top w:val="none" w:sz="0" w:space="0" w:color="auto"/>
        <w:left w:val="none" w:sz="0" w:space="0" w:color="auto"/>
        <w:bottom w:val="none" w:sz="0" w:space="0" w:color="auto"/>
        <w:right w:val="none" w:sz="0" w:space="0" w:color="auto"/>
      </w:divBdr>
    </w:div>
    <w:div w:id="1109811149">
      <w:bodyDiv w:val="1"/>
      <w:marLeft w:val="0"/>
      <w:marRight w:val="0"/>
      <w:marTop w:val="0"/>
      <w:marBottom w:val="0"/>
      <w:divBdr>
        <w:top w:val="none" w:sz="0" w:space="0" w:color="auto"/>
        <w:left w:val="none" w:sz="0" w:space="0" w:color="auto"/>
        <w:bottom w:val="none" w:sz="0" w:space="0" w:color="auto"/>
        <w:right w:val="none" w:sz="0" w:space="0" w:color="auto"/>
      </w:divBdr>
    </w:div>
    <w:div w:id="1175727258">
      <w:bodyDiv w:val="1"/>
      <w:marLeft w:val="0"/>
      <w:marRight w:val="0"/>
      <w:marTop w:val="0"/>
      <w:marBottom w:val="0"/>
      <w:divBdr>
        <w:top w:val="none" w:sz="0" w:space="0" w:color="auto"/>
        <w:left w:val="none" w:sz="0" w:space="0" w:color="auto"/>
        <w:bottom w:val="none" w:sz="0" w:space="0" w:color="auto"/>
        <w:right w:val="none" w:sz="0" w:space="0" w:color="auto"/>
      </w:divBdr>
    </w:div>
    <w:div w:id="1314602320">
      <w:bodyDiv w:val="1"/>
      <w:marLeft w:val="0"/>
      <w:marRight w:val="0"/>
      <w:marTop w:val="0"/>
      <w:marBottom w:val="0"/>
      <w:divBdr>
        <w:top w:val="none" w:sz="0" w:space="0" w:color="auto"/>
        <w:left w:val="none" w:sz="0" w:space="0" w:color="auto"/>
        <w:bottom w:val="none" w:sz="0" w:space="0" w:color="auto"/>
        <w:right w:val="none" w:sz="0" w:space="0" w:color="auto"/>
      </w:divBdr>
    </w:div>
    <w:div w:id="1316177936">
      <w:bodyDiv w:val="1"/>
      <w:marLeft w:val="0"/>
      <w:marRight w:val="0"/>
      <w:marTop w:val="0"/>
      <w:marBottom w:val="0"/>
      <w:divBdr>
        <w:top w:val="none" w:sz="0" w:space="0" w:color="auto"/>
        <w:left w:val="none" w:sz="0" w:space="0" w:color="auto"/>
        <w:bottom w:val="none" w:sz="0" w:space="0" w:color="auto"/>
        <w:right w:val="none" w:sz="0" w:space="0" w:color="auto"/>
      </w:divBdr>
    </w:div>
    <w:div w:id="1399789985">
      <w:bodyDiv w:val="1"/>
      <w:marLeft w:val="0"/>
      <w:marRight w:val="0"/>
      <w:marTop w:val="0"/>
      <w:marBottom w:val="0"/>
      <w:divBdr>
        <w:top w:val="none" w:sz="0" w:space="0" w:color="auto"/>
        <w:left w:val="none" w:sz="0" w:space="0" w:color="auto"/>
        <w:bottom w:val="none" w:sz="0" w:space="0" w:color="auto"/>
        <w:right w:val="none" w:sz="0" w:space="0" w:color="auto"/>
      </w:divBdr>
    </w:div>
    <w:div w:id="1509636473">
      <w:bodyDiv w:val="1"/>
      <w:marLeft w:val="0"/>
      <w:marRight w:val="0"/>
      <w:marTop w:val="0"/>
      <w:marBottom w:val="0"/>
      <w:divBdr>
        <w:top w:val="none" w:sz="0" w:space="0" w:color="auto"/>
        <w:left w:val="none" w:sz="0" w:space="0" w:color="auto"/>
        <w:bottom w:val="none" w:sz="0" w:space="0" w:color="auto"/>
        <w:right w:val="none" w:sz="0" w:space="0" w:color="auto"/>
      </w:divBdr>
    </w:div>
    <w:div w:id="1538853572">
      <w:bodyDiv w:val="1"/>
      <w:marLeft w:val="0"/>
      <w:marRight w:val="0"/>
      <w:marTop w:val="0"/>
      <w:marBottom w:val="0"/>
      <w:divBdr>
        <w:top w:val="none" w:sz="0" w:space="0" w:color="auto"/>
        <w:left w:val="none" w:sz="0" w:space="0" w:color="auto"/>
        <w:bottom w:val="none" w:sz="0" w:space="0" w:color="auto"/>
        <w:right w:val="none" w:sz="0" w:space="0" w:color="auto"/>
      </w:divBdr>
    </w:div>
    <w:div w:id="1559055142">
      <w:bodyDiv w:val="1"/>
      <w:marLeft w:val="0"/>
      <w:marRight w:val="0"/>
      <w:marTop w:val="0"/>
      <w:marBottom w:val="0"/>
      <w:divBdr>
        <w:top w:val="none" w:sz="0" w:space="0" w:color="auto"/>
        <w:left w:val="none" w:sz="0" w:space="0" w:color="auto"/>
        <w:bottom w:val="none" w:sz="0" w:space="0" w:color="auto"/>
        <w:right w:val="none" w:sz="0" w:space="0" w:color="auto"/>
      </w:divBdr>
    </w:div>
    <w:div w:id="1675644152">
      <w:bodyDiv w:val="1"/>
      <w:marLeft w:val="0"/>
      <w:marRight w:val="0"/>
      <w:marTop w:val="0"/>
      <w:marBottom w:val="0"/>
      <w:divBdr>
        <w:top w:val="none" w:sz="0" w:space="0" w:color="auto"/>
        <w:left w:val="none" w:sz="0" w:space="0" w:color="auto"/>
        <w:bottom w:val="none" w:sz="0" w:space="0" w:color="auto"/>
        <w:right w:val="none" w:sz="0" w:space="0" w:color="auto"/>
      </w:divBdr>
    </w:div>
    <w:div w:id="1915775240">
      <w:bodyDiv w:val="1"/>
      <w:marLeft w:val="0"/>
      <w:marRight w:val="0"/>
      <w:marTop w:val="0"/>
      <w:marBottom w:val="0"/>
      <w:divBdr>
        <w:top w:val="none" w:sz="0" w:space="0" w:color="auto"/>
        <w:left w:val="none" w:sz="0" w:space="0" w:color="auto"/>
        <w:bottom w:val="none" w:sz="0" w:space="0" w:color="auto"/>
        <w:right w:val="none" w:sz="0" w:space="0" w:color="auto"/>
      </w:divBdr>
    </w:div>
    <w:div w:id="213151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kwendulazarus@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3389/fphar.2013.00177" TargetMode="External"/><Relationship Id="rId4" Type="http://schemas.openxmlformats.org/officeDocument/2006/relationships/settings" Target="settings.xml"/><Relationship Id="rId9" Type="http://schemas.openxmlformats.org/officeDocument/2006/relationships/hyperlink" Target="https://doi.org/10.4161/oxim.1.1.6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2205</TotalTime>
  <Pages>14</Pages>
  <Words>3743</Words>
  <Characters>21338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Windows User</cp:lastModifiedBy>
  <cp:revision>21</cp:revision>
  <dcterms:created xsi:type="dcterms:W3CDTF">2026-04-21T14:27:00Z</dcterms:created>
  <dcterms:modified xsi:type="dcterms:W3CDTF">2026-07-06T23:34:00Z</dcterms:modified>
</cp:coreProperties>
</file>