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Times New Roman" w:cs="Times New Roman" w:eastAsia="Times New Roman" w:hAnsi="Times New Roman"/>
          <w:b/>
          <w:bCs/>
          <w:sz w:val="32"/>
          <w:szCs w:val="32"/>
        </w:rPr>
        <w:t xml:space="preserve">CO₂ Sequestration Using Microalgae: Optimization of Growth Conditions, Image-Based Biomass Monitoring, and Comparative Sequestration Efficiency</w:t>
      </w:r>
    </w:p>
    <w:p>
      <w:pPr>
        <w:spacing w:after="80" w:before="0"/>
        <w:jc w:val="center"/>
      </w:pPr>
      <w:r>
        <w:rPr>
          <w:rFonts w:ascii="Times New Roman" w:cs="Times New Roman" w:eastAsia="Times New Roman" w:hAnsi="Times New Roman"/>
          <w:sz w:val="24"/>
          <w:szCs w:val="24"/>
        </w:rPr>
        <w:t xml:space="preserve"/>
      </w:r>
    </w:p>
    <w:p>
      <w:pPr>
        <w:spacing w:after="80" w:before="0"/>
        <w:jc w:val="center"/>
      </w:pPr>
      <w:r>
        <w:rPr>
          <w:rFonts w:ascii="Times New Roman" w:cs="Times New Roman" w:eastAsia="Times New Roman" w:hAnsi="Times New Roman"/>
          <w:i/>
          <w:iCs/>
          <w:sz w:val="22"/>
          <w:szCs w:val="22"/>
        </w:rPr>
        <w:t xml:space="preserve"/>
      </w:r>
    </w:p>
    <w:p>
      <w:pPr>
        <w:spacing w:after="80" w:before="0"/>
        <w:jc w:val="center"/>
      </w:pPr>
      <w:r>
        <w:rPr>
          <w:rFonts w:ascii="Times New Roman" w:cs="Times New Roman" w:eastAsia="Times New Roman" w:hAnsi="Times New Roman"/>
          <w:sz w:val="22"/>
          <w:szCs w:val="22"/>
        </w:rPr>
        <w:t xml:space="preserve"/>
      </w:r>
    </w:p>
    <w:p>
      <w:pPr>
        <w:pBdr>
          <w:bottom w:val="single" w:color="000000" w:sz="6" w:space="1"/>
        </w:pBdr>
        <w:spacing w:after="240" w:before="120"/>
      </w:pPr>
      <w:r>
        <w:t xml:space="preserve"/>
      </w:r>
    </w:p>
    <w:p>
      <w:pPr>
        <w:spacing w:after="80" w:before="0"/>
      </w:pPr>
      <w:r>
        <w:rPr>
          <w:rFonts w:ascii="Times New Roman" w:cs="Times New Roman" w:eastAsia="Times New Roman" w:hAnsi="Times New Roman"/>
          <w:b/>
          <w:bCs/>
          <w:sz w:val="26"/>
          <w:szCs w:val="26"/>
        </w:rPr>
        <w:t xml:space="preserve">Abstract</w:t>
      </w:r>
    </w:p>
    <w:p>
      <w:pPr>
        <w:spacing w:after="160" w:before="0" w:line="360"/>
        <w:jc w:val="both"/>
      </w:pPr>
      <w:r>
        <w:rPr>
          <w:rFonts w:ascii="Times New Roman" w:cs="Times New Roman" w:eastAsia="Times New Roman" w:hAnsi="Times New Roman"/>
          <w:sz w:val="22"/>
          <w:szCs w:val="22"/>
        </w:rPr>
        <w:t xml:space="preserve">Rising atmospheric CO₂ concentrations pose a critical global challenge. This study investigates the CO₂ sequestration potential of four microalgal species — two cyanobacteria collected from local habitats (Oscillatoria and Scytonema) and two procured strains (Chlorella pyrenoidosa NCIM 2738 and Scenedesmus sp. NCIM 5712) — under optimized laboratory conditions. Growth was monitored over 28 days using a novel image-based green pigmentation intensity (GPI) analysis method alongside total suspended solids (TSS) measurement. Daily microscopic images were captured and processed using Python image analysis to extract mean green channel intensity as a real-time, non-destructive proxy for biomass accumulation and CO₂ fixation. Chlorella pyrenoidosa demonstrated the highest sequestration efficiency, achieving a peak GPI of 216.21 on Day 28 and TSS increase of +0.52%, followed by Scytonema (GPI 174.34, +0.20%), Scenedesmus sp. (GPI 134.26, +0.21%), and Oscillatoria (GPI 156.14, +0.17%). GPI curves revealed distinct growth phases — lag, exponential, and stationary — unique to each species, with Chlorella exhibiting the sharpest exponential rise after Day 14. A functional closed-loop algae-based air purifier prototype was developed and tested, demonstrating practical CO₂ capture in enclosed environments. Results affirm microalgae-based biological carbon capture as a sustainable, low-cost complement to conventional CCS, with strong integration potential in civil engineering and green building applications.</w:t>
      </w:r>
    </w:p>
    <w:p>
      <w:pPr>
        <w:spacing w:after="200" w:before="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sz w:val="22"/>
          <w:szCs w:val="22"/>
        </w:rPr>
        <w:t xml:space="preserve">CO₂ sequestration; microalgae; green pigmentation intensity; image analysis; Chlorella pyrenoidosa; Scenedesmus; Oscillatoria; Scytonema; biomass; photobioreactor</w:t>
      </w:r>
    </w:p>
    <w:p>
      <w:pPr>
        <w:pBdr>
          <w:bottom w:val="single" w:color="000000" w:sz="4" w:space="1"/>
        </w:pBdr>
        <w:spacing w:after="240" w:before="0"/>
      </w:pPr>
      <w:r>
        <w:t xml:space="preserve"/>
      </w:r>
    </w:p>
    <w:p>
      <w:pPr>
        <w:spacing w:after="80" w:before="0"/>
      </w:pPr>
      <w:r>
        <w:rPr>
          <w:rFonts w:ascii="Times New Roman" w:cs="Times New Roman" w:eastAsia="Times New Roman" w:hAnsi="Times New Roman"/>
          <w:b/>
          <w:bCs/>
          <w:sz w:val="26"/>
          <w:szCs w:val="26"/>
        </w:rPr>
        <w:t xml:space="preserve">Highlights</w:t>
      </w:r>
    </w:p>
    <w:p>
      <w:pPr>
        <w:pStyle w:val="ListParagraph"/>
        <w:numPr>
          <w:ilvl w:val="0"/>
          <w:numId w:val="2"/>
        </w:numPr>
        <w:spacing w:after="40" w:before="40"/>
      </w:pPr>
      <w:r>
        <w:rPr>
          <w:rFonts w:ascii="Times New Roman" w:cs="Times New Roman" w:eastAsia="Times New Roman" w:hAnsi="Times New Roman"/>
          <w:sz w:val="24"/>
          <w:szCs w:val="24"/>
        </w:rPr>
        <w:t xml:space="preserve">Image-based green pigmentation intensity (GPI) used as real-time biomass proxy</w:t>
      </w:r>
    </w:p>
    <w:p>
      <w:pPr>
        <w:pStyle w:val="ListParagraph"/>
        <w:numPr>
          <w:ilvl w:val="0"/>
          <w:numId w:val="2"/>
        </w:numPr>
        <w:spacing w:after="40" w:before="40"/>
      </w:pPr>
      <w:r>
        <w:rPr>
          <w:rFonts w:ascii="Times New Roman" w:cs="Times New Roman" w:eastAsia="Times New Roman" w:hAnsi="Times New Roman"/>
          <w:sz w:val="24"/>
          <w:szCs w:val="24"/>
        </w:rPr>
        <w:t xml:space="preserve">Chlorella pyrenoidosa showed highest CO₂ fixation: GPI 216.21, TSS +0.52%</w:t>
      </w:r>
    </w:p>
    <w:p>
      <w:pPr>
        <w:pStyle w:val="ListParagraph"/>
        <w:numPr>
          <w:ilvl w:val="0"/>
          <w:numId w:val="2"/>
        </w:numPr>
        <w:spacing w:after="40" w:before="40"/>
      </w:pPr>
      <w:r>
        <w:rPr>
          <w:rFonts w:ascii="Times New Roman" w:cs="Times New Roman" w:eastAsia="Times New Roman" w:hAnsi="Times New Roman"/>
          <w:sz w:val="24"/>
          <w:szCs w:val="24"/>
        </w:rPr>
        <w:t xml:space="preserve">Distinct lag, exponential, and stationary growth phases identified per species</w:t>
      </w:r>
    </w:p>
    <w:p>
      <w:pPr>
        <w:pStyle w:val="ListParagraph"/>
        <w:numPr>
          <w:ilvl w:val="0"/>
          <w:numId w:val="2"/>
        </w:numPr>
        <w:spacing w:after="40" w:before="40"/>
      </w:pPr>
      <w:r>
        <w:rPr>
          <w:rFonts w:ascii="Times New Roman" w:cs="Times New Roman" w:eastAsia="Times New Roman" w:hAnsi="Times New Roman"/>
          <w:sz w:val="24"/>
          <w:szCs w:val="24"/>
        </w:rPr>
        <w:t xml:space="preserve">Artificial LED light outperformed sunlight; pH 7–8, 25± 2°C optimal for all species</w:t>
      </w:r>
    </w:p>
    <w:p>
      <w:pPr>
        <w:pStyle w:val="ListParagraph"/>
        <w:numPr>
          <w:ilvl w:val="0"/>
          <w:numId w:val="2"/>
        </w:numPr>
        <w:spacing w:after="40" w:before="40"/>
      </w:pPr>
      <w:r>
        <w:rPr>
          <w:rFonts w:ascii="Times New Roman" w:cs="Times New Roman" w:eastAsia="Times New Roman" w:hAnsi="Times New Roman"/>
          <w:sz w:val="24"/>
          <w:szCs w:val="24"/>
        </w:rPr>
        <w:t xml:space="preserve">Functional algae air purifier prototype demonstrated CO₂ capture in enclosed spaces</w:t>
      </w:r>
    </w:p>
    <w:p>
      <w:pPr>
        <w:spacing w:after="80" w:before="0"/>
      </w:pPr>
      <w:r>
        <w:t xml:space="preserve"/>
      </w:r>
    </w:p>
    <w:p>
      <w:pPr>
        <w:pStyle w:val="Heading1"/>
        <w:spacing w:after="120" w:before="360"/>
      </w:pPr>
      <w:r>
        <w:rPr>
          <w:rFonts w:ascii="Times New Roman" w:cs="Times New Roman" w:eastAsia="Times New Roman" w:hAnsi="Times New Roman"/>
          <w:b/>
          <w:bCs/>
          <w:sz w:val="28"/>
          <w:szCs w:val="28"/>
        </w:rPr>
        <w:t xml:space="preserve">1. Introduction</w:t>
      </w:r>
    </w:p>
    <w:p>
      <w:pPr>
        <w:spacing w:after="160" w:before="0" w:line="360"/>
        <w:ind w:firstLine="720"/>
        <w:jc w:val="both"/>
      </w:pPr>
      <w:r>
        <w:rPr>
          <w:rFonts w:ascii="Times New Roman" w:cs="Times New Roman" w:eastAsia="Times New Roman" w:hAnsi="Times New Roman"/>
          <w:sz w:val="24"/>
          <w:szCs w:val="24"/>
        </w:rPr>
        <w:t xml:space="preserve">Atmospheric CO₂ concentrations have risen from approximately 280 ppm in the pre-industrial era to over 415 ppm today, driven primarily by fossil fuel combustion, deforestation, and industrial activity [1]. This accumulation is the principal driver of global warming, contributing to rising sea levels (9.5 cm increase from 1993–2019 [2]), extreme weather events, and ecosystem disruption. The year 2023 was recorded as the warmest in instrumental history, approximately 1.36°C above the 1850–1900 preindustrial average [3], underscoring the urgency of effective carbon mitigation strategies.</w:t>
      </w:r>
    </w:p>
    <w:p>
      <w:pPr>
        <w:spacing w:after="160" w:before="0" w:line="360"/>
        <w:ind w:firstLine="720"/>
        <w:jc w:val="both"/>
      </w:pPr>
      <w:r>
        <w:rPr>
          <w:rFonts w:ascii="Times New Roman" w:cs="Times New Roman" w:eastAsia="Times New Roman" w:hAnsi="Times New Roman"/>
          <w:sz w:val="24"/>
          <w:szCs w:val="24"/>
        </w:rPr>
        <w:t xml:space="preserve">Conventional carbon capture and storage (CCS) approaches — including geological sequestration, mineral carbonation, and ocean injection — are often capital-intensive and energy-demanding [4,5]. Biological sequestration via microalgae offers a compelling alternative. Microalgae fix CO₂ through photosynthesis at rates far exceeding terrestrial plants, can be cultivated on non-arable land using saline or wastewater streams, require no herbicides or pesticides, and simultaneously yield high-value bioproducts including biofuels, proteins, and vitamins [6,7]. CO₂ emissions have grown from 3 metric tons in 1751 to over 8,230 metric tons annually by 2006 [1], and microalgae-based biological carbon fixation has received increasing attention as part of the solution [8].</w:t>
      </w:r>
    </w:p>
    <w:p>
      <w:pPr>
        <w:spacing w:after="160" w:before="0" w:line="360"/>
        <w:ind w:firstLine="720"/>
        <w:jc w:val="both"/>
      </w:pPr>
      <w:r>
        <w:rPr>
          <w:rFonts w:ascii="Times New Roman" w:cs="Times New Roman" w:eastAsia="Times New Roman" w:hAnsi="Times New Roman"/>
          <w:sz w:val="24"/>
          <w:szCs w:val="24"/>
        </w:rPr>
        <w:t xml:space="preserve">Several microalgal strains have been screened for CO₂ tolerance and fixation capacity; species such as </w:t>
      </w:r>
      <w:r>
        <w:rPr>
          <w:rFonts w:ascii="Times New Roman" w:cs="Times New Roman" w:eastAsia="Times New Roman" w:hAnsi="Times New Roman"/>
          <w:i/>
          <w:iCs/>
          <w:sz w:val="24"/>
          <w:szCs w:val="24"/>
        </w:rPr>
        <w:t xml:space="preserve">Chlorella</w:t>
      </w:r>
      <w:r>
        <w:rPr>
          <w:rFonts w:ascii="Times New Roman" w:cs="Times New Roman" w:eastAsia="Times New Roman" w:hAnsi="Times New Roman"/>
          <w:sz w:val="24"/>
          <w:szCs w:val="24"/>
        </w:rPr>
        <w:t xml:space="preserve"> sp. (40–80% CO₂ tolerance), </w:t>
      </w:r>
      <w:r>
        <w:rPr>
          <w:rFonts w:ascii="Times New Roman" w:cs="Times New Roman" w:eastAsia="Times New Roman" w:hAnsi="Times New Roman"/>
          <w:i/>
          <w:iCs/>
          <w:sz w:val="24"/>
          <w:szCs w:val="24"/>
        </w:rPr>
        <w:t xml:space="preserve">Cyanidium caldarium</w:t>
      </w:r>
      <w:r>
        <w:rPr>
          <w:rFonts w:ascii="Times New Roman" w:cs="Times New Roman" w:eastAsia="Times New Roman" w:hAnsi="Times New Roman"/>
          <w:sz w:val="24"/>
          <w:szCs w:val="24"/>
        </w:rPr>
        <w:t xml:space="preserve"> (100%), and </w:t>
      </w:r>
      <w:r>
        <w:rPr>
          <w:rFonts w:ascii="Times New Roman" w:cs="Times New Roman" w:eastAsia="Times New Roman" w:hAnsi="Times New Roman"/>
          <w:i/>
          <w:iCs/>
          <w:sz w:val="24"/>
          <w:szCs w:val="24"/>
        </w:rPr>
        <w:t xml:space="preserve">Scenedesmus obliquus</w:t>
      </w:r>
      <w:r>
        <w:rPr>
          <w:rFonts w:ascii="Times New Roman" w:cs="Times New Roman" w:eastAsia="Times New Roman" w:hAnsi="Times New Roman"/>
          <w:sz w:val="24"/>
          <w:szCs w:val="24"/>
        </w:rPr>
        <w:t xml:space="preserve"> (18%) have been identified as promising candidates [9]. In India, more than 80 microalgal species have been isolated from diverse agro-climatic conditions for CO₂ sequestration screening [10]. Growth is sensitive to culture medium, light intensity, photoperiod, temperature (optimal 20–30°C), and pH (optimal 7–8.5); artificial LED illumination provides superior stability over variable outdoor sunlight [11,12]. The construction and civil engineering sectors are among the largest contributors to global CO₂ emissions, making integration of microalgae-based systems into built infrastructure a promising strategy for sustainable urban development.</w:t>
      </w:r>
    </w:p>
    <w:p>
      <w:pPr>
        <w:spacing w:after="160" w:before="0" w:line="360"/>
        <w:ind w:firstLine="720"/>
        <w:jc w:val="both"/>
      </w:pPr>
      <w:r>
        <w:rPr>
          <w:rFonts w:ascii="Times New Roman" w:cs="Times New Roman" w:eastAsia="Times New Roman" w:hAnsi="Times New Roman"/>
          <w:sz w:val="24"/>
          <w:szCs w:val="24"/>
        </w:rPr>
        <w:t xml:space="preserve">This study investigates four microalgal species — locally collected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and procured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(NCIM 2738) and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(NCIM 5712) — for comparative CO₂ sequestration efficiency under optimized laboratory conditions. A key novelty is the use of image-based green pigmentation intensity (GPI) analysis as a non-destructive, real-time proxy for biomass accumulation, enabling detailed characterization of growth dynamics across species. A functional algae-based air purifier prototype further demonstrates applied potential of the findings.</w:t>
      </w:r>
    </w:p>
    <w:p>
      <w:pPr>
        <w:pStyle w:val="Heading1"/>
        <w:spacing w:after="120" w:before="360"/>
      </w:pPr>
      <w:r>
        <w:rPr>
          <w:rFonts w:ascii="Times New Roman" w:cs="Times New Roman" w:eastAsia="Times New Roman" w:hAnsi="Times New Roman"/>
          <w:b/>
          <w:bCs/>
          <w:sz w:val="28"/>
          <w:szCs w:val="28"/>
        </w:rPr>
        <w:t xml:space="preserve">2. Methodology</w:t>
      </w:r>
    </w:p>
    <w:p>
      <w:pPr>
        <w:pStyle w:val="Heading2"/>
        <w:spacing w:after="80" w:before="240"/>
      </w:pPr>
      <w:r>
        <w:rPr>
          <w:rFonts w:ascii="Times New Roman" w:cs="Times New Roman" w:eastAsia="Times New Roman" w:hAnsi="Times New Roman"/>
          <w:b/>
          <w:bCs/>
          <w:sz w:val="24"/>
          <w:szCs w:val="24"/>
        </w:rPr>
        <w:t xml:space="preserve">2.1 Collection and Procurement of Algal Species</w:t>
      </w:r>
    </w:p>
    <w:p>
      <w:pPr>
        <w:spacing w:after="160" w:before="0" w:line="360"/>
        <w:ind w:firstLine="720"/>
        <w:jc w:val="both"/>
      </w:pPr>
      <w:r>
        <w:rPr>
          <w:rFonts w:ascii="Times New Roman" w:cs="Times New Roman" w:eastAsia="Times New Roman" w:hAnsi="Times New Roman"/>
          <w:sz w:val="24"/>
          <w:szCs w:val="24"/>
        </w:rPr>
        <w:t xml:space="preserve">Five environmental samples were collected from the campus of Sardar Patel College of Engineering (SPCE), Andheri, Mumbai — including the campus lake, pedestrian zones, and open drainage channels — between August and September 2024. Samples were collected aseptically in glass Petri dishes using a sterile scraper and wire loop, transferred to distilled water, and stored at below 4°C.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(NCIM No. 2738) and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(NCIM No. 5712) were procured from the National Collection of Industrial Microorganisms (NCIM), Pune, in accordance with NCIM protocols.</w:t>
      </w:r>
    </w:p>
    <w:p>
      <w:pPr>
        <w:pStyle w:val="Heading2"/>
        <w:spacing w:after="80" w:before="240"/>
      </w:pPr>
      <w:r>
        <w:rPr>
          <w:rFonts w:ascii="Times New Roman" w:cs="Times New Roman" w:eastAsia="Times New Roman" w:hAnsi="Times New Roman"/>
          <w:b/>
          <w:bCs/>
          <w:sz w:val="24"/>
          <w:szCs w:val="24"/>
        </w:rPr>
        <w:t xml:space="preserve">2.2 Species Identification</w:t>
      </w:r>
    </w:p>
    <w:p>
      <w:pPr>
        <w:spacing w:after="160" w:before="0" w:line="360"/>
        <w:ind w:firstLine="720"/>
        <w:jc w:val="both"/>
      </w:pPr>
      <w:r>
        <w:rPr>
          <w:rFonts w:ascii="Times New Roman" w:cs="Times New Roman" w:eastAsia="Times New Roman" w:hAnsi="Times New Roman"/>
          <w:sz w:val="24"/>
          <w:szCs w:val="24"/>
        </w:rPr>
        <w:t xml:space="preserve">Identification of native species was performed at the Botany Research Laboratory, Bhavan’s College, Mumbai, using compound optical microscopy (Micron Optic KG-5; 10× and 45× magnification) and standard taxonomic references [13]. Morphological analysis confirmed the collected species as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(unbranched filamentous cyanobacterium, cylindrical cells in chains) and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(branched filamentous cyanobacterium with false branching, pale to olive-green cells, reproduction via hormogonia).</w:t>
      </w:r>
    </w:p>
    <w:p>
      <w:pPr>
        <w:pStyle w:val="Heading2"/>
        <w:spacing w:after="80" w:before="240"/>
      </w:pPr>
      <w:r>
        <w:rPr>
          <w:rFonts w:ascii="Times New Roman" w:cs="Times New Roman" w:eastAsia="Times New Roman" w:hAnsi="Times New Roman"/>
          <w:b/>
          <w:bCs/>
          <w:sz w:val="24"/>
          <w:szCs w:val="24"/>
        </w:rPr>
        <w:t xml:space="preserve">2.3 Culture Media and Growth Conditions</w:t>
      </w:r>
    </w:p>
    <w:p>
      <w:pPr>
        <w:spacing w:after="160" w:before="0" w:line="360"/>
        <w:ind w:firstLine="720"/>
        <w:jc w:val="both"/>
      </w:pPr>
      <w:r>
        <w:rPr>
          <w:rFonts w:ascii="Times New Roman" w:cs="Times New Roman" w:eastAsia="Times New Roman" w:hAnsi="Times New Roman"/>
          <w:sz w:val="24"/>
          <w:szCs w:val="24"/>
        </w:rPr>
        <w:t xml:space="preserve">BG-11 medium (NaNO₃ 1.5 g/L, K₂HPO₄ 0.04 g/L, MgSO₄·7H₂O 0.075 g/L, CaCl₂·2H₂O 0.036 g/L, citric acid 6.0 mg/L, ferric ammonium citrate 6.0 mg/L, EDTA 1.0 mg/L, Na₂CO₃ 0.02 g/L, Trace Metal Mix A5 1.0 mL/L; pH 7.1; autoclaved at 121°C) was used for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Modified Fog’s medium (supplemented with 0.2% KNO₃; pH 7.5) was used for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[14]. Cultures were maintained in 250 mL sterile conical flasks with 200 mL medium. Light was provided by 9W fluorescent bulbs: 2,000–3,000 lux for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4,000–5,000 lux for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and 6,000–8,000 lux for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A 14-hour light / 10-hour dark photoperiod was enforced via autotimer. Temperature was maintained at 25 ± 2°C and pH at 7–8 [11,12]. Flasks were manually stirred daily for aeration and nutrient homogeneity.</w:t>
      </w:r>
    </w:p>
    <w:p>
      <w:pPr>
        <w:pStyle w:val="Heading2"/>
        <w:spacing w:after="80" w:before="240"/>
      </w:pPr>
      <w:r>
        <w:rPr>
          <w:rFonts w:ascii="Times New Roman" w:cs="Times New Roman" w:eastAsia="Times New Roman" w:hAnsi="Times New Roman"/>
          <w:b/>
          <w:bCs/>
          <w:sz w:val="24"/>
          <w:szCs w:val="24"/>
        </w:rPr>
        <w:t xml:space="preserve">2.4 CO₂ Infusion and Aeration</w:t>
      </w:r>
    </w:p>
    <w:p>
      <w:pPr>
        <w:spacing w:after="160" w:before="0" w:line="360"/>
        <w:ind w:firstLine="720"/>
        <w:jc w:val="both"/>
      </w:pPr>
      <w:r>
        <w:rPr>
          <w:rFonts w:ascii="Times New Roman" w:cs="Times New Roman" w:eastAsia="Times New Roman" w:hAnsi="Times New Roman"/>
          <w:sz w:val="24"/>
          <w:szCs w:val="24"/>
        </w:rPr>
        <w:t xml:space="preserve">Food-grade CO₂ was delivered through spargers at concentrations of 0.5–6% (v/v) and flow rates of 1.0–2.0 L/min. Continuous aeration via sterile air pumps connected to diffusers was maintained in treatment groups; non-aerated controls were maintained for each species for comparison. All experiments were conducted in duplicate.</w:t>
      </w:r>
    </w:p>
    <w:p>
      <w:pPr>
        <w:pStyle w:val="Heading2"/>
        <w:spacing w:after="80" w:before="240"/>
      </w:pPr>
      <w:r>
        <w:rPr>
          <w:rFonts w:ascii="Times New Roman" w:cs="Times New Roman" w:eastAsia="Times New Roman" w:hAnsi="Times New Roman"/>
          <w:b/>
          <w:bCs/>
          <w:sz w:val="24"/>
          <w:szCs w:val="24"/>
        </w:rPr>
        <w:t xml:space="preserve">2.5 Biomass Measurement: TSS Analysis</w:t>
      </w:r>
    </w:p>
    <w:p>
      <w:pPr>
        <w:spacing w:after="160" w:before="0" w:line="360"/>
        <w:ind w:firstLine="720"/>
        <w:jc w:val="both"/>
      </w:pPr>
      <w:r>
        <w:rPr>
          <w:rFonts w:ascii="Times New Roman" w:cs="Times New Roman" w:eastAsia="Times New Roman" w:hAnsi="Times New Roman"/>
          <w:sz w:val="24"/>
          <w:szCs w:val="24"/>
        </w:rPr>
        <w:t xml:space="preserve">Total suspended solids (TSS) were measured at the start and end of the experiment per APHA Method 2540B. A 25 mL aliquot was filtered through a pre-weighed glass fiber filter, dried at 103–105°C for 24 hours, cooled in a desiccator, and reweighed. TSS (mg/L) = [(W₂ – W₁) × 1000] / sample volume (mL). Percent change = [(Final TSS – Initial TSS) / Initial TSS] × 100.</w:t>
      </w:r>
    </w:p>
    <w:p>
      <w:pPr>
        <w:pStyle w:val="Heading2"/>
        <w:spacing w:after="80" w:before="240"/>
      </w:pPr>
      <w:r>
        <w:rPr>
          <w:rFonts w:ascii="Times New Roman" w:cs="Times New Roman" w:eastAsia="Times New Roman" w:hAnsi="Times New Roman"/>
          <w:b/>
          <w:bCs/>
          <w:sz w:val="24"/>
          <w:szCs w:val="24"/>
        </w:rPr>
        <w:t xml:space="preserve">2.6 Image-Based Green Pigmentation Intensity (GPI) Analysis</w:t>
      </w:r>
    </w:p>
    <w:p>
      <w:pPr>
        <w:spacing w:after="160" w:before="0" w:line="360"/>
        <w:ind w:firstLine="720"/>
        <w:jc w:val="both"/>
      </w:pPr>
      <w:r>
        <w:rPr>
          <w:rFonts w:ascii="Times New Roman" w:cs="Times New Roman" w:eastAsia="Times New Roman" w:hAnsi="Times New Roman"/>
          <w:sz w:val="24"/>
          <w:szCs w:val="24"/>
        </w:rPr>
        <w:t xml:space="preserve">A non-destructive, image-based method was developed as the primary tool for continuous monitoring of biomass accumulation. High-resolution microscopic images were captured daily over 28 days for each species using a camera-mounted microscope at 40× magnification, under standardized and consistent lighting, white balance, and flask positioning. Python image analysis libraries (PIL/OpenCV) were used to convert each image to RGB colour space and extract the mean green channel intensity (0–255 scale) from each frame as the green pigmentation intensity (GPI) value. GPI was chosen as a proxy for chlorophyll-a content and photosynthetic biomass because chlorophyll-a strongly absorbs red and blue wavelengths and reflects green, making the green channel intensity directly proportional to chlorophyll density in culture [15]. Daily GPI values were plotted as time-series curves for each species, enabling identification of growth phases and comparative performance analysis.</w:t>
      </w:r>
    </w:p>
    <w:p>
      <w:pPr>
        <w:pStyle w:val="Heading1"/>
        <w:spacing w:after="120" w:before="360"/>
      </w:pPr>
      <w:r>
        <w:rPr>
          <w:rFonts w:ascii="Times New Roman" w:cs="Times New Roman" w:eastAsia="Times New Roman" w:hAnsi="Times New Roman"/>
          <w:b/>
          <w:bCs/>
          <w:sz w:val="28"/>
          <w:szCs w:val="28"/>
        </w:rPr>
        <w:t xml:space="preserve">3. Results and Discussion</w:t>
      </w:r>
    </w:p>
    <w:p>
      <w:pPr>
        <w:pStyle w:val="Heading2"/>
        <w:spacing w:after="80" w:before="240"/>
      </w:pPr>
      <w:r>
        <w:rPr>
          <w:rFonts w:ascii="Times New Roman" w:cs="Times New Roman" w:eastAsia="Times New Roman" w:hAnsi="Times New Roman"/>
          <w:b/>
          <w:bCs/>
          <w:sz w:val="24"/>
          <w:szCs w:val="24"/>
        </w:rPr>
        <w:t xml:space="preserve">3.1 Image-Based GPI Analysis: Growth Phase Characterization</w:t>
      </w:r>
    </w:p>
    <w:p>
      <w:pPr>
        <w:spacing w:after="160" w:before="0" w:line="360"/>
        <w:ind w:firstLine="720"/>
        <w:jc w:val="both"/>
      </w:pPr>
      <w:r>
        <w:rPr>
          <w:rFonts w:ascii="Times New Roman" w:cs="Times New Roman" w:eastAsia="Times New Roman" w:hAnsi="Times New Roman"/>
          <w:sz w:val="24"/>
          <w:szCs w:val="24"/>
        </w:rPr>
        <w:t xml:space="preserve">The GPI time-series curves (Figs. 1–5) constitute the primary output of this study, providing day-by-day resolution of biomass dynamics across 28 days for all four species. The method successfully captured three canonical growth phases in each culture: a lag phase (early adaptation), an exponential growth phase (rapid biomass accumulation), and a stationary/plateau phase (nutrient or light limitation). Importantly, the timing, slope, and magnitude of each phase differed significantly between species, revealing species-specific responses to culture conditions that would not have been detectable by endpoint TSS measurement alone.</w:t>
      </w:r>
    </w:p>
    <w:p>
      <w:pPr>
        <w:pStyle w:val="Heading3"/>
        <w:spacing w:after="60" w:before="180"/>
      </w:pPr>
      <w:r>
        <w:rPr>
          <w:rFonts w:ascii="Times New Roman" w:cs="Times New Roman" w:eastAsia="Times New Roman" w:hAnsi="Times New Roman"/>
          <w:b/>
          <w:bCs/>
          <w:i/>
          <w:iCs/>
          <w:sz w:val="24"/>
          <w:szCs w:val="24"/>
        </w:rPr>
        <w:t xml:space="preserve">3.1.1 Chlorella pyrenoidosa</w:t>
      </w:r>
    </w:p>
    <w:p>
      <w:pPr>
        <w:spacing w:after="160" w:before="0" w:line="360"/>
        <w:ind w:firstLine="720"/>
        <w:jc w:val="both"/>
      </w:pP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demonstrated the most dynamic GPI profile of all four species (Fig. 1). GPI commenced at 12.07 on Day 2 (minimum), reflecting a brief lag phase as the inoculum adapted to the culture medium. A marked acceleration in green intensity was observed from approximately Day 7 onward, transitioning into a steep exponential phase between Days 9–21, during which GPI roughly doubled from ~75 to ~150. This rapid rise corresponds to peak photosynthetic activity and maximum CO₂ uptake. The dominant green colour visible in flask images from Day 14 onward visually confirmed dense chlorophyll-rich biomass accumulation. GPI reached its peak value of 216.21 on Day 28, the highest among all tested species, representing an approximately 18-fold increase over the minimum recorded value.</w:t>
      </w:r>
    </w:p>
    <w:p>
      <w:pPr>
        <w:spacing w:after="160" w:before="0" w:line="360"/>
        <w:ind w:firstLine="720"/>
        <w:jc w:val="both"/>
      </w:pPr>
      <w:r>
        <w:rPr>
          <w:rFonts w:ascii="Times New Roman" w:cs="Times New Roman" w:eastAsia="Times New Roman" w:hAnsi="Times New Roman"/>
          <w:sz w:val="24"/>
          <w:szCs w:val="24"/>
        </w:rPr>
        <w:t xml:space="preserve">The colour palette analysis showed a clear progression from muted blue-grey tones on Day 1 (sparse inoculum in clear medium) to increasingly saturated greens by Days 21–28, consistent with high chlorophyll-a density. The rapid exponential growth of </w:t>
      </w:r>
      <w:r>
        <w:rPr>
          <w:rFonts w:ascii="Times New Roman" w:cs="Times New Roman" w:eastAsia="Times New Roman" w:hAnsi="Times New Roman"/>
          <w:i/>
          <w:iCs/>
          <w:sz w:val="24"/>
          <w:szCs w:val="24"/>
        </w:rPr>
        <w:t xml:space="preserve">Chlorella</w:t>
      </w:r>
      <w:r>
        <w:rPr>
          <w:rFonts w:ascii="Times New Roman" w:cs="Times New Roman" w:eastAsia="Times New Roman" w:hAnsi="Times New Roman"/>
          <w:sz w:val="24"/>
          <w:szCs w:val="24"/>
        </w:rPr>
        <w:t xml:space="preserve"> is consistent with its documented high photosynthetic conversion efficiency, CO₂ tolerance of up to 40–80% depending on strain [9], and metabolic flexibility allowing rapid acclimation to artificial light conditions [11]. These characteristics collectively make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the most efficient CO₂ sequestrator among the species tested.</w:t>
      </w:r>
    </w:p>
    <w:p>
      <w:pPr>
        <w:pStyle w:val="Heading3"/>
        <w:spacing w:after="60" w:before="180"/>
      </w:pPr>
      <w:r>
        <w:rPr>
          <w:rFonts w:ascii="Times New Roman" w:cs="Times New Roman" w:eastAsia="Times New Roman" w:hAnsi="Times New Roman"/>
          <w:b/>
          <w:bCs/>
          <w:i/>
          <w:iCs/>
          <w:sz w:val="24"/>
          <w:szCs w:val="24"/>
        </w:rPr>
        <w:t xml:space="preserve">3.1.2 Scytonema</w:t>
      </w:r>
    </w:p>
    <w:p>
      <w:pPr>
        <w:spacing w:after="160" w:before="0" w:line="360"/>
        <w:ind w:firstLine="720"/>
        <w:jc w:val="both"/>
      </w:pP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exhibited the most consistent and linear GPI trajectory across the 28-day period (Fig. 2), with minimum GPI of 5.30 on Day 3 and a peak of 174.34 on Day 28. Unlike </w:t>
      </w:r>
      <w:r>
        <w:rPr>
          <w:rFonts w:ascii="Times New Roman" w:cs="Times New Roman" w:eastAsia="Times New Roman" w:hAnsi="Times New Roman"/>
          <w:i/>
          <w:iCs/>
          <w:sz w:val="24"/>
          <w:szCs w:val="24"/>
        </w:rPr>
        <w:t xml:space="preserve">Chlorella</w:t>
      </w:r>
      <w:r>
        <w:rPr>
          <w:rFonts w:ascii="Times New Roman" w:cs="Times New Roman" w:eastAsia="Times New Roman" w:hAnsi="Times New Roman"/>
          <w:sz w:val="24"/>
          <w:szCs w:val="24"/>
        </w:rPr>
        <w:t xml:space="preserve">, no pronounced exponential acceleration was observed; instead,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displayed a steady, near-uniform rate of increase throughout the culture duration. This linear growth pattern suggests that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reached a balanced steady state in BG-11 medium relatively early, with no apparent nutrient limitation or light saturation inhibiting growth within the 28-day window.</w:t>
      </w:r>
    </w:p>
    <w:p>
      <w:pPr>
        <w:spacing w:after="160" w:before="0" w:line="360"/>
        <w:ind w:firstLine="720"/>
        <w:jc w:val="both"/>
      </w:pPr>
      <w:r>
        <w:rPr>
          <w:rFonts w:ascii="Times New Roman" w:cs="Times New Roman" w:eastAsia="Times New Roman" w:hAnsi="Times New Roman"/>
          <w:sz w:val="24"/>
          <w:szCs w:val="24"/>
        </w:rPr>
        <w:t xml:space="preserve">Colour palette images show a gradual shift from grey-blue on Day 1 through muted olive-green by Day 14, transitioning to darker, richer greens by Days 21–28 — visually confirming progressive chlorophyll accumulation. The absence of sharp fluctuations in the GPI curve indicates that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growth was not significantly perturbed by minor environmental variations, suggesting robustness and stability as a candidate for long-term continuous culture systems.</w:t>
      </w:r>
    </w:p>
    <w:p>
      <w:pPr>
        <w:pStyle w:val="Heading3"/>
        <w:spacing w:after="60" w:before="180"/>
      </w:pPr>
      <w:r>
        <w:rPr>
          <w:rFonts w:ascii="Times New Roman" w:cs="Times New Roman" w:eastAsia="Times New Roman" w:hAnsi="Times New Roman"/>
          <w:b/>
          <w:bCs/>
          <w:i/>
          <w:iCs/>
          <w:sz w:val="24"/>
          <w:szCs w:val="24"/>
        </w:rPr>
        <w:t xml:space="preserve">3.1.3 Oscillatoria</w:t>
      </w:r>
    </w:p>
    <w:p>
      <w:pPr>
        <w:spacing w:after="160" w:before="0" w:line="360"/>
        <w:ind w:firstLine="720"/>
        <w:jc w:val="both"/>
      </w:pP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showed a moderate but variably fluctuating GPI profile (Fig. 3), beginning at near-zero intensity (0.00) on Day 3 and reaching a peak of 156.14 on Day 26 before a slight decline to Day 28. The GPI curve exhibited several local maxima and minima, particularly in the first two weeks, reflecting the environmental sensitivity of this filamentous cyanobacterium to minor perturbations in aeration, light, and nutrient availability.</w:t>
      </w:r>
    </w:p>
    <w:p>
      <w:pPr>
        <w:spacing w:after="160" w:before="0" w:line="360"/>
        <w:ind w:firstLine="720"/>
        <w:jc w:val="both"/>
      </w:pPr>
      <w:r>
        <w:rPr>
          <w:rFonts w:ascii="Times New Roman" w:cs="Times New Roman" w:eastAsia="Times New Roman" w:hAnsi="Times New Roman"/>
          <w:sz w:val="24"/>
          <w:szCs w:val="24"/>
        </w:rPr>
        <w:t xml:space="preserve">Notably, the colour palettes for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on Days 1 and 14 appeared relatively muted compared to Days 21 and 28, where bright green tones became dominant. This delayed transition in colour intensity corresponds to the observed GPI data: growth was slow and inconsistent in the first half of the experiment but accelerated markedly after Day 14 once the culture was fully established. The slight GPI decline after Day 26 may indicate the onset of a stationary phase, possibly due to self-shading in a dense culture or gradual nutrient depletion, consistent with the behaviour of filamentous cyanobacteria at high biomass densities [10].</w:t>
      </w:r>
    </w:p>
    <w:p>
      <w:pPr>
        <w:pStyle w:val="Heading3"/>
        <w:spacing w:after="60" w:before="180"/>
      </w:pPr>
      <w:r>
        <w:rPr>
          <w:rFonts w:ascii="Times New Roman" w:cs="Times New Roman" w:eastAsia="Times New Roman" w:hAnsi="Times New Roman"/>
          <w:b/>
          <w:bCs/>
          <w:i/>
          <w:iCs/>
          <w:sz w:val="24"/>
          <w:szCs w:val="24"/>
        </w:rPr>
        <w:t xml:space="preserve">3.1.4 Scenedesmus sp.</w:t>
      </w:r>
    </w:p>
    <w:p>
      <w:pPr>
        <w:spacing w:after="160" w:before="0" w:line="360"/>
        <w:ind w:firstLine="720"/>
        <w:jc w:val="both"/>
      </w:pP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recorded the lowest peak GPI (134.26 on Day 27) among the four species, with a minimum of 0.00 on Day 1 (Fig. 4). The GPI curve was characterized by very slow early growth (Days 1–7, GPI below 40), a moderate acceleration from Days 8–14 (GPI rising to ~80), and a gradual plateau-like trend in the final week. This extended lag phase suggests a longer acclimation period compared to the other species, potentially attributable to the sensitivity of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to initial inoculation conditions or lower light utilization efficiency at the applied intensity [12].</w:t>
      </w:r>
    </w:p>
    <w:p>
      <w:pPr>
        <w:spacing w:after="160" w:before="0" w:line="360"/>
        <w:ind w:firstLine="720"/>
        <w:jc w:val="both"/>
      </w:pPr>
      <w:r>
        <w:rPr>
          <w:rFonts w:ascii="Times New Roman" w:cs="Times New Roman" w:eastAsia="Times New Roman" w:hAnsi="Times New Roman"/>
          <w:sz w:val="24"/>
          <w:szCs w:val="24"/>
        </w:rPr>
        <w:t xml:space="preserve">Colour palette analysis supports this interpretation: Day 1 and Day 7 palettes remain dominated by grey-blue tones with minimal green signal, while Day 21 and Day 28 palettes show clear green saturation, confirming that biomass density did increase substantially in the second half of the experiment. Despite the lower absolute GPI relative to the other species, the TSS data (+0.21%) confirms net biomass accumulation consistent with active CO₂ fixation.</w:t>
      </w:r>
    </w:p>
    <w:p>
      <w:pPr>
        <w:pStyle w:val="Heading2"/>
        <w:spacing w:after="80" w:before="240"/>
      </w:pPr>
      <w:r>
        <w:rPr>
          <w:rFonts w:ascii="Times New Roman" w:cs="Times New Roman" w:eastAsia="Times New Roman" w:hAnsi="Times New Roman"/>
          <w:b/>
          <w:bCs/>
          <w:sz w:val="24"/>
          <w:szCs w:val="24"/>
        </w:rPr>
        <w:t xml:space="preserve">3.2 Comparative GPI Analysis Across Species</w:t>
      </w:r>
    </w:p>
    <w:p>
      <w:pPr>
        <w:spacing w:after="160" w:before="0" w:line="360"/>
        <w:ind w:firstLine="720"/>
        <w:jc w:val="both"/>
      </w:pPr>
      <w:r>
        <w:rPr>
          <w:rFonts w:ascii="Times New Roman" w:cs="Times New Roman" w:eastAsia="Times New Roman" w:hAnsi="Times New Roman"/>
          <w:sz w:val="24"/>
          <w:szCs w:val="24"/>
        </w:rPr>
        <w:t xml:space="preserve">Fig. 5 presents the combined GPI curves for all four species over Days 1–28, enabling direct visual comparison of growth dynamics. Several key observations emerge from this overlay:</w:t>
      </w:r>
    </w:p>
    <w:p>
      <w:pPr>
        <w:pStyle w:val="ListParagraph"/>
        <w:numPr>
          <w:ilvl w:val="0"/>
          <w:numId w:val="2"/>
        </w:numPr>
        <w:spacing w:after="40" w:before="40"/>
      </w:pPr>
      <w:r>
        <w:rPr>
          <w:rFonts w:ascii="Times New Roman" w:cs="Times New Roman" w:eastAsia="Times New Roman" w:hAnsi="Times New Roman"/>
          <w:sz w:val="24"/>
          <w:szCs w:val="24"/>
        </w:rPr>
        <w:t xml:space="preserve">Chlorella pyrenoidosa consistently led in GPI from approximately Day 9 onward, with its trajectory diverging sharply from the other three species after Day 14 — the point at which its exponential growth phase became dominant.</w:t>
      </w:r>
    </w:p>
    <w:p>
      <w:pPr>
        <w:pStyle w:val="ListParagraph"/>
        <w:numPr>
          <w:ilvl w:val="0"/>
          <w:numId w:val="2"/>
        </w:numPr>
        <w:spacing w:after="40" w:before="40"/>
      </w:pPr>
      <w:r>
        <w:rPr>
          <w:rFonts w:ascii="Times New Roman" w:cs="Times New Roman" w:eastAsia="Times New Roman" w:hAnsi="Times New Roman"/>
          <w:sz w:val="24"/>
          <w:szCs w:val="24"/>
        </w:rPr>
        <w:t xml:space="preserve">Scytonema and Oscillatoria tracked closely together in mid-experiment GPI values (Days 10–20) before Scytonema continued to rise steadily while Oscillatoria showed fluctuation and a slight peak-then-plateau.</w:t>
      </w:r>
    </w:p>
    <w:p>
      <w:pPr>
        <w:pStyle w:val="ListParagraph"/>
        <w:numPr>
          <w:ilvl w:val="0"/>
          <w:numId w:val="2"/>
        </w:numPr>
        <w:spacing w:after="40" w:before="40"/>
      </w:pPr>
      <w:r>
        <w:rPr>
          <w:rFonts w:ascii="Times New Roman" w:cs="Times New Roman" w:eastAsia="Times New Roman" w:hAnsi="Times New Roman"/>
          <w:sz w:val="24"/>
          <w:szCs w:val="24"/>
        </w:rPr>
        <w:t xml:space="preserve">Scenedesmus sp. lagged all other species through Day 14 but showed convergence with Oscillatoria in the final week, suggesting comparable plateau-phase biomass densities.</w:t>
      </w:r>
    </w:p>
    <w:p>
      <w:pPr>
        <w:pStyle w:val="ListParagraph"/>
        <w:numPr>
          <w:ilvl w:val="0"/>
          <w:numId w:val="2"/>
        </w:numPr>
        <w:spacing w:after="40" w:before="40"/>
      </w:pPr>
      <w:r>
        <w:rPr>
          <w:rFonts w:ascii="Times New Roman" w:cs="Times New Roman" w:eastAsia="Times New Roman" w:hAnsi="Times New Roman"/>
          <w:sz w:val="24"/>
          <w:szCs w:val="24"/>
        </w:rPr>
        <w:t xml:space="preserve">The overall ranking by peak GPI — Chlorella (216.21) &gt; Scytonema (174.34) &gt; Oscillatoria (156.14) &gt; Scenedesmus (134.26) — is consistent with the TSS biomass rankings.</w:t>
      </w:r>
    </w:p>
    <w:p>
      <w:pPr>
        <w:spacing w:after="80" w:before="0"/>
      </w:pPr>
      <w:r>
        <w:t xml:space="preserve"/>
      </w:r>
    </w:p>
    <w:p>
      <w:pPr>
        <w:spacing w:after="160" w:before="0" w:line="360"/>
        <w:ind w:firstLine="720"/>
        <w:jc w:val="both"/>
      </w:pPr>
      <w:r>
        <w:rPr>
          <w:rFonts w:ascii="Times New Roman" w:cs="Times New Roman" w:eastAsia="Times New Roman" w:hAnsi="Times New Roman"/>
          <w:sz w:val="24"/>
          <w:szCs w:val="24"/>
        </w:rPr>
        <w:t xml:space="preserve">The image-based GPI method proved particularly valuable in capturing these inter-species differences in growth timing and trajectory. A single endpoint measurement (e.g., Day 28 TSS only) would have suggested similar final biomass for Scytonema and Oscillatoria, whereas the GPI time series clearly reveals that Scytonema achieved its biomass through a stable linear trajectory while Oscillatoria reached a similar level through a more variable, fluctuating path — important information for bioreactor design and operational strategy.</w:t>
      </w:r>
    </w:p>
    <w:p>
      <w:pPr>
        <w:pStyle w:val="Heading2"/>
        <w:spacing w:after="80" w:before="240"/>
      </w:pPr>
      <w:r>
        <w:rPr>
          <w:rFonts w:ascii="Times New Roman" w:cs="Times New Roman" w:eastAsia="Times New Roman" w:hAnsi="Times New Roman"/>
          <w:b/>
          <w:bCs/>
          <w:sz w:val="24"/>
          <w:szCs w:val="24"/>
        </w:rPr>
        <w:t xml:space="preserve">3.3 TSS Biomass Results</w:t>
      </w:r>
    </w:p>
    <w:p>
      <w:pPr>
        <w:spacing w:after="80" w:before="120"/>
        <w:jc w:val="center"/>
      </w:pPr>
      <w:r>
        <w:rPr>
          <w:rFonts w:ascii="Times New Roman" w:cs="Times New Roman" w:eastAsia="Times New Roman" w:hAnsi="Times New Roman"/>
          <w:b/>
          <w:bCs/>
          <w:sz w:val="22"/>
          <w:szCs w:val="22"/>
        </w:rPr>
        <w:t xml:space="preserve">Table 1. Peak GPI, day of peak, and percent TSS change for four microalgal species over 28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1760"/>
        <w:gridCol w:w="1500"/>
        <w:gridCol w:w="1500"/>
      </w:tblGrid>
      <w:tr>
        <w:trPr>
          <w:tblHeader/>
        </w:trPr>
        <w:tc>
          <w:tcPr>
            <w:tcW w:type="dxa" w:w="260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Species</w:t>
            </w:r>
          </w:p>
        </w:tc>
        <w:tc>
          <w:tcPr>
            <w:tcW w:type="dxa" w:w="200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Peak GPI</w:t>
            </w:r>
          </w:p>
        </w:tc>
        <w:tc>
          <w:tcPr>
            <w:tcW w:type="dxa" w:w="176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Day of Peak</w:t>
            </w:r>
          </w:p>
        </w:tc>
        <w:tc>
          <w:tcPr>
            <w:tcW w:type="dxa" w:w="150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Min GPI (Day)</w:t>
            </w:r>
          </w:p>
        </w:tc>
        <w:tc>
          <w:tcPr>
            <w:tcW w:type="dxa" w:w="150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 TSS Change</w:t>
            </w:r>
          </w:p>
        </w:tc>
      </w:tr>
      <w:tr>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sz w:val="22"/>
                <w:szCs w:val="22"/>
              </w:rPr>
              <w:t xml:space="preserve">Chlorella pyrenoidosa</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216.21</w:t>
            </w:r>
          </w:p>
        </w:tc>
        <w:tc>
          <w:tcPr>
            <w:tcW w:type="dxa" w:w="176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28</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12.07 (Day 2)</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+0.52%</w:t>
            </w:r>
          </w:p>
        </w:tc>
      </w:tr>
      <w:tr>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sz w:val="22"/>
                <w:szCs w:val="22"/>
              </w:rPr>
              <w:t xml:space="preserve">Scytonema</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174.34</w:t>
            </w:r>
          </w:p>
        </w:tc>
        <w:tc>
          <w:tcPr>
            <w:tcW w:type="dxa" w:w="176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28</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5.30 (Day 3)</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+0.20%</w:t>
            </w:r>
          </w:p>
        </w:tc>
      </w:tr>
      <w:tr>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sz w:val="22"/>
                <w:szCs w:val="22"/>
              </w:rPr>
              <w:t xml:space="preserve">Oscillatoria</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156.14</w:t>
            </w:r>
          </w:p>
        </w:tc>
        <w:tc>
          <w:tcPr>
            <w:tcW w:type="dxa" w:w="176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26</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0.00 (Day 3)</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+0.17%</w:t>
            </w:r>
          </w:p>
        </w:tc>
      </w:tr>
      <w:tr>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sz w:val="22"/>
                <w:szCs w:val="22"/>
              </w:rPr>
              <w:t xml:space="preserve">Scenedesmus sp.</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134.26</w:t>
            </w:r>
          </w:p>
        </w:tc>
        <w:tc>
          <w:tcPr>
            <w:tcW w:type="dxa" w:w="176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27</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0.00 (Day 1)</w:t>
            </w:r>
          </w:p>
        </w:tc>
        <w:tc>
          <w:tcPr>
            <w:tcW w:type="dxa" w:w="15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+0.21%</w:t>
            </w:r>
          </w:p>
        </w:tc>
      </w:tr>
    </w:tbl>
    <w:p>
      <w:pPr>
        <w:spacing w:after="80" w:before="0"/>
      </w:pPr>
      <w:r>
        <w:t xml:space="preserve"/>
      </w:r>
    </w:p>
    <w:p>
      <w:pPr>
        <w:spacing w:after="160" w:before="0" w:line="360"/>
        <w:ind w:firstLine="720"/>
        <w:jc w:val="both"/>
      </w:pPr>
      <w:r>
        <w:rPr>
          <w:rFonts w:ascii="Times New Roman" w:cs="Times New Roman" w:eastAsia="Times New Roman" w:hAnsi="Times New Roman"/>
          <w:sz w:val="24"/>
          <w:szCs w:val="24"/>
        </w:rPr>
        <w:t xml:space="preserve">TSS analysis confirmed the GPI rankings.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showed the highest net biomass gain (+0.52%), indicating the greatest CO₂ fixation per unit volume.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(+0.21%) ranked second in TSS despite its lower peak GPI, suggesting that its biomass cells may have higher dry weight per unit volume relative to the filamentous cyanobacteria. All four species showed positive TSS change, confirming net CO₂ fixation and biomass production across the experimental period.</w:t>
      </w:r>
    </w:p>
    <w:p>
      <w:pPr>
        <w:pStyle w:val="Heading2"/>
        <w:spacing w:after="80" w:before="240"/>
      </w:pPr>
      <w:r>
        <w:rPr>
          <w:rFonts w:ascii="Times New Roman" w:cs="Times New Roman" w:eastAsia="Times New Roman" w:hAnsi="Times New Roman"/>
          <w:b/>
          <w:bCs/>
          <w:sz w:val="24"/>
          <w:szCs w:val="24"/>
        </w:rPr>
        <w:t xml:space="preserve">3.4 Effect of Growth Conditions</w:t>
      </w:r>
    </w:p>
    <w:p>
      <w:pPr>
        <w:spacing w:after="160" w:before="0" w:line="360"/>
        <w:ind w:firstLine="720"/>
        <w:jc w:val="both"/>
      </w:pPr>
      <w:r>
        <w:rPr>
          <w:rFonts w:ascii="Times New Roman" w:cs="Times New Roman" w:eastAsia="Times New Roman" w:hAnsi="Times New Roman"/>
          <w:sz w:val="24"/>
          <w:szCs w:val="24"/>
        </w:rPr>
        <w:t xml:space="preserve">Consistent with earlier studies [11,12], artificial fluorescent illumination produced superior and more reproducible growth compared to natural or indirect sunlight across all species. The 14:10 light–dark cycle effectively replicated natural photoperiod rhythms and supported sustained photosynthetic activity. A pH of 7–8 and temperature of 25 ± 2°C were confirmed as broadly optimal. Aerated cultures consistently outperformed non-aerated controls in GPI and TSS across all species, confirming that CO₂-enriched airflow enhances photosynthetic substrate availability and prevents cell sedimentation. Both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grew well in BG-11 medium, consistent with their classification as blue-green cyanobacteria [14].</w:t>
      </w:r>
    </w:p>
    <w:p>
      <w:pPr>
        <w:pStyle w:val="Heading1"/>
        <w:spacing w:after="120" w:before="360"/>
      </w:pPr>
      <w:r>
        <w:rPr>
          <w:rFonts w:ascii="Times New Roman" w:cs="Times New Roman" w:eastAsia="Times New Roman" w:hAnsi="Times New Roman"/>
          <w:b/>
          <w:bCs/>
          <w:sz w:val="28"/>
          <w:szCs w:val="28"/>
        </w:rPr>
        <w:t xml:space="preserve">4. Prototype: Algae-Based Air Purifier</w:t>
      </w:r>
    </w:p>
    <w:p>
      <w:pPr>
        <w:pStyle w:val="Heading2"/>
        <w:spacing w:after="80" w:before="240"/>
      </w:pPr>
      <w:r>
        <w:rPr>
          <w:rFonts w:ascii="Times New Roman" w:cs="Times New Roman" w:eastAsia="Times New Roman" w:hAnsi="Times New Roman"/>
          <w:b/>
          <w:bCs/>
          <w:sz w:val="24"/>
          <w:szCs w:val="24"/>
        </w:rPr>
        <w:t xml:space="preserve">4.1 Design</w:t>
      </w:r>
    </w:p>
    <w:p>
      <w:pPr>
        <w:spacing w:after="160" w:before="0" w:line="360"/>
        <w:ind w:firstLine="720"/>
        <w:jc w:val="both"/>
      </w:pPr>
      <w:r>
        <w:rPr>
          <w:rFonts w:ascii="Times New Roman" w:cs="Times New Roman" w:eastAsia="Times New Roman" w:hAnsi="Times New Roman"/>
          <w:sz w:val="24"/>
          <w:szCs w:val="24"/>
        </w:rPr>
        <w:t xml:space="preserve">A closed-loop algae-based air purifier prototype was fabricated to demonstrate practical application of the research. The core bioreactor is a sealed transparent glass container (10–15 L) filled with BG-11 medium inoculated with a mixed microalgal culture. An electric air pump draws indoor air through an aerator into the culture, dissolving CO₂ for photosynthetic fixation. LED grow lights mounted below provide full-spectrum illumination on a 12-hour cycle. Purified air — enriched in O₂ and depleted in CO₂ — exits through a filtration mesh and outlet valve. The system integrates a physical mesh for additional particulate filtration.</w:t>
      </w:r>
    </w:p>
    <w:p>
      <w:pPr>
        <w:pStyle w:val="Heading2"/>
        <w:spacing w:after="80" w:before="240"/>
      </w:pPr>
      <w:r>
        <w:rPr>
          <w:rFonts w:ascii="Times New Roman" w:cs="Times New Roman" w:eastAsia="Times New Roman" w:hAnsi="Times New Roman"/>
          <w:b/>
          <w:bCs/>
          <w:sz w:val="24"/>
          <w:szCs w:val="24"/>
        </w:rPr>
        <w:t xml:space="preserve">4.2 Performance</w:t>
      </w:r>
    </w:p>
    <w:p>
      <w:pPr>
        <w:spacing w:after="160" w:before="0" w:line="360"/>
        <w:ind w:firstLine="720"/>
        <w:jc w:val="both"/>
      </w:pPr>
      <w:r>
        <w:rPr>
          <w:rFonts w:ascii="Times New Roman" w:cs="Times New Roman" w:eastAsia="Times New Roman" w:hAnsi="Times New Roman"/>
          <w:sz w:val="24"/>
          <w:szCs w:val="24"/>
        </w:rPr>
        <w:t xml:space="preserve">Preliminary testing over 7 days under 12-hour artificial lighting and controlled temperature demonstrated stable algal growth, consistent air circulation, and no contamination events. Table 2 summarises the functional advantages of the algae-based system over a conventional HEPA air purifier.</w:t>
      </w:r>
    </w:p>
    <w:p>
      <w:pPr>
        <w:spacing w:after="80" w:before="120"/>
        <w:jc w:val="center"/>
      </w:pPr>
      <w:r>
        <w:rPr>
          <w:rFonts w:ascii="Times New Roman" w:cs="Times New Roman" w:eastAsia="Times New Roman" w:hAnsi="Times New Roman"/>
          <w:b/>
          <w:bCs/>
          <w:sz w:val="22"/>
          <w:szCs w:val="22"/>
        </w:rPr>
        <w:t xml:space="preserve">Table 2. Functional comparison of conventional versus algae-based air purifiers.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3420"/>
        <w:gridCol w:w="3420"/>
      </w:tblGrid>
      <w:tr>
        <w:trPr>
          <w:tblHeader/>
        </w:trPr>
        <w:tc>
          <w:tcPr>
            <w:tcW w:type="dxa" w:w="252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Parameter</w:t>
            </w:r>
          </w:p>
        </w:tc>
        <w:tc>
          <w:tcPr>
            <w:tcW w:type="dxa" w:w="342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Conventional Air Purifier</w:t>
            </w:r>
          </w:p>
        </w:tc>
        <w:tc>
          <w:tcPr>
            <w:tcW w:type="dxa" w:w="3420"/>
            <w:tcBorders>
              <w:top w:val="single" w:color="AAAAAA" w:sz="1"/>
              <w:left w:val="single" w:color="AAAAAA" w:sz="1"/>
              <w:bottom w:val="single" w:color="AAAAAA" w:sz="1"/>
              <w:right w:val="single" w:color="AAAAAA" w:sz="1"/>
            </w:tcBorders>
            <w:shd w:fill="D0D0D0" w:val="clear"/>
            <w:tcMar>
              <w:top w:type="dxa" w:w="80"/>
              <w:left w:type="dxa" w:w="120"/>
              <w:bottom w:type="dxa" w:w="80"/>
              <w:right w:type="dxa" w:w="120"/>
            </w:tcMar>
          </w:tcPr>
          <w:p>
            <w:r>
              <w:rPr>
                <w:rFonts w:ascii="Times New Roman" w:cs="Times New Roman" w:eastAsia="Times New Roman" w:hAnsi="Times New Roman"/>
                <w:b/>
                <w:bCs/>
                <w:sz w:val="22"/>
                <w:szCs w:val="22"/>
              </w:rPr>
              <w:t xml:space="preserve">Algae-Based Air Purifier</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CO₂ Removal</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Not supported</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Photosynthetic uptake</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O₂ Generation</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None</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Natural O₂ release</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Filter Replacement</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Frequent (HEPA)</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Not needed (self-regenerating)</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Energy Consumption</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Medium to High</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Low (LED + pump)</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Waste</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HEPA filter disposal</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Biodegradable algal biomass</w:t>
            </w:r>
          </w:p>
        </w:tc>
      </w:tr>
      <w:tr>
        <w:tc>
          <w:tcPr>
            <w:tcW w:type="dxa" w:w="2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Aesthetic Value</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Minimal</w:t>
            </w:r>
          </w:p>
        </w:tc>
        <w:tc>
          <w:tcPr>
            <w:tcW w:type="dxa" w:w="34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Living, visually green system</w:t>
            </w:r>
          </w:p>
        </w:tc>
      </w:tr>
    </w:tbl>
    <w:p>
      <w:pPr>
        <w:spacing w:after="80" w:before="0"/>
      </w:pPr>
      <w:r>
        <w:t xml:space="preserve"/>
      </w:r>
    </w:p>
    <w:p>
      <w:pPr>
        <w:pStyle w:val="Heading1"/>
        <w:spacing w:after="120" w:before="360"/>
      </w:pPr>
      <w:r>
        <w:rPr>
          <w:rFonts w:ascii="Times New Roman" w:cs="Times New Roman" w:eastAsia="Times New Roman" w:hAnsi="Times New Roman"/>
          <w:b/>
          <w:bCs/>
          <w:sz w:val="28"/>
          <w:szCs w:val="28"/>
        </w:rPr>
        <w:t xml:space="preserve">5. Conclusion</w:t>
      </w:r>
    </w:p>
    <w:p>
      <w:pPr>
        <w:spacing w:after="160" w:before="0" w:line="360"/>
        <w:ind w:firstLine="720"/>
        <w:jc w:val="both"/>
      </w:pPr>
      <w:r>
        <w:rPr>
          <w:rFonts w:ascii="Times New Roman" w:cs="Times New Roman" w:eastAsia="Times New Roman" w:hAnsi="Times New Roman"/>
          <w:sz w:val="24"/>
          <w:szCs w:val="24"/>
        </w:rPr>
        <w:t xml:space="preserve">This study demonstrates the feasibility and comparative performance of four microalgal species for biological CO₂ sequestration under controlled conditions, with image-based green pigmentation intensity (GPI) analysis as a novel, non-destructive monitoring tool that provides daily resolution of growth dynamics. </w:t>
      </w:r>
      <w:r>
        <w:rPr>
          <w:rFonts w:ascii="Times New Roman" w:cs="Times New Roman" w:eastAsia="Times New Roman" w:hAnsi="Times New Roman"/>
          <w:i/>
          <w:iCs/>
          <w:sz w:val="24"/>
          <w:szCs w:val="24"/>
        </w:rPr>
        <w:t xml:space="preserve">Chlorella pyrenoidosa</w:t>
      </w:r>
      <w:r>
        <w:rPr>
          <w:rFonts w:ascii="Times New Roman" w:cs="Times New Roman" w:eastAsia="Times New Roman" w:hAnsi="Times New Roman"/>
          <w:sz w:val="24"/>
          <w:szCs w:val="24"/>
        </w:rPr>
        <w:t xml:space="preserve"> (NCIM 2738) emerged as the most efficient species, achieving the highest biomass accumulation (peak GPI 216.21, TSS +0.52%) through a well-defined lag–exponential–stationary growth trajectory. </w:t>
      </w:r>
      <w:r>
        <w:rPr>
          <w:rFonts w:ascii="Times New Roman" w:cs="Times New Roman" w:eastAsia="Times New Roman" w:hAnsi="Times New Roman"/>
          <w:i/>
          <w:iCs/>
          <w:sz w:val="24"/>
          <w:szCs w:val="24"/>
        </w:rPr>
        <w:t xml:space="preserve">Scytonema</w:t>
      </w:r>
      <w:r>
        <w:rPr>
          <w:rFonts w:ascii="Times New Roman" w:cs="Times New Roman" w:eastAsia="Times New Roman" w:hAnsi="Times New Roman"/>
          <w:sz w:val="24"/>
          <w:szCs w:val="24"/>
        </w:rPr>
        <w:t xml:space="preserve"> demonstrated the most stable linear growth (peak GPI 174.34), while </w:t>
      </w:r>
      <w:r>
        <w:rPr>
          <w:rFonts w:ascii="Times New Roman" w:cs="Times New Roman" w:eastAsia="Times New Roman" w:hAnsi="Times New Roman"/>
          <w:i/>
          <w:iCs/>
          <w:sz w:val="24"/>
          <w:szCs w:val="24"/>
        </w:rPr>
        <w:t xml:space="preserve">Oscillatoria</w:t>
      </w:r>
      <w:r>
        <w:rPr>
          <w:rFonts w:ascii="Times New Roman" w:cs="Times New Roman" w:eastAsia="Times New Roman" w:hAnsi="Times New Roman"/>
          <w:sz w:val="24"/>
          <w:szCs w:val="24"/>
        </w:rPr>
        <w:t xml:space="preserve"> (156.14) showed greater variability, and </w:t>
      </w:r>
      <w:r>
        <w:rPr>
          <w:rFonts w:ascii="Times New Roman" w:cs="Times New Roman" w:eastAsia="Times New Roman" w:hAnsi="Times New Roman"/>
          <w:i/>
          <w:iCs/>
          <w:sz w:val="24"/>
          <w:szCs w:val="24"/>
        </w:rPr>
        <w:t xml:space="preserve">Scenedesmus</w:t>
      </w:r>
      <w:r>
        <w:rPr>
          <w:rFonts w:ascii="Times New Roman" w:cs="Times New Roman" w:eastAsia="Times New Roman" w:hAnsi="Times New Roman"/>
          <w:sz w:val="24"/>
          <w:szCs w:val="24"/>
        </w:rPr>
        <w:t xml:space="preserve"> sp. (134.26) exhibited the longest lag phase but confirmed active CO₂ fixation by endpoint TSS.</w:t>
      </w:r>
    </w:p>
    <w:p>
      <w:pPr>
        <w:spacing w:after="160" w:before="0" w:line="360"/>
        <w:ind w:firstLine="720"/>
        <w:jc w:val="both"/>
      </w:pPr>
      <w:r>
        <w:rPr>
          <w:rFonts w:ascii="Times New Roman" w:cs="Times New Roman" w:eastAsia="Times New Roman" w:hAnsi="Times New Roman"/>
          <w:sz w:val="24"/>
          <w:szCs w:val="24"/>
        </w:rPr>
        <w:t xml:space="preserve">GPI colour palette analysis confirmed progressive chlorophyll-a accumulation in all species, with transitional shifts from grey-blue to dense green tones over the experimental period. This image-based approach provides a practical, scalable monitoring method suitable for both laboratory and field bioreactor applications.</w:t>
      </w:r>
    </w:p>
    <w:p>
      <w:pPr>
        <w:spacing w:after="160" w:before="0" w:line="360"/>
        <w:ind w:firstLine="720"/>
        <w:jc w:val="both"/>
      </w:pPr>
      <w:r>
        <w:rPr>
          <w:rFonts w:ascii="Times New Roman" w:cs="Times New Roman" w:eastAsia="Times New Roman" w:hAnsi="Times New Roman"/>
          <w:sz w:val="24"/>
          <w:szCs w:val="24"/>
        </w:rPr>
        <w:t xml:space="preserve">Key findings include: BG-11 medium supports all four tested species; optimal conditions are 20–30°C and pH 7–8; artificial fluorescent/LED illumination outperforms variable sunlight; and aeration consistently promotes growth. The algae-based air purifier prototype successfully demonstrates practical CO₂ capture in enclosed environments. Future work should focus on quantitative CO₂ flux measurement, mixed-culture optimization, smart sensor integration, scaling for larger spaces, and valorization of harvested biomass for biofuel or fertilizer applications.</w:t>
      </w:r>
    </w:p>
    <w:p>
      <w:pPr>
        <w:pStyle w:val="Heading1"/>
        <w:spacing w:after="120" w:before="360"/>
      </w:pPr>
      <w:r>
        <w:rPr>
          <w:rFonts w:ascii="Times New Roman" w:cs="Times New Roman" w:eastAsia="Times New Roman" w:hAnsi="Times New Roman"/>
          <w:b/>
          <w:bCs/>
          <w:sz w:val="28"/>
          <w:szCs w:val="28"/>
        </w:rPr>
        <w:t xml:space="preserve">Acknowledgements</w:t>
      </w:r>
    </w:p>
    <w:p>
      <w:pPr>
        <w:spacing w:after="160" w:before="0" w:line="360"/>
        <w:ind w:firstLine="720"/>
        <w:jc w:val="both"/>
      </w:pPr>
      <w:r>
        <w:rPr>
          <w:rFonts w:ascii="Times New Roman" w:cs="Times New Roman" w:eastAsia="Times New Roman" w:hAnsi="Times New Roman"/>
          <w:sz w:val="24"/>
          <w:szCs w:val="24"/>
        </w:rPr>
        <w:t xml:space="preserve">The authors acknowledge Mr. Nitin Lamhane and the Botany Research Laboratory, Bhavan’s College, Mumbai, for support with algal species identification. The National Collection of Industrial Microorganisms (NCIM), Pune, is acknowledged for supplying authenticated cultures of Chlorella pyrenoidosa and Scenedesmus sp. Project guidance by Dr. Hansa Jeswani, Department of Civil Engineering, SPCE, is gratefully acknowledged.</w:t>
      </w:r>
    </w:p>
    <w:p>
      <w:pPr>
        <w:pStyle w:val="Heading1"/>
        <w:spacing w:after="120" w:before="360"/>
      </w:pPr>
      <w:r>
        <w:rPr>
          <w:rFonts w:ascii="Times New Roman" w:cs="Times New Roman" w:eastAsia="Times New Roman" w:hAnsi="Times New Roman"/>
          <w:b/>
          <w:bCs/>
          <w:sz w:val="28"/>
          <w:szCs w:val="28"/>
        </w:rPr>
        <w:t xml:space="preserve">References</w:t>
      </w:r>
    </w:p>
    <w:p>
      <w:pPr>
        <w:spacing w:after="100" w:before="0" w:line="320"/>
        <w:ind w:left="600" w:hanging="600"/>
        <w:jc w:val="both"/>
      </w:pPr>
      <w:r>
        <w:rPr>
          <w:rFonts w:ascii="Times New Roman" w:cs="Times New Roman" w:eastAsia="Times New Roman" w:hAnsi="Times New Roman"/>
          <w:sz w:val="22"/>
          <w:szCs w:val="22"/>
        </w:rPr>
        <w:t xml:space="preserve">[1] Desai S., Patel V., Shah H. Carbon dioxide (CO₂) emission reduction from automobiles and industries using algae. Int J Res Sci Manag Lib. 2018;6(4). ISSN: 2321-2853.</w:t>
      </w:r>
    </w:p>
    <w:p>
      <w:pPr>
        <w:spacing w:after="100" w:before="0" w:line="320"/>
        <w:ind w:left="600" w:hanging="600"/>
        <w:jc w:val="both"/>
      </w:pPr>
      <w:r>
        <w:rPr>
          <w:rFonts w:ascii="Times New Roman" w:cs="Times New Roman" w:eastAsia="Times New Roman" w:hAnsi="Times New Roman"/>
          <w:sz w:val="22"/>
          <w:szCs w:val="22"/>
        </w:rPr>
        <w:t xml:space="preserve">[2] Liu Z., Ciais P., Deng Z. Near-real-time monitoring of global CO₂ emissions reveals the effects of the COVID-19 pandemic. Nat Commun. 2020;11:5172.</w:t>
      </w:r>
    </w:p>
    <w:p>
      <w:pPr>
        <w:spacing w:after="100" w:before="0" w:line="320"/>
        <w:ind w:left="600" w:hanging="600"/>
        <w:jc w:val="both"/>
      </w:pPr>
      <w:r>
        <w:rPr>
          <w:rFonts w:ascii="Times New Roman" w:cs="Times New Roman" w:eastAsia="Times New Roman" w:hAnsi="Times New Roman"/>
          <w:sz w:val="22"/>
          <w:szCs w:val="22"/>
        </w:rPr>
        <w:t xml:space="preserve">[3] NASA/GISS. Global surface temperature analysis. NASA Goddard Institute for Space Studies. https://climate.nasa.gov (Accessed: 2025).</w:t>
      </w:r>
    </w:p>
    <w:p>
      <w:pPr>
        <w:spacing w:after="100" w:before="0" w:line="320"/>
        <w:ind w:left="600" w:hanging="600"/>
        <w:jc w:val="both"/>
      </w:pPr>
      <w:r>
        <w:rPr>
          <w:rFonts w:ascii="Times New Roman" w:cs="Times New Roman" w:eastAsia="Times New Roman" w:hAnsi="Times New Roman"/>
          <w:sz w:val="22"/>
          <w:szCs w:val="22"/>
        </w:rPr>
        <w:t xml:space="preserve">[4] Lal R. Carbon sequestration. Philos Trans R Soc B. 2008;363(1492):815–830.</w:t>
      </w:r>
    </w:p>
    <w:p>
      <w:pPr>
        <w:spacing w:after="100" w:before="0" w:line="320"/>
        <w:ind w:left="600" w:hanging="600"/>
        <w:jc w:val="both"/>
      </w:pPr>
      <w:r>
        <w:rPr>
          <w:rFonts w:ascii="Times New Roman" w:cs="Times New Roman" w:eastAsia="Times New Roman" w:hAnsi="Times New Roman"/>
          <w:sz w:val="22"/>
          <w:szCs w:val="22"/>
        </w:rPr>
        <w:t xml:space="preserve">[5] Herzog H.J. Ocean sequestration of CO₂ — an overview. Proc. 4th Int. Conf. on Greenhouse Gas Control Technologies. Interlaken, Switzerland; 1998.</w:t>
      </w:r>
    </w:p>
    <w:p>
      <w:pPr>
        <w:spacing w:after="100" w:before="0" w:line="320"/>
        <w:ind w:left="600" w:hanging="600"/>
        <w:jc w:val="both"/>
      </w:pPr>
      <w:r>
        <w:rPr>
          <w:rFonts w:ascii="Times New Roman" w:cs="Times New Roman" w:eastAsia="Times New Roman" w:hAnsi="Times New Roman"/>
          <w:sz w:val="22"/>
          <w:szCs w:val="22"/>
        </w:rPr>
        <w:t xml:space="preserve">[6] Jalilian N., Najafpour G.D., Khajouei M. Macro and micro algae in pollution control and biofuel production – a review. ChemBioEng Rev. 2020;7(1):18–40. DOI: 10.1002/cben.201900014.</w:t>
      </w:r>
    </w:p>
    <w:p>
      <w:pPr>
        <w:spacing w:after="100" w:before="0" w:line="320"/>
        <w:ind w:left="600" w:hanging="600"/>
        <w:jc w:val="both"/>
      </w:pPr>
      <w:r>
        <w:rPr>
          <w:rFonts w:ascii="Times New Roman" w:cs="Times New Roman" w:eastAsia="Times New Roman" w:hAnsi="Times New Roman"/>
          <w:sz w:val="22"/>
          <w:szCs w:val="22"/>
        </w:rPr>
        <w:t xml:space="preserve">[7] Abdel-Raouf N., Al-Homaidan A.A., Ibraheem I.B.M. Agricultural importance of algae. Afr J Biotechnol. 2012;11(54):11648–11658.</w:t>
      </w:r>
    </w:p>
    <w:p>
      <w:pPr>
        <w:spacing w:after="100" w:before="0" w:line="320"/>
        <w:ind w:left="600" w:hanging="600"/>
        <w:jc w:val="both"/>
      </w:pPr>
      <w:r>
        <w:rPr>
          <w:rFonts w:ascii="Times New Roman" w:cs="Times New Roman" w:eastAsia="Times New Roman" w:hAnsi="Times New Roman"/>
          <w:sz w:val="22"/>
          <w:szCs w:val="22"/>
        </w:rPr>
        <w:t xml:space="preserve">[8] Kumar A., Dasgupta C.N., Nayak B., Lindblad P., Das D. Development of suitable photobioreactors for CO₂ sequestration using green algae and cyanobacteria. Bioresour Technol. 2011;102(8):4945–4953.</w:t>
      </w:r>
    </w:p>
    <w:p>
      <w:pPr>
        <w:spacing w:after="100" w:before="0" w:line="320"/>
        <w:ind w:left="600" w:hanging="600"/>
        <w:jc w:val="both"/>
      </w:pPr>
      <w:r>
        <w:rPr>
          <w:rFonts w:ascii="Times New Roman" w:cs="Times New Roman" w:eastAsia="Times New Roman" w:hAnsi="Times New Roman"/>
          <w:sz w:val="22"/>
          <w:szCs w:val="22"/>
        </w:rPr>
        <w:t xml:space="preserve">[9] Klinthong W., Yang Y.H., Huang C.H., Tan C.S. A review: microalgae and their applications in CO₂ capture and renewable energy. Aerosol Air Qual Res. 2015;15(2):712–742.</w:t>
      </w:r>
    </w:p>
    <w:p>
      <w:pPr>
        <w:spacing w:after="100" w:before="0" w:line="320"/>
        <w:ind w:left="600" w:hanging="600"/>
        <w:jc w:val="both"/>
      </w:pPr>
      <w:r>
        <w:rPr>
          <w:rFonts w:ascii="Times New Roman" w:cs="Times New Roman" w:eastAsia="Times New Roman" w:hAnsi="Times New Roman"/>
          <w:sz w:val="22"/>
          <w:szCs w:val="22"/>
        </w:rPr>
        <w:t xml:space="preserve">[10] Elangbam G., Devi S.S., Sahoo D. Screening of potential microalgae for the sequestration of carbon dioxide. Int J Environ Sci. 2014;5(1). ISSN: 0976-4534.</w:t>
      </w:r>
    </w:p>
    <w:p>
      <w:pPr>
        <w:spacing w:after="100" w:before="0" w:line="320"/>
        <w:ind w:left="600" w:hanging="600"/>
        <w:jc w:val="both"/>
      </w:pPr>
      <w:r>
        <w:rPr>
          <w:rFonts w:ascii="Times New Roman" w:cs="Times New Roman" w:eastAsia="Times New Roman" w:hAnsi="Times New Roman"/>
          <w:sz w:val="22"/>
          <w:szCs w:val="22"/>
        </w:rPr>
        <w:t xml:space="preserve">[11] Khalili A., Najafpour G.D., Amini G., Samkhaniyani F. Influence of nutrients and LED light intensities on biomass production of microalgae Chlorella vulgaris. Biotechnol Bioprocess Eng. 2015;20(2):284–290.</w:t>
      </w:r>
    </w:p>
    <w:p>
      <w:pPr>
        <w:spacing w:after="100" w:before="0" w:line="320"/>
        <w:ind w:left="600" w:hanging="600"/>
        <w:jc w:val="both"/>
      </w:pPr>
      <w:r>
        <w:rPr>
          <w:rFonts w:ascii="Times New Roman" w:cs="Times New Roman" w:eastAsia="Times New Roman" w:hAnsi="Times New Roman"/>
          <w:sz w:val="22"/>
          <w:szCs w:val="22"/>
        </w:rPr>
        <w:t xml:space="preserve">[12] Munir N., Imtiaz A., Sharif N., Naz S. Optimization of growth conditions of different algal strains and determination of their lipid contents. J Anim Plant Sci. 2015;25(2):546–553.</w:t>
      </w:r>
    </w:p>
    <w:p>
      <w:pPr>
        <w:spacing w:after="100" w:before="0" w:line="320"/>
        <w:ind w:left="600" w:hanging="600"/>
        <w:jc w:val="both"/>
      </w:pPr>
      <w:r>
        <w:rPr>
          <w:rFonts w:ascii="Times New Roman" w:cs="Times New Roman" w:eastAsia="Times New Roman" w:hAnsi="Times New Roman"/>
          <w:sz w:val="22"/>
          <w:szCs w:val="22"/>
        </w:rPr>
        <w:t xml:space="preserve">[13] van Vuuren S.J., Taylor J., van Ginkel C., Gerber A. Easy identification of the most common freshwater algae. A guide for the identification of microscopic algae in South African freshwaters. May 2006.</w:t>
      </w:r>
    </w:p>
    <w:p>
      <w:pPr>
        <w:spacing w:after="100" w:before="0" w:line="320"/>
        <w:ind w:left="600" w:hanging="600"/>
        <w:jc w:val="both"/>
      </w:pPr>
      <w:r>
        <w:rPr>
          <w:rFonts w:ascii="Times New Roman" w:cs="Times New Roman" w:eastAsia="Times New Roman" w:hAnsi="Times New Roman"/>
          <w:sz w:val="22"/>
          <w:szCs w:val="22"/>
        </w:rPr>
        <w:t xml:space="preserve">[14] Sudhakar K., Suresh S., Premalatha M. An overview of CO₂ mitigation using algae cultivation technology. Int J Chem Res. 2011;3(3):110–117. ISSN: 0975-3699.</w:t>
      </w:r>
    </w:p>
    <w:p>
      <w:pPr>
        <w:spacing w:after="100" w:before="0" w:line="320"/>
        <w:ind w:left="600" w:hanging="600"/>
        <w:jc w:val="both"/>
      </w:pPr>
      <w:r>
        <w:rPr>
          <w:rFonts w:ascii="Times New Roman" w:cs="Times New Roman" w:eastAsia="Times New Roman" w:hAnsi="Times New Roman"/>
          <w:sz w:val="22"/>
          <w:szCs w:val="22"/>
        </w:rPr>
        <w:t xml:space="preserve">[15] Kargupta W., Ganesh A., Mukherji S. Estimation of carbon dioxide sequestration potential of microalgae grown in a batch photobioreactor. Bioresour Technol. 2015;180:370–375.</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80" w:before="240"/>
      <w:outlineLvl w:val="1"/>
    </w:pPr>
    <w:rPr>
      <w:rFonts w:ascii="Times New Roman" w:cs="Times New Roman" w:eastAsia="Times New Roman" w:hAnsi="Times New Roman"/>
      <w:b/>
      <w:bCs/>
      <w:color w:val="000000"/>
      <w:sz w:val="24"/>
      <w:szCs w:val="24"/>
    </w:rPr>
  </w:style>
  <w:style w:type="paragraph" w:styleId="Heading3">
    <w:name w:val="Heading 3"/>
    <w:basedOn w:val="Normal"/>
    <w:next w:val="Normal"/>
    <w:qFormat/>
    <w:pPr>
      <w:spacing w:after="60" w:before="180"/>
      <w:outlineLvl w:val="2"/>
    </w:pPr>
    <w:rPr>
      <w:rFonts w:ascii="Times New Roman" w:cs="Times New Roman" w:eastAsia="Times New Roman" w:hAnsi="Times New Roman"/>
      <w:b/>
      <w:bCs/>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2026-05-26T08:56:51.012Z</dcterms:created>
  <dcterms:modified xsi:type="dcterms:W3CDTF">2026-05-26T08:56:51.012Z</dcterms:modified>
</cp:coreProperties>
</file>

<file path=docProps/custom.xml><?xml version="1.0" encoding="utf-8"?>
<Properties xmlns="http://schemas.openxmlformats.org/officeDocument/2006/custom-properties" xmlns:vt="http://schemas.openxmlformats.org/officeDocument/2006/docPropsVTypes"/>
</file>