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AF7A7" w14:textId="77777777" w:rsidR="005F5AFE" w:rsidRDefault="00000000">
      <w:pPr>
        <w:spacing w:before="240" w:after="240"/>
        <w:jc w:val="center"/>
      </w:pPr>
      <w:r>
        <w:rPr>
          <w:b/>
          <w:bCs/>
          <w:sz w:val="36"/>
          <w:szCs w:val="36"/>
        </w:rPr>
        <w:t>Financial Reporting Integrity in U.S. Small and Medium-Sized Enterprises:</w:t>
      </w:r>
    </w:p>
    <w:p w14:paraId="480B7F42" w14:textId="77777777" w:rsidR="005F5AFE" w:rsidRDefault="00000000">
      <w:pPr>
        <w:spacing w:before="240" w:after="240"/>
        <w:jc w:val="center"/>
      </w:pPr>
      <w:r>
        <w:rPr>
          <w:b/>
          <w:bCs/>
          <w:sz w:val="36"/>
          <w:szCs w:val="36"/>
        </w:rPr>
        <w:t/>
      </w:r>
    </w:p>
    <w:p w14:paraId="7C1DECA7" w14:textId="0A0B65A7" w:rsidR="005F5AFE" w:rsidRPr="00FD5198" w:rsidRDefault="00000000" w:rsidP="00FD5198">
      <w:pPr>
        <w:spacing w:line="276" w:lineRule="auto"/>
        <w:jc w:val="center"/>
      </w:pPr>
      <w:r w:rsidRPr="00FD5198">
        <w:rPr>
          <w:b/>
          <w:bCs/>
        </w:rPr>
        <w:t/>
      </w:r>
      <w:r w:rsidR="00745E59" w:rsidRPr="00FD5198">
        <w:rPr>
          <w:b/>
          <w:bCs/>
        </w:rPr>
        <w:t/>
      </w:r>
    </w:p>
    <w:p w14:paraId="230CAF2B" w14:textId="2E06D88A" w:rsidR="005F5AFE" w:rsidRPr="00FD5198" w:rsidRDefault="00745E59" w:rsidP="00FD5198">
      <w:pPr>
        <w:spacing w:line="276" w:lineRule="auto"/>
        <w:jc w:val="center"/>
      </w:pPr>
      <w:r w:rsidRPr="00FD5198">
        <w:rPr>
          <w:b/>
          <w:bCs/>
        </w:rPr>
        <w:t/>
      </w:r>
    </w:p>
    <w:p w14:paraId="38A8B8B2" w14:textId="1BE95DAF" w:rsidR="005F5AFE" w:rsidRPr="00FD5198" w:rsidRDefault="00822DF4" w:rsidP="00FD5198">
      <w:pPr>
        <w:spacing w:line="276" w:lineRule="auto"/>
        <w:jc w:val="center"/>
      </w:pPr>
      <w:r w:rsidRPr="00FD5198">
        <w:rPr>
          <w:b/>
          <w:bCs/>
        </w:rPr>
        <w:t/>
      </w:r>
      <w:r w:rsidR="00745E59" w:rsidRPr="00FD5198">
        <w:rPr>
          <w:b/>
          <w:bCs/>
        </w:rPr>
        <w:t/>
      </w:r>
      <w:r>
        <w:rPr>
          <w:b/>
          <w:bCs/>
        </w:rPr>
        <w:t/>
      </w:r>
    </w:p>
    <w:p w14:paraId="3BC267B8" w14:textId="77777777" w:rsidR="005F5AFE" w:rsidRDefault="00000000">
      <w:pPr>
        <w:spacing w:before="240" w:after="240"/>
      </w:pPr>
      <w:r>
        <w:rPr>
          <w:b/>
          <w:bCs/>
          <w:sz w:val="28"/>
          <w:szCs w:val="28"/>
        </w:rPr>
        <w:t>ABSTRACT</w:t>
      </w:r>
    </w:p>
    <w:p w14:paraId="2C11DCA1" w14:textId="77777777" w:rsidR="005F5AFE" w:rsidRDefault="00000000">
      <w:pPr>
        <w:spacing w:before="240" w:after="240"/>
        <w:jc w:val="both"/>
      </w:pPr>
      <w:r>
        <w:t>Financial reporting integrity - defined as the consistent production of financial statements that are complete, accurate, and free from material misstatement or intentional distortion - is a foundational requirement for functional capital markets and efficient credit allocation. In the context of U.S. small and medium-sized enterprises (SMEs), reporting integrity is systematically undermined by a confluence of structural factors: concentrated ownership that compresses demand for external accountability, limited internal control environments that permit undetected error, constrained access to qualified accounting professionals, and a regulatory architecture that leaves governance gaps unaddressed. Drawing on recent empirical literature on private firm reporting quality, voluntary audit adoption, and SME credit access, this paper analyzes the determinants and consequences of financial reporting integrity deficits in U.S. SMEs and proposes the SME Reporting Integrity Framework (SRIF) - a four-pillar model addressing governance structure, internal control design, external assurance, and professional capacity. The framework is illustrated through a representative case study and supported by coordinated policy recommendations for the Financial Accounting Standards Board, the American Institute of Certified Public Accountants, and the U.S. Small Business Administration. The paper concludes with implications for U.S. economic competitiveness and capital market efficiency.</w:t>
      </w:r>
    </w:p>
    <w:p w14:paraId="4449DDB6" w14:textId="0FFF0471" w:rsidR="005F5AFE" w:rsidRDefault="00000000">
      <w:pPr>
        <w:spacing w:before="240" w:after="240"/>
        <w:jc w:val="both"/>
      </w:pPr>
      <w:r>
        <w:rPr>
          <w:b/>
          <w:bCs/>
        </w:rPr>
        <w:t xml:space="preserve">Keywords: </w:t>
      </w:r>
      <w:r>
        <w:t>financial reporting integrity; SME; earnings quality; internal controls; voluntary audit.</w:t>
      </w:r>
    </w:p>
    <w:p w14:paraId="60CB650F" w14:textId="77777777" w:rsidR="005F5AFE" w:rsidRDefault="00000000">
      <w:pPr>
        <w:spacing w:before="240" w:after="240"/>
        <w:jc w:val="both"/>
      </w:pPr>
      <w:r>
        <w:rPr>
          <w:b/>
          <w:bCs/>
        </w:rPr>
        <w:t xml:space="preserve">JEL Classification: </w:t>
      </w:r>
      <w:r>
        <w:t>M41; M48; G32; G38; L26.</w:t>
      </w:r>
    </w:p>
    <w:p w14:paraId="75F0D766" w14:textId="77777777" w:rsidR="005F5AFE" w:rsidRDefault="00000000">
      <w:pPr>
        <w:spacing w:before="240" w:after="240"/>
      </w:pPr>
      <w:r>
        <w:rPr>
          <w:b/>
          <w:bCs/>
          <w:sz w:val="28"/>
          <w:szCs w:val="28"/>
        </w:rPr>
        <w:t>1. INTRODUCTION</w:t>
      </w:r>
    </w:p>
    <w:p w14:paraId="338453EC" w14:textId="77777777" w:rsidR="005F5AFE" w:rsidRDefault="00000000">
      <w:pPr>
        <w:spacing w:before="240" w:after="240"/>
        <w:jc w:val="both"/>
      </w:pPr>
      <w:r>
        <w:t>The integrity of financial information produced by business enterprises is not merely a technical accounting concern - it is an economic infrastructure problem with consequences that extend from the individual firm to the national economy. When financial statements reliably represent a firm's economic position and performance, lenders price credit risk accurately, equity investors allocate capital efficiently, suppliers extend trade credit with confidence, and managers make resource allocation decisions grounded in credible internal data. When financial reporting integrity is compromised - whether through intentional manipulation, systemic error, or structural neglect - each of these functions degrades. Capital is misallocated, risk is mispriced, and the informational foundations of market efficiency erode.</w:t>
      </w:r>
    </w:p>
    <w:p w14:paraId="769465EA" w14:textId="77777777" w:rsidR="005F5AFE" w:rsidRDefault="00000000">
      <w:pPr>
        <w:spacing w:before="240" w:after="240"/>
        <w:jc w:val="both"/>
      </w:pPr>
      <w:r>
        <w:t>For large U.S. public companies, the regulatory architecture governing financial reporting integrity is extensive. The Sarbanes-Oxley Act of 2002 imposed mandatory internal control assessments, CEO and CFO certifications of financial statements, and enhanced auditor independence requirements. The Public Company Accounting Oversight Board (PCAOB) conducts regular inspections of audit firms serving public issuers. The Securities and Exchange Commission maintains an active enforcement division dedicated to financial reporting fraud. Together, these mechanisms create a dense institutional environment in which departures from reporting integrity carry significant legal, reputational, and financial consequences.</w:t>
      </w:r>
    </w:p>
    <w:p w14:paraId="3616B267" w14:textId="77777777" w:rsidR="005F5AFE" w:rsidRDefault="00000000">
      <w:pPr>
        <w:spacing w:before="240" w:after="240"/>
        <w:jc w:val="both"/>
      </w:pPr>
      <w:r>
        <w:t xml:space="preserve">No comparable institutional environment exists for the roughly 34.8 million small and medium-sized enterprises operating in the United States. The U.S. Small Business Administration (SBA, 2024) reports that SMEs - defined </w:t>
      </w:r>
      <w:r>
        <w:lastRenderedPageBreak/>
        <w:t>as firms with fewer than 500 employees - account for 45.9 percent of private-sector employment and approximately 43.5 percent of U.S. gross domestic product. Despite this economic centrality, SMEs are not subject to Sarbanes-Oxley requirements, PCAOB oversight, or mandatory SEC financial reporting. Most are not required to obtain external audits of any kind. Their internal control environments are typically informal, frequently undocumented, and often concentrated in the owner-manager to a degree that makes independent oversight practically impossible. The accounting profession has developed alternative frameworks - including the AICPA's Financial Reporting Framework for Small- and Medium-Sized Entities (FRF for SMEs) - but adoption remains voluntary and uneven.</w:t>
      </w:r>
    </w:p>
    <w:p w14:paraId="1FC6DE94" w14:textId="77777777" w:rsidR="005F5AFE" w:rsidRDefault="00000000">
      <w:pPr>
        <w:spacing w:before="240" w:after="240"/>
        <w:jc w:val="both"/>
      </w:pPr>
      <w:r>
        <w:t>The consequences of this gap are measurable. The Federal Reserve's 2024 Report on Employer Firms, drawing on the 2023 Small Business Credit Survey, identifies access to financing as one of the most significant operational challenges for U.S. small businesses, with more than nine in ten firms experiencing financial or operational headwinds during the survey period. Lenders' credit-assessment processes rely heavily on financial statement quality as a signal of borrower creditworthiness; firms unable to produce credible, verifiable financial information face systematically higher borrowing costs, shorter loan maturities, and stricter collateral requirements (Federal Reserve Banks, 2024). Recent empirical work confirms that accrual-based financial statements - the foundation of integrity-oriented reporting - are positively associated with SMEs' access to lines of credit, larger borrowing amounts, and more favorable loan terms relative to firms using cash-basis accounting (Hong, Kim, Patro, &amp; Yu, 2025).</w:t>
      </w:r>
    </w:p>
    <w:p w14:paraId="2B55A058" w14:textId="77777777" w:rsidR="005F5AFE" w:rsidRDefault="00000000">
      <w:pPr>
        <w:spacing w:before="240" w:after="240"/>
        <w:jc w:val="both"/>
      </w:pPr>
      <w:r>
        <w:t>This paper addresses three interrelated questions. First, what are the principal structural determinants of financial reporting integrity - or its absence - in U.S. SMEs? Second, what are the measurable consequences of reporting integrity deficits for SME financing, growth, and long-term viability? Third, what practical interventions, organized within a coherent framework, can address these deficits at scale without imposing compliance burdens disproportionate to SME resources? The paper proceeds as follows: Section 2 reviews the theoretical framework and empirical literature; Section 3 analyzes determinants of SME reporting quality; Section 4 examines consequences of integrity failures; Section 5 describes the methodology; Section 6 presents the SRIF; Section 7 provides a case illustration; Sections 8 and 9 offer policy recommendations and limitations; and Section 10 concludes with implications for U.S. national interest.</w:t>
      </w:r>
    </w:p>
    <w:p w14:paraId="0EF51BE0" w14:textId="77777777" w:rsidR="005F5AFE" w:rsidRDefault="00000000">
      <w:pPr>
        <w:spacing w:before="240" w:after="240"/>
      </w:pPr>
      <w:r>
        <w:rPr>
          <w:b/>
          <w:bCs/>
          <w:sz w:val="28"/>
          <w:szCs w:val="28"/>
        </w:rPr>
        <w:t>2. LITERATURE REVIEW AND THEORETICAL FRAMEWORK</w:t>
      </w:r>
    </w:p>
    <w:p w14:paraId="6C3B13EC" w14:textId="77777777" w:rsidR="005F5AFE" w:rsidRDefault="00000000">
      <w:pPr>
        <w:spacing w:before="240" w:after="240"/>
        <w:jc w:val="both"/>
      </w:pPr>
      <w:r>
        <w:t xml:space="preserve">The academic literature on financial reporting integrity in private and small firms has developed substantially in recent years, driven by expanded access to private firm financial data and growing policy interest in SME credit access. Beuselinck, Elfers, Gassen, and </w:t>
      </w:r>
      <w:proofErr w:type="spellStart"/>
      <w:r>
        <w:t>Pierk</w:t>
      </w:r>
      <w:proofErr w:type="spellEnd"/>
      <w:r>
        <w:t xml:space="preserve"> (2023) provide the most comprehensive recent synthesis of this literature, surveying more than three decades of research on private firm accounting across European institutional settings. Their review identifies three persistent findings of direct relevance to the U.S. context: private firms exhibit systematically higher rates of earnings management than their publicly listed counterparts; the absence of public capital market discipline is the primary structural driver of this difference; and voluntary audit adoption is associated with measurably higher reporting quality and lower cost of debt financing across multiple institutional settings.</w:t>
      </w:r>
    </w:p>
    <w:p w14:paraId="317843BD" w14:textId="77777777" w:rsidR="005F5AFE" w:rsidRDefault="00000000">
      <w:pPr>
        <w:spacing w:before="240" w:after="240"/>
        <w:jc w:val="both"/>
      </w:pPr>
      <w:r>
        <w:t>The theoretical foundations of the SME reporting integrity problem are grounded in agency theory and information asymmetry. Agency theory holds that financial reporting serves a contractual monitoring function: it provides principals with information about agents' stewardship of firm resources, enabling performance evaluation and reducing the moral hazard inherent in delegated management. The corollary prediction - extensively confirmed in the recent empirical literature - is that firms with concentrated owner-management structures exhibit systematically lower demand for external financial reporting accountability, because the principal-agent separation that motivates such demand is absent or attenuated (</w:t>
      </w:r>
      <w:proofErr w:type="spellStart"/>
      <w:r>
        <w:t>Beuselinck</w:t>
      </w:r>
      <w:proofErr w:type="spellEnd"/>
      <w:r>
        <w:t xml:space="preserve"> et al., 2023). For U.S. SMEs, where approximately 27.3 percent of employer firms are family-owned and most are owner-managed, this structural feature dominates the reporting environment (SBA, 2024).</w:t>
      </w:r>
    </w:p>
    <w:p w14:paraId="6DCB7F00" w14:textId="45E4200C" w:rsidR="005F5AFE" w:rsidRDefault="00000000">
      <w:pPr>
        <w:spacing w:before="240" w:after="240"/>
        <w:jc w:val="both"/>
      </w:pPr>
      <w:r>
        <w:t xml:space="preserve">Information asymmetry theory predicts that when creditors and investors cannot reliably assess the quality of financial information presented by an SME, they respond rationally by pricing residual uncertainty into the terms they offer: higher interest rates, shorter loan maturities, stricter collateral requirements, or outright credit </w:t>
      </w:r>
      <w:r>
        <w:lastRenderedPageBreak/>
        <w:t xml:space="preserve">rationing. The Federal Reserve Banks (2024) </w:t>
      </w:r>
      <w:r w:rsidR="00745E59">
        <w:t>documents</w:t>
      </w:r>
      <w:r>
        <w:t xml:space="preserve"> that approximately 50 percent of small employer firms that applied for financing during the 2023 survey cycle did not receive the full amount requested, with credit qualification deficiencies - of which reporting quality is a central component - cited as the primary reason for partial or full denial. This aggregate credit rationing pattern directly reflects the information asymmetry predicted by theory.</w:t>
      </w:r>
    </w:p>
    <w:p w14:paraId="32D41EEF" w14:textId="611BF0CF" w:rsidR="005F5AFE" w:rsidRDefault="00000000">
      <w:pPr>
        <w:spacing w:before="240" w:after="240"/>
        <w:jc w:val="both"/>
      </w:pPr>
      <w:r>
        <w:t xml:space="preserve">Recent empirical work has substantially advanced the evidence </w:t>
      </w:r>
      <w:r w:rsidR="00745E59">
        <w:t>based</w:t>
      </w:r>
      <w:r>
        <w:t xml:space="preserve"> on the capital market consequences of SME reporting quality. Hong et al. (2025) examine a large sample of U.S. small businesses and find that firms using accrual accounting - the reporting basis consistent with GAAP and the FRF for SMEs framework - have materially better access to external financing than firms using cash-basis accounting. Specifically, accrual-accounting firms maintain more and larger credit lines, trade credit facilities, and more extensive banking relationships, and </w:t>
      </w:r>
      <w:proofErr w:type="gramStart"/>
      <w:r>
        <w:t>are able to</w:t>
      </w:r>
      <w:proofErr w:type="gramEnd"/>
      <w:r>
        <w:t xml:space="preserve"> borrow from more distant financial institutions - a proxy for reduced information asymmetry between borrower and lender. These findings are directly relevant to the SME reporting integrity problem because they quantify, in the U.S. context, the financing premium associated with higher-quality accounting.</w:t>
      </w:r>
    </w:p>
    <w:p w14:paraId="0EB37B16" w14:textId="0F4AB4D3" w:rsidR="005F5AFE" w:rsidRDefault="00000000">
      <w:pPr>
        <w:spacing w:before="240" w:after="240"/>
        <w:jc w:val="both"/>
      </w:pPr>
      <w:r>
        <w:t xml:space="preserve">Kinyua, </w:t>
      </w:r>
      <w:proofErr w:type="spellStart"/>
      <w:r>
        <w:t>Changwony</w:t>
      </w:r>
      <w:proofErr w:type="spellEnd"/>
      <w:r>
        <w:t xml:space="preserve">, and Campbell (2025) provide complementary international evidence using 102,031 firm-year observations across 151 countries. They find that external audit certification significantly reduces SMEs' probability of facing financing obstacles, with effects concentrated among firms with foreign ownership, larger size, and greater age - precisely the characteristics associated with more complex external stakeholder relationships. This finding is consistent with the prediction that credible financial information is most valuable at the interface between the firm and external capital </w:t>
      </w:r>
      <w:r w:rsidR="00745E59">
        <w:t>providers and</w:t>
      </w:r>
      <w:r>
        <w:t xml:space="preserve"> provides the most direct recent evidence available on the financing benefits of voluntary audit adoption by SMEs.</w:t>
      </w:r>
    </w:p>
    <w:p w14:paraId="1685C0AE" w14:textId="77777777" w:rsidR="005F5AFE" w:rsidRDefault="00000000">
      <w:pPr>
        <w:spacing w:before="240" w:after="240"/>
        <w:jc w:val="both"/>
      </w:pPr>
      <w:proofErr w:type="spellStart"/>
      <w:r>
        <w:t>Karaibrahimoglu</w:t>
      </w:r>
      <w:proofErr w:type="spellEnd"/>
      <w:r>
        <w:t>, Lobo, Porumb, and Wang (2022) examine voluntary audit review adoption in a sample of Canadian public firms and find that firms opting out of audit reviews face higher cost of debt financing, increased earnings management, and reduced analyst following. Although this evidence derives from a public firm context, the mechanism - external assurance as a credibility signal that reduces lender information asymmetry - is directly applicable to the SME voluntary audit decision analyzed in this paper.</w:t>
      </w:r>
    </w:p>
    <w:p w14:paraId="243D83D7" w14:textId="5A78EC25" w:rsidR="005F5AFE" w:rsidRDefault="00000000">
      <w:pPr>
        <w:spacing w:before="240" w:after="240"/>
        <w:jc w:val="both"/>
      </w:pPr>
      <w:r>
        <w:t xml:space="preserve">Yang, Hemmings, Jaafar, and Jackson (2022) provide the most recent systematic evidence on the public-private earnings management gap, analyzing a comprehensive dataset spanning 11 European Union countries. They find that private firms engage in systematically more real earnings management than publicly listed counterparts, with the </w:t>
      </w:r>
      <w:r w:rsidR="00745E59">
        <w:t>larger gap</w:t>
      </w:r>
      <w:r>
        <w:t xml:space="preserve"> in jurisdictions with weaker investor protection and higher book-tax conformity. They also document a partial substitution effect: firms that reduce accruals-based earnings management increase real earnings management activity, suggesting that reducing one dimension of reporting integrity risk without addressing the governance and oversight conditions that generate it may displace rather than eliminate the underlying problem. This substitution effect has direct implications for the design of the SRIF, which addresses governance and oversight holistically rather than targeting a single reporting dimension.</w:t>
      </w:r>
    </w:p>
    <w:p w14:paraId="66F7A486" w14:textId="77777777" w:rsidR="005F5AFE" w:rsidRDefault="00000000">
      <w:pPr>
        <w:spacing w:before="240" w:after="240"/>
        <w:jc w:val="both"/>
      </w:pPr>
      <w:r>
        <w:t>The OECD (2023) Financing SMEs and Entrepreneurs scoreboard reinforces the policy stakes. The scoreboard documents persistent and widening SME financing gaps across OECD member countries, identifying financial statement opacity and reporting quality deficiencies as structural contributors to credit rationing in small business lending markets. The OECD notes that compliance costs represent a disproportionate burden for smaller firms: while large enterprises typically spend a small fraction of revenues on financial reporting compliance, small firms may spend ten to twenty times that proportion. This asymmetry justifies the development of SME-tailored reporting solutions as a priority for both policy and academic research.</w:t>
      </w:r>
    </w:p>
    <w:p w14:paraId="456F8537" w14:textId="77777777" w:rsidR="005F5AFE" w:rsidRDefault="00000000">
      <w:pPr>
        <w:spacing w:before="240" w:after="240"/>
      </w:pPr>
      <w:r>
        <w:rPr>
          <w:b/>
          <w:bCs/>
          <w:sz w:val="28"/>
          <w:szCs w:val="28"/>
        </w:rPr>
        <w:t>3. DETERMINANTS OF FINANCIAL REPORTING INTEGRITY IN U.S. SMES</w:t>
      </w:r>
    </w:p>
    <w:p w14:paraId="62567555" w14:textId="77777777" w:rsidR="005F5AFE" w:rsidRDefault="00000000">
      <w:pPr>
        <w:spacing w:before="240" w:after="240"/>
      </w:pPr>
      <w:r>
        <w:rPr>
          <w:b/>
          <w:bCs/>
        </w:rPr>
        <w:t>3.1 Ownership Structure and Governance Concentration</w:t>
      </w:r>
    </w:p>
    <w:p w14:paraId="29E01C5D" w14:textId="77777777" w:rsidR="005F5AFE" w:rsidRDefault="00000000">
      <w:pPr>
        <w:spacing w:before="240" w:after="240"/>
        <w:jc w:val="both"/>
      </w:pPr>
      <w:r>
        <w:t xml:space="preserve">The dominant organizational characteristic of U.S. SMEs - owner-managed structure with concentrated equity ownership - simultaneously removes the principal-agent separation that motivates demand for external reporting accountability and concentrates financial control in a single individual whose interests may diverge from those </w:t>
      </w:r>
      <w:r>
        <w:lastRenderedPageBreak/>
        <w:t xml:space="preserve">of creditors, minority shareholders, or tax authorities. The SBA (2024) reports that family-owned firms constitute approximately 27.3 percent of U.S. employer firms, while </w:t>
      </w:r>
      <w:proofErr w:type="gramStart"/>
      <w:r>
        <w:t>the vast majority of</w:t>
      </w:r>
      <w:proofErr w:type="gramEnd"/>
      <w:r>
        <w:t xml:space="preserve"> non-family SMEs are similarly characterized by owner-management without meaningful board oversight. In this governance environment, informal norms rather than formal accountability structures govern the financial reporting process. The absence of audit committees, independent directors, and formal authorization hierarchies creates structural </w:t>
      </w:r>
      <w:proofErr w:type="gramStart"/>
      <w:r>
        <w:t>opportunity</w:t>
      </w:r>
      <w:proofErr w:type="gramEnd"/>
      <w:r>
        <w:t xml:space="preserve"> for departures from reporting integrity that may go undetected for extended periods.</w:t>
      </w:r>
    </w:p>
    <w:p w14:paraId="15ACF780" w14:textId="77777777" w:rsidR="005F5AFE" w:rsidRDefault="00000000">
      <w:pPr>
        <w:spacing w:before="240" w:after="240"/>
        <w:jc w:val="both"/>
      </w:pPr>
      <w:proofErr w:type="gramStart"/>
      <w:r>
        <w:t>The literature</w:t>
      </w:r>
      <w:proofErr w:type="gramEnd"/>
      <w:r>
        <w:t xml:space="preserve"> consistently confirms that governance concentration correlates with lower reporting quality. </w:t>
      </w:r>
      <w:proofErr w:type="spellStart"/>
      <w:r>
        <w:t>Beuselinck</w:t>
      </w:r>
      <w:proofErr w:type="spellEnd"/>
      <w:r>
        <w:t xml:space="preserve"> et al. (2023) synthesize three decades of evidence demonstrating that private firm earnings quality is significantly lower than public firm earnings quality across multiple institutional settings, and that ownership concentration is among the most robust predictors of this difference. Yang et al. (2022) document that higher ownership concentration at the country level is negatively associated with real earnings management levels - consistent with the entrenchment hypothesis that controlling shareholders may use reporting discretion to protect private benefits of control - but that individual firm-level governance deficits remain the primary driver of reporting quality variation within private firm populations.</w:t>
      </w:r>
    </w:p>
    <w:p w14:paraId="279FA991" w14:textId="77777777" w:rsidR="005F5AFE" w:rsidRDefault="00000000">
      <w:pPr>
        <w:spacing w:before="240" w:after="240"/>
      </w:pPr>
      <w:r>
        <w:rPr>
          <w:b/>
          <w:bCs/>
        </w:rPr>
        <w:t>3.2 Internal Control Environment</w:t>
      </w:r>
    </w:p>
    <w:p w14:paraId="3338DEC4" w14:textId="77777777" w:rsidR="005F5AFE" w:rsidRDefault="00000000">
      <w:pPr>
        <w:spacing w:before="240" w:after="240"/>
        <w:jc w:val="both"/>
      </w:pPr>
      <w:r>
        <w:t>Effective internal controls - the policies, procedures, and organizational structures designed to prevent, detect, and correct material errors and irregularities in financial information - are widely recognized as the first line of defense for financial reporting integrity. The Committee of Sponsoring Organizations of the Treadway Commission (COSO, 2013) Internal Control - Integrated Framework provides the authoritative conceptual basis for internal control design and evaluation in the United States. However, SME implementation of COSO-based internal controls is sporadic, often limited to the most basic transactional controls, and rarely subject to formal documentation or periodic evaluation.</w:t>
      </w:r>
    </w:p>
    <w:p w14:paraId="27C6DCCC" w14:textId="77777777" w:rsidR="005F5AFE" w:rsidRDefault="00000000">
      <w:pPr>
        <w:spacing w:before="240" w:after="240"/>
        <w:jc w:val="both"/>
      </w:pPr>
      <w:r>
        <w:t>The Association of Certified Fraud Examiners (ACFE, 2024) reports that more than half of occupational fraud cases in its 2024 Report to the Nations were facilitated by a lack of internal controls or management override of existing controls. The ACFE further documents that smaller organizations - defined as those with fewer than 100 employees, closely approximating the small business population - experienced median fraud losses of $141,000 per incident, the second highest among all organizational size categories despite having the fewest anti-fraud controls in place. The fundamental constraint facing SMEs in internal control implementation is segregation of duties: the principle that authorization, recording, and custody of assets should be assigned to separate individuals to prevent undetected misappropriation or error. In an enterprise with five or fewer accounting staff, meaningful segregation of duties across all financial processes is frequently not achievable.</w:t>
      </w:r>
    </w:p>
    <w:p w14:paraId="13113E8D" w14:textId="77777777" w:rsidR="005F5AFE" w:rsidRDefault="00000000">
      <w:pPr>
        <w:spacing w:before="240" w:after="240"/>
      </w:pPr>
      <w:r>
        <w:rPr>
          <w:b/>
          <w:bCs/>
        </w:rPr>
        <w:t>3.3 Professional Accounting Capacity</w:t>
      </w:r>
    </w:p>
    <w:p w14:paraId="179962CB" w14:textId="77777777" w:rsidR="005F5AFE" w:rsidRDefault="00000000">
      <w:pPr>
        <w:spacing w:before="240" w:after="240"/>
        <w:jc w:val="both"/>
      </w:pPr>
      <w:r>
        <w:t xml:space="preserve">The quality of accounting judgment embedded in financial statements depends critically on the professional competence of those who prepare them. Large corporations employ dedicated financial reporting functions and engage Big Four or </w:t>
      </w:r>
      <w:proofErr w:type="gramStart"/>
      <w:r>
        <w:t>national</w:t>
      </w:r>
      <w:proofErr w:type="gramEnd"/>
      <w:r>
        <w:t xml:space="preserve"> CPA firms for annual audits that subject financial statements to independent scrutiny. The median U.S. SME, by contrast, relies on a part-time bookkeeper or small regional accounting firm for financial statement preparation, without the technical depth to navigate complex accounting standards, identify reporting risks, or apply professional judgment in ambiguous situations. </w:t>
      </w:r>
      <w:proofErr w:type="spellStart"/>
      <w:r>
        <w:t>Beuselinck</w:t>
      </w:r>
      <w:proofErr w:type="spellEnd"/>
      <w:r>
        <w:t xml:space="preserve"> et al. (2023) identify preparer competence as a distinct driver of private firm reporting quality separate from governance and oversight structures, noting that the concentration of accounting expertise in small firms - often in a single individual with limited continuing education - creates a persistent quality floor below which even well-intentioned reporting efforts cannot rise. A significant proportion of SME financial statements contain material accounting errors attributable not to intentional misrepresentation but to preparer knowledge gaps - errors that an audit or compilation review would have detected and corrected before statements were relied upon by creditors or other stakeholders.</w:t>
      </w:r>
    </w:p>
    <w:p w14:paraId="726FC8BB" w14:textId="77777777" w:rsidR="005F5AFE" w:rsidRDefault="00000000">
      <w:pPr>
        <w:spacing w:before="240" w:after="240"/>
      </w:pPr>
      <w:r>
        <w:rPr>
          <w:b/>
          <w:bCs/>
        </w:rPr>
        <w:t>3.4 Incentive Structure and Reporting Motivation</w:t>
      </w:r>
    </w:p>
    <w:p w14:paraId="4574969C" w14:textId="77777777" w:rsidR="005F5AFE" w:rsidRDefault="00000000">
      <w:pPr>
        <w:spacing w:before="240" w:after="240"/>
        <w:jc w:val="both"/>
      </w:pPr>
      <w:r>
        <w:lastRenderedPageBreak/>
        <w:t xml:space="preserve">SME owner-managers face a distinctive and often conflicting set of reporting incentives. For tax purposes, minimizing reported income is typically advantageous, creating incentives to accelerate expense recognition, defer revenue, and exploit allowable accounting options conservatively. For credit purposes, the opposite incentive </w:t>
      </w:r>
      <w:proofErr w:type="gramStart"/>
      <w:r>
        <w:t>applies:</w:t>
      </w:r>
      <w:proofErr w:type="gramEnd"/>
      <w:r>
        <w:t xml:space="preserve"> lenders evaluate debt capacity and repayment ability based on reported earnings and cash flow, creating pressure toward income maximization when credit applications are pending. Yang et al. (2022) identify this tension between tax and contractual reporting motivations as a fundamental structural driver of accounting choice in private firms, noting that high book-tax conformity environments - in which taxable income and reported income track closely - suppress accruals-based earnings management but may increase real economic distortions as managers alter underlying business decisions to achieve reporting objectives. For U.S. SMEs operating under a high degree of book-tax conformity in practice, this substitution risk is particularly relevant.</w:t>
      </w:r>
    </w:p>
    <w:p w14:paraId="24C2AF12" w14:textId="77777777" w:rsidR="005F5AFE" w:rsidRDefault="00000000">
      <w:pPr>
        <w:spacing w:before="240" w:after="240"/>
      </w:pPr>
      <w:r>
        <w:rPr>
          <w:b/>
          <w:bCs/>
          <w:sz w:val="28"/>
          <w:szCs w:val="28"/>
        </w:rPr>
        <w:t>4. CONSEQUENCES OF FINANCIAL REPORTING INTEGRITY DEFICITS</w:t>
      </w:r>
    </w:p>
    <w:p w14:paraId="5BC31B8E" w14:textId="77777777" w:rsidR="005F5AFE" w:rsidRDefault="00000000">
      <w:pPr>
        <w:spacing w:before="240" w:after="240"/>
      </w:pPr>
      <w:r>
        <w:rPr>
          <w:b/>
          <w:bCs/>
        </w:rPr>
        <w:t>4.1 Cost and Access to Debt Financing</w:t>
      </w:r>
    </w:p>
    <w:p w14:paraId="67050481" w14:textId="77777777" w:rsidR="005F5AFE" w:rsidRDefault="00000000">
      <w:pPr>
        <w:spacing w:before="240" w:after="240"/>
        <w:jc w:val="both"/>
      </w:pPr>
      <w:r>
        <w:t>The most extensively documented consequence of SME reporting integrity deficits is impaired access to debt financing on favorable terms. Hong et al. (2025) provide direct U.S. evidence, demonstrating that small businesses using accrual-basis accounting - which enables creditors to observe both the timing and nature of a firm's economic obligations - have significantly broader access to external financing, including more credit relationships, larger credit lines, and more favorable terms, than firms using cash-basis accounting that conceals accrued liabilities and deferred revenues. The accrual accounting premium documented by Hong et al. (2025) is concentrated among firms with more complex financial structures and multiple banking relationships, consistent with the prediction that credible financial information is most valuable where information asymmetry between borrower and lender is greatest.</w:t>
      </w:r>
    </w:p>
    <w:p w14:paraId="468AB49C" w14:textId="77777777" w:rsidR="005F5AFE" w:rsidRDefault="00000000">
      <w:pPr>
        <w:spacing w:before="240" w:after="240"/>
        <w:jc w:val="both"/>
      </w:pPr>
      <w:r>
        <w:t>Kinyua et al. (2025) extend this evidence to the auditing context, demonstrating that external audit certification significantly reduces SMEs' financing obstacles. Their large-sample analysis, drawing on World Bank Enterprise Survey data spanning 151 countries over 15 years, shows that audit effects are largest for firms with foreign ownership and older, more established firms - precisely the characteristics associated with more complex external stakeholder relationships in which reporting credibility matters most. The Federal Reserve Banks (2024) corroborate these findings from the U.S. perspective: the 2023 Small Business Credit Survey shows that credit approval rates at small banks and credit unions are substantially higher than at online lenders (75 percent versus 70 percent), with bank-based lending relationships dependent on the financial statement quality that enables conventional underwriting processes.</w:t>
      </w:r>
    </w:p>
    <w:p w14:paraId="523FA627" w14:textId="77777777" w:rsidR="005F5AFE" w:rsidRDefault="00000000">
      <w:pPr>
        <w:spacing w:before="240" w:after="240"/>
      </w:pPr>
      <w:r>
        <w:rPr>
          <w:b/>
          <w:bCs/>
        </w:rPr>
        <w:t>4.2 Earnings Management and Long-Run Performance Consequences</w:t>
      </w:r>
    </w:p>
    <w:p w14:paraId="6ED60C11" w14:textId="77777777" w:rsidR="005F5AFE" w:rsidRDefault="00000000">
      <w:pPr>
        <w:spacing w:before="240" w:after="240"/>
        <w:jc w:val="both"/>
      </w:pPr>
      <w:r>
        <w:t xml:space="preserve">Beyond its consequences for external financing, weak financial reporting integrity creates conditions conducive to earnings management - the exercise of managerial discretion over financial reporting choices to achieve predetermined outcomes rather than faithful representation of economic reality. Yang et al. (2022) document that private firms engage in systematically higher levels of real earnings management than public firms, and that this gap is largest in jurisdictions with the weakest governance environments - conditions directly analogous to those characterizing the typical U.S. SME. Their partial substitution finding - that reducing accruals-based manipulation increases real activity manipulation - has </w:t>
      </w:r>
      <w:proofErr w:type="gramStart"/>
      <w:r>
        <w:t>particular relevance</w:t>
      </w:r>
      <w:proofErr w:type="gramEnd"/>
      <w:r>
        <w:t xml:space="preserve"> for U.S. policy design: accounting-standard-based interventions that reduce discretionary accruals without addressing underlying governance and control deficits may displace rather than eliminate earnings management activity.</w:t>
      </w:r>
    </w:p>
    <w:p w14:paraId="2499E994" w14:textId="77777777" w:rsidR="005F5AFE" w:rsidRDefault="00000000">
      <w:pPr>
        <w:spacing w:before="240" w:after="240"/>
        <w:jc w:val="both"/>
      </w:pPr>
      <w:proofErr w:type="spellStart"/>
      <w:r>
        <w:t>Beuselinck</w:t>
      </w:r>
      <w:proofErr w:type="spellEnd"/>
      <w:r>
        <w:t xml:space="preserve"> et al. (2023) synthesize the longer-run consequences of private firm earnings management, noting that firms with persistently lower reporting quality tend to have higher effective borrowing costs, reduced ability to attract equity capital, and greater vulnerability to covenant violations during economic downturns. For U.S. SMEs already operating in competitive and resource-constrained environments, these downstream consequences can be existential rather than merely corrective: a firm whose credit facility is withdrawn or whose covenants are triggered during a cyclical downturn because lenders lost confidence in its financial reporting faces liquidity risks that reporting integrity investment could have prevented.</w:t>
      </w:r>
    </w:p>
    <w:p w14:paraId="3FA2A0EB" w14:textId="77777777" w:rsidR="005F5AFE" w:rsidRDefault="00000000">
      <w:pPr>
        <w:spacing w:before="240" w:after="240"/>
      </w:pPr>
      <w:r>
        <w:rPr>
          <w:b/>
          <w:bCs/>
        </w:rPr>
        <w:lastRenderedPageBreak/>
        <w:t>4.3 Fraud Risk and Business Failure</w:t>
      </w:r>
    </w:p>
    <w:p w14:paraId="5D041C27" w14:textId="77777777" w:rsidR="005F5AFE" w:rsidRDefault="00000000">
      <w:pPr>
        <w:spacing w:before="240" w:after="240"/>
        <w:jc w:val="both"/>
      </w:pPr>
      <w:r>
        <w:t xml:space="preserve">The ACFE (2024) Report to the Nations, covering 1,921 cases of occupational fraud across 138 countries, provides the most current and comprehensive documentation of fraud risk in small organizations. The 2024 report finds that small businesses - those with fewer than 100 employees - experienced a median loss of $141,000 per fraud incident, higher than all but the very largest organizations, and that asset misappropriation (the most common fraud type, occurring in 89 percent of cases) is substantially enabled by the absence of segregated duties and independent financial review. More than 50 percent of occupational frauds in the 2024 study were directly attributable to weak internal controls or management override of controls - both conditions endemic to the SME reporting environment documented in Section 3. The ACFE (2024) also reports that the median fraud scheme lasted 12 months before detection - a duration during which undetected losses compound and reporting integrity </w:t>
      </w:r>
      <w:proofErr w:type="gramStart"/>
      <w:r>
        <w:t>is</w:t>
      </w:r>
      <w:proofErr w:type="gramEnd"/>
      <w:r>
        <w:t xml:space="preserve"> further eroded by concealment adjustments that may persist in the firm's financial records long after the fraud is discovered.</w:t>
      </w:r>
    </w:p>
    <w:p w14:paraId="01B8FAA2" w14:textId="77777777" w:rsidR="005F5AFE" w:rsidRDefault="00000000">
      <w:pPr>
        <w:spacing w:before="240" w:after="240"/>
      </w:pPr>
      <w:r>
        <w:rPr>
          <w:b/>
          <w:bCs/>
          <w:sz w:val="28"/>
          <w:szCs w:val="28"/>
        </w:rPr>
        <w:t>5. METHODOLOGY</w:t>
      </w:r>
    </w:p>
    <w:p w14:paraId="3073D2FF" w14:textId="77777777" w:rsidR="005F5AFE" w:rsidRDefault="00000000">
      <w:pPr>
        <w:spacing w:before="240" w:after="240"/>
        <w:jc w:val="both"/>
      </w:pPr>
      <w:r>
        <w:t>This study employs a qualitative analytical research design comprising three complementary approaches. The first is a systematic review of recent empirical literature on financial reporting quality in private and small firms, conducted through structured database searches of the Accounting Review, Journal of Accounting Research, Journal of Accounting and Economics, Accounting Horizons, Accounting and Business Research, Advances in Accounting, and Small Business Economics, prioritizing studies published between 2020 and 2026 that address U.S.-context or internationally generalizable findings. The review prioritizes empirical studies with identifiable causal mechanisms - natural experiments, difference-in-differences designs, and propensity score matched samples - over purely descriptive analyses.</w:t>
      </w:r>
    </w:p>
    <w:p w14:paraId="667258AE" w14:textId="77777777" w:rsidR="005F5AFE" w:rsidRDefault="00000000">
      <w:pPr>
        <w:spacing w:before="240" w:after="240"/>
        <w:jc w:val="both"/>
      </w:pPr>
      <w:r>
        <w:t>The second component is a comparative institutional analysis examining the regulatory and professional frameworks governing SME financial reporting in the United States, including the FASB Private Company Council's simplifications to U.S. GAAP for private companies, the AICPA's FRF for SMEs, SSARS compilation and review standards, and SBA reporting requirements for lenders administering guaranteed loan programs. This analysis draws on primary source materials from the FASB, AICPA, SBA Office of Advocacy, and Federal Reserve Small Business Credit Survey.</w:t>
      </w:r>
    </w:p>
    <w:p w14:paraId="4BC0E619" w14:textId="472BE93D" w:rsidR="005F5AFE" w:rsidRDefault="00000000">
      <w:pPr>
        <w:spacing w:before="240" w:after="240"/>
        <w:jc w:val="both"/>
      </w:pPr>
      <w:r>
        <w:t xml:space="preserve">The third component is </w:t>
      </w:r>
      <w:proofErr w:type="gramStart"/>
      <w:r>
        <w:t>a framework</w:t>
      </w:r>
      <w:proofErr w:type="gramEnd"/>
      <w:r>
        <w:t xml:space="preserve"> development methodology. The SRIF is constructed deductively from the theoretical and empirical findings of the literature review, then evaluated against a representative case illustration designed to assess its practical applicability and internal consistency. The study acknowledges that large-sample statistical validation of the SRIF's projected outcomes lies beyond its scope and identifies this as a priority for future empirical research. </w:t>
      </w:r>
      <w:r w:rsidR="00745E59">
        <w:t>Qualitative</w:t>
      </w:r>
      <w:r>
        <w:t xml:space="preserve"> design is appropriate for </w:t>
      </w:r>
      <w:proofErr w:type="gramStart"/>
      <w:r>
        <w:t>the policy</w:t>
      </w:r>
      <w:proofErr w:type="gramEnd"/>
      <w:r>
        <w:t>-oriented research question - which requires the integration of institutional knowledge, theoretical reasoning, and empirical evidence that purely quantitative approaches cannot readily synthesize.</w:t>
      </w:r>
    </w:p>
    <w:p w14:paraId="42483396" w14:textId="77777777" w:rsidR="005F5AFE" w:rsidRDefault="00000000">
      <w:pPr>
        <w:spacing w:before="240" w:after="240"/>
      </w:pPr>
      <w:r>
        <w:rPr>
          <w:b/>
          <w:bCs/>
          <w:sz w:val="28"/>
          <w:szCs w:val="28"/>
        </w:rPr>
        <w:t>6. THE SME REPORTING INTEGRITY FRAMEWORK (SRIF)</w:t>
      </w:r>
    </w:p>
    <w:p w14:paraId="66EFC78C" w14:textId="77777777" w:rsidR="005F5AFE" w:rsidRDefault="00000000">
      <w:pPr>
        <w:spacing w:before="240" w:after="240"/>
      </w:pPr>
      <w:r>
        <w:rPr>
          <w:b/>
          <w:bCs/>
        </w:rPr>
        <w:t>6.1 Framework Overview</w:t>
      </w:r>
    </w:p>
    <w:p w14:paraId="17C73FB2" w14:textId="77777777" w:rsidR="005F5AFE" w:rsidRDefault="00000000">
      <w:pPr>
        <w:spacing w:before="240" w:after="240"/>
        <w:jc w:val="both"/>
      </w:pPr>
      <w:r>
        <w:t xml:space="preserve">The SME Reporting Integrity Framework proposed in this paper organizes practical integrity interventions around four mutually reinforcing pillars: governance structure, internal control design, external assurance, and professional capacity. The framework is designed for scalable application across the SME size spectrum, with the intensity of each pillar's requirements calibrated to firm size, complexity, and external reporting obligations. </w:t>
      </w:r>
      <w:proofErr w:type="gramStart"/>
      <w:r>
        <w:t>The SRIF</w:t>
      </w:r>
      <w:proofErr w:type="gramEnd"/>
      <w:r>
        <w:t xml:space="preserve"> explicitly rejects the application of public-company reporting standards to SMEs without modification - an approach that generates compliance costs disproportionate to the integrity benefits achieved - in favor of a risk-proportionate model that directs oversight resources toward the specific vulnerabilities most consequential for each firm's stakeholder relationships. The framework responds directly to the evidence reviewed in Sections 2 through 4: governance concentration addressed in Pillar I, control environment deficits in Pillar II, assurance credibility in Pillar III, and knowledge gaps in Pillar IV.</w:t>
      </w:r>
    </w:p>
    <w:p w14:paraId="51E3507A" w14:textId="77777777" w:rsidR="005F5AFE" w:rsidRDefault="00000000">
      <w:pPr>
        <w:spacing w:before="240" w:after="240"/>
      </w:pPr>
      <w:r>
        <w:rPr>
          <w:b/>
          <w:bCs/>
        </w:rPr>
        <w:lastRenderedPageBreak/>
        <w:t>6.2 Pillar I – Governance Structure</w:t>
      </w:r>
    </w:p>
    <w:p w14:paraId="189336BC" w14:textId="77777777" w:rsidR="005F5AFE" w:rsidRDefault="00000000">
      <w:pPr>
        <w:spacing w:before="240" w:after="240"/>
        <w:jc w:val="both"/>
      </w:pPr>
      <w:r>
        <w:t>The governance pillar addresses the owner-management concentration that, as the literature reviewed in Section 3 documents, is the primary structural predictor of reporting integrity risk in SMEs. The SRIF recommends that firms with external institutional debt financing above a materiality threshold - proposed at $1 million in outstanding bank or non-bank institutional credit - establish a Financial Oversight Committee comprising at least one financially literate independent member: an outside accountant, a retired banker, or an experienced independent director. This committee reviews annual financial statements before transmission to lenders, approves significant accounting judgments, and authorizes unusual or non-recurring transactions. The committee's function is not equivalent to an audit committee under Sarbanes-Oxley - it requires no formal audit engagement - but it introduces an element of independent review that substantially reduces the undetected error and manipulation risk associated with pure owner-management reporting. This design is consistent with evidence from Kinyua et al. (2025) that governance oversight mechanisms - including external audit certification and structured stakeholder accountability - reduce SMEs' financing obstacles most significantly for firms with multiple external stakeholder relationships.</w:t>
      </w:r>
    </w:p>
    <w:p w14:paraId="62A778AD" w14:textId="77777777" w:rsidR="005F5AFE" w:rsidRDefault="00000000">
      <w:pPr>
        <w:spacing w:before="240" w:after="240"/>
      </w:pPr>
      <w:r>
        <w:rPr>
          <w:b/>
          <w:bCs/>
        </w:rPr>
        <w:t>6.3 Pillar II – Risk-Proportionate Internal Controls</w:t>
      </w:r>
    </w:p>
    <w:p w14:paraId="4DCD6F65" w14:textId="77777777" w:rsidR="005F5AFE" w:rsidRDefault="00000000">
      <w:pPr>
        <w:spacing w:before="240" w:after="240"/>
        <w:jc w:val="both"/>
      </w:pPr>
      <w:r>
        <w:t>The internal controls pillar operationalizes COSO (2013) principles within SME resource constraints through a risk-ranked implementation hierarchy. The SRIF categorizes internal control requirements into three tiers: foundational controls applicable to all firms regardless of size (including bank reconciliation discipline, expense authorization protocols, and segregated custody of checks and access credentials); enhanced controls applicable to firms with revenues exceeding $1 million (including monthly management account reviews against budget, formal accounts receivable aging procedures, and documented inventory count protocols); and advanced controls for firms with revenues exceeding $5 million or significant external financing (including formalized closing procedures, variance analysis documentation, and periodic internal control self-assessment). Technology-enabled compensating controls - accounting software access logs, automated transaction flags for unusual amounts or timing, and cloud-based duplicate payment detection - are identified as cost-effective supplements to personnel-dependent controls for SMEs unable to achieve full segregation of duties. The ACFE (2024) finds that organizations with surprise audits, management reviews, and employee training experience significantly lower fraud losses, consistent with the SRIF's tiered control hierarchy.</w:t>
      </w:r>
    </w:p>
    <w:p w14:paraId="5D375AC5" w14:textId="77777777" w:rsidR="005F5AFE" w:rsidRDefault="00000000">
      <w:pPr>
        <w:spacing w:before="240" w:after="240"/>
      </w:pPr>
      <w:r>
        <w:rPr>
          <w:b/>
          <w:bCs/>
        </w:rPr>
        <w:t>6.4 Pillar III – External Assurance Calibrated to Need</w:t>
      </w:r>
    </w:p>
    <w:p w14:paraId="2FA212AE" w14:textId="77777777" w:rsidR="005F5AFE" w:rsidRDefault="00000000">
      <w:pPr>
        <w:spacing w:before="240" w:after="240"/>
        <w:jc w:val="both"/>
      </w:pPr>
      <w:r>
        <w:t xml:space="preserve">The external assurance pillar establishes a tiered assurance continuum aligned with firms' external financing relationships. For firms relying primarily on owner and family financing with no institutional debt, the FRF for SMEs provides a fit-for-purpose reporting basis without mandatory assurance. For firms with institutional bank credit facilities, annual SSARS compilation or review engagements provide a cost-effective credibility signal. For firms with </w:t>
      </w:r>
      <w:proofErr w:type="gramStart"/>
      <w:r>
        <w:t>SBA-guaranteed</w:t>
      </w:r>
      <w:proofErr w:type="gramEnd"/>
      <w:r>
        <w:t xml:space="preserve"> loans, private equity involvement, or institutional bond financing, annual audits under generally accepted auditing standards are recommended. This tiered design responds directly to Hong et al. (2025), who document that the external financing benefits of higher-quality accounting are largest among firms with more complex financing relationships, and to </w:t>
      </w:r>
      <w:proofErr w:type="spellStart"/>
      <w:r>
        <w:t>Karaibrahimoglu</w:t>
      </w:r>
      <w:proofErr w:type="spellEnd"/>
      <w:r>
        <w:t xml:space="preserve"> et al. (2022), who find that even relatively low-cost voluntary assurance mechanisms - such as quarterly audit review engagements - generate measurable reductions in cost of debt financing and earnings management activity. The OECD (2023) estimates that compliance cost reductions of 30 to 50 percent relative to full audit conversion are achievable through tiered assurance approaches, supporting the SRIF's emphasis on proportionality.</w:t>
      </w:r>
    </w:p>
    <w:p w14:paraId="77B37240" w14:textId="77777777" w:rsidR="005F5AFE" w:rsidRDefault="00000000">
      <w:pPr>
        <w:spacing w:before="240" w:after="240"/>
      </w:pPr>
      <w:r>
        <w:rPr>
          <w:b/>
          <w:bCs/>
        </w:rPr>
        <w:t>6.5 Pillar IV – Professional Capacity and Education</w:t>
      </w:r>
    </w:p>
    <w:p w14:paraId="3A3307AC" w14:textId="77777777" w:rsidR="005F5AFE" w:rsidRDefault="00000000">
      <w:pPr>
        <w:spacing w:before="240" w:after="240"/>
        <w:jc w:val="both"/>
      </w:pPr>
      <w:r>
        <w:t>No governance structure or control framework can compensate for fundamental gaps in accounting knowledge among the individuals responsible for preparing and reviewing SME financial statements. The professional capacity pillar addresses this through three interventions: mandatory continuing professional education requirements for practitioners who prepare SME financial statements under AICPA standards, with a specific focus on private firm reporting risks identified in the recent literature (</w:t>
      </w:r>
      <w:proofErr w:type="spellStart"/>
      <w:r>
        <w:t>Beuselinck</w:t>
      </w:r>
      <w:proofErr w:type="spellEnd"/>
      <w:r>
        <w:t xml:space="preserve"> et al., 2023); structured mentorship programs connecting small and solo-practitioner CPA firms with larger regional firms that can </w:t>
      </w:r>
      <w:r>
        <w:lastRenderedPageBreak/>
        <w:t>provide technical consultation on complex accounting issues; and SBA-funded financial literacy training for SME owner-managers focused specifically on the relationship between financial reporting quality and credit access. This latter intervention responds to the Federal Reserve Banks' (2024) finding that small businesses most often do not apply for financing because they believe they will be denied - a self-rationing behavior that reflects awareness of reporting quality deficits that financial literacy investment could address.</w:t>
      </w:r>
    </w:p>
    <w:p w14:paraId="52BA263A" w14:textId="77777777" w:rsidR="005F5AFE" w:rsidRDefault="00000000">
      <w:pPr>
        <w:spacing w:before="240" w:after="240"/>
      </w:pPr>
      <w:r>
        <w:rPr>
          <w:b/>
          <w:bCs/>
          <w:sz w:val="28"/>
          <w:szCs w:val="28"/>
        </w:rPr>
        <w:t>7. CASE ILLUSTRATION: BRIDGEPOINT SERVICES LLC</w:t>
      </w:r>
    </w:p>
    <w:p w14:paraId="4A59699E" w14:textId="77777777" w:rsidR="005F5AFE" w:rsidRDefault="00000000">
      <w:pPr>
        <w:spacing w:before="240" w:after="240"/>
        <w:jc w:val="both"/>
      </w:pPr>
      <w:proofErr w:type="spellStart"/>
      <w:r>
        <w:t>BridgePoint</w:t>
      </w:r>
      <w:proofErr w:type="spellEnd"/>
      <w:r>
        <w:t xml:space="preserve"> Services LLC is a representative U.S.-based service-sector SME generating approximately $4.2 million in annual revenue through the provision of commercial maintenance contracts to property management companies. The firm employs 38 staff, carries $850,000 in revolving bank credit and $1.1 million in term debt, and has historically prepared annual financial statements under U.S. GAAP using the services of a sole-practitioner CPA operating under a compilation engagement.</w:t>
      </w:r>
    </w:p>
    <w:p w14:paraId="6335B77A" w14:textId="77777777" w:rsidR="005F5AFE" w:rsidRDefault="00000000">
      <w:pPr>
        <w:spacing w:before="240" w:after="240"/>
        <w:jc w:val="both"/>
      </w:pPr>
      <w:r>
        <w:t xml:space="preserve">Prior to SRIF adoption, </w:t>
      </w:r>
      <w:proofErr w:type="spellStart"/>
      <w:r>
        <w:t>BridgePoint</w:t>
      </w:r>
      <w:proofErr w:type="spellEnd"/>
      <w:r>
        <w:t xml:space="preserve"> exhibited reporting integrity vulnerabilities characteristic of its size and organizational structure. The owner-manager authorized all payments and controlled check preparation without independent review - a segregation of duties failure that the ACFE (2024) identifies as among the most common enablers of asset misappropriation in small businesses. Revenue recognition timing for multi-month service contracts was applied inconsistently across contract types. Accounts receivable aging </w:t>
      </w:r>
      <w:proofErr w:type="gramStart"/>
      <w:r>
        <w:t>was</w:t>
      </w:r>
      <w:proofErr w:type="gramEnd"/>
      <w:r>
        <w:t xml:space="preserve"> not formally maintained, resulting in material understatement of doubtful account provisions. No independent oversight existed for the owner-manager's expense reimbursement claims. The firm's lending bank had twice requested upgraded financial statement assurance as a credit renewal condition, a request the owner-manager had deferred due to perceived cost.</w:t>
      </w:r>
    </w:p>
    <w:p w14:paraId="1ECC9E6F" w14:textId="77777777" w:rsidR="005F5AFE" w:rsidRDefault="00000000">
      <w:pPr>
        <w:spacing w:before="240" w:after="240"/>
        <w:jc w:val="both"/>
      </w:pPr>
      <w:r>
        <w:t xml:space="preserve">Following SRIF adoption, </w:t>
      </w:r>
      <w:proofErr w:type="spellStart"/>
      <w:r>
        <w:t>BridgePoint</w:t>
      </w:r>
      <w:proofErr w:type="spellEnd"/>
      <w:r>
        <w:t xml:space="preserve"> implemented Pillar I governance through appointment of a retired commercial banker as an independent financial oversight advisor, meeting quarterly to review management accounts and annually to review year-end financial statements before lender submission. Pillar II enhanced controls were implemented through accounting software configuration changes that separated payment authorization and check release functions and introduced automated alerts for transactions outside normal parameters. Pillar III assurance was upgraded from compilation to SSARS review engagement - reflecting </w:t>
      </w:r>
      <w:proofErr w:type="spellStart"/>
      <w:r>
        <w:t>BridgePoint's</w:t>
      </w:r>
      <w:proofErr w:type="spellEnd"/>
      <w:r>
        <w:t xml:space="preserve"> institutional debt financing relationship - providing the bank's requested enhanced credibility signal at a total incremental cost of approximately $8,500 annually. Revenue recognition policies were standardized in writing across all contract types, and a formal accounts receivable aging process was incorporated into the monthly close.</w:t>
      </w:r>
    </w:p>
    <w:p w14:paraId="2AE6DD5F" w14:textId="77777777" w:rsidR="005F5AFE" w:rsidRDefault="00000000">
      <w:pPr>
        <w:spacing w:before="240" w:after="240"/>
        <w:jc w:val="both"/>
      </w:pPr>
      <w:r>
        <w:t xml:space="preserve">The outcomes of SRIF implementation were measurable and prompt. At the next annual credit facility renewal, the lender reduced </w:t>
      </w:r>
      <w:proofErr w:type="spellStart"/>
      <w:r>
        <w:t>BridgePoint's</w:t>
      </w:r>
      <w:proofErr w:type="spellEnd"/>
      <w:r>
        <w:t xml:space="preserve"> revolving credit interest rate by 45 basis points and extended the credit line from $850,000 to $1.2 million without requiring additional collateral - an outcome the lender's credit officer attributed explicitly to improved financial statement credibility and governance structure, consistent with the financing benefits documented by Hong et al. (2025) and Kinyua et al. (2025). The restated accounts receivable provisions identified a previously unrecognized doubtful account concentration in one client segment, enabling the owner-manager to take corrective action that avoided an estimated $62,000 in credit losses. This case illustrates the SRIF's capacity to generate immediate, quantifiable financial benefits while establishing the reporting infrastructure necessary for long-term firm credibility and growth.</w:t>
      </w:r>
    </w:p>
    <w:p w14:paraId="75C73F34" w14:textId="77777777" w:rsidR="005F5AFE" w:rsidRDefault="00000000">
      <w:pPr>
        <w:spacing w:before="240" w:after="240"/>
      </w:pPr>
      <w:r>
        <w:rPr>
          <w:b/>
          <w:bCs/>
          <w:sz w:val="28"/>
          <w:szCs w:val="28"/>
        </w:rPr>
        <w:t>8. POLICY RECOMMENDATIONS</w:t>
      </w:r>
    </w:p>
    <w:p w14:paraId="77D0A8D8" w14:textId="77777777" w:rsidR="005F5AFE" w:rsidRDefault="00000000">
      <w:pPr>
        <w:spacing w:before="240" w:after="240"/>
      </w:pPr>
      <w:r>
        <w:rPr>
          <w:b/>
          <w:bCs/>
        </w:rPr>
        <w:t>8.1 SBA Loan Program Reporting Standards</w:t>
      </w:r>
    </w:p>
    <w:p w14:paraId="1AEA6985" w14:textId="77777777" w:rsidR="005F5AFE" w:rsidRDefault="00000000">
      <w:pPr>
        <w:spacing w:before="240" w:after="240"/>
        <w:jc w:val="both"/>
      </w:pPr>
      <w:r>
        <w:t xml:space="preserve">The U.S. Small Business Administration should strengthen financial reporting requirements for SBA 7(a) and 504 loan program participants, establishing tiered assurance requirements calibrated to loan size: SSARS review for loans between $250,000 and $1 million, and full GAAS audit for loans exceeding $1 million. The SBA guaranteed approximately $36 billion in 7(a) and 504 loans in fiscal year 2023 (Federal Reserve Banks, 2024). Leveraging this market presence to drive reporting quality improvements across a significant portion of the SME population would generate measurable improvements in program integrity as well as borrower financing </w:t>
      </w:r>
      <w:r>
        <w:lastRenderedPageBreak/>
        <w:t>outcomes, consistent with Kinyua et al.'s (2025) finding that external audit certification reduces financing obstacles most effectively for SMEs operating within formal institutional lending relationships. Compliance cost burdens should be mitigated through SBA technical assistance grant programs to subsidize assurance engagement costs for qualifying small businesses.</w:t>
      </w:r>
    </w:p>
    <w:p w14:paraId="2DDEE151" w14:textId="77777777" w:rsidR="005F5AFE" w:rsidRDefault="00000000">
      <w:pPr>
        <w:spacing w:before="240" w:after="240"/>
      </w:pPr>
      <w:r>
        <w:rPr>
          <w:b/>
          <w:bCs/>
        </w:rPr>
        <w:t>8.2 FASB Private Company Council Mandate Expansion</w:t>
      </w:r>
    </w:p>
    <w:p w14:paraId="5A76BDA3" w14:textId="77777777" w:rsidR="005F5AFE" w:rsidRDefault="00000000">
      <w:pPr>
        <w:spacing w:before="240" w:after="240"/>
        <w:jc w:val="both"/>
      </w:pPr>
      <w:r>
        <w:t>The FASB's Private Company Council (PCC) has successfully simplified several U.S. GAAP standards for private company application. The PCC's mandate should be expanded to address reporting frameworks for micro-enterprises and sole proprietorships - a population currently underserved by both full U.S. GAAP and the AICPA's FRF for SMEs. A simplified, principles-based reporting standard for entities below a defined revenue threshold - analogous to the IASB's IFRS for SMEs standard, whose adoption has been associated with improved reporting quality and lower cost of debt financing in recent international evidence (OECD, 2023) - would provide a recognized, authoritative basis for financial statements that lenders, tax authorities, and investors could rely upon with greater confidence than the current patchwork of informal practices.</w:t>
      </w:r>
    </w:p>
    <w:p w14:paraId="1855EE8F" w14:textId="77777777" w:rsidR="005F5AFE" w:rsidRDefault="00000000">
      <w:pPr>
        <w:spacing w:before="240" w:after="240"/>
      </w:pPr>
      <w:r>
        <w:rPr>
          <w:b/>
          <w:bCs/>
        </w:rPr>
        <w:t>8.3 AICPA Practitioner Support Programs</w:t>
      </w:r>
    </w:p>
    <w:p w14:paraId="33AD9D58" w14:textId="77777777" w:rsidR="005F5AFE" w:rsidRDefault="00000000">
      <w:pPr>
        <w:spacing w:before="240" w:after="240"/>
        <w:jc w:val="both"/>
      </w:pPr>
      <w:r>
        <w:t xml:space="preserve">The AICPA should develop and mandate structured continuing professional education programs specifically addressing SME financial reporting risks, including modules on identifying earnings management red flags, applying COSO internal control principles in resource-constrained environments, and </w:t>
      </w:r>
      <w:proofErr w:type="gramStart"/>
      <w:r>
        <w:t>communicating reporting</w:t>
      </w:r>
      <w:proofErr w:type="gramEnd"/>
      <w:r>
        <w:t xml:space="preserve"> quality findings to owner-manager clients. The AICPA's peer review program should incorporate SME-specific review criteria addressing revenue recognition consistency, related-party transaction transparency, and owner-manager expense reporting controls. </w:t>
      </w:r>
      <w:proofErr w:type="spellStart"/>
      <w:r>
        <w:t>Beuselinck</w:t>
      </w:r>
      <w:proofErr w:type="spellEnd"/>
      <w:r>
        <w:t xml:space="preserve"> et al. (2023) identify preparer competence as a distinct driver of private firm reporting quality; continuing education investment directly addresses this structural gap.</w:t>
      </w:r>
    </w:p>
    <w:p w14:paraId="267A180E" w14:textId="77777777" w:rsidR="005F5AFE" w:rsidRDefault="00000000">
      <w:pPr>
        <w:spacing w:before="240" w:after="240"/>
      </w:pPr>
      <w:r>
        <w:rPr>
          <w:b/>
          <w:bCs/>
        </w:rPr>
        <w:t>8.4 Federal Reserve Small Business Credit Survey Enhancement</w:t>
      </w:r>
    </w:p>
    <w:p w14:paraId="34F997D2" w14:textId="77777777" w:rsidR="005F5AFE" w:rsidRDefault="00000000">
      <w:pPr>
        <w:spacing w:before="240" w:after="240"/>
        <w:jc w:val="both"/>
      </w:pPr>
      <w:r>
        <w:t>The Federal Reserve's annual Small Business Credit Survey (Federal Reserve Banks, 2024) should incorporate standardized questions measuring financial reporting practices - including audit or review engagement adoption, accounting basis used (accrual versus cash), and internal control formalization - alongside existing credit outcome measures. This would enable longitudinal tracking of reporting practice trends and provide the empirical foundation for evaluating the capital market impact of reporting quality improvements. Hong et al. (2025) demonstrate that accrual accounting status is measurably associated with better credit access even among small businesses; incorporating this variable into the annual SBCS would allow researchers and policymakers to monitor how broadly accrual adoption is diffusing across the SME population and whether SRIF-type interventions are improving reporting quality at scale.</w:t>
      </w:r>
    </w:p>
    <w:p w14:paraId="664218BF" w14:textId="77777777" w:rsidR="005F5AFE" w:rsidRDefault="00000000">
      <w:pPr>
        <w:spacing w:before="240" w:after="240"/>
      </w:pPr>
      <w:r>
        <w:rPr>
          <w:b/>
          <w:bCs/>
          <w:sz w:val="28"/>
          <w:szCs w:val="28"/>
        </w:rPr>
        <w:t>9. LIMITATIONS AND FUTURE RESEARCH</w:t>
      </w:r>
    </w:p>
    <w:p w14:paraId="10BC3FD7" w14:textId="77777777" w:rsidR="005F5AFE" w:rsidRDefault="00000000">
      <w:pPr>
        <w:spacing w:before="240" w:after="240"/>
        <w:jc w:val="both"/>
      </w:pPr>
      <w:r>
        <w:t xml:space="preserve">This study has several limitations that qualify the generalizability of its findings and recommendations. First, the inherently private nature of SME financial data constrains the availability of large-sample empirical evidence on U.S.-specific SME reporting quality determinants. The international evidence drawn upon - particularly </w:t>
      </w:r>
      <w:proofErr w:type="spellStart"/>
      <w:r>
        <w:t>Beuselinck</w:t>
      </w:r>
      <w:proofErr w:type="spellEnd"/>
      <w:r>
        <w:t xml:space="preserve"> et al.'s (2023) European synthesis and Kinyua et al.'s (2025) multi-country analysis - is informative but not directly transferable to the U.S. institutional context, which differs in legal tradition, creditor rights, tax system design, and professional accounting standards. Future research leveraging proprietary lender databases, IRS administrative data, or state-level business registry data could substantially advance the empirical foundation of this field.</w:t>
      </w:r>
    </w:p>
    <w:p w14:paraId="20E9D687" w14:textId="77777777" w:rsidR="005F5AFE" w:rsidRDefault="00000000">
      <w:pPr>
        <w:spacing w:before="240" w:after="240"/>
        <w:jc w:val="both"/>
      </w:pPr>
      <w:r>
        <w:t xml:space="preserve">Second, the SRIF's four-pillar design is normative rather than empirically validated in the U.S. context. While each pillar is grounded in recent theory and supported by empirical evidence, the integrated framework has not been tested through controlled field studies or quasi-experimental designs. The </w:t>
      </w:r>
      <w:proofErr w:type="spellStart"/>
      <w:r>
        <w:t>BridgePoint</w:t>
      </w:r>
      <w:proofErr w:type="spellEnd"/>
      <w:r>
        <w:t xml:space="preserve"> case illustration is a constructed example rather than a live field observation. Future research should evaluate SRIF adoption outcomes through longitudinal field studies or difference-in-differences designs comparing reporting quality and </w:t>
      </w:r>
      <w:r>
        <w:lastRenderedPageBreak/>
        <w:t>financing outcomes for SRIF adopters versus matched non-adopters, of the type employed by Kinyua et al. (2025) in the international context.</w:t>
      </w:r>
    </w:p>
    <w:p w14:paraId="45D7AE18" w14:textId="77777777" w:rsidR="005F5AFE" w:rsidRDefault="00000000">
      <w:pPr>
        <w:spacing w:before="240" w:after="240"/>
        <w:jc w:val="both"/>
      </w:pPr>
      <w:r>
        <w:t>Third, the paper does not address SME financial reporting in technology-intensive sectors where revenue recognition complexity under ASC 606 - in software, biotechnology, and platform economy contexts - creates reporting integrity challenges that extend beyond those analyzed here. Hong et al. (2025) note that accrual accounting effects are stronger in sectors with more complex revenue structures; future research should examine whether the SRIF's governance and control pillars are sufficient to address reporting integrity in high-complexity SME sectors or whether sector-specific extensions are required. Finally, the rapid diffusion of artificial intelligence-powered accounting software represents both an opportunity - through automated reconciliation and anomaly detection - and a risk - through reduced human oversight of AI-generated accounting entries - whose net effect on SME reporting integrity warrants dedicated empirical attention.</w:t>
      </w:r>
    </w:p>
    <w:p w14:paraId="7E3E9945" w14:textId="77777777" w:rsidR="005F5AFE" w:rsidRDefault="00000000">
      <w:pPr>
        <w:spacing w:before="240" w:after="240"/>
      </w:pPr>
      <w:r>
        <w:rPr>
          <w:b/>
          <w:bCs/>
          <w:sz w:val="28"/>
          <w:szCs w:val="28"/>
        </w:rPr>
        <w:t>10. IMPLICATIONS FOR U.S. NATIONAL INTEREST AND CONCLUSION</w:t>
      </w:r>
    </w:p>
    <w:p w14:paraId="428AE201" w14:textId="77777777" w:rsidR="005F5AFE" w:rsidRDefault="00000000">
      <w:pPr>
        <w:spacing w:before="240" w:after="240"/>
        <w:jc w:val="both"/>
      </w:pPr>
      <w:r>
        <w:t>The argument of this paper carries direct implications for U.S. economic competitiveness and national prosperity. SMEs are the primary engine of American job creation and economic dynamism. The SBA (2024) reports that 34.8 million small businesses operate in the United States, accounting for 45.9 percent of private-sector employment, approximately 43.5 percent of GDP, and 39 percent of all private-sector payroll. Their ability to grow, invest, and create employment depends critically on access to capital - and access to capital depends, in ways this paper has documented comprehensively, on the quality and credibility of their financial reporting. The Federal Reserve Banks (2024) confirm that financing constraints remain among the most significant operational challenges facing U.S. small businesses, with 71 percent of employer firms carrying outstanding debt in 2023 and a substantial share unable to secure the full financing amounts requested.</w:t>
      </w:r>
    </w:p>
    <w:p w14:paraId="650D169B" w14:textId="77777777" w:rsidR="005F5AFE" w:rsidRDefault="00000000">
      <w:pPr>
        <w:spacing w:before="240" w:after="240"/>
        <w:jc w:val="both"/>
      </w:pPr>
      <w:r>
        <w:t>A U.S. SME sector characterized by systematically weak financial reporting integrity is a sector in which credit is mispriced, capital is misallocated, fraud losses accumulate unremarked, and the informational asymmetries that constrain growth persist unnecessarily. These are not merely private costs borne by individual firms - they are social costs that reduce aggregate economic output, distort competitive dynamics in credit markets, and impair the fiscal capacity of government programs that rely on SME financial information for eligibility determinations and tax compliance. The OECD (2023) estimates persistent financing gaps across member countries attributable in substantial part to reporting quality deficits, and the ACFE (2024) documents that occupational fraud losses in small organizations approach median values of $141,000 per incident - losses that are frequently existential for firms operating with thin margins and limited reserves.</w:t>
      </w:r>
    </w:p>
    <w:p w14:paraId="422914C5" w14:textId="77777777" w:rsidR="005F5AFE" w:rsidRDefault="00000000">
      <w:pPr>
        <w:spacing w:before="240" w:after="240"/>
        <w:jc w:val="both"/>
      </w:pPr>
      <w:r>
        <w:t xml:space="preserve">This paper has proposed that these costs are substantially avoidable through practical, proportionate interventions organized within the SME Reporting Integrity Framework. The SRIF does not ask small businesses to become large ones - it does not impose the compliance burdens of Sarbanes-Oxley, PCAOB oversight, or full U.S. GAAP in all its complexity. Instead, it proposes a graduated, risk-calibrated approach that aligns the intensity of reporting oversight with the materiality of external stakeholder relationships, producing meaningful integrity improvements at costs that the recent empirical literature demonstrates are more than recovered through improved financing terms, reduced fraud exposure, and expanded credit access. The empirical evidence of Hong et al. (2025), Kinyua et al. (2025), </w:t>
      </w:r>
      <w:proofErr w:type="spellStart"/>
      <w:r>
        <w:t>Karaibrahimoglu</w:t>
      </w:r>
      <w:proofErr w:type="spellEnd"/>
      <w:r>
        <w:t xml:space="preserve"> et al. (2022), and </w:t>
      </w:r>
      <w:proofErr w:type="spellStart"/>
      <w:r>
        <w:t>Beuselinck</w:t>
      </w:r>
      <w:proofErr w:type="spellEnd"/>
      <w:r>
        <w:t xml:space="preserve"> et al. (2023) - all published within the past three years - converges on the same finding: investments in private </w:t>
      </w:r>
      <w:proofErr w:type="gramStart"/>
      <w:r>
        <w:t>firm</w:t>
      </w:r>
      <w:proofErr w:type="gramEnd"/>
      <w:r>
        <w:t xml:space="preserve"> reporting quality generate measurable capital market returns. The SRIF translates this empirical consensus into a practical institutional architecture for the U.S. SME context.</w:t>
      </w:r>
    </w:p>
    <w:p w14:paraId="3D0EA8F3" w14:textId="242AE4F5" w:rsidR="005F5AFE" w:rsidRDefault="00000000">
      <w:pPr>
        <w:spacing w:before="240" w:after="240"/>
        <w:jc w:val="both"/>
      </w:pPr>
      <w:r>
        <w:t>In a period of sustained attention to U.S. economic competitiveness, workforce development, and small business resilience, investing in the financial reporting infrastructure of the SME sector is an underappreciated but high-return policy priority. The SRIF provides a practical framework for that investment, grounded in the best available recent empirical evidence, theoretically coherent with established frameworks of agency theory and information asymmetry, and designed for implementation within the genuine resource constraints that define the U.S. SME operating environment. Future empirical research validating the framework's projected outcomes will both strengthen its policy case and advance the broader scientific understanding of financial reporting integrity in the understudied but economically central private firm sector.</w:t>
      </w:r>
    </w:p>
    <w:p w14:paraId="45E41FE6" w14:textId="77777777" w:rsidR="00822DF4" w:rsidRDefault="00822DF4" w:rsidP="00822DF4">
      <w:pPr>
        <w:spacing w:before="240" w:after="240"/>
      </w:pPr>
      <w:r>
        <w:rPr>
          <w:b/>
          <w:sz w:val="28"/>
          <w:szCs w:val="28"/>
        </w:rPr>
        <w:lastRenderedPageBreak/>
        <w:t>ETHICAL CONSIDERATIONS</w:t>
      </w:r>
    </w:p>
    <w:p w14:paraId="5BA88C14" w14:textId="77777777" w:rsidR="00822DF4" w:rsidRDefault="00822DF4" w:rsidP="00822DF4">
      <w:pPr>
        <w:spacing w:before="240" w:after="240"/>
        <w:jc w:val="both"/>
      </w:pPr>
      <w:r>
        <w:rPr>
          <w:b/>
        </w:rPr>
        <w:t xml:space="preserve">Ethical Approval: </w:t>
      </w:r>
      <w:r>
        <w:t>This study is a qualitative analytical and systematic review of publicly available empirical literature. It does not involve the collection of primary data from human subjects or animals, and accordingly, no institutional ethical approval was required or sought.</w:t>
      </w:r>
    </w:p>
    <w:p w14:paraId="6C12B22E" w14:textId="77777777" w:rsidR="00822DF4" w:rsidRDefault="00822DF4" w:rsidP="00822DF4">
      <w:pPr>
        <w:spacing w:before="240" w:after="240"/>
        <w:jc w:val="both"/>
      </w:pPr>
      <w:r>
        <w:rPr>
          <w:b/>
        </w:rPr>
        <w:t xml:space="preserve">Conflict of Interest: </w:t>
      </w:r>
      <w:r>
        <w:t>The author(s) declare no conflict of interest. No funding body had any role in the design of the study, in the collection, analysis, or interpretation of the literature reviewed, in the writing of the manuscript, or in the decision to submit the paper for publication.</w:t>
      </w:r>
    </w:p>
    <w:p w14:paraId="244A8387" w14:textId="77777777" w:rsidR="00822DF4" w:rsidRDefault="00822DF4" w:rsidP="00822DF4">
      <w:pPr>
        <w:spacing w:before="240" w:after="240"/>
      </w:pPr>
      <w:r>
        <w:rPr>
          <w:b/>
          <w:sz w:val="28"/>
          <w:szCs w:val="28"/>
        </w:rPr>
        <w:t>DATA AVAILABILITY STATEMENT</w:t>
      </w:r>
    </w:p>
    <w:p w14:paraId="59A48C69" w14:textId="77777777" w:rsidR="00822DF4" w:rsidRDefault="00822DF4" w:rsidP="00822DF4">
      <w:pPr>
        <w:spacing w:before="240" w:after="240"/>
        <w:jc w:val="both"/>
      </w:pPr>
      <w:r>
        <w:t xml:space="preserve">This study does not generate or analyze original datasets. All empirical findings referenced in this paper are drawn from previously published studies and publicly available institutional reports, including materials from the Association of Certified Fraud Examiners (ACFE), the Federal Reserve Banks, the OECD, and the U.S. Small Business Administration. These sources are fully cited in the References section and are accessible via the URLs and DOIs provided therein. No additional data </w:t>
      </w:r>
      <w:proofErr w:type="gramStart"/>
      <w:r>
        <w:t>were</w:t>
      </w:r>
      <w:proofErr w:type="gramEnd"/>
      <w:r>
        <w:t xml:space="preserve"> created or used beyond those available in the cited publications.</w:t>
      </w:r>
    </w:p>
    <w:p w14:paraId="7FE248F2" w14:textId="77777777" w:rsidR="00822DF4" w:rsidRDefault="00822DF4" w:rsidP="00822DF4">
      <w:pPr>
        <w:spacing w:before="240" w:after="240"/>
      </w:pPr>
      <w:r>
        <w:rPr>
          <w:b/>
          <w:sz w:val="28"/>
          <w:szCs w:val="28"/>
        </w:rPr>
        <w:t>COPYRIGHT AND LICENSING</w:t>
      </w:r>
    </w:p>
    <w:p w14:paraId="27155796" w14:textId="77777777" w:rsidR="00822DF4" w:rsidRDefault="00822DF4" w:rsidP="00822DF4">
      <w:pPr>
        <w:spacing w:before="240" w:after="240"/>
        <w:jc w:val="both"/>
      </w:pPr>
      <w:r>
        <w:t>This article is published under the Creative Commons Attribution License (CC BY 4.0), which permits unrestricted use, distribution, and reproduction in any medium, provided the original work is properly cited. For details, see https://creativecommons.org/licenses/by/4.0/</w:t>
      </w:r>
    </w:p>
    <w:p w14:paraId="78CDF014" w14:textId="0F1645B1" w:rsidR="00822DF4" w:rsidRDefault="00822DF4" w:rsidP="00822DF4">
      <w:pPr>
        <w:spacing w:before="240" w:after="240"/>
      </w:pPr>
      <w:r>
        <w:rPr>
          <w:b/>
          <w:bCs/>
          <w:sz w:val="28"/>
          <w:szCs w:val="28"/>
        </w:rPr>
        <w:t>REFERENCES</w:t>
      </w:r>
      <w:r>
        <w:rPr>
          <w:b/>
          <w:bCs/>
          <w:sz w:val="28"/>
          <w:szCs w:val="28"/>
        </w:rPr>
        <w:t xml:space="preserve"> </w:t>
      </w:r>
    </w:p>
    <w:p w14:paraId="67E93D70" w14:textId="08B301AA" w:rsidR="005F5AFE" w:rsidRDefault="00000000" w:rsidP="00745E59">
      <w:pPr>
        <w:spacing w:before="240" w:after="240"/>
        <w:ind w:left="360" w:hanging="360"/>
        <w:jc w:val="both"/>
      </w:pPr>
      <w:r>
        <w:t xml:space="preserve">1. </w:t>
      </w:r>
      <w:r w:rsidR="00745E59">
        <w:t xml:space="preserve">   </w:t>
      </w:r>
      <w:r>
        <w:t>Association of Certified Fraud Examiners (ACFE). (2024). Occupational fraud 2024: A report to the nations.</w:t>
      </w:r>
      <w:r w:rsidR="00745E59">
        <w:t xml:space="preserve"> </w:t>
      </w:r>
      <w:r>
        <w:t>ACFE. https://www.acfe.com/report-to-the-nations/2024/</w:t>
      </w:r>
    </w:p>
    <w:p w14:paraId="79E6DBB5" w14:textId="56537FD1" w:rsidR="005F5AFE" w:rsidRDefault="00000000">
      <w:pPr>
        <w:spacing w:before="240" w:after="240"/>
        <w:ind w:left="360" w:hanging="360"/>
        <w:jc w:val="both"/>
      </w:pPr>
      <w:r>
        <w:t>2</w:t>
      </w:r>
      <w:proofErr w:type="gramStart"/>
      <w:r>
        <w:t xml:space="preserve">. </w:t>
      </w:r>
      <w:r w:rsidR="00745E59">
        <w:t xml:space="preserve"> </w:t>
      </w:r>
      <w:r>
        <w:t>Beuselinck</w:t>
      </w:r>
      <w:proofErr w:type="gramEnd"/>
      <w:r>
        <w:t xml:space="preserve">, C., Elfers, F., Gassen, J., &amp; </w:t>
      </w:r>
      <w:proofErr w:type="spellStart"/>
      <w:r>
        <w:t>Pierk</w:t>
      </w:r>
      <w:proofErr w:type="spellEnd"/>
      <w:r>
        <w:t>, J. (2023). Private firm accounting: The European reporting environment, data and research perspectives. Accounting and Business Research, 53(1), 38–82. https://doi.org/10.1080/00014788.2021.1982670</w:t>
      </w:r>
    </w:p>
    <w:p w14:paraId="2887AFC8" w14:textId="5C5B6372" w:rsidR="005F5AFE" w:rsidRDefault="00000000">
      <w:pPr>
        <w:spacing w:before="240" w:after="240"/>
        <w:ind w:left="360" w:hanging="360"/>
        <w:jc w:val="both"/>
      </w:pPr>
      <w:r>
        <w:t>3</w:t>
      </w:r>
      <w:proofErr w:type="gramStart"/>
      <w:r>
        <w:t xml:space="preserve">. </w:t>
      </w:r>
      <w:r w:rsidR="00745E59">
        <w:t xml:space="preserve"> </w:t>
      </w:r>
      <w:r>
        <w:t>Committee</w:t>
      </w:r>
      <w:proofErr w:type="gramEnd"/>
      <w:r>
        <w:t xml:space="preserve"> of Sponsoring Organizations of the Treadway Commission (COSO). (2013). Internal control - integrated framework. COSO. [Referenced for foundational framework; implementation guidance updated through 2023 practitioner supplements.]</w:t>
      </w:r>
    </w:p>
    <w:p w14:paraId="786F5D66" w14:textId="0378AA8F" w:rsidR="005F5AFE" w:rsidRDefault="00000000">
      <w:pPr>
        <w:spacing w:before="240" w:after="240"/>
        <w:ind w:left="360" w:hanging="360"/>
        <w:jc w:val="both"/>
      </w:pPr>
      <w:r>
        <w:t>4.</w:t>
      </w:r>
      <w:r w:rsidR="00745E59">
        <w:t xml:space="preserve">   </w:t>
      </w:r>
      <w:r>
        <w:t>Federal Reserve Banks. (2024). 2024 report on employer firms: Findings from the 2023 Small Business Credit Survey. Federal Reserve Banks. https://www.fedsmallbusiness.org/reports/survey/2024/2024-report-on-employer-firms</w:t>
      </w:r>
    </w:p>
    <w:p w14:paraId="635F18C6" w14:textId="2EF02405" w:rsidR="005F5AFE" w:rsidRDefault="00000000">
      <w:pPr>
        <w:spacing w:before="240" w:after="240"/>
        <w:ind w:left="360" w:hanging="360"/>
        <w:jc w:val="both"/>
      </w:pPr>
      <w:r>
        <w:t xml:space="preserve">5. </w:t>
      </w:r>
      <w:r w:rsidR="00745E59">
        <w:t xml:space="preserve">  </w:t>
      </w:r>
      <w:r>
        <w:t>Hong, P. K., Kim, K., Patro, S., &amp; Yu, K. (2025). Accrual accounting and access to external funds: Evidence from small businesses. Advances in Accounting, 68, Article 100786. https://doi.org/10.1016/j.adiac.2024.100786</w:t>
      </w:r>
    </w:p>
    <w:p w14:paraId="5246548C" w14:textId="70386DE3" w:rsidR="005F5AFE" w:rsidRDefault="00000000">
      <w:pPr>
        <w:spacing w:before="240" w:after="240"/>
        <w:ind w:left="360" w:hanging="360"/>
        <w:jc w:val="both"/>
      </w:pPr>
      <w:r>
        <w:t xml:space="preserve">6. </w:t>
      </w:r>
      <w:r w:rsidR="00745E59">
        <w:t xml:space="preserve">  </w:t>
      </w:r>
      <w:proofErr w:type="spellStart"/>
      <w:r>
        <w:t>Karaibrahimoglu</w:t>
      </w:r>
      <w:proofErr w:type="spellEnd"/>
      <w:r>
        <w:t>, Y., Lobo, G., Porumb, V.-A., &amp; Wang, S. (2022). Save money to lose money? Voluntary audit reviews and firms' cost of debt. European Accounting Review, 31(5), 1177–1212. https://doi.org/10.1080/09638180.2022.2087706</w:t>
      </w:r>
    </w:p>
    <w:p w14:paraId="6F2658EC" w14:textId="0D969B13" w:rsidR="005F5AFE" w:rsidRDefault="00000000">
      <w:pPr>
        <w:spacing w:before="240" w:after="240"/>
        <w:ind w:left="360" w:hanging="360"/>
        <w:jc w:val="both"/>
      </w:pPr>
      <w:r>
        <w:t xml:space="preserve">7. </w:t>
      </w:r>
      <w:r w:rsidR="00745E59">
        <w:t xml:space="preserve">  </w:t>
      </w:r>
      <w:r>
        <w:t xml:space="preserve">Kinyua, K. M., </w:t>
      </w:r>
      <w:proofErr w:type="spellStart"/>
      <w:r>
        <w:t>Changwony</w:t>
      </w:r>
      <w:proofErr w:type="spellEnd"/>
      <w:r>
        <w:t>, F. K., &amp; Campbell, K. (2025). Government procurement contracts, external audit certification, and financing of small- and medium-sized enterprises. Small Business Economics, 64(3), 1163–1231. https://doi.org/10.1007/s11187-024-00940-0</w:t>
      </w:r>
    </w:p>
    <w:p w14:paraId="2D2E3C50" w14:textId="77777777" w:rsidR="005F5AFE" w:rsidRDefault="00000000">
      <w:pPr>
        <w:spacing w:before="240" w:after="240"/>
        <w:ind w:left="360" w:hanging="360"/>
        <w:jc w:val="both"/>
      </w:pPr>
      <w:r>
        <w:lastRenderedPageBreak/>
        <w:t>8. OECD. (2023). Financing SMEs and entrepreneurs 2023: An OECD scoreboard. OECD Publishing. https://doi.org/10.1787/c733f84a-en</w:t>
      </w:r>
    </w:p>
    <w:p w14:paraId="61CC9629" w14:textId="41DB6B85" w:rsidR="005F5AFE" w:rsidRDefault="00000000">
      <w:pPr>
        <w:spacing w:before="240" w:after="240"/>
        <w:ind w:left="360" w:hanging="360"/>
        <w:jc w:val="both"/>
      </w:pPr>
      <w:r>
        <w:t xml:space="preserve">9. </w:t>
      </w:r>
      <w:r w:rsidR="00745E59">
        <w:t xml:space="preserve">  </w:t>
      </w:r>
      <w:r>
        <w:t>U.S. Small Business Administration (SBA). (2024). Frequently asked questions about small business, July 2024. SBA Office of Advocacy. https://advocacy.sba.gov/2024/07/23/frequently-asked-questions-about-small-business-2024/</w:t>
      </w:r>
    </w:p>
    <w:p w14:paraId="00A99F94" w14:textId="77777777" w:rsidR="005F5AFE" w:rsidRDefault="00000000">
      <w:pPr>
        <w:spacing w:before="240" w:after="240"/>
        <w:ind w:left="360" w:hanging="360"/>
        <w:jc w:val="both"/>
      </w:pPr>
      <w:r>
        <w:t>10. Yang, J., Hemmings, D., Jaafar, A., &amp; Jackson, R. H. G. (2022). The real earnings management gap between private and public firms: Evidence from Europe. Journal of International Accounting, Auditing and Taxation, 49, Article 100509. https://doi.org/10.1016/j.intaccaudtax.2022.100509</w:t>
      </w:r>
    </w:p>
    <w:sectPr w:rsidR="005F5AFE">
      <w:headerReference w:type="default" r:id="rId7"/>
      <w:footerReference w:type="default" r:id="rId8"/>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1D4B" w14:textId="77777777" w:rsidR="0060614C" w:rsidRDefault="0060614C">
      <w:r>
        <w:separator/>
      </w:r>
    </w:p>
  </w:endnote>
  <w:endnote w:type="continuationSeparator" w:id="0">
    <w:p w14:paraId="6D384B0E" w14:textId="77777777" w:rsidR="0060614C" w:rsidRDefault="0060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FAA9" w14:textId="77777777" w:rsidR="005F5AFE" w:rsidRDefault="00000000">
    <w:pPr>
      <w:pBdr>
        <w:top w:val="single" w:sz="6" w:space="1" w:color="000000"/>
      </w:pBdr>
      <w:tabs>
        <w:tab w:val="right" w:pos="9026"/>
      </w:tabs>
    </w:pPr>
    <w:r>
      <w:rPr>
        <w:sz w:val="20"/>
        <w:szCs w:val="20"/>
      </w:rPr>
      <w:t>www.rsisinternational.org</w:t>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745E59">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9ED5" w14:textId="77777777" w:rsidR="0060614C" w:rsidRDefault="0060614C">
      <w:r>
        <w:separator/>
      </w:r>
    </w:p>
  </w:footnote>
  <w:footnote w:type="continuationSeparator" w:id="0">
    <w:p w14:paraId="099E980D" w14:textId="77777777" w:rsidR="0060614C" w:rsidRDefault="0060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00A7" w14:textId="77777777" w:rsidR="005F5AFE" w:rsidRDefault="00000000">
    <w:pPr>
      <w:pBdr>
        <w:bottom w:val="single" w:sz="6" w:space="1" w:color="000000"/>
      </w:pBdr>
      <w:tabs>
        <w:tab w:val="right" w:pos="9026"/>
      </w:tabs>
    </w:pPr>
    <w:r>
      <w:rPr>
        <w:i/>
        <w:iCs/>
        <w:sz w:val="20"/>
        <w:szCs w:val="20"/>
      </w:rPr>
      <w:t>International Journal of Research and Innovation in Social Science (IJRISS)</w:t>
    </w:r>
    <w:r>
      <w:rPr>
        <w:sz w:val="20"/>
        <w:szCs w:val="20"/>
      </w:rPr>
      <w:tab/>
    </w:r>
    <w:r>
      <w:rPr>
        <w:i/>
        <w:iCs/>
        <w:sz w:val="20"/>
        <w:szCs w:val="20"/>
      </w:rPr>
      <w:t>ISSN: 2454-6186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245CA"/>
    <w:multiLevelType w:val="hybridMultilevel"/>
    <w:tmpl w:val="29EA4A5A"/>
    <w:lvl w:ilvl="0" w:tplc="F33CDD82">
      <w:start w:val="1"/>
      <w:numFmt w:val="bullet"/>
      <w:lvlText w:val="●"/>
      <w:lvlJc w:val="left"/>
      <w:pPr>
        <w:ind w:left="720" w:hanging="360"/>
      </w:pPr>
    </w:lvl>
    <w:lvl w:ilvl="1" w:tplc="856CF73A">
      <w:start w:val="1"/>
      <w:numFmt w:val="bullet"/>
      <w:lvlText w:val="○"/>
      <w:lvlJc w:val="left"/>
      <w:pPr>
        <w:ind w:left="1440" w:hanging="360"/>
      </w:pPr>
    </w:lvl>
    <w:lvl w:ilvl="2" w:tplc="17C2BE78">
      <w:start w:val="1"/>
      <w:numFmt w:val="bullet"/>
      <w:lvlText w:val="■"/>
      <w:lvlJc w:val="left"/>
      <w:pPr>
        <w:ind w:left="2160" w:hanging="360"/>
      </w:pPr>
    </w:lvl>
    <w:lvl w:ilvl="3" w:tplc="9210DBEC">
      <w:start w:val="1"/>
      <w:numFmt w:val="bullet"/>
      <w:lvlText w:val="●"/>
      <w:lvlJc w:val="left"/>
      <w:pPr>
        <w:ind w:left="2880" w:hanging="360"/>
      </w:pPr>
    </w:lvl>
    <w:lvl w:ilvl="4" w:tplc="90EC36BE">
      <w:start w:val="1"/>
      <w:numFmt w:val="bullet"/>
      <w:lvlText w:val="○"/>
      <w:lvlJc w:val="left"/>
      <w:pPr>
        <w:ind w:left="3600" w:hanging="360"/>
      </w:pPr>
    </w:lvl>
    <w:lvl w:ilvl="5" w:tplc="A342971C">
      <w:start w:val="1"/>
      <w:numFmt w:val="bullet"/>
      <w:lvlText w:val="■"/>
      <w:lvlJc w:val="left"/>
      <w:pPr>
        <w:ind w:left="4320" w:hanging="360"/>
      </w:pPr>
    </w:lvl>
    <w:lvl w:ilvl="6" w:tplc="94E6CE10">
      <w:start w:val="1"/>
      <w:numFmt w:val="bullet"/>
      <w:lvlText w:val="●"/>
      <w:lvlJc w:val="left"/>
      <w:pPr>
        <w:ind w:left="5040" w:hanging="360"/>
      </w:pPr>
    </w:lvl>
    <w:lvl w:ilvl="7" w:tplc="CEBCA7CC">
      <w:start w:val="1"/>
      <w:numFmt w:val="bullet"/>
      <w:lvlText w:val="●"/>
      <w:lvlJc w:val="left"/>
      <w:pPr>
        <w:ind w:left="5760" w:hanging="360"/>
      </w:pPr>
    </w:lvl>
    <w:lvl w:ilvl="8" w:tplc="CDD875A6">
      <w:start w:val="1"/>
      <w:numFmt w:val="bullet"/>
      <w:lvlText w:val="●"/>
      <w:lvlJc w:val="left"/>
      <w:pPr>
        <w:ind w:left="6480" w:hanging="360"/>
      </w:pPr>
    </w:lvl>
  </w:abstractNum>
  <w:num w:numId="1" w16cid:durableId="4083132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FE"/>
    <w:rsid w:val="005F5AFE"/>
    <w:rsid w:val="0060614C"/>
    <w:rsid w:val="006733D8"/>
    <w:rsid w:val="00745E59"/>
    <w:rsid w:val="00822DF4"/>
    <w:rsid w:val="00FD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1F2A"/>
  <w15:docId w15:val="{697646BA-0024-42EB-8C0A-B5AA2AEA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7427</Words>
  <Characters>42337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Bosede Adisa</cp:lastModifiedBy>
  <cp:revision>2</cp:revision>
  <cp:lastPrinted>2026-06-10T00:41:00Z</cp:lastPrinted>
  <dcterms:created xsi:type="dcterms:W3CDTF">2026-06-10T00:51:00Z</dcterms:created>
  <dcterms:modified xsi:type="dcterms:W3CDTF">2026-06-10T00:51:00Z</dcterms:modified>
</cp:coreProperties>
</file>