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2320" w14:textId="04643E29" w:rsidR="00446E21" w:rsidRPr="00C1435B" w:rsidRDefault="00C1435B" w:rsidP="00446E21">
      <w:pPr>
        <w:spacing w:line="240" w:lineRule="auto"/>
        <w:jc w:val="center"/>
        <w:rPr>
          <w:rFonts w:ascii="Times New Roman" w:hAnsi="Times New Roman" w:cs="Times New Roman"/>
          <w:b/>
          <w:bCs/>
          <w:sz w:val="38"/>
          <w:szCs w:val="38"/>
        </w:rPr>
      </w:pPr>
      <w:r w:rsidRPr="00C1435B">
        <w:rPr>
          <w:rFonts w:ascii="Times New Roman" w:hAnsi="Times New Roman" w:cs="Times New Roman"/>
          <w:b/>
          <w:bCs/>
          <w:sz w:val="38"/>
          <w:szCs w:val="38"/>
        </w:rPr>
        <w:t>Effect of Corn Stover and Red Calliandra Ratios on Rumen pH, Microbial Populations, and Methane Production (In Vitro)</w:t>
      </w:r>
      <w:r w:rsidR="00446E21" w:rsidRPr="00C1435B">
        <w:rPr>
          <w:rFonts w:ascii="Times New Roman" w:hAnsi="Times New Roman" w:cs="Times New Roman"/>
          <w:b/>
          <w:bCs/>
          <w:sz w:val="38"/>
          <w:szCs w:val="38"/>
        </w:rPr>
        <w:br/>
      </w:r>
    </w:p>
    <w:p w14:paraId="5C2D3C05"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Rifqi Muzakki Razzaq</w:t>
      </w:r>
      <w:r w:rsidRPr="00446E21">
        <w:rPr>
          <w:rFonts w:ascii="Times New Roman" w:hAnsi="Times New Roman" w:cs="Times New Roman"/>
          <w:b/>
          <w:bCs/>
          <w:vertAlign w:val="superscript"/>
        </w:rPr>
        <w:t>1</w:t>
      </w:r>
      <w:r w:rsidRPr="00446E21">
        <w:rPr>
          <w:rFonts w:ascii="Times New Roman" w:hAnsi="Times New Roman" w:cs="Times New Roman"/>
          <w:b/>
          <w:bCs/>
        </w:rPr>
        <w:t xml:space="preserve"> Iin Susilawati</w:t>
      </w:r>
      <w:r w:rsidRPr="00446E21">
        <w:rPr>
          <w:rFonts w:ascii="Times New Roman" w:hAnsi="Times New Roman" w:cs="Times New Roman"/>
          <w:b/>
          <w:bCs/>
          <w:vertAlign w:val="superscript"/>
        </w:rPr>
        <w:t>2</w:t>
      </w:r>
      <w:r w:rsidRPr="00446E21">
        <w:rPr>
          <w:rFonts w:ascii="Times New Roman" w:hAnsi="Times New Roman" w:cs="Times New Roman"/>
          <w:b/>
          <w:bCs/>
        </w:rPr>
        <w:t xml:space="preserve"> Ujang Hidayat Tanuwiria</w:t>
      </w:r>
      <w:r w:rsidRPr="00446E21">
        <w:rPr>
          <w:rFonts w:ascii="Times New Roman" w:hAnsi="Times New Roman" w:cs="Times New Roman"/>
          <w:b/>
          <w:bCs/>
          <w:vertAlign w:val="superscript"/>
        </w:rPr>
        <w:t>2</w:t>
      </w:r>
    </w:p>
    <w:p w14:paraId="4E646AE6" w14:textId="0D417F13" w:rsidR="00446E21" w:rsidRPr="00446E21" w:rsidRDefault="00CB45FB" w:rsidP="00446E21">
      <w:pPr>
        <w:spacing w:line="240" w:lineRule="auto"/>
        <w:jc w:val="both"/>
        <w:rPr>
          <w:rFonts w:ascii="Times New Roman" w:hAnsi="Times New Roman" w:cs="Times New Roman"/>
        </w:rPr>
      </w:pPr>
      <w:r>
        <w:rPr>
          <w:rFonts w:ascii="Times New Roman" w:hAnsi="Times New Roman" w:cs="Times New Roman"/>
          <w:vertAlign w:val="superscript"/>
        </w:rPr>
        <w:t>1)</w:t>
      </w:r>
      <w:r w:rsidR="00446E21" w:rsidRPr="00446E21">
        <w:rPr>
          <w:rFonts w:ascii="Times New Roman" w:hAnsi="Times New Roman" w:cs="Times New Roman"/>
        </w:rPr>
        <w:t>Student at the Faculty of Animal Husbandry, Department of Animal Nutrition and Feed Technology, Padjadjaran University</w:t>
      </w:r>
    </w:p>
    <w:p w14:paraId="132BFE99" w14:textId="40D043E5" w:rsidR="00446E21" w:rsidRDefault="00CB45FB" w:rsidP="00446E21">
      <w:pPr>
        <w:spacing w:line="240" w:lineRule="auto"/>
        <w:jc w:val="both"/>
        <w:rPr>
          <w:rFonts w:ascii="Times New Roman" w:hAnsi="Times New Roman" w:cs="Times New Roman"/>
        </w:rPr>
      </w:pPr>
      <w:r>
        <w:rPr>
          <w:rFonts w:ascii="Times New Roman" w:hAnsi="Times New Roman" w:cs="Times New Roman"/>
          <w:vertAlign w:val="superscript"/>
        </w:rPr>
        <w:t>2)</w:t>
      </w:r>
      <w:r w:rsidR="00446E21" w:rsidRPr="00446E21">
        <w:rPr>
          <w:rFonts w:ascii="Times New Roman" w:hAnsi="Times New Roman" w:cs="Times New Roman"/>
        </w:rPr>
        <w:t>Faculty of Animal Husbandry, Department of Animal Nutrition and Feed Technology, Padjadjaran University, Sumedang, Indonesia</w:t>
      </w:r>
    </w:p>
    <w:p w14:paraId="4262AF3C" w14:textId="5EE977BF" w:rsidR="00446E21" w:rsidRPr="00446E21" w:rsidRDefault="00446E21" w:rsidP="00446E21">
      <w:pPr>
        <w:spacing w:after="0" w:line="240" w:lineRule="auto"/>
        <w:jc w:val="both"/>
        <w:rPr>
          <w:rFonts w:ascii="Times New Roman" w:hAnsi="Times New Roman" w:cs="Times New Roman"/>
          <w:b/>
          <w:bCs/>
        </w:rPr>
      </w:pPr>
      <w:r w:rsidRPr="00446E21">
        <w:rPr>
          <w:rFonts w:ascii="Times New Roman" w:hAnsi="Times New Roman" w:cs="Times New Roman"/>
          <w:b/>
          <w:bCs/>
        </w:rPr>
        <w:t>Abstrac</w:t>
      </w:r>
      <w:r>
        <w:rPr>
          <w:rFonts w:ascii="Times New Roman" w:hAnsi="Times New Roman" w:cs="Times New Roman"/>
          <w:b/>
          <w:bCs/>
        </w:rPr>
        <w:t>t</w:t>
      </w:r>
    </w:p>
    <w:p w14:paraId="4EA852DD" w14:textId="69F9529D" w:rsid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This study aims to determine the effect of various ratios of corn straw</w:t>
      </w:r>
      <w:r w:rsidR="00C1435B">
        <w:rPr>
          <w:rFonts w:ascii="Times New Roman" w:hAnsi="Times New Roman" w:cs="Times New Roman"/>
        </w:rPr>
        <w:t xml:space="preserve"> </w:t>
      </w:r>
      <w:r w:rsidR="00C1435B" w:rsidRPr="00C1435B">
        <w:rPr>
          <w:rFonts w:ascii="Times New Roman" w:hAnsi="Times New Roman" w:cs="Times New Roman"/>
          <w:i/>
          <w:iCs/>
        </w:rPr>
        <w:t>(Zea mays)</w:t>
      </w:r>
      <w:r w:rsidRPr="00446E21">
        <w:rPr>
          <w:rFonts w:ascii="Times New Roman" w:hAnsi="Times New Roman" w:cs="Times New Roman"/>
        </w:rPr>
        <w:t xml:space="preserve"> and Red Calliandra </w:t>
      </w:r>
      <w:r w:rsidR="00C1435B" w:rsidRPr="00C1435B">
        <w:rPr>
          <w:rFonts w:ascii="Times New Roman" w:hAnsi="Times New Roman" w:cs="Times New Roman"/>
          <w:i/>
          <w:iCs/>
        </w:rPr>
        <w:t>(Calliandra calothyrsus)</w:t>
      </w:r>
      <w:r w:rsidR="00C1435B" w:rsidRPr="00446E21">
        <w:rPr>
          <w:rFonts w:ascii="Times New Roman" w:hAnsi="Times New Roman" w:cs="Times New Roman"/>
        </w:rPr>
        <w:t xml:space="preserve"> </w:t>
      </w:r>
      <w:r w:rsidRPr="00446E21">
        <w:rPr>
          <w:rFonts w:ascii="Times New Roman" w:hAnsi="Times New Roman" w:cs="Times New Roman"/>
        </w:rPr>
        <w:t xml:space="preserve">on pH, Bacterial Population, Protozoa, and Methane Gas in silage as an indicator of fermentation quality. This study was conducted using a Completely Randomized Design (CRD) with four treatments: P1 (90% corn </w:t>
      </w:r>
      <w:r w:rsidR="00DD6AEC">
        <w:rPr>
          <w:rFonts w:ascii="Times New Roman" w:hAnsi="Times New Roman" w:cs="Times New Roman"/>
        </w:rPr>
        <w:t>stover</w:t>
      </w:r>
      <w:r w:rsidRPr="00446E21">
        <w:rPr>
          <w:rFonts w:ascii="Times New Roman" w:hAnsi="Times New Roman" w:cs="Times New Roman"/>
        </w:rPr>
        <w:t xml:space="preserve"> + 10% Red Calliandra), P2 (80 corn </w:t>
      </w:r>
      <w:r w:rsidR="00DD6AEC">
        <w:rPr>
          <w:rFonts w:ascii="Times New Roman" w:hAnsi="Times New Roman" w:cs="Times New Roman"/>
        </w:rPr>
        <w:t>stover</w:t>
      </w:r>
      <w:r w:rsidRPr="00446E21">
        <w:rPr>
          <w:rFonts w:ascii="Times New Roman" w:hAnsi="Times New Roman" w:cs="Times New Roman"/>
        </w:rPr>
        <w:t xml:space="preserve"> + 20% Red Calliandra), P3 (70% corn </w:t>
      </w:r>
      <w:r w:rsidR="00DD6AEC">
        <w:rPr>
          <w:rFonts w:ascii="Times New Roman" w:hAnsi="Times New Roman" w:cs="Times New Roman"/>
        </w:rPr>
        <w:t>stover</w:t>
      </w:r>
      <w:r w:rsidRPr="00446E21">
        <w:rPr>
          <w:rFonts w:ascii="Times New Roman" w:hAnsi="Times New Roman" w:cs="Times New Roman"/>
        </w:rPr>
        <w:t xml:space="preserve"> + 30% Red Calliandra), and P4 (60% corn </w:t>
      </w:r>
      <w:r w:rsidR="00DD6AEC">
        <w:rPr>
          <w:rFonts w:ascii="Times New Roman" w:hAnsi="Times New Roman" w:cs="Times New Roman"/>
        </w:rPr>
        <w:t>stover</w:t>
      </w:r>
      <w:r w:rsidRPr="00446E21">
        <w:rPr>
          <w:rFonts w:ascii="Times New Roman" w:hAnsi="Times New Roman" w:cs="Times New Roman"/>
        </w:rPr>
        <w:t xml:space="preserve"> + 40% Red Calliandra). Data were analyzed using analysis of variance (ANOVA) followed by Duncan's multiple range test. The results showed that variations in the ratio of corn </w:t>
      </w:r>
      <w:r w:rsidR="00DD6AEC">
        <w:rPr>
          <w:rFonts w:ascii="Times New Roman" w:hAnsi="Times New Roman" w:cs="Times New Roman"/>
        </w:rPr>
        <w:t>stover</w:t>
      </w:r>
      <w:r w:rsidRPr="00446E21">
        <w:rPr>
          <w:rFonts w:ascii="Times New Roman" w:hAnsi="Times New Roman" w:cs="Times New Roman"/>
        </w:rPr>
        <w:t xml:space="preserve"> and </w:t>
      </w:r>
      <w:r w:rsidR="00DD6AEC">
        <w:rPr>
          <w:rFonts w:ascii="Times New Roman" w:hAnsi="Times New Roman" w:cs="Times New Roman"/>
        </w:rPr>
        <w:t xml:space="preserve">red Calliandra </w:t>
      </w:r>
      <w:r w:rsidRPr="00446E21">
        <w:rPr>
          <w:rFonts w:ascii="Times New Roman" w:hAnsi="Times New Roman" w:cs="Times New Roman"/>
        </w:rPr>
        <w:t>did not significantly affect the bacterial population (3.17–3.352 × 10⁹ CFU/mL) and methane production (5.</w:t>
      </w:r>
      <w:r w:rsidR="00DD6AEC">
        <w:rPr>
          <w:rFonts w:ascii="Times New Roman" w:hAnsi="Times New Roman" w:cs="Times New Roman"/>
        </w:rPr>
        <w:t>55</w:t>
      </w:r>
      <w:r w:rsidRPr="00446E21">
        <w:rPr>
          <w:rFonts w:ascii="Times New Roman" w:hAnsi="Times New Roman" w:cs="Times New Roman"/>
        </w:rPr>
        <w:t>–6.</w:t>
      </w:r>
      <w:r w:rsidR="00DD6AEC">
        <w:rPr>
          <w:rFonts w:ascii="Times New Roman" w:hAnsi="Times New Roman" w:cs="Times New Roman"/>
        </w:rPr>
        <w:t>141</w:t>
      </w:r>
      <w:r w:rsidRPr="00446E21">
        <w:rPr>
          <w:rFonts w:ascii="Times New Roman" w:hAnsi="Times New Roman" w:cs="Times New Roman"/>
        </w:rPr>
        <w:t xml:space="preserve"> mM) (P &gt; 0.05). In contrast, the protozoa population significantly </w:t>
      </w:r>
      <w:r w:rsidR="00DD6AEC">
        <w:rPr>
          <w:rFonts w:ascii="Times New Roman" w:hAnsi="Times New Roman" w:cs="Times New Roman"/>
        </w:rPr>
        <w:t xml:space="preserve">different </w:t>
      </w:r>
      <w:r w:rsidRPr="00446E21">
        <w:rPr>
          <w:rFonts w:ascii="Times New Roman" w:hAnsi="Times New Roman" w:cs="Times New Roman"/>
        </w:rPr>
        <w:t xml:space="preserve">(4.23–5.332 × 10⁵ cells/mL) and significantly </w:t>
      </w:r>
      <w:r w:rsidR="00DD6AEC">
        <w:rPr>
          <w:rFonts w:ascii="Times New Roman" w:hAnsi="Times New Roman" w:cs="Times New Roman"/>
        </w:rPr>
        <w:t xml:space="preserve">different </w:t>
      </w:r>
      <w:r w:rsidRPr="00446E21">
        <w:rPr>
          <w:rFonts w:ascii="Times New Roman" w:hAnsi="Times New Roman" w:cs="Times New Roman"/>
        </w:rPr>
        <w:t xml:space="preserve">rumen pH (6.836–6.888) (P ≤ 0.05) with the addition of red Calliandra. All measured parameters remained within normal conditions, indicating stable rumen fermentation conditions. Although the differences in methane production and bacterial populations between treatments were not statistically significant, treatment P4 tended to show </w:t>
      </w:r>
      <w:r w:rsidR="00E80488" w:rsidRPr="00E80488">
        <w:rPr>
          <w:rFonts w:ascii="Times New Roman" w:hAnsi="Times New Roman" w:cs="Times New Roman"/>
          <w:lang w:val="en"/>
        </w:rPr>
        <w:t xml:space="preserve">decreased </w:t>
      </w:r>
      <w:r w:rsidRPr="00446E21">
        <w:rPr>
          <w:rFonts w:ascii="Times New Roman" w:hAnsi="Times New Roman" w:cs="Times New Roman"/>
        </w:rPr>
        <w:t xml:space="preserve">methane production. These findings suggest that the combination of corn </w:t>
      </w:r>
      <w:r w:rsidR="00E80488">
        <w:rPr>
          <w:rFonts w:ascii="Times New Roman" w:hAnsi="Times New Roman" w:cs="Times New Roman"/>
        </w:rPr>
        <w:t>stover</w:t>
      </w:r>
      <w:r w:rsidRPr="00446E21">
        <w:rPr>
          <w:rFonts w:ascii="Times New Roman" w:hAnsi="Times New Roman" w:cs="Times New Roman"/>
        </w:rPr>
        <w:t xml:space="preserve"> and red Calliandra up to a ratio of 60:40 is feasible to maintain the balance of rumen fermentation, with the potential to improve fermentation efficiency and reduce methane production. Further in vivo studies are needed to confirm these results under practical feeding conditions.</w:t>
      </w:r>
    </w:p>
    <w:p w14:paraId="140BF4A3" w14:textId="1807368D" w:rsidR="00994E7B" w:rsidRPr="00446E21" w:rsidRDefault="00994E7B" w:rsidP="00446E21">
      <w:pPr>
        <w:spacing w:line="240" w:lineRule="auto"/>
        <w:jc w:val="both"/>
        <w:rPr>
          <w:rFonts w:ascii="Times New Roman" w:hAnsi="Times New Roman" w:cs="Times New Roman"/>
        </w:rPr>
      </w:pPr>
      <w:r>
        <w:rPr>
          <w:rFonts w:ascii="Times New Roman" w:hAnsi="Times New Roman" w:cs="Times New Roman"/>
        </w:rPr>
        <w:t xml:space="preserve">Keyword: </w:t>
      </w:r>
      <w:r w:rsidRPr="00994E7B">
        <w:rPr>
          <w:rFonts w:ascii="Times New Roman" w:hAnsi="Times New Roman" w:cs="Times New Roman"/>
        </w:rPr>
        <w:t>Red Calliandra</w:t>
      </w:r>
      <w:r>
        <w:rPr>
          <w:rFonts w:ascii="Times New Roman" w:hAnsi="Times New Roman" w:cs="Times New Roman"/>
        </w:rPr>
        <w:t xml:space="preserve">, </w:t>
      </w:r>
      <w:r w:rsidRPr="00994E7B">
        <w:rPr>
          <w:rFonts w:ascii="Times New Roman" w:hAnsi="Times New Roman" w:cs="Times New Roman"/>
        </w:rPr>
        <w:t xml:space="preserve">Rumen pH, Microbial Populations, </w:t>
      </w:r>
      <w:r w:rsidR="000D44D5">
        <w:rPr>
          <w:rFonts w:ascii="Times New Roman" w:hAnsi="Times New Roman" w:cs="Times New Roman"/>
        </w:rPr>
        <w:t>m</w:t>
      </w:r>
      <w:r w:rsidRPr="00994E7B">
        <w:rPr>
          <w:rFonts w:ascii="Times New Roman" w:hAnsi="Times New Roman" w:cs="Times New Roman"/>
        </w:rPr>
        <w:t xml:space="preserve">ethane </w:t>
      </w:r>
      <w:r w:rsidR="00993724">
        <w:rPr>
          <w:rFonts w:ascii="Times New Roman" w:hAnsi="Times New Roman" w:cs="Times New Roman"/>
        </w:rPr>
        <w:t>gas</w:t>
      </w:r>
      <w:r w:rsidR="009F49BD">
        <w:rPr>
          <w:rFonts w:ascii="Times New Roman" w:hAnsi="Times New Roman" w:cs="Times New Roman"/>
        </w:rPr>
        <w:t>, in vitro</w:t>
      </w:r>
    </w:p>
    <w:p w14:paraId="2A7FCD71"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Introduction</w:t>
      </w:r>
    </w:p>
    <w:p w14:paraId="03F923C6" w14:textId="7493436C"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ruminant livestock sector plays a crucial role in providing animal protein and supporting national food security. Increasing ruminant livestock productivity is strongly influenced by the quality and availability of feed. The availability of forage in Indonesia often fluctuates due to seasonal changes and limited land. In addition to affecting livestock productivity, feed also plays a role in environmental impacts, particularly through the production of methane (CH₄) gas from the rumen fermentation process. Methane is a greenhouse gas that contributes to global warming and reflects the loss of feed energy that is not utilized by livestock. One widely developed alternative is the use of agricultural waste as an environmentally friendly feed source. Corn </w:t>
      </w:r>
      <w:r w:rsidR="00E80488">
        <w:rPr>
          <w:rFonts w:ascii="Times New Roman" w:hAnsi="Times New Roman" w:cs="Times New Roman"/>
        </w:rPr>
        <w:t>stover</w:t>
      </w:r>
      <w:r w:rsidRPr="00446E21">
        <w:rPr>
          <w:rFonts w:ascii="Times New Roman" w:hAnsi="Times New Roman" w:cs="Times New Roman"/>
        </w:rPr>
        <w:t xml:space="preserve"> are the entire corn plant, including stalks, leaves, and harvested corn. Many livestock farmers in Indonesia use corn </w:t>
      </w:r>
      <w:r w:rsidR="00E80488">
        <w:rPr>
          <w:rFonts w:ascii="Times New Roman" w:hAnsi="Times New Roman" w:cs="Times New Roman"/>
        </w:rPr>
        <w:t>stover</w:t>
      </w:r>
      <w:r w:rsidRPr="00446E21">
        <w:rPr>
          <w:rFonts w:ascii="Times New Roman" w:hAnsi="Times New Roman" w:cs="Times New Roman"/>
        </w:rPr>
        <w:t xml:space="preserve"> as livestock feed. Corn </w:t>
      </w:r>
      <w:r w:rsidR="00E80488">
        <w:rPr>
          <w:rFonts w:ascii="Times New Roman" w:hAnsi="Times New Roman" w:cs="Times New Roman"/>
        </w:rPr>
        <w:t>stover</w:t>
      </w:r>
      <w:r w:rsidRPr="00446E21">
        <w:rPr>
          <w:rFonts w:ascii="Times New Roman" w:hAnsi="Times New Roman" w:cs="Times New Roman"/>
        </w:rPr>
        <w:t xml:space="preserve"> have a high fiber content and are available year-round, but their crude protein content is relatively low, so their use needs to be combined with feed ingredients containing higher nutrients to increase rumen fermentation efficiency (Hernaman et al., 2017).</w:t>
      </w:r>
    </w:p>
    <w:p w14:paraId="6CB854D7" w14:textId="537460F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To address these nutrient deficiencies, supplementation with protein-rich feed sources such as red calliandra </w:t>
      </w:r>
      <w:r w:rsidRPr="00C1435B">
        <w:rPr>
          <w:rFonts w:ascii="Times New Roman" w:hAnsi="Times New Roman" w:cs="Times New Roman"/>
          <w:i/>
          <w:iCs/>
        </w:rPr>
        <w:t>(Calliandra calothyrsus)</w:t>
      </w:r>
      <w:r w:rsidRPr="00446E21">
        <w:rPr>
          <w:rFonts w:ascii="Times New Roman" w:hAnsi="Times New Roman" w:cs="Times New Roman"/>
        </w:rPr>
        <w:t xml:space="preserve"> is necessary. Red calliandra </w:t>
      </w:r>
      <w:r w:rsidRPr="00C1435B">
        <w:rPr>
          <w:rFonts w:ascii="Times New Roman" w:hAnsi="Times New Roman" w:cs="Times New Roman"/>
          <w:i/>
          <w:iCs/>
        </w:rPr>
        <w:t xml:space="preserve">(Calliandra calothyrsus) </w:t>
      </w:r>
      <w:r w:rsidRPr="00446E21">
        <w:rPr>
          <w:rFonts w:ascii="Times New Roman" w:hAnsi="Times New Roman" w:cs="Times New Roman"/>
        </w:rPr>
        <w:t>is a leguminous tree forage that can be used as an alternative livestock feed and is known as a protein-rich feed source. Red calliandra contains 20.84% ​​crude protein (Susilawati and Khairani, 2017). However, calliandra contains anti-nutritional substances in the form of tannins, which can affect the fermentation process in the rumen.</w:t>
      </w:r>
    </w:p>
    <w:p w14:paraId="769BB38A"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rumen fermentation process is significantly influenced by the pH of the rumen fluid. A favorable pH for rumen fermentation is between 6.0 and 7.0, allowing rumen microbial populations, such as bacteria and protozoa, to </w:t>
      </w:r>
      <w:r w:rsidRPr="00446E21">
        <w:rPr>
          <w:rFonts w:ascii="Times New Roman" w:hAnsi="Times New Roman" w:cs="Times New Roman"/>
        </w:rPr>
        <w:lastRenderedPageBreak/>
        <w:t>function optimally in degrading feed (Hernandez et al., 2020). If the pH drops below this range or rises, microbial activity decreases, inhibiting the fermentation process and reducing digestibility.</w:t>
      </w:r>
    </w:p>
    <w:p w14:paraId="13EA1483"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bacterial and protozoan populations in the rumen are closely related to the fermentation process. Bacteria play a key role in fiber decomposition and volatile fatty acid (VFA) production, while protozoa play a role in maintaining microbial population stability and utilizing starch and protein from feed ingredients (Yanti et al., 2021). Changes in the feed ingredient balance can affect the number of these microbial populations.</w:t>
      </w:r>
    </w:p>
    <w:p w14:paraId="24F97052" w14:textId="371E88AA" w:rsid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Methane gas (CH₄) is a gas produced by methanogenic bacteria during the rumen fermentation process. Attention to methane (CH₄) production is crucial because it is a byproduct of rumen fermentation and contributes to greenhouse gas emissions. Ruminant livestock contribute significantly to greenhouse gas emissions</w:t>
      </w:r>
      <w:r w:rsidR="00651360" w:rsidRPr="00651360">
        <w:t xml:space="preserve"> </w:t>
      </w:r>
      <w:r w:rsidR="00651360" w:rsidRPr="00651360">
        <w:rPr>
          <w:rFonts w:ascii="Times New Roman" w:hAnsi="Times New Roman" w:cs="Times New Roman"/>
        </w:rPr>
        <w:t>Livestock, especially ruminants, produce methane gas CH4 of 14.5% (Gerber, P. J., et al. 2013).</w:t>
      </w:r>
      <w:r w:rsidRPr="00446E21">
        <w:rPr>
          <w:rFonts w:ascii="Times New Roman" w:hAnsi="Times New Roman" w:cs="Times New Roman"/>
        </w:rPr>
        <w:t xml:space="preserve"> Therefore, efforts to reduce methane production through feed formulations, such as the use of ingredients containing natural tannins, include red calliandra.</w:t>
      </w:r>
    </w:p>
    <w:p w14:paraId="761A2DCC" w14:textId="2B391159" w:rsidR="0007219C" w:rsidRPr="0007219C" w:rsidRDefault="0007219C" w:rsidP="00651360">
      <w:pPr>
        <w:spacing w:line="240" w:lineRule="auto"/>
        <w:jc w:val="both"/>
        <w:rPr>
          <w:rFonts w:ascii="Times New Roman" w:hAnsi="Times New Roman" w:cs="Times New Roman"/>
          <w:b/>
          <w:bCs/>
        </w:rPr>
      </w:pPr>
      <w:r w:rsidRPr="0007219C">
        <w:rPr>
          <w:rFonts w:ascii="Times New Roman" w:hAnsi="Times New Roman" w:cs="Times New Roman"/>
          <w:b/>
          <w:bCs/>
        </w:rPr>
        <w:t>MATERIALS AND METHODS</w:t>
      </w:r>
    </w:p>
    <w:p w14:paraId="2B8771DA" w14:textId="795D98E3" w:rsidR="0007219C" w:rsidRDefault="0007219C" w:rsidP="00446E21">
      <w:pPr>
        <w:spacing w:line="240" w:lineRule="auto"/>
        <w:jc w:val="both"/>
        <w:rPr>
          <w:rFonts w:ascii="Times New Roman" w:hAnsi="Times New Roman" w:cs="Times New Roman"/>
          <w:b/>
          <w:bCs/>
        </w:rPr>
      </w:pPr>
      <w:r>
        <w:rPr>
          <w:rFonts w:ascii="Times New Roman" w:hAnsi="Times New Roman" w:cs="Times New Roman"/>
          <w:b/>
          <w:bCs/>
        </w:rPr>
        <w:t>Silage Production</w:t>
      </w:r>
    </w:p>
    <w:p w14:paraId="6A052712" w14:textId="77A84D39"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Silage is made from a mixture of corn s</w:t>
      </w:r>
      <w:r w:rsidR="0007219C">
        <w:rPr>
          <w:rFonts w:ascii="Times New Roman" w:hAnsi="Times New Roman" w:cs="Times New Roman"/>
        </w:rPr>
        <w:t>tover</w:t>
      </w:r>
      <w:r w:rsidRPr="00446E21">
        <w:rPr>
          <w:rFonts w:ascii="Times New Roman" w:hAnsi="Times New Roman" w:cs="Times New Roman"/>
        </w:rPr>
        <w:t xml:space="preserve"> and red calliandra. The material is then chopped into small pieces using a machete. </w:t>
      </w:r>
      <w:r w:rsidR="0007219C" w:rsidRPr="0007219C">
        <w:rPr>
          <w:rFonts w:ascii="Times New Roman" w:hAnsi="Times New Roman" w:cs="Times New Roman"/>
        </w:rPr>
        <w:t>then mixed and added molasses that has been diluted with air in a ratio of 1:1</w:t>
      </w:r>
      <w:r w:rsidR="0007219C">
        <w:rPr>
          <w:rFonts w:ascii="Times New Roman" w:hAnsi="Times New Roman" w:cs="Times New Roman"/>
        </w:rPr>
        <w:t>.</w:t>
      </w:r>
      <w:r w:rsidRPr="00446E21">
        <w:rPr>
          <w:rFonts w:ascii="Times New Roman" w:hAnsi="Times New Roman" w:cs="Times New Roman"/>
        </w:rPr>
        <w:t xml:space="preserve">The finished silage is placed in airtight plastic jars and fermented for 22 days under anaerobic conditions. After fermentation, the silage is dried and ground into a fine powder using </w:t>
      </w:r>
      <w:r w:rsidR="00A06982">
        <w:rPr>
          <w:rFonts w:ascii="Times New Roman" w:hAnsi="Times New Roman" w:cs="Times New Roman"/>
        </w:rPr>
        <w:t>Hammer mill</w:t>
      </w:r>
      <w:r w:rsidRPr="00446E21">
        <w:rPr>
          <w:rFonts w:ascii="Times New Roman" w:hAnsi="Times New Roman" w:cs="Times New Roman"/>
        </w:rPr>
        <w:t>.</w:t>
      </w:r>
    </w:p>
    <w:p w14:paraId="62B8BC19" w14:textId="7386D018"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1 = Silage with a ratio of 90% corn </w:t>
      </w:r>
      <w:r w:rsidR="00E80488">
        <w:rPr>
          <w:rFonts w:ascii="Times New Roman" w:hAnsi="Times New Roman" w:cs="Times New Roman"/>
        </w:rPr>
        <w:t xml:space="preserve">stover </w:t>
      </w:r>
      <w:r w:rsidR="00446E21" w:rsidRPr="00446E21">
        <w:rPr>
          <w:rFonts w:ascii="Times New Roman" w:hAnsi="Times New Roman" w:cs="Times New Roman"/>
        </w:rPr>
        <w:t>and 10% red calliandra.</w:t>
      </w:r>
    </w:p>
    <w:p w14:paraId="6414EDC3" w14:textId="06E553BA"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2 = Silage with a ratio of 80% corn </w:t>
      </w:r>
      <w:r w:rsidR="00E80488">
        <w:rPr>
          <w:rFonts w:ascii="Times New Roman" w:hAnsi="Times New Roman" w:cs="Times New Roman"/>
        </w:rPr>
        <w:t xml:space="preserve">stover </w:t>
      </w:r>
      <w:r w:rsidR="00446E21" w:rsidRPr="00446E21">
        <w:rPr>
          <w:rFonts w:ascii="Times New Roman" w:hAnsi="Times New Roman" w:cs="Times New Roman"/>
        </w:rPr>
        <w:t>and 20% red calliandra.</w:t>
      </w:r>
    </w:p>
    <w:p w14:paraId="11F23426" w14:textId="236C219D"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3 = Silage with a ratio of 70% corn </w:t>
      </w:r>
      <w:r w:rsidR="00E80488">
        <w:rPr>
          <w:rFonts w:ascii="Times New Roman" w:hAnsi="Times New Roman" w:cs="Times New Roman"/>
        </w:rPr>
        <w:t xml:space="preserve">stover </w:t>
      </w:r>
      <w:r w:rsidR="00446E21" w:rsidRPr="00446E21">
        <w:rPr>
          <w:rFonts w:ascii="Times New Roman" w:hAnsi="Times New Roman" w:cs="Times New Roman"/>
        </w:rPr>
        <w:t>and 30% red calliandra.</w:t>
      </w:r>
    </w:p>
    <w:p w14:paraId="611F0C22" w14:textId="1D910286"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4 = Silage with a ratio of 60% corn </w:t>
      </w:r>
      <w:r w:rsidR="00E80488">
        <w:rPr>
          <w:rFonts w:ascii="Times New Roman" w:hAnsi="Times New Roman" w:cs="Times New Roman"/>
        </w:rPr>
        <w:t xml:space="preserve">stover </w:t>
      </w:r>
      <w:r w:rsidR="00446E21" w:rsidRPr="00446E21">
        <w:rPr>
          <w:rFonts w:ascii="Times New Roman" w:hAnsi="Times New Roman" w:cs="Times New Roman"/>
        </w:rPr>
        <w:t>and 40% red calliandra.</w:t>
      </w:r>
    </w:p>
    <w:p w14:paraId="7F216CE8"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In vitro process</w:t>
      </w:r>
    </w:p>
    <w:p w14:paraId="62F74FA5" w14:textId="279EA909" w:rsidR="00E6541A"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in vitro process used the method of Theodorou et al. (1994). In vitro was performed by placing a 0.5 g sample into a pre-prepared vial, then adding 40 mL of McDougall's solution (artificial saliva) and 10 mL of dairy cow rumen. CO</w:t>
      </w:r>
      <w:r w:rsidR="00E6541A" w:rsidRPr="00E6541A">
        <w:rPr>
          <w:rFonts w:ascii="Times New Roman" w:hAnsi="Times New Roman" w:cs="Times New Roman"/>
          <w:vertAlign w:val="subscript"/>
        </w:rPr>
        <w:t>2</w:t>
      </w:r>
      <w:r w:rsidRPr="00446E21">
        <w:rPr>
          <w:rFonts w:ascii="Times New Roman" w:hAnsi="Times New Roman" w:cs="Times New Roman"/>
        </w:rPr>
        <w:t xml:space="preserve"> gas was then circulated into the fermenter to create an anaerobic environment. The vial was sealed with a rubber seal and crimped, then stored in a water bath at 39-40°C. The vial was incubated for 24 hours, shaking and gas sampling every 2 hours. After 24 hours of incubation, the contents of the vial were collected and the total number of bacteria and protozoa measured under a microscope.</w:t>
      </w:r>
      <w:r w:rsidR="00E6541A">
        <w:rPr>
          <w:rFonts w:ascii="Times New Roman" w:hAnsi="Times New Roman" w:cs="Times New Roman"/>
        </w:rPr>
        <w:t xml:space="preserve"> </w:t>
      </w:r>
      <w:r w:rsidR="00E6541A" w:rsidRPr="00E6541A">
        <w:rPr>
          <w:rFonts w:ascii="Times New Roman" w:hAnsi="Times New Roman" w:cs="Times New Roman"/>
        </w:rPr>
        <w:t>Rumen fluid was collected from the Ciroyom slaughterhouse, located at Jl. Arjuna No. 45, Husen Sastranegara District, Cicendo District, Bandung City, West Java Province.</w:t>
      </w:r>
    </w:p>
    <w:p w14:paraId="5D857DB1" w14:textId="77777777" w:rsidR="00446E21" w:rsidRPr="00446E21" w:rsidRDefault="00446E21" w:rsidP="00446E21">
      <w:pPr>
        <w:spacing w:line="240" w:lineRule="auto"/>
        <w:jc w:val="both"/>
        <w:rPr>
          <w:rFonts w:ascii="Times New Roman" w:hAnsi="Times New Roman" w:cs="Times New Roman"/>
          <w:b/>
          <w:bCs/>
        </w:rPr>
      </w:pPr>
      <w:r w:rsidRPr="00446E21">
        <w:rPr>
          <w:rFonts w:ascii="Times New Roman" w:hAnsi="Times New Roman" w:cs="Times New Roman"/>
          <w:b/>
          <w:bCs/>
        </w:rPr>
        <w:t>Total Bacteria Measurement</w:t>
      </w:r>
    </w:p>
    <w:p w14:paraId="6533C8FD"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bacterial measurement process used the method of Tanuwiria et al. (2025). 20 µL of rumen fluid was mixed with 6980 µL of Hayem's solution. The mixture was diluted to 10-4 and then pipetted into the center of the counting chamber, which had previously been covered with a cover glass. Observations and counts were then performed under a microscope at 1000x magnification. The total bacterial count was performed in a small box within the counting chamber. The total bacterial count in 1 mL of rumen fluid is:</w:t>
      </w:r>
    </w:p>
    <w:p w14:paraId="08A3A9CD" w14:textId="47F01C1C" w:rsidR="00446E21" w:rsidRPr="00446E21" w:rsidRDefault="00446E21" w:rsidP="00446E21">
      <w:pPr>
        <w:spacing w:line="240" w:lineRule="auto"/>
        <w:jc w:val="both"/>
        <w:rPr>
          <w:rFonts w:ascii="Times New Roman" w:hAnsi="Times New Roman" w:cs="Times New Roman"/>
        </w:rPr>
      </w:pPr>
      <w:r w:rsidRPr="00446E21">
        <w:rPr>
          <w:rFonts w:ascii="Times New Roman" w:eastAsia="Times New Roman" w:hAnsi="Times New Roman" w:cs="Times New Roman"/>
        </w:rPr>
        <w:t>Total of bacteri</w:t>
      </w:r>
      <w:r w:rsidR="009D7A4E">
        <w:rPr>
          <w:rFonts w:ascii="Times New Roman" w:eastAsia="Times New Roman" w:hAnsi="Times New Roman" w:cs="Times New Roman"/>
        </w:rPr>
        <w:t>a</w:t>
      </w:r>
      <w:r w:rsidRPr="00446E21">
        <w:rPr>
          <w:rFonts w:ascii="Times New Roman" w:eastAsia="Times New Roman" w:hAnsi="Times New Roman" w:cs="Times New Roman"/>
        </w:rPr>
        <w:t xml:space="preserve"> </w:t>
      </w:r>
      <w:r w:rsidRPr="00446E21">
        <w:rPr>
          <w:rFonts w:ascii="Times New Roman" w:hAnsi="Times New Roman" w:cs="Times New Roman"/>
        </w:rPr>
        <w:t xml:space="preserve">= </w:t>
      </w: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Avvrage bacteri</m:t>
                    </m:r>
                  </m:num>
                  <m:den>
                    <m:r>
                      <w:rPr>
                        <w:rFonts w:ascii="Cambria Math" w:hAnsi="Cambria Math" w:cs="Times New Roman"/>
                      </w:rPr>
                      <m:t>5</m:t>
                    </m:r>
                  </m:den>
                </m:f>
              </m:e>
            </m:d>
            <m:r>
              <w:rPr>
                <w:rFonts w:ascii="Cambria Math" w:hAnsi="Cambria Math" w:cs="Times New Roman"/>
              </w:rPr>
              <m:t xml:space="preserve"> x  350 x 1000)</m:t>
            </m:r>
          </m:num>
          <m:den>
            <m:r>
              <w:rPr>
                <w:rFonts w:ascii="Cambria Math" w:hAnsi="Cambria Math" w:cs="Times New Roman"/>
              </w:rPr>
              <m:t>0,004</m:t>
            </m:r>
          </m:den>
        </m:f>
      </m:oMath>
      <w:r w:rsidRPr="00446E21">
        <w:rPr>
          <w:rFonts w:ascii="Times New Roman" w:hAnsi="Times New Roman" w:cs="Times New Roman"/>
        </w:rPr>
        <w:t xml:space="preserve"> </w:t>
      </w:r>
    </w:p>
    <w:p w14:paraId="25ECEE04" w14:textId="7D6E3993"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Total Protozoa Measurement</w:t>
      </w:r>
    </w:p>
    <w:p w14:paraId="0D73DFC8" w14:textId="5AABB859" w:rsidR="00446E21" w:rsidRPr="00446E21" w:rsidRDefault="002C332F" w:rsidP="00446E21">
      <w:pPr>
        <w:spacing w:line="240" w:lineRule="auto"/>
        <w:jc w:val="both"/>
        <w:rPr>
          <w:rFonts w:ascii="Times New Roman" w:hAnsi="Times New Roman" w:cs="Times New Roman"/>
        </w:rPr>
      </w:pPr>
      <w:r>
        <w:rPr>
          <w:rFonts w:ascii="Times New Roman" w:hAnsi="Times New Roman" w:cs="Times New Roman"/>
        </w:rPr>
        <w:lastRenderedPageBreak/>
        <w:t>T</w:t>
      </w:r>
      <w:r w:rsidRPr="00446E21">
        <w:rPr>
          <w:rFonts w:ascii="Times New Roman" w:hAnsi="Times New Roman" w:cs="Times New Roman"/>
        </w:rPr>
        <w:t xml:space="preserve">he bacterial measurement process used the method of </w:t>
      </w:r>
      <w:r w:rsidR="00446E21" w:rsidRPr="00446E21">
        <w:rPr>
          <w:rFonts w:ascii="Times New Roman" w:hAnsi="Times New Roman" w:cs="Times New Roman"/>
        </w:rPr>
        <w:t>Tanuwiria et al. (2025). 4.5 mL of formalin solution was mixed with 0.5 mL of rumen fluid. This fluid was allowed to stand for 30 minutes to allow the nuclei to stain. Afterward, observations were made under a microscope at 400x magnification. The number of protozoa in 1 mL of rumen fluid was calculated as follows:</w:t>
      </w:r>
    </w:p>
    <w:p w14:paraId="31A5C1FB" w14:textId="32F83852"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 xml:space="preserve">number of protozoa= </w:t>
      </w:r>
      <m:oMath>
        <m:r>
          <w:rPr>
            <w:rFonts w:ascii="Cambria Math" w:hAnsi="Cambria Math" w:cs="Times New Roman"/>
          </w:rPr>
          <m:t xml:space="preserve">Average of protozoa x </m:t>
        </m:r>
        <m:f>
          <m:fPr>
            <m:ctrlPr>
              <w:rPr>
                <w:rFonts w:ascii="Cambria Math" w:hAnsi="Cambria Math" w:cs="Times New Roman"/>
                <w:i/>
              </w:rPr>
            </m:ctrlPr>
          </m:fPr>
          <m:num>
            <m:r>
              <w:rPr>
                <w:rFonts w:ascii="Cambria Math" w:hAnsi="Cambria Math" w:cs="Times New Roman"/>
              </w:rPr>
              <m:t>1000</m:t>
            </m:r>
          </m:num>
          <m:den>
            <m:r>
              <w:rPr>
                <w:rFonts w:ascii="Cambria Math" w:hAnsi="Cambria Math" w:cs="Times New Roman"/>
              </w:rPr>
              <m:t>100</m:t>
            </m:r>
          </m:den>
        </m:f>
        <m:r>
          <w:rPr>
            <w:rFonts w:ascii="Cambria Math" w:eastAsiaTheme="minorEastAsia" w:hAnsi="Cambria Math" w:cs="Times New Roman"/>
          </w:rPr>
          <m:t xml:space="preserve"> x 7</m:t>
        </m:r>
      </m:oMath>
      <w:r w:rsidRPr="00446E21">
        <w:rPr>
          <w:rFonts w:ascii="Times New Roman" w:eastAsiaTheme="minorEastAsia" w:hAnsi="Times New Roman" w:cs="Times New Roman"/>
        </w:rPr>
        <w:t xml:space="preserve"> </w:t>
      </w:r>
      <w:r w:rsidRPr="00446E21">
        <w:rPr>
          <w:rFonts w:ascii="Times New Roman" w:hAnsi="Times New Roman" w:cs="Times New Roman"/>
        </w:rPr>
        <w:t xml:space="preserve"> </w:t>
      </w:r>
    </w:p>
    <w:p w14:paraId="62F26E7D"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pH Measurement</w:t>
      </w:r>
    </w:p>
    <w:p w14:paraId="65DC89A8" w14:textId="360652A7" w:rsidR="00446E21" w:rsidRPr="00446E21" w:rsidRDefault="00345854" w:rsidP="00446E21">
      <w:pPr>
        <w:spacing w:line="240" w:lineRule="auto"/>
        <w:jc w:val="both"/>
        <w:rPr>
          <w:rFonts w:ascii="Times New Roman" w:hAnsi="Times New Roman" w:cs="Times New Roman"/>
        </w:rPr>
      </w:pPr>
      <w:r w:rsidRPr="00345854">
        <w:rPr>
          <w:rFonts w:ascii="Times New Roman" w:hAnsi="Times New Roman" w:cs="Times New Roman"/>
        </w:rPr>
        <w:t>The pH value of rumen fluid was measured using a pH meter that had been standardized with a buffer solution at pH 7 for ±10 minutes, then measured in a buffer solution at pH 4 for ±10 minutes. The cathode part was dipped into the solution for ±10 minutes until the number in the pH meter did not move, then the pH value was recorded</w:t>
      </w:r>
      <w:r>
        <w:rPr>
          <w:rFonts w:ascii="Times New Roman" w:hAnsi="Times New Roman" w:cs="Times New Roman"/>
        </w:rPr>
        <w:t xml:space="preserve"> (Hernaman et al</w:t>
      </w:r>
      <w:r w:rsidRPr="00345854">
        <w:rPr>
          <w:rFonts w:ascii="Times New Roman" w:hAnsi="Times New Roman" w:cs="Times New Roman"/>
        </w:rPr>
        <w:t>.</w:t>
      </w:r>
      <w:r>
        <w:rPr>
          <w:rFonts w:ascii="Times New Roman" w:hAnsi="Times New Roman" w:cs="Times New Roman"/>
        </w:rPr>
        <w:t>, 2015)</w:t>
      </w:r>
    </w:p>
    <w:p w14:paraId="5899EC8A"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CH4 Methane Gas Measurement</w:t>
      </w:r>
    </w:p>
    <w:p w14:paraId="05FD39C7" w14:textId="2B9D9288"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Methane gas was measured using gas chromatography. Gas was collected every two hours during the 24-hour incubation period using a 10 mL syringe. The resulting gas was collected in a 10 mL vial, which had been previously vacuumed. Total gas production over 24 hours was obtained by summing the volume of gas collected at each measurement interval. A 5 mL sample of gas was then transferred to a 5 mL Vacutainer tube for further analysis. Methane gas measurements were carried out using the gas chromatography method with the injector temperature set at 90°C and the column temperature at 75°C.</w:t>
      </w:r>
    </w:p>
    <w:p w14:paraId="71DDC4F6" w14:textId="77777777" w:rsidR="00446E21" w:rsidRPr="002C332F" w:rsidRDefault="00446E21" w:rsidP="00446E21">
      <w:pPr>
        <w:spacing w:line="240" w:lineRule="auto"/>
        <w:jc w:val="both"/>
        <w:rPr>
          <w:rFonts w:ascii="Times New Roman" w:hAnsi="Times New Roman" w:cs="Times New Roman"/>
          <w:b/>
          <w:bCs/>
        </w:rPr>
      </w:pPr>
      <w:r w:rsidRPr="002C332F">
        <w:rPr>
          <w:rFonts w:ascii="Times New Roman" w:hAnsi="Times New Roman" w:cs="Times New Roman"/>
          <w:b/>
          <w:bCs/>
        </w:rPr>
        <w:t>Data Analysis</w:t>
      </w:r>
    </w:p>
    <w:p w14:paraId="63DA14F0" w14:textId="77777777" w:rsidR="00446E21" w:rsidRPr="00446E21" w:rsidRDefault="00446E21" w:rsidP="00446E21">
      <w:pPr>
        <w:spacing w:line="240" w:lineRule="auto"/>
        <w:jc w:val="both"/>
        <w:rPr>
          <w:rFonts w:ascii="Times New Roman" w:hAnsi="Times New Roman" w:cs="Times New Roman"/>
        </w:rPr>
      </w:pPr>
      <w:r w:rsidRPr="00446E21">
        <w:rPr>
          <w:rFonts w:ascii="Times New Roman" w:hAnsi="Times New Roman" w:cs="Times New Roman"/>
        </w:rPr>
        <w:t>This study employed an experimental method using a Completely Randomized Design (CRD) consisting of four treatments with five replications. The treatments were as follows:</w:t>
      </w:r>
    </w:p>
    <w:p w14:paraId="406239E4" w14:textId="1990DCA8"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1 = Silage with a ratio of 90% corn </w:t>
      </w:r>
      <w:r w:rsidR="00E80488">
        <w:rPr>
          <w:rFonts w:ascii="Times New Roman" w:hAnsi="Times New Roman" w:cs="Times New Roman"/>
        </w:rPr>
        <w:t xml:space="preserve">stover </w:t>
      </w:r>
      <w:r w:rsidR="00446E21" w:rsidRPr="00446E21">
        <w:rPr>
          <w:rFonts w:ascii="Times New Roman" w:hAnsi="Times New Roman" w:cs="Times New Roman"/>
        </w:rPr>
        <w:t>and 10% red calliandra</w:t>
      </w:r>
    </w:p>
    <w:p w14:paraId="1353BF97" w14:textId="3FF80CA6"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2 = Silage with a ratio of 80% corn </w:t>
      </w:r>
      <w:r w:rsidR="00E80488">
        <w:rPr>
          <w:rFonts w:ascii="Times New Roman" w:hAnsi="Times New Roman" w:cs="Times New Roman"/>
        </w:rPr>
        <w:t xml:space="preserve">stover </w:t>
      </w:r>
      <w:r w:rsidR="00446E21" w:rsidRPr="00446E21">
        <w:rPr>
          <w:rFonts w:ascii="Times New Roman" w:hAnsi="Times New Roman" w:cs="Times New Roman"/>
        </w:rPr>
        <w:t>and 20% red calliandra</w:t>
      </w:r>
    </w:p>
    <w:p w14:paraId="0EE9BC94" w14:textId="6098B442"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3 = Silage with a ratio of 70% corn </w:t>
      </w:r>
      <w:r w:rsidR="00E80488">
        <w:rPr>
          <w:rFonts w:ascii="Times New Roman" w:hAnsi="Times New Roman" w:cs="Times New Roman"/>
        </w:rPr>
        <w:t xml:space="preserve">stover </w:t>
      </w:r>
      <w:r w:rsidR="00446E21" w:rsidRPr="00446E21">
        <w:rPr>
          <w:rFonts w:ascii="Times New Roman" w:hAnsi="Times New Roman" w:cs="Times New Roman"/>
        </w:rPr>
        <w:t>and 30% red calliandra</w:t>
      </w:r>
    </w:p>
    <w:p w14:paraId="37F44080" w14:textId="34F82D12" w:rsidR="00446E21" w:rsidRPr="00446E21" w:rsidRDefault="00370D83" w:rsidP="00446E21">
      <w:pPr>
        <w:spacing w:line="240" w:lineRule="auto"/>
        <w:jc w:val="both"/>
        <w:rPr>
          <w:rFonts w:ascii="Times New Roman" w:hAnsi="Times New Roman" w:cs="Times New Roman"/>
        </w:rPr>
      </w:pPr>
      <w:r>
        <w:rPr>
          <w:rFonts w:ascii="Times New Roman" w:hAnsi="Times New Roman" w:cs="Times New Roman"/>
        </w:rPr>
        <w:t>T</w:t>
      </w:r>
      <w:r w:rsidR="00446E21" w:rsidRPr="00446E21">
        <w:rPr>
          <w:rFonts w:ascii="Times New Roman" w:hAnsi="Times New Roman" w:cs="Times New Roman"/>
        </w:rPr>
        <w:t xml:space="preserve">4 = Silage with a ratio of 60% corn </w:t>
      </w:r>
      <w:r w:rsidR="00E80488">
        <w:rPr>
          <w:rFonts w:ascii="Times New Roman" w:hAnsi="Times New Roman" w:cs="Times New Roman"/>
        </w:rPr>
        <w:t xml:space="preserve">stover </w:t>
      </w:r>
      <w:r w:rsidR="00446E21" w:rsidRPr="00446E21">
        <w:rPr>
          <w:rFonts w:ascii="Times New Roman" w:hAnsi="Times New Roman" w:cs="Times New Roman"/>
        </w:rPr>
        <w:t>and 40% red calliandra</w:t>
      </w:r>
    </w:p>
    <w:p w14:paraId="368214C8" w14:textId="02952B8D" w:rsidR="002C332F" w:rsidRDefault="00446E21" w:rsidP="00446E21">
      <w:pPr>
        <w:spacing w:line="240" w:lineRule="auto"/>
        <w:jc w:val="both"/>
        <w:rPr>
          <w:rFonts w:ascii="Times New Roman" w:hAnsi="Times New Roman" w:cs="Times New Roman"/>
        </w:rPr>
      </w:pPr>
      <w:r w:rsidRPr="00446E21">
        <w:rPr>
          <w:rFonts w:ascii="Times New Roman" w:hAnsi="Times New Roman" w:cs="Times New Roman"/>
        </w:rPr>
        <w:t>The data obtained were then analyzed using analysis of variance (ANOVA), and significant differences between treatments were determined. Further evaluation was carried out using Duncan's multiple range test to identify differences between each treatment.</w:t>
      </w:r>
    </w:p>
    <w:p w14:paraId="147266D0" w14:textId="03127AD2" w:rsidR="002C332F" w:rsidRDefault="002C332F" w:rsidP="00446E21">
      <w:pPr>
        <w:spacing w:line="240" w:lineRule="auto"/>
        <w:jc w:val="both"/>
        <w:rPr>
          <w:rFonts w:ascii="Times New Roman" w:hAnsi="Times New Roman" w:cs="Times New Roman"/>
          <w:b/>
          <w:bCs/>
        </w:rPr>
      </w:pPr>
      <w:r w:rsidRPr="004755F2">
        <w:rPr>
          <w:rFonts w:ascii="Times New Roman" w:hAnsi="Times New Roman" w:cs="Times New Roman"/>
          <w:b/>
          <w:bCs/>
        </w:rPr>
        <w:t>Result and Discussion</w:t>
      </w:r>
    </w:p>
    <w:p w14:paraId="231DAD41" w14:textId="01AF4ECD" w:rsidR="00C1435B" w:rsidRPr="00C1435B" w:rsidRDefault="00C1435B" w:rsidP="00446E21">
      <w:pPr>
        <w:spacing w:line="240" w:lineRule="auto"/>
        <w:jc w:val="both"/>
        <w:rPr>
          <w:rFonts w:ascii="Times New Roman" w:hAnsi="Times New Roman" w:cs="Times New Roman"/>
        </w:rPr>
      </w:pPr>
      <w:r w:rsidRPr="00C1435B">
        <w:rPr>
          <w:rFonts w:ascii="Times New Roman" w:hAnsi="Times New Roman" w:cs="Times New Roman"/>
        </w:rPr>
        <w:t>Table 1. The Effect of Corn Stover and Red Calliandra Ratio in Silage on Rumen pH, Bacterial Populations, Protozoa Populations and Methane Gas (In Vitro)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0"/>
        <w:gridCol w:w="1701"/>
        <w:gridCol w:w="1560"/>
        <w:gridCol w:w="1701"/>
        <w:gridCol w:w="1842"/>
      </w:tblGrid>
      <w:tr w:rsidR="002C332F" w:rsidRPr="00370D83" w14:paraId="17B621B0" w14:textId="77777777" w:rsidTr="00F523B6">
        <w:trPr>
          <w:trHeight w:val="354"/>
        </w:trPr>
        <w:tc>
          <w:tcPr>
            <w:tcW w:w="2830" w:type="dxa"/>
            <w:vMerge w:val="restart"/>
            <w:tcMar>
              <w:top w:w="0" w:type="dxa"/>
              <w:left w:w="100" w:type="dxa"/>
              <w:bottom w:w="0" w:type="dxa"/>
              <w:right w:w="100" w:type="dxa"/>
            </w:tcMar>
          </w:tcPr>
          <w:p w14:paraId="32A8EAE7" w14:textId="77777777"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Parameter</w:t>
            </w:r>
          </w:p>
        </w:tc>
        <w:tc>
          <w:tcPr>
            <w:tcW w:w="6804" w:type="dxa"/>
            <w:gridSpan w:val="4"/>
            <w:tcMar>
              <w:top w:w="0" w:type="dxa"/>
              <w:left w:w="100" w:type="dxa"/>
              <w:bottom w:w="0" w:type="dxa"/>
              <w:right w:w="100" w:type="dxa"/>
            </w:tcMar>
          </w:tcPr>
          <w:p w14:paraId="154874D1" w14:textId="1240A0AD" w:rsidR="002C332F" w:rsidRPr="0008761C" w:rsidRDefault="007208C4"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370D83" w:rsidRPr="0008761C">
              <w:rPr>
                <w:rFonts w:ascii="Times New Roman" w:eastAsia="Times New Roman" w:hAnsi="Times New Roman" w:cs="Times New Roman"/>
              </w:rPr>
              <w:t>reatment</w:t>
            </w:r>
          </w:p>
        </w:tc>
      </w:tr>
      <w:tr w:rsidR="002C332F" w:rsidRPr="00370D83" w14:paraId="7DB0DD48" w14:textId="77777777" w:rsidTr="00F523B6">
        <w:trPr>
          <w:trHeight w:val="164"/>
        </w:trPr>
        <w:tc>
          <w:tcPr>
            <w:tcW w:w="2830" w:type="dxa"/>
            <w:vMerge/>
            <w:tcMar>
              <w:top w:w="100" w:type="dxa"/>
              <w:left w:w="100" w:type="dxa"/>
              <w:bottom w:w="100" w:type="dxa"/>
              <w:right w:w="100" w:type="dxa"/>
            </w:tcMar>
          </w:tcPr>
          <w:p w14:paraId="41371369" w14:textId="77777777" w:rsidR="002C332F" w:rsidRPr="0008761C" w:rsidRDefault="002C332F" w:rsidP="006A18BA">
            <w:pPr>
              <w:spacing w:after="0" w:line="240" w:lineRule="auto"/>
              <w:rPr>
                <w:rFonts w:ascii="Times New Roman" w:eastAsia="Times New Roman" w:hAnsi="Times New Roman" w:cs="Times New Roman"/>
                <w:b/>
                <w:bCs/>
              </w:rPr>
            </w:pPr>
          </w:p>
        </w:tc>
        <w:tc>
          <w:tcPr>
            <w:tcW w:w="1701" w:type="dxa"/>
            <w:tcMar>
              <w:top w:w="0" w:type="dxa"/>
              <w:left w:w="100" w:type="dxa"/>
              <w:bottom w:w="0" w:type="dxa"/>
              <w:right w:w="100" w:type="dxa"/>
            </w:tcMar>
          </w:tcPr>
          <w:p w14:paraId="78F07F01" w14:textId="1D60EB68"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1</w:t>
            </w:r>
          </w:p>
        </w:tc>
        <w:tc>
          <w:tcPr>
            <w:tcW w:w="1560" w:type="dxa"/>
            <w:tcMar>
              <w:top w:w="0" w:type="dxa"/>
              <w:left w:w="100" w:type="dxa"/>
              <w:bottom w:w="0" w:type="dxa"/>
              <w:right w:w="100" w:type="dxa"/>
            </w:tcMar>
          </w:tcPr>
          <w:p w14:paraId="3D453DBA" w14:textId="57E3E45F"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2</w:t>
            </w:r>
          </w:p>
        </w:tc>
        <w:tc>
          <w:tcPr>
            <w:tcW w:w="1701" w:type="dxa"/>
            <w:tcMar>
              <w:top w:w="0" w:type="dxa"/>
              <w:left w:w="100" w:type="dxa"/>
              <w:bottom w:w="0" w:type="dxa"/>
              <w:right w:w="100" w:type="dxa"/>
            </w:tcMar>
          </w:tcPr>
          <w:p w14:paraId="245DE5DC" w14:textId="5A31A56E"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3</w:t>
            </w:r>
          </w:p>
        </w:tc>
        <w:tc>
          <w:tcPr>
            <w:tcW w:w="1842" w:type="dxa"/>
            <w:tcMar>
              <w:top w:w="0" w:type="dxa"/>
              <w:left w:w="100" w:type="dxa"/>
              <w:bottom w:w="0" w:type="dxa"/>
              <w:right w:w="100" w:type="dxa"/>
            </w:tcMar>
          </w:tcPr>
          <w:p w14:paraId="4147E1DE" w14:textId="641A22AD" w:rsidR="002C332F" w:rsidRPr="0008761C" w:rsidRDefault="00370D83"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T</w:t>
            </w:r>
            <w:r w:rsidR="002C332F" w:rsidRPr="0008761C">
              <w:rPr>
                <w:rFonts w:ascii="Times New Roman" w:eastAsia="Times New Roman" w:hAnsi="Times New Roman" w:cs="Times New Roman"/>
              </w:rPr>
              <w:t>4</w:t>
            </w:r>
          </w:p>
        </w:tc>
      </w:tr>
      <w:tr w:rsidR="002C332F" w:rsidRPr="00370D83" w14:paraId="5F92B9E5" w14:textId="77777777" w:rsidTr="00F523B6">
        <w:trPr>
          <w:trHeight w:val="354"/>
        </w:trPr>
        <w:tc>
          <w:tcPr>
            <w:tcW w:w="2830" w:type="dxa"/>
            <w:tcMar>
              <w:top w:w="0" w:type="dxa"/>
              <w:left w:w="100" w:type="dxa"/>
              <w:bottom w:w="0" w:type="dxa"/>
              <w:right w:w="100" w:type="dxa"/>
            </w:tcMar>
          </w:tcPr>
          <w:p w14:paraId="052618FB" w14:textId="77777777"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pH</w:t>
            </w:r>
          </w:p>
        </w:tc>
        <w:tc>
          <w:tcPr>
            <w:tcW w:w="1701" w:type="dxa"/>
            <w:tcMar>
              <w:top w:w="0" w:type="dxa"/>
              <w:left w:w="100" w:type="dxa"/>
              <w:bottom w:w="0" w:type="dxa"/>
              <w:right w:w="100" w:type="dxa"/>
            </w:tcMar>
          </w:tcPr>
          <w:p w14:paraId="2199188C"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6.868±0.0277</w:t>
            </w:r>
            <w:r w:rsidRPr="0008761C">
              <w:rPr>
                <w:rFonts w:ascii="Times New Roman" w:eastAsia="Times New Roman" w:hAnsi="Times New Roman" w:cs="Times New Roman"/>
                <w:vertAlign w:val="superscript"/>
              </w:rPr>
              <w:t>ab</w:t>
            </w:r>
          </w:p>
        </w:tc>
        <w:tc>
          <w:tcPr>
            <w:tcW w:w="1560" w:type="dxa"/>
            <w:tcMar>
              <w:top w:w="0" w:type="dxa"/>
              <w:left w:w="100" w:type="dxa"/>
              <w:bottom w:w="0" w:type="dxa"/>
              <w:right w:w="100" w:type="dxa"/>
            </w:tcMar>
          </w:tcPr>
          <w:p w14:paraId="094F71A7"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6.836±0.030</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47C7CF63" w14:textId="1C58C939"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6.862±0.029</w:t>
            </w:r>
            <w:r w:rsidRPr="0008761C">
              <w:rPr>
                <w:rFonts w:ascii="Times New Roman" w:eastAsia="Times New Roman" w:hAnsi="Times New Roman" w:cs="Times New Roman"/>
                <w:vertAlign w:val="superscript"/>
              </w:rPr>
              <w:t>ab</w:t>
            </w:r>
          </w:p>
        </w:tc>
        <w:tc>
          <w:tcPr>
            <w:tcW w:w="1842" w:type="dxa"/>
            <w:tcMar>
              <w:top w:w="0" w:type="dxa"/>
              <w:left w:w="100" w:type="dxa"/>
              <w:bottom w:w="0" w:type="dxa"/>
              <w:right w:w="100" w:type="dxa"/>
            </w:tcMar>
          </w:tcPr>
          <w:p w14:paraId="576BD9E3"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6.888±0.008</w:t>
            </w:r>
            <w:r w:rsidRPr="0008761C">
              <w:rPr>
                <w:rFonts w:ascii="Times New Roman" w:eastAsia="Times New Roman" w:hAnsi="Times New Roman" w:cs="Times New Roman"/>
                <w:vertAlign w:val="superscript"/>
              </w:rPr>
              <w:t>b</w:t>
            </w:r>
          </w:p>
        </w:tc>
      </w:tr>
      <w:tr w:rsidR="002C332F" w:rsidRPr="00370D83" w14:paraId="517DF874" w14:textId="77777777" w:rsidTr="00F523B6">
        <w:trPr>
          <w:trHeight w:val="354"/>
        </w:trPr>
        <w:tc>
          <w:tcPr>
            <w:tcW w:w="2830" w:type="dxa"/>
            <w:tcMar>
              <w:top w:w="0" w:type="dxa"/>
              <w:left w:w="100" w:type="dxa"/>
              <w:bottom w:w="0" w:type="dxa"/>
              <w:right w:w="100" w:type="dxa"/>
            </w:tcMar>
          </w:tcPr>
          <w:p w14:paraId="1AF27DA1" w14:textId="77777777"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Protozoa (10</w:t>
            </w:r>
            <w:r w:rsidRPr="0008761C">
              <w:rPr>
                <w:rFonts w:ascii="Times New Roman" w:eastAsia="Times New Roman" w:hAnsi="Times New Roman" w:cs="Times New Roman"/>
                <w:vertAlign w:val="superscript"/>
              </w:rPr>
              <w:t>5</w:t>
            </w:r>
            <w:r w:rsidRPr="0008761C">
              <w:rPr>
                <w:rFonts w:ascii="Times New Roman" w:eastAsia="Times New Roman" w:hAnsi="Times New Roman" w:cs="Times New Roman"/>
              </w:rPr>
              <w:t xml:space="preserve"> CFU/mL)</w:t>
            </w:r>
          </w:p>
        </w:tc>
        <w:tc>
          <w:tcPr>
            <w:tcW w:w="1701" w:type="dxa"/>
            <w:tcMar>
              <w:top w:w="0" w:type="dxa"/>
              <w:left w:w="100" w:type="dxa"/>
              <w:bottom w:w="0" w:type="dxa"/>
              <w:right w:w="100" w:type="dxa"/>
            </w:tcMar>
          </w:tcPr>
          <w:p w14:paraId="63CA517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5.332±0.0798</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63A53DF7"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5.082±0.468</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55471BD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4.56±0.073</w:t>
            </w:r>
            <w:r w:rsidRPr="0008761C">
              <w:rPr>
                <w:rFonts w:ascii="Times New Roman" w:eastAsia="Times New Roman" w:hAnsi="Times New Roman" w:cs="Times New Roman"/>
                <w:vertAlign w:val="superscript"/>
              </w:rPr>
              <w:t>b</w:t>
            </w:r>
          </w:p>
        </w:tc>
        <w:tc>
          <w:tcPr>
            <w:tcW w:w="1842" w:type="dxa"/>
            <w:tcMar>
              <w:top w:w="0" w:type="dxa"/>
              <w:left w:w="100" w:type="dxa"/>
              <w:bottom w:w="0" w:type="dxa"/>
              <w:right w:w="100" w:type="dxa"/>
            </w:tcMar>
          </w:tcPr>
          <w:p w14:paraId="24043BFC"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4.23±0.135</w:t>
            </w:r>
            <w:r w:rsidRPr="0008761C">
              <w:rPr>
                <w:rFonts w:ascii="Times New Roman" w:eastAsia="Times New Roman" w:hAnsi="Times New Roman" w:cs="Times New Roman"/>
                <w:vertAlign w:val="superscript"/>
              </w:rPr>
              <w:t>b</w:t>
            </w:r>
          </w:p>
        </w:tc>
      </w:tr>
      <w:tr w:rsidR="002C332F" w:rsidRPr="00370D83" w14:paraId="579ED89C" w14:textId="77777777" w:rsidTr="00F523B6">
        <w:trPr>
          <w:trHeight w:val="354"/>
        </w:trPr>
        <w:tc>
          <w:tcPr>
            <w:tcW w:w="2830" w:type="dxa"/>
            <w:tcMar>
              <w:top w:w="0" w:type="dxa"/>
              <w:left w:w="100" w:type="dxa"/>
              <w:bottom w:w="0" w:type="dxa"/>
              <w:right w:w="100" w:type="dxa"/>
            </w:tcMar>
          </w:tcPr>
          <w:p w14:paraId="68B16609" w14:textId="5C7479C6"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eastAsia="Times New Roman" w:hAnsi="Times New Roman" w:cs="Times New Roman"/>
              </w:rPr>
              <w:t>bacteria (10</w:t>
            </w:r>
            <w:r w:rsidRPr="0008761C">
              <w:rPr>
                <w:rFonts w:ascii="Times New Roman" w:eastAsia="Times New Roman" w:hAnsi="Times New Roman" w:cs="Times New Roman"/>
                <w:vertAlign w:val="superscript"/>
              </w:rPr>
              <w:t>9</w:t>
            </w:r>
            <w:r w:rsidRPr="0008761C">
              <w:rPr>
                <w:rFonts w:ascii="Times New Roman" w:eastAsia="Times New Roman" w:hAnsi="Times New Roman" w:cs="Times New Roman"/>
              </w:rPr>
              <w:t xml:space="preserve"> cells/mL))</w:t>
            </w:r>
          </w:p>
        </w:tc>
        <w:tc>
          <w:tcPr>
            <w:tcW w:w="1701" w:type="dxa"/>
            <w:tcMar>
              <w:top w:w="0" w:type="dxa"/>
              <w:left w:w="100" w:type="dxa"/>
              <w:bottom w:w="0" w:type="dxa"/>
              <w:right w:w="100" w:type="dxa"/>
            </w:tcMar>
          </w:tcPr>
          <w:p w14:paraId="78A456AF"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3.352±0.5982</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539E7B9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3.17±0.1568</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01F87886"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3.022±0.139</w:t>
            </w:r>
            <w:r w:rsidRPr="0008761C">
              <w:rPr>
                <w:rFonts w:ascii="Times New Roman" w:eastAsia="Times New Roman" w:hAnsi="Times New Roman" w:cs="Times New Roman"/>
                <w:vertAlign w:val="superscript"/>
              </w:rPr>
              <w:t>a</w:t>
            </w:r>
          </w:p>
        </w:tc>
        <w:tc>
          <w:tcPr>
            <w:tcW w:w="1842" w:type="dxa"/>
            <w:tcMar>
              <w:top w:w="0" w:type="dxa"/>
              <w:left w:w="100" w:type="dxa"/>
              <w:bottom w:w="0" w:type="dxa"/>
              <w:right w:w="100" w:type="dxa"/>
            </w:tcMar>
          </w:tcPr>
          <w:p w14:paraId="34345B49"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3.166±0.081</w:t>
            </w:r>
            <w:r w:rsidRPr="0008761C">
              <w:rPr>
                <w:rFonts w:ascii="Times New Roman" w:eastAsia="Times New Roman" w:hAnsi="Times New Roman" w:cs="Times New Roman"/>
                <w:vertAlign w:val="superscript"/>
              </w:rPr>
              <w:t>a</w:t>
            </w:r>
          </w:p>
        </w:tc>
      </w:tr>
      <w:tr w:rsidR="002C332F" w:rsidRPr="00370D83" w14:paraId="0B8FBCF7" w14:textId="77777777" w:rsidTr="00F523B6">
        <w:trPr>
          <w:trHeight w:val="354"/>
        </w:trPr>
        <w:tc>
          <w:tcPr>
            <w:tcW w:w="2830" w:type="dxa"/>
            <w:tcMar>
              <w:top w:w="0" w:type="dxa"/>
              <w:left w:w="100" w:type="dxa"/>
              <w:bottom w:w="0" w:type="dxa"/>
              <w:right w:w="100" w:type="dxa"/>
            </w:tcMar>
          </w:tcPr>
          <w:p w14:paraId="03E8C865" w14:textId="1ABD264C" w:rsidR="002C332F" w:rsidRPr="0008761C" w:rsidRDefault="002C332F" w:rsidP="006A18BA">
            <w:pPr>
              <w:spacing w:after="0" w:line="240" w:lineRule="auto"/>
              <w:rPr>
                <w:rFonts w:ascii="Times New Roman" w:eastAsia="Times New Roman" w:hAnsi="Times New Roman" w:cs="Times New Roman"/>
              </w:rPr>
            </w:pPr>
            <w:r w:rsidRPr="0008761C">
              <w:rPr>
                <w:rFonts w:ascii="Times New Roman" w:hAnsi="Times New Roman" w:cs="Times New Roman"/>
              </w:rPr>
              <w:t>Methane Ga</w:t>
            </w:r>
            <w:r w:rsidRPr="0008761C">
              <w:rPr>
                <w:rFonts w:ascii="Times New Roman" w:eastAsia="Times New Roman" w:hAnsi="Times New Roman" w:cs="Times New Roman"/>
              </w:rPr>
              <w:t>s(mM)</w:t>
            </w:r>
          </w:p>
        </w:tc>
        <w:tc>
          <w:tcPr>
            <w:tcW w:w="1701" w:type="dxa"/>
            <w:tcMar>
              <w:top w:w="0" w:type="dxa"/>
              <w:left w:w="100" w:type="dxa"/>
              <w:bottom w:w="0" w:type="dxa"/>
              <w:right w:w="100" w:type="dxa"/>
            </w:tcMar>
          </w:tcPr>
          <w:p w14:paraId="145C7780"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6.141±1.0439</w:t>
            </w:r>
            <w:r w:rsidRPr="0008761C">
              <w:rPr>
                <w:rFonts w:ascii="Times New Roman" w:eastAsia="Times New Roman" w:hAnsi="Times New Roman" w:cs="Times New Roman"/>
                <w:vertAlign w:val="superscript"/>
              </w:rPr>
              <w:t>a</w:t>
            </w:r>
          </w:p>
        </w:tc>
        <w:tc>
          <w:tcPr>
            <w:tcW w:w="1560" w:type="dxa"/>
            <w:tcMar>
              <w:top w:w="0" w:type="dxa"/>
              <w:left w:w="100" w:type="dxa"/>
              <w:bottom w:w="0" w:type="dxa"/>
              <w:right w:w="100" w:type="dxa"/>
            </w:tcMar>
          </w:tcPr>
          <w:p w14:paraId="3A6134C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5.55±0.5720</w:t>
            </w:r>
            <w:r w:rsidRPr="0008761C">
              <w:rPr>
                <w:rFonts w:ascii="Times New Roman" w:eastAsia="Times New Roman" w:hAnsi="Times New Roman" w:cs="Times New Roman"/>
                <w:vertAlign w:val="superscript"/>
              </w:rPr>
              <w:t>a</w:t>
            </w:r>
          </w:p>
        </w:tc>
        <w:tc>
          <w:tcPr>
            <w:tcW w:w="1701" w:type="dxa"/>
            <w:tcMar>
              <w:top w:w="0" w:type="dxa"/>
              <w:left w:w="100" w:type="dxa"/>
              <w:bottom w:w="0" w:type="dxa"/>
              <w:right w:w="100" w:type="dxa"/>
            </w:tcMar>
          </w:tcPr>
          <w:p w14:paraId="3E338B5E"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5.774±0.753</w:t>
            </w:r>
            <w:r w:rsidRPr="0008761C">
              <w:rPr>
                <w:rFonts w:ascii="Times New Roman" w:eastAsia="Times New Roman" w:hAnsi="Times New Roman" w:cs="Times New Roman"/>
                <w:vertAlign w:val="superscript"/>
              </w:rPr>
              <w:t>a</w:t>
            </w:r>
          </w:p>
        </w:tc>
        <w:tc>
          <w:tcPr>
            <w:tcW w:w="1842" w:type="dxa"/>
            <w:tcMar>
              <w:top w:w="0" w:type="dxa"/>
              <w:left w:w="100" w:type="dxa"/>
              <w:bottom w:w="0" w:type="dxa"/>
              <w:right w:w="100" w:type="dxa"/>
            </w:tcMar>
          </w:tcPr>
          <w:p w14:paraId="5A766864" w14:textId="77777777" w:rsidR="002C332F" w:rsidRPr="0008761C" w:rsidRDefault="002C332F" w:rsidP="006A18BA">
            <w:pPr>
              <w:spacing w:after="0" w:line="240" w:lineRule="auto"/>
              <w:rPr>
                <w:rFonts w:ascii="Times New Roman" w:eastAsia="Times New Roman" w:hAnsi="Times New Roman" w:cs="Times New Roman"/>
                <w:vertAlign w:val="superscript"/>
              </w:rPr>
            </w:pPr>
            <w:r w:rsidRPr="0008761C">
              <w:rPr>
                <w:rFonts w:ascii="Times New Roman" w:eastAsia="Times New Roman" w:hAnsi="Times New Roman" w:cs="Times New Roman"/>
              </w:rPr>
              <w:t>5.662±0.872</w:t>
            </w:r>
            <w:r w:rsidRPr="0008761C">
              <w:rPr>
                <w:rFonts w:ascii="Times New Roman" w:eastAsia="Times New Roman" w:hAnsi="Times New Roman" w:cs="Times New Roman"/>
                <w:vertAlign w:val="superscript"/>
              </w:rPr>
              <w:t>a</w:t>
            </w:r>
          </w:p>
        </w:tc>
      </w:tr>
    </w:tbl>
    <w:p w14:paraId="7301B70D" w14:textId="59A00143" w:rsidR="00345854" w:rsidRDefault="00345854" w:rsidP="00446E21">
      <w:pPr>
        <w:spacing w:line="240" w:lineRule="auto"/>
        <w:jc w:val="both"/>
        <w:rPr>
          <w:rFonts w:ascii="Times New Roman" w:hAnsi="Times New Roman" w:cs="Times New Roman"/>
        </w:rPr>
      </w:pPr>
      <w:r w:rsidRPr="00345854">
        <w:rPr>
          <w:rFonts w:ascii="Times New Roman" w:hAnsi="Times New Roman" w:cs="Times New Roman"/>
        </w:rPr>
        <w:t>Based on ANOVA, only pH and protozoa population were significantly affected by treatment (P ≤ 0.05), while bacterial population and methane production did not show significant differences among treatments (P &gt; 0.05). Different superscript letters indicate significant differences.</w:t>
      </w:r>
    </w:p>
    <w:p w14:paraId="5A4127AD" w14:textId="7E39305F"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lastRenderedPageBreak/>
        <w:t>pH</w:t>
      </w:r>
    </w:p>
    <w:p w14:paraId="109BF7D6" w14:textId="20477B4D"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Observations showed that the ratio of corn </w:t>
      </w:r>
      <w:r w:rsidR="00E80488">
        <w:rPr>
          <w:rFonts w:ascii="Times New Roman" w:hAnsi="Times New Roman" w:cs="Times New Roman"/>
        </w:rPr>
        <w:t xml:space="preserve">stover </w:t>
      </w:r>
      <w:r w:rsidRPr="00446E21">
        <w:rPr>
          <w:rFonts w:ascii="Times New Roman" w:hAnsi="Times New Roman" w:cs="Times New Roman"/>
        </w:rPr>
        <w:t>and red calliandra significantly affected rumen pH (P&lt;0.05). This difference indicates that variations in feed composition can influence rumen pH. The average rumen pH across all treatments ranged from 6.86</w:t>
      </w:r>
      <w:r w:rsidR="00F523B6">
        <w:rPr>
          <w:rFonts w:ascii="Times New Roman" w:hAnsi="Times New Roman" w:cs="Times New Roman"/>
        </w:rPr>
        <w:t>8</w:t>
      </w:r>
      <w:r w:rsidRPr="00446E21">
        <w:rPr>
          <w:rFonts w:ascii="Times New Roman" w:hAnsi="Times New Roman" w:cs="Times New Roman"/>
        </w:rPr>
        <w:t xml:space="preserve"> to 6.88</w:t>
      </w:r>
      <w:r w:rsidR="00F523B6">
        <w:rPr>
          <w:rFonts w:ascii="Times New Roman" w:hAnsi="Times New Roman" w:cs="Times New Roman"/>
        </w:rPr>
        <w:t>8</w:t>
      </w:r>
      <w:r w:rsidRPr="00446E21">
        <w:rPr>
          <w:rFonts w:ascii="Times New Roman" w:hAnsi="Times New Roman" w:cs="Times New Roman"/>
        </w:rPr>
        <w:t>. This pH value is within normal limits, indicating that rumen fermentation is proceeding smoothly.</w:t>
      </w:r>
    </w:p>
    <w:p w14:paraId="4A7F7401" w14:textId="77777777"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Rumen pH is an indicator of the success of rumen fermentation. A good rumen pH, within the normal range of 6 to 7, is crucial for optimal rumen microbial fermentation. When the pH is within this range, rumen microorganisms can grow and degrade feed effectively, and microbial activity remains high, an indicator of good fermentation. A less-than-ideal pH will disrupt microbial activity and slow down the fermentation and feed degradation processes in the rumen of ruminants (Maulana et al., 2016).</w:t>
      </w:r>
    </w:p>
    <w:p w14:paraId="008C24AB" w14:textId="0DE695FF"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Rumen pH is a crucial factor influencing rumen digestion (Perez et al., 2024). Maintaining rumen pH is crucial. A stable rumen pH allows rumen microbes to grow and develop well, producing volatile fatty acids (VFAs) and NH3 Suharti et al., </w:t>
      </w:r>
      <w:r w:rsidR="00370D83">
        <w:rPr>
          <w:rFonts w:ascii="Times New Roman" w:hAnsi="Times New Roman" w:cs="Times New Roman"/>
        </w:rPr>
        <w:t>(</w:t>
      </w:r>
      <w:r w:rsidRPr="00446E21">
        <w:rPr>
          <w:rFonts w:ascii="Times New Roman" w:hAnsi="Times New Roman" w:cs="Times New Roman"/>
        </w:rPr>
        <w:t>2018). Likewise, as Faniyi (2024) stated, optimal rumen pH typically ranges between 6.0 and 7.0, supporting a diverse population of fiber-degrading bacteria essential for effective digestion.</w:t>
      </w:r>
    </w:p>
    <w:p w14:paraId="1B676BA5" w14:textId="7777777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Protozoa</w:t>
      </w:r>
    </w:p>
    <w:p w14:paraId="3C823A9A" w14:textId="6AA91531"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Observations of protozoa populations showed significant differences (P&lt;0.05). The average protozoa population ranged from 4.23 to 5.</w:t>
      </w:r>
      <w:r w:rsidR="00F523B6">
        <w:rPr>
          <w:rFonts w:ascii="Times New Roman" w:hAnsi="Times New Roman" w:cs="Times New Roman"/>
        </w:rPr>
        <w:t>332</w:t>
      </w:r>
      <w:r w:rsidRPr="00446E21">
        <w:rPr>
          <w:rFonts w:ascii="Times New Roman" w:hAnsi="Times New Roman" w:cs="Times New Roman"/>
        </w:rPr>
        <w:t xml:space="preserve"> x 10</w:t>
      </w:r>
      <w:r w:rsidRPr="00F523B6">
        <w:rPr>
          <w:rFonts w:ascii="Times New Roman" w:hAnsi="Times New Roman" w:cs="Times New Roman"/>
          <w:vertAlign w:val="superscript"/>
        </w:rPr>
        <w:t>5</w:t>
      </w:r>
      <w:r w:rsidRPr="00446E21">
        <w:rPr>
          <w:rFonts w:ascii="Times New Roman" w:hAnsi="Times New Roman" w:cs="Times New Roman"/>
        </w:rPr>
        <w:t xml:space="preserve"> cells/mL for each treatment. This protozoa population is still within the normal range for rumen protozoa, which averages around 10</w:t>
      </w:r>
      <w:r w:rsidRPr="00370D83">
        <w:rPr>
          <w:rFonts w:ascii="Times New Roman" w:hAnsi="Times New Roman" w:cs="Times New Roman"/>
          <w:vertAlign w:val="superscript"/>
        </w:rPr>
        <w:t>5</w:t>
      </w:r>
      <w:r w:rsidRPr="00446E21">
        <w:rPr>
          <w:rFonts w:ascii="Times New Roman" w:hAnsi="Times New Roman" w:cs="Times New Roman"/>
        </w:rPr>
        <w:t xml:space="preserve"> to 10</w:t>
      </w:r>
      <w:r w:rsidRPr="00370D83">
        <w:rPr>
          <w:rFonts w:ascii="Times New Roman" w:hAnsi="Times New Roman" w:cs="Times New Roman"/>
          <w:vertAlign w:val="superscript"/>
        </w:rPr>
        <w:t>6</w:t>
      </w:r>
      <w:r w:rsidRPr="00446E21">
        <w:rPr>
          <w:rFonts w:ascii="Times New Roman" w:hAnsi="Times New Roman" w:cs="Times New Roman"/>
        </w:rPr>
        <w:t xml:space="preserve"> cells/mL (Yasin et al., 2021). The results of the study also showed a downward trend in protozoa populations for each treatment.</w:t>
      </w:r>
    </w:p>
    <w:p w14:paraId="6B0EF0B9" w14:textId="51847AC8"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Previous research has shown a </w:t>
      </w:r>
      <w:r w:rsidR="003F477F">
        <w:rPr>
          <w:rFonts w:ascii="Times New Roman" w:hAnsi="Times New Roman" w:cs="Times New Roman"/>
        </w:rPr>
        <w:t>similar</w:t>
      </w:r>
      <w:r w:rsidRPr="00446E21">
        <w:rPr>
          <w:rFonts w:ascii="Times New Roman" w:hAnsi="Times New Roman" w:cs="Times New Roman"/>
        </w:rPr>
        <w:t xml:space="preserve"> finding. </w:t>
      </w:r>
      <w:r w:rsidR="00E6541A">
        <w:rPr>
          <w:rFonts w:ascii="Times New Roman" w:hAnsi="Times New Roman" w:cs="Times New Roman"/>
        </w:rPr>
        <w:t>(</w:t>
      </w:r>
      <w:r w:rsidRPr="00446E21">
        <w:rPr>
          <w:rFonts w:ascii="Times New Roman" w:hAnsi="Times New Roman" w:cs="Times New Roman"/>
        </w:rPr>
        <w:t>Ningrat et al.</w:t>
      </w:r>
      <w:r w:rsidR="00E6541A">
        <w:rPr>
          <w:rFonts w:ascii="Times New Roman" w:hAnsi="Times New Roman" w:cs="Times New Roman"/>
        </w:rPr>
        <w:t>,</w:t>
      </w:r>
      <w:r w:rsidRPr="00446E21">
        <w:rPr>
          <w:rFonts w:ascii="Times New Roman" w:hAnsi="Times New Roman" w:cs="Times New Roman"/>
        </w:rPr>
        <w:t xml:space="preserve"> 2019) found that adding lamtoro legumes reduced protozoa populations. Aban (2016) also found that using lamtoro legumes at higher doses reduced protozoa populations. </w:t>
      </w:r>
      <w:r w:rsidR="00677492" w:rsidRPr="00677492">
        <w:rPr>
          <w:rFonts w:ascii="Times New Roman" w:hAnsi="Times New Roman" w:cs="Times New Roman"/>
        </w:rPr>
        <w:t>This study supports the findings of previous research showing that the combination of corn straw and red calliandra legumes can affect protozoa populations but still under optimal conditions</w:t>
      </w:r>
      <w:r w:rsidRPr="00446E21">
        <w:rPr>
          <w:rFonts w:ascii="Times New Roman" w:hAnsi="Times New Roman" w:cs="Times New Roman"/>
        </w:rPr>
        <w:t>.</w:t>
      </w:r>
    </w:p>
    <w:p w14:paraId="28708A5C" w14:textId="29948B64"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decrease in protozoa numbers in this study was likely due to the tannin content in calliandra. Tannins have antimicrobial properties that can inhibit the activity and growth of certain microbes in the rumen, including protozoa, by binding to proteins and interfering with microbial enzyme activity. This binding alters membrane permeability, disrupting membrane function and ultimately causing protozoan cell damage or lysis. Tannins can also bind microbial proteins and enzymes, disrupting protozoan metabolic activity. When enzymes are unable to function properly, protozoa cannot digest nutrients optimally and their growth is inhibited (Besharati, 2022).</w:t>
      </w:r>
    </w:p>
    <w:p w14:paraId="17BCED68" w14:textId="7777777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Bacteria</w:t>
      </w:r>
    </w:p>
    <w:p w14:paraId="45EC5A04" w14:textId="6B0C51E2"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results of the study showed no significant effect on the bacterial population. Bacterial populations in each treatment ranged from 3,022 to 3,352 × 10⁹ CFU/mL, indicating that rumen fermentation conditions were relatively uniform and stable. This indicates that the balance of corn </w:t>
      </w:r>
      <w:r w:rsidR="00E80488">
        <w:rPr>
          <w:rFonts w:ascii="Times New Roman" w:hAnsi="Times New Roman" w:cs="Times New Roman"/>
        </w:rPr>
        <w:t xml:space="preserve">stover </w:t>
      </w:r>
      <w:r w:rsidRPr="00446E21">
        <w:rPr>
          <w:rFonts w:ascii="Times New Roman" w:hAnsi="Times New Roman" w:cs="Times New Roman"/>
        </w:rPr>
        <w:t xml:space="preserve">and red calliandra in the given treatments provided sufficient fermentation substrate to support bacterial growth. According to </w:t>
      </w:r>
      <w:r w:rsidR="00E6541A">
        <w:rPr>
          <w:rFonts w:ascii="Times New Roman" w:hAnsi="Times New Roman" w:cs="Times New Roman"/>
        </w:rPr>
        <w:t>(</w:t>
      </w:r>
      <w:r w:rsidRPr="00446E21">
        <w:rPr>
          <w:rFonts w:ascii="Times New Roman" w:hAnsi="Times New Roman" w:cs="Times New Roman"/>
        </w:rPr>
        <w:t>McDonald et al.</w:t>
      </w:r>
      <w:r w:rsidR="00E6541A">
        <w:rPr>
          <w:rFonts w:ascii="Times New Roman" w:hAnsi="Times New Roman" w:cs="Times New Roman"/>
        </w:rPr>
        <w:t xml:space="preserve">, </w:t>
      </w:r>
      <w:r w:rsidRPr="00446E21">
        <w:rPr>
          <w:rFonts w:ascii="Times New Roman" w:hAnsi="Times New Roman" w:cs="Times New Roman"/>
        </w:rPr>
        <w:t>2010), the total bacterial population for rumen fermentation activity is 10⁹ to 10⁹. The bacterial population observed in this study was within the optimal range to support nutrient degradation and volatile fatty acid (VFA) production in the rumen.</w:t>
      </w:r>
    </w:p>
    <w:p w14:paraId="77F4ECB8" w14:textId="14063558"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The results showed relatively comparable bacterial populations across treatments. The increasing proportion of calliandra in each treatment tended to stabilize the bacterial population. This stability was attributed to a supportive environment and sufficient nutrient intake for bacterial growth </w:t>
      </w:r>
      <w:r w:rsidR="00E6541A">
        <w:rPr>
          <w:rFonts w:ascii="Times New Roman" w:hAnsi="Times New Roman" w:cs="Times New Roman"/>
        </w:rPr>
        <w:t>(</w:t>
      </w:r>
      <w:r w:rsidRPr="00446E21">
        <w:rPr>
          <w:rFonts w:ascii="Times New Roman" w:hAnsi="Times New Roman" w:cs="Times New Roman"/>
        </w:rPr>
        <w:t xml:space="preserve">Kusumaningrum et </w:t>
      </w:r>
      <w:r w:rsidR="00E6541A">
        <w:rPr>
          <w:rFonts w:ascii="Times New Roman" w:hAnsi="Times New Roman" w:cs="Times New Roman"/>
        </w:rPr>
        <w:t>al</w:t>
      </w:r>
      <w:r w:rsidRPr="00446E21">
        <w:rPr>
          <w:rFonts w:ascii="Times New Roman" w:hAnsi="Times New Roman" w:cs="Times New Roman"/>
        </w:rPr>
        <w:t>.</w:t>
      </w:r>
      <w:r w:rsidR="00E6541A">
        <w:rPr>
          <w:rFonts w:ascii="Times New Roman" w:hAnsi="Times New Roman" w:cs="Times New Roman"/>
        </w:rPr>
        <w:t>,</w:t>
      </w:r>
      <w:r w:rsidRPr="00446E21">
        <w:rPr>
          <w:rFonts w:ascii="Times New Roman" w:hAnsi="Times New Roman" w:cs="Times New Roman"/>
        </w:rPr>
        <w:t xml:space="preserve"> 2018). Research conducted by </w:t>
      </w:r>
      <w:r w:rsidR="00E6541A">
        <w:rPr>
          <w:rFonts w:ascii="Times New Roman" w:hAnsi="Times New Roman" w:cs="Times New Roman"/>
        </w:rPr>
        <w:t>(</w:t>
      </w:r>
      <w:r w:rsidRPr="00446E21">
        <w:rPr>
          <w:rFonts w:ascii="Times New Roman" w:hAnsi="Times New Roman" w:cs="Times New Roman"/>
        </w:rPr>
        <w:t>Hidayat et al.</w:t>
      </w:r>
      <w:r w:rsidR="00E6541A">
        <w:rPr>
          <w:rFonts w:ascii="Times New Roman" w:hAnsi="Times New Roman" w:cs="Times New Roman"/>
        </w:rPr>
        <w:t xml:space="preserve">, </w:t>
      </w:r>
      <w:r w:rsidRPr="00446E21">
        <w:rPr>
          <w:rFonts w:ascii="Times New Roman" w:hAnsi="Times New Roman" w:cs="Times New Roman"/>
        </w:rPr>
        <w:t>2020) aligns with research that suggests that combining energy-based feed with red calliandra legumes does not always reduce rumen microbial populations. This is because energy availability maintains fermentation activity and microbial growth, and the presence of rumen bacteria that can adapt to tannins keeps populations stable.</w:t>
      </w:r>
    </w:p>
    <w:p w14:paraId="2FD585CF" w14:textId="77777777" w:rsidR="00F523B6" w:rsidRDefault="00F523B6" w:rsidP="00446E21">
      <w:pPr>
        <w:spacing w:line="240" w:lineRule="auto"/>
        <w:jc w:val="both"/>
        <w:rPr>
          <w:rFonts w:ascii="Times New Roman" w:hAnsi="Times New Roman" w:cs="Times New Roman"/>
          <w:b/>
          <w:bCs/>
        </w:rPr>
      </w:pPr>
    </w:p>
    <w:p w14:paraId="0A2A4097" w14:textId="739ED81B"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lastRenderedPageBreak/>
        <w:t>Methane Gas</w:t>
      </w:r>
    </w:p>
    <w:p w14:paraId="11FC8A25" w14:textId="6AC93779"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 xml:space="preserve">Analysis of variance (Analysis of variance) of the ratio of </w:t>
      </w:r>
      <w:r w:rsidR="00C1435B">
        <w:rPr>
          <w:rFonts w:ascii="Times New Roman" w:hAnsi="Times New Roman" w:cs="Times New Roman"/>
        </w:rPr>
        <w:t xml:space="preserve">corn stover </w:t>
      </w:r>
      <w:r w:rsidRPr="00446E21">
        <w:rPr>
          <w:rFonts w:ascii="Times New Roman" w:hAnsi="Times New Roman" w:cs="Times New Roman"/>
        </w:rPr>
        <w:t>and red calliandra did not significantly affect methane gas production (P&gt;0.05), but there was a tendency to decrease. Methane concentrations ranged from 5.55 to 6.14</w:t>
      </w:r>
      <w:r w:rsidR="00F523B6">
        <w:rPr>
          <w:rFonts w:ascii="Times New Roman" w:hAnsi="Times New Roman" w:cs="Times New Roman"/>
        </w:rPr>
        <w:t>1</w:t>
      </w:r>
      <w:r w:rsidRPr="00446E21">
        <w:rPr>
          <w:rFonts w:ascii="Times New Roman" w:hAnsi="Times New Roman" w:cs="Times New Roman"/>
        </w:rPr>
        <w:t xml:space="preserve"> mM across all treatments. Methane production from each treatment showed a narrow range.</w:t>
      </w:r>
    </w:p>
    <w:p w14:paraId="4CE222AB" w14:textId="6EC412E1" w:rsidR="004755F2" w:rsidRDefault="00446E21" w:rsidP="00651360">
      <w:pPr>
        <w:spacing w:line="240" w:lineRule="auto"/>
        <w:jc w:val="both"/>
        <w:rPr>
          <w:rFonts w:ascii="Times New Roman" w:hAnsi="Times New Roman" w:cs="Times New Roman"/>
        </w:rPr>
      </w:pPr>
      <w:r w:rsidRPr="00446E21">
        <w:rPr>
          <w:rFonts w:ascii="Times New Roman" w:hAnsi="Times New Roman" w:cs="Times New Roman"/>
        </w:rPr>
        <w:t>Methane gas in the rumen is naturally formed from CO</w:t>
      </w:r>
      <w:r w:rsidR="000D4A8E" w:rsidRPr="000D4A8E">
        <w:rPr>
          <w:rFonts w:ascii="Times New Roman" w:hAnsi="Times New Roman" w:cs="Times New Roman"/>
          <w:vertAlign w:val="superscript"/>
        </w:rPr>
        <w:t>2</w:t>
      </w:r>
      <w:r w:rsidR="000D4A8E">
        <w:rPr>
          <w:rFonts w:ascii="Times New Roman" w:hAnsi="Times New Roman" w:cs="Times New Roman"/>
        </w:rPr>
        <w:t xml:space="preserve"> </w:t>
      </w:r>
      <w:r w:rsidRPr="00446E21">
        <w:rPr>
          <w:rFonts w:ascii="Times New Roman" w:hAnsi="Times New Roman" w:cs="Times New Roman"/>
        </w:rPr>
        <w:t>and H</w:t>
      </w:r>
      <w:r w:rsidR="000D4A8E" w:rsidRPr="000D4A8E">
        <w:rPr>
          <w:rFonts w:ascii="Times New Roman" w:hAnsi="Times New Roman" w:cs="Times New Roman"/>
          <w:vertAlign w:val="superscript"/>
        </w:rPr>
        <w:t>2</w:t>
      </w:r>
      <w:r w:rsidRPr="00446E21">
        <w:rPr>
          <w:rFonts w:ascii="Times New Roman" w:hAnsi="Times New Roman" w:cs="Times New Roman"/>
        </w:rPr>
        <w:t>, catalyzed by methanogenic microbes as part of the feed fermentation process in the rumen (Yuliana, 2019). Methane gas production results from the interaction of protozoa and rumen bacteria. In the initial stage, carbohydrates from feed are fermented into volatile fatty acids (VFAs), which are used by livestock as an energy source, producing hydrogen gas (H</w:t>
      </w:r>
      <w:r w:rsidR="000D4A8E" w:rsidRPr="000D4A8E">
        <w:rPr>
          <w:rFonts w:ascii="Times New Roman" w:hAnsi="Times New Roman" w:cs="Times New Roman"/>
          <w:vertAlign w:val="subscript"/>
        </w:rPr>
        <w:t>2</w:t>
      </w:r>
      <w:r w:rsidRPr="00446E21">
        <w:rPr>
          <w:rFonts w:ascii="Times New Roman" w:hAnsi="Times New Roman" w:cs="Times New Roman"/>
        </w:rPr>
        <w:t>) and carbon dioxide (CO</w:t>
      </w:r>
      <w:r w:rsidR="000D4A8E">
        <w:rPr>
          <w:rFonts w:ascii="Times New Roman" w:hAnsi="Times New Roman" w:cs="Times New Roman"/>
          <w:vertAlign w:val="superscript"/>
        </w:rPr>
        <w:t>2</w:t>
      </w:r>
      <w:r w:rsidRPr="00446E21">
        <w:rPr>
          <w:rFonts w:ascii="Times New Roman" w:hAnsi="Times New Roman" w:cs="Times New Roman"/>
        </w:rPr>
        <w:t>) as byproducts. Methanogenic microorganisms (Archaea) then utilize the H₂ and CO₂ through methanogenesis, a process that involves the reduction of CO</w:t>
      </w:r>
      <w:r w:rsidR="000D4A8E" w:rsidRPr="000D4A8E">
        <w:rPr>
          <w:rFonts w:ascii="Times New Roman" w:hAnsi="Times New Roman" w:cs="Times New Roman"/>
          <w:vertAlign w:val="superscript"/>
        </w:rPr>
        <w:t>2</w:t>
      </w:r>
      <w:r w:rsidRPr="00446E21">
        <w:rPr>
          <w:rFonts w:ascii="Times New Roman" w:hAnsi="Times New Roman" w:cs="Times New Roman"/>
        </w:rPr>
        <w:t xml:space="preserve"> by H₂, producing methane gas (CH₄). Previous research (Ridwan et al., 2014) found that increasing the use of silage containing calliandra in in vitro rumen fermentation reduced methane concentration and total gas production by approximately 11–25%.</w:t>
      </w:r>
    </w:p>
    <w:p w14:paraId="0182EDB0" w14:textId="47F39997" w:rsidR="00446E21" w:rsidRPr="004755F2" w:rsidRDefault="00446E21" w:rsidP="00446E21">
      <w:pPr>
        <w:spacing w:line="240" w:lineRule="auto"/>
        <w:jc w:val="both"/>
        <w:rPr>
          <w:rFonts w:ascii="Times New Roman" w:hAnsi="Times New Roman" w:cs="Times New Roman"/>
          <w:b/>
          <w:bCs/>
        </w:rPr>
      </w:pPr>
      <w:r w:rsidRPr="004755F2">
        <w:rPr>
          <w:rFonts w:ascii="Times New Roman" w:hAnsi="Times New Roman" w:cs="Times New Roman"/>
          <w:b/>
          <w:bCs/>
        </w:rPr>
        <w:t>Conclusion</w:t>
      </w:r>
    </w:p>
    <w:p w14:paraId="7192286B" w14:textId="67989CE6"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Based on the results of this research, it can be concluded that the combination of corn stem and red calliandra did not significantly impact bacterial populations and methane production, although there was a downward trend. This indicates that the combination of</w:t>
      </w:r>
      <w:r w:rsidR="00C1435B">
        <w:rPr>
          <w:rFonts w:ascii="Times New Roman" w:hAnsi="Times New Roman" w:cs="Times New Roman"/>
        </w:rPr>
        <w:t xml:space="preserve"> corn stover </w:t>
      </w:r>
      <w:r w:rsidRPr="00446E21">
        <w:rPr>
          <w:rFonts w:ascii="Times New Roman" w:hAnsi="Times New Roman" w:cs="Times New Roman"/>
        </w:rPr>
        <w:t>and red calliandra is still able to maintain stable rumen fermentation conditions, allowing bacterial activity and the fermentation process to proceed normally. However, the balanced feed treatment significantly affected rumen pH and protozoa populations, indicating that feed composition can influence the dynamics of certain microorganisms in the rumen ecosystem.</w:t>
      </w:r>
    </w:p>
    <w:p w14:paraId="0F258B0C" w14:textId="77777777" w:rsidR="00446E21" w:rsidRPr="00370D83" w:rsidRDefault="00446E21" w:rsidP="00446E21">
      <w:pPr>
        <w:spacing w:line="240" w:lineRule="auto"/>
        <w:jc w:val="both"/>
        <w:rPr>
          <w:rFonts w:ascii="Times New Roman" w:hAnsi="Times New Roman" w:cs="Times New Roman"/>
          <w:b/>
          <w:bCs/>
        </w:rPr>
      </w:pPr>
      <w:r w:rsidRPr="00370D83">
        <w:rPr>
          <w:rFonts w:ascii="Times New Roman" w:hAnsi="Times New Roman" w:cs="Times New Roman"/>
          <w:b/>
          <w:bCs/>
        </w:rPr>
        <w:t>ACKNOWLEDGMENTS</w:t>
      </w:r>
    </w:p>
    <w:p w14:paraId="001A5186" w14:textId="2E53F219" w:rsidR="00446E21" w:rsidRPr="00446E21" w:rsidRDefault="00446E21" w:rsidP="00651360">
      <w:pPr>
        <w:spacing w:line="240" w:lineRule="auto"/>
        <w:jc w:val="both"/>
        <w:rPr>
          <w:rFonts w:ascii="Times New Roman" w:hAnsi="Times New Roman" w:cs="Times New Roman"/>
        </w:rPr>
      </w:pPr>
      <w:r w:rsidRPr="00446E21">
        <w:rPr>
          <w:rFonts w:ascii="Times New Roman" w:hAnsi="Times New Roman" w:cs="Times New Roman"/>
        </w:rPr>
        <w:t>The authors gratefully acknowledge the financial support provided by the Academic Leadership Grant (ALG) under Grant Number (3208/UN6.J/PT.00/2025). This support was crucial in enabling the successful completion of this research project.</w:t>
      </w:r>
    </w:p>
    <w:p w14:paraId="34235A3D" w14:textId="710470B5" w:rsidR="00446E21" w:rsidRPr="00CF5723" w:rsidRDefault="00651360" w:rsidP="00446E21">
      <w:pPr>
        <w:spacing w:line="360" w:lineRule="auto"/>
        <w:jc w:val="both"/>
        <w:rPr>
          <w:rFonts w:ascii="Times New Roman" w:hAnsi="Times New Roman" w:cs="Times New Roman"/>
          <w:b/>
          <w:bCs/>
        </w:rPr>
      </w:pPr>
      <w:r w:rsidRPr="00CF5723">
        <w:rPr>
          <w:rFonts w:ascii="Times New Roman" w:hAnsi="Times New Roman" w:cs="Times New Roman"/>
          <w:b/>
          <w:bCs/>
        </w:rPr>
        <w:t>REFERENCES</w:t>
      </w:r>
    </w:p>
    <w:p w14:paraId="3A70CB14"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Aban, M. L., &amp; Bestil, L. C. (2016). Rumen defaunation: determining the level and frequency of Leucaena leucocephala Linn. forage. </w:t>
      </w:r>
      <w:r w:rsidRPr="009F49BD">
        <w:rPr>
          <w:rFonts w:ascii="Times New Roman" w:eastAsia="Times New Roman" w:hAnsi="Times New Roman" w:cs="Times New Roman"/>
          <w:i/>
          <w:iCs/>
          <w:highlight w:val="white"/>
        </w:rPr>
        <w:t>International Journal of Food Engineering</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2</w:t>
      </w:r>
      <w:r w:rsidRPr="009F49BD">
        <w:rPr>
          <w:rFonts w:ascii="Times New Roman" w:eastAsia="Times New Roman" w:hAnsi="Times New Roman" w:cs="Times New Roman"/>
          <w:highlight w:val="white"/>
        </w:rPr>
        <w:t>(1), 55-60.</w:t>
      </w:r>
      <w:r w:rsidRPr="009F49BD">
        <w:rPr>
          <w:rFonts w:ascii="Times New Roman" w:hAnsi="Times New Roman" w:cs="Times New Roman"/>
        </w:rPr>
        <w:t xml:space="preserve"> </w:t>
      </w:r>
      <w:r w:rsidRPr="009F49BD">
        <w:rPr>
          <w:rFonts w:ascii="Times New Roman" w:eastAsia="Times New Roman" w:hAnsi="Times New Roman" w:cs="Times New Roman"/>
          <w:highlight w:val="white"/>
        </w:rPr>
        <w:t>doi: 10.18178/ijfe.2.1.55-60</w:t>
      </w:r>
    </w:p>
    <w:p w14:paraId="142B8E5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rPr>
      </w:pPr>
      <w:r w:rsidRPr="009F49BD">
        <w:rPr>
          <w:rFonts w:ascii="Times New Roman" w:eastAsia="Times New Roman" w:hAnsi="Times New Roman" w:cs="Times New Roman"/>
          <w:highlight w:val="white"/>
          <w:lang w:val="pt-BR"/>
        </w:rPr>
        <w:t xml:space="preserve">Besharati, M., Maggiolino, A., Palangi, V., Kaya, A., Jabbar, M., Eseceli, H., Palo, P,D,. </w:t>
      </w:r>
      <w:r w:rsidRPr="009F49BD">
        <w:rPr>
          <w:rFonts w:ascii="Times New Roman" w:eastAsia="Times New Roman" w:hAnsi="Times New Roman" w:cs="Times New Roman"/>
          <w:highlight w:val="white"/>
        </w:rPr>
        <w:t>&amp; Lorenzo, J. M. (2022). Tannin in ruminant nutrition. </w:t>
      </w:r>
      <w:r w:rsidRPr="009F49BD">
        <w:rPr>
          <w:rFonts w:ascii="Times New Roman" w:eastAsia="Times New Roman" w:hAnsi="Times New Roman" w:cs="Times New Roman"/>
          <w:i/>
          <w:iCs/>
          <w:highlight w:val="white"/>
        </w:rPr>
        <w:t>Molecules</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27</w:t>
      </w:r>
      <w:r w:rsidRPr="009F49BD">
        <w:rPr>
          <w:rFonts w:ascii="Times New Roman" w:eastAsia="Times New Roman" w:hAnsi="Times New Roman" w:cs="Times New Roman"/>
          <w:highlight w:val="white"/>
        </w:rPr>
        <w:t>(23), 8273.</w:t>
      </w:r>
      <w:r w:rsidRPr="009F49BD">
        <w:rPr>
          <w:rFonts w:ascii="Times New Roman" w:hAnsi="Times New Roman" w:cs="Times New Roman"/>
        </w:rPr>
        <w:t xml:space="preserve"> </w:t>
      </w:r>
      <w:hyperlink r:id="rId5" w:history="1">
        <w:r w:rsidRPr="009F49BD">
          <w:rPr>
            <w:rStyle w:val="Hyperlink"/>
            <w:rFonts w:ascii="Times New Roman" w:eastAsia="Times New Roman" w:hAnsi="Times New Roman" w:cs="Times New Roman"/>
            <w:color w:val="auto"/>
            <w:u w:val="none"/>
          </w:rPr>
          <w:t>https://doi.org/10.3390/molecules27238273</w:t>
        </w:r>
      </w:hyperlink>
    </w:p>
    <w:p w14:paraId="6601664A" w14:textId="77777777" w:rsidR="009F49BD" w:rsidRPr="009F49BD" w:rsidRDefault="009F49BD" w:rsidP="00651360">
      <w:pPr>
        <w:pStyle w:val="ListParagraph"/>
        <w:keepLines/>
        <w:numPr>
          <w:ilvl w:val="0"/>
          <w:numId w:val="1"/>
        </w:numPr>
        <w:spacing w:line="240" w:lineRule="auto"/>
        <w:jc w:val="both"/>
        <w:rPr>
          <w:rFonts w:ascii="Times New Roman" w:hAnsi="Times New Roman" w:cs="Times New Roman"/>
        </w:rPr>
      </w:pPr>
      <w:r w:rsidRPr="009F49BD">
        <w:rPr>
          <w:rFonts w:ascii="Times New Roman" w:eastAsia="Times New Roman" w:hAnsi="Times New Roman" w:cs="Times New Roman"/>
          <w:highlight w:val="white"/>
        </w:rPr>
        <w:t xml:space="preserve">Faniyi, T. O., Owolabi, A., &amp; Soyelu, O. T. (2024). Rumen PH and Microbial Shift: Implications for Ruminant Nutrition-a Review. </w:t>
      </w:r>
      <w:r w:rsidRPr="009F49BD">
        <w:rPr>
          <w:rFonts w:ascii="Times New Roman" w:eastAsia="Times New Roman" w:hAnsi="Times New Roman" w:cs="Times New Roman"/>
          <w:i/>
          <w:iCs/>
          <w:highlight w:val="white"/>
        </w:rPr>
        <w:t>Niger. J. Anim. Prod</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51</w:t>
      </w:r>
      <w:r w:rsidRPr="009F49BD">
        <w:rPr>
          <w:rFonts w:ascii="Times New Roman" w:eastAsia="Times New Roman" w:hAnsi="Times New Roman" w:cs="Times New Roman"/>
          <w:highlight w:val="white"/>
        </w:rPr>
        <w:t xml:space="preserve">, 103-120.  </w:t>
      </w:r>
      <w:hyperlink r:id="rId6">
        <w:r w:rsidRPr="009F49BD">
          <w:rPr>
            <w:rFonts w:ascii="Times New Roman" w:eastAsia="Times New Roman" w:hAnsi="Times New Roman" w:cs="Times New Roman"/>
            <w:highlight w:val="white"/>
          </w:rPr>
          <w:t>https://doi.org/10.51791/njap.v51i5.8269</w:t>
        </w:r>
      </w:hyperlink>
    </w:p>
    <w:p w14:paraId="5EBE2349"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rPr>
      </w:pPr>
      <w:r w:rsidRPr="009F49BD">
        <w:rPr>
          <w:rFonts w:ascii="Times New Roman" w:hAnsi="Times New Roman" w:cs="Times New Roman"/>
          <w:lang w:val="da-DK"/>
        </w:rPr>
        <w:t xml:space="preserve">Gerber, P. J., Steinfeld, H., Henderson, B., Mottet, A., Opio, C., Dijkman, J., Falcucci, A., &amp; Tempio, G. (2013). </w:t>
      </w:r>
      <w:r w:rsidRPr="009F49BD">
        <w:rPr>
          <w:rFonts w:ascii="Times New Roman" w:hAnsi="Times New Roman" w:cs="Times New Roman"/>
          <w:i/>
          <w:iCs/>
        </w:rPr>
        <w:t>Tackling climate change through livestock: A global assessment of emissions and mitigation opportunities</w:t>
      </w:r>
      <w:r w:rsidRPr="009F49BD">
        <w:rPr>
          <w:rFonts w:ascii="Times New Roman" w:hAnsi="Times New Roman" w:cs="Times New Roman"/>
        </w:rPr>
        <w:t>. Food and Agriculture Organization. https://www.fao.org/3/i3437e/i3437e.pdf</w:t>
      </w:r>
    </w:p>
    <w:p w14:paraId="3F5C91C5"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rPr>
      </w:pPr>
      <w:r w:rsidRPr="009F49BD">
        <w:rPr>
          <w:rFonts w:ascii="Times New Roman" w:hAnsi="Times New Roman" w:cs="Times New Roman"/>
        </w:rPr>
        <w:t>Hernaman, I., Budiman, A., Nurachman, S., &amp; Hidrajat, K. (2015). Kajian In Vitro Subtitusi Konsentrat dengan Penggunaan Limbah Perkebunan Singkong yang Disuplementasi Kobalt dan Seng dalam Ransum Domba. Buletin Peternakan, 39(2), 71–80. https://doi.org/10.21059/buletinpeternak.v39i2.6710</w:t>
      </w:r>
    </w:p>
    <w:p w14:paraId="5D50FBC5"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Hidayat, S. S. Sudana, U. H. Tanuwiria, I. Hernaman. (2021). Fermentabilitas ransum sapi perah berbasis jerami padi dan daun kaliandra yang disuplementasi konsentrat terfermentasi. </w:t>
      </w:r>
      <w:r w:rsidRPr="009F49BD">
        <w:rPr>
          <w:rFonts w:ascii="Times New Roman" w:eastAsia="Times New Roman" w:hAnsi="Times New Roman" w:cs="Times New Roman"/>
          <w:i/>
          <w:iCs/>
          <w:highlight w:val="white"/>
        </w:rPr>
        <w:t>Jurnal Peternakan</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18</w:t>
      </w:r>
      <w:r w:rsidRPr="009F49BD">
        <w:rPr>
          <w:rFonts w:ascii="Times New Roman" w:eastAsia="Times New Roman" w:hAnsi="Times New Roman" w:cs="Times New Roman"/>
          <w:highlight w:val="white"/>
        </w:rPr>
        <w:t>(1), 13-18.</w:t>
      </w:r>
      <w:hyperlink r:id="rId7">
        <w:r w:rsidRPr="009F49BD">
          <w:rPr>
            <w:rFonts w:ascii="Times New Roman" w:eastAsia="Times New Roman" w:hAnsi="Times New Roman" w:cs="Times New Roman"/>
            <w:highlight w:val="white"/>
          </w:rPr>
          <w:t>http://dx.doi.org/10.24014/jupet.v18i1.11241</w:t>
        </w:r>
      </w:hyperlink>
    </w:p>
    <w:p w14:paraId="06D7A02B" w14:textId="77777777" w:rsidR="009F49BD" w:rsidRPr="009F49BD" w:rsidRDefault="009F49BD" w:rsidP="00651360">
      <w:pPr>
        <w:pStyle w:val="ListParagraph"/>
        <w:numPr>
          <w:ilvl w:val="0"/>
          <w:numId w:val="1"/>
        </w:numPr>
        <w:spacing w:after="240"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lang w:val="id"/>
        </w:rPr>
        <w:t>Kusumaningrum, C., Sugoro, I., &amp; Aditiawati, P. (2018). Pengaruh silase sinambung jerami jagung terhadap fermentasi dalam cairan rumen secara in vitro. </w:t>
      </w:r>
      <w:r w:rsidRPr="009F49BD">
        <w:rPr>
          <w:rFonts w:ascii="Times New Roman" w:eastAsia="Times New Roman" w:hAnsi="Times New Roman" w:cs="Times New Roman"/>
          <w:i/>
          <w:iCs/>
          <w:highlight w:val="white"/>
          <w:lang w:val="id"/>
        </w:rPr>
        <w:t>Jurnal Ilmu Ternak Universitas Padjadjaran</w:t>
      </w:r>
      <w:r w:rsidRPr="009F49BD">
        <w:rPr>
          <w:rFonts w:ascii="Times New Roman" w:eastAsia="Times New Roman" w:hAnsi="Times New Roman" w:cs="Times New Roman"/>
          <w:highlight w:val="white"/>
          <w:lang w:val="id"/>
        </w:rPr>
        <w:t>, </w:t>
      </w:r>
      <w:r w:rsidRPr="009F49BD">
        <w:rPr>
          <w:rFonts w:ascii="Times New Roman" w:eastAsia="Times New Roman" w:hAnsi="Times New Roman" w:cs="Times New Roman"/>
          <w:i/>
          <w:iCs/>
          <w:highlight w:val="white"/>
          <w:lang w:val="id"/>
        </w:rPr>
        <w:t>18</w:t>
      </w:r>
      <w:r w:rsidRPr="009F49BD">
        <w:rPr>
          <w:rFonts w:ascii="Times New Roman" w:eastAsia="Times New Roman" w:hAnsi="Times New Roman" w:cs="Times New Roman"/>
          <w:highlight w:val="white"/>
          <w:lang w:val="id"/>
        </w:rPr>
        <w:t>(1), 5.</w:t>
      </w:r>
      <w:r w:rsidRPr="009F49BD">
        <w:rPr>
          <w:rFonts w:ascii="Times New Roman" w:hAnsi="Times New Roman" w:cs="Times New Roman"/>
          <w:shd w:val="clear" w:color="auto" w:fill="FFFFFF"/>
          <w:lang w:val="pt-BR"/>
        </w:rPr>
        <w:t xml:space="preserve"> </w:t>
      </w:r>
      <w:r w:rsidRPr="009F49BD">
        <w:rPr>
          <w:rFonts w:ascii="Times New Roman" w:eastAsia="Times New Roman" w:hAnsi="Times New Roman" w:cs="Times New Roman"/>
          <w:highlight w:val="white"/>
          <w:lang w:val="pt-BR"/>
        </w:rPr>
        <w:t> </w:t>
      </w:r>
      <w:hyperlink r:id="rId8" w:history="1">
        <w:r w:rsidRPr="009F49BD">
          <w:rPr>
            <w:rStyle w:val="Hyperlink"/>
            <w:rFonts w:ascii="Times New Roman" w:eastAsia="Times New Roman" w:hAnsi="Times New Roman" w:cs="Times New Roman"/>
            <w:color w:val="auto"/>
            <w:highlight w:val="white"/>
            <w:u w:val="none"/>
          </w:rPr>
          <w:t>https://doi.org/10.24198/jit.v18i1.14460</w:t>
        </w:r>
      </w:hyperlink>
    </w:p>
    <w:p w14:paraId="19283ECE"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Maulana, W. A., Budiman, A., &amp; Hernaman, I. (2025). Fermentabilitas dan Kecernaan Ransum Domba yang Mengandung Karbon Aktif Sekam Padi secara In Vitro. </w:t>
      </w:r>
      <w:r w:rsidRPr="009F49BD">
        <w:rPr>
          <w:rFonts w:ascii="Times New Roman" w:eastAsia="Times New Roman" w:hAnsi="Times New Roman" w:cs="Times New Roman"/>
          <w:i/>
          <w:iCs/>
          <w:highlight w:val="white"/>
        </w:rPr>
        <w:t>Jurnal Veteriner</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26</w:t>
      </w:r>
      <w:r w:rsidRPr="009F49BD">
        <w:rPr>
          <w:rFonts w:ascii="Times New Roman" w:eastAsia="Times New Roman" w:hAnsi="Times New Roman" w:cs="Times New Roman"/>
          <w:highlight w:val="white"/>
        </w:rPr>
        <w:t>(3), 431-445.</w:t>
      </w:r>
      <w:hyperlink r:id="rId9">
        <w:r w:rsidRPr="009F49BD">
          <w:rPr>
            <w:rFonts w:ascii="Times New Roman" w:eastAsia="Times New Roman" w:hAnsi="Times New Roman" w:cs="Times New Roman"/>
            <w:highlight w:val="white"/>
          </w:rPr>
          <w:t>https://doi.org/10.19087/jveteriner.2025.26.3.431</w:t>
        </w:r>
      </w:hyperlink>
    </w:p>
    <w:p w14:paraId="37FE2C9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lastRenderedPageBreak/>
        <w:t xml:space="preserve">Nurjannah, S., Ayuningsih, B., Hernaman, I., &amp; Susilawati, I. (2019). Penggunaan kaliandra (Calliandra Calothyrsus), Indigofera Sp. dan campurannya dalam ransum sebagai pengganti konsentrat terhadap produktivitas domba garut jantan. </w:t>
      </w:r>
      <w:r w:rsidRPr="009F49BD">
        <w:rPr>
          <w:rFonts w:ascii="Times New Roman" w:eastAsia="Times New Roman" w:hAnsi="Times New Roman" w:cs="Times New Roman"/>
          <w:i/>
          <w:iCs/>
          <w:highlight w:val="white"/>
        </w:rPr>
        <w:t>Jurnal Ilmiah Peternakan Terpadu</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7</w:t>
      </w:r>
      <w:r w:rsidRPr="009F49BD">
        <w:rPr>
          <w:rFonts w:ascii="Times New Roman" w:eastAsia="Times New Roman" w:hAnsi="Times New Roman" w:cs="Times New Roman"/>
          <w:highlight w:val="white"/>
        </w:rPr>
        <w:t xml:space="preserve">(3), 293-298. </w:t>
      </w:r>
      <w:hyperlink r:id="rId10">
        <w:r w:rsidRPr="009F49BD">
          <w:rPr>
            <w:rFonts w:ascii="Times New Roman" w:eastAsia="Times New Roman" w:hAnsi="Times New Roman" w:cs="Times New Roman"/>
            <w:highlight w:val="white"/>
          </w:rPr>
          <w:t>https://doi.org/10.23960/jipt.v7i3.p293-298</w:t>
        </w:r>
      </w:hyperlink>
    </w:p>
    <w:p w14:paraId="2D0283B0"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Perez, H. G., Stevenson, C. K., Lourenco, J. M., &amp; Callaway, T. R. (2024). Understanding rumen microbiology: an overview. </w:t>
      </w:r>
      <w:r w:rsidRPr="009F49BD">
        <w:rPr>
          <w:rFonts w:ascii="Times New Roman" w:eastAsia="Times New Roman" w:hAnsi="Times New Roman" w:cs="Times New Roman"/>
          <w:i/>
          <w:iCs/>
          <w:highlight w:val="white"/>
        </w:rPr>
        <w:t>Encyclopedia</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4</w:t>
      </w:r>
      <w:r w:rsidRPr="009F49BD">
        <w:rPr>
          <w:rFonts w:ascii="Times New Roman" w:eastAsia="Times New Roman" w:hAnsi="Times New Roman" w:cs="Times New Roman"/>
          <w:highlight w:val="white"/>
        </w:rPr>
        <w:t xml:space="preserve">(1), 148-157. </w:t>
      </w:r>
      <w:hyperlink r:id="rId11">
        <w:r w:rsidRPr="009F49BD">
          <w:rPr>
            <w:rFonts w:ascii="Times New Roman" w:eastAsia="Times New Roman" w:hAnsi="Times New Roman" w:cs="Times New Roman"/>
            <w:highlight w:val="white"/>
          </w:rPr>
          <w:t>https://doi.org/10.3390/encyclopedia4010013</w:t>
        </w:r>
      </w:hyperlink>
    </w:p>
    <w:p w14:paraId="5482CC0E"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Ridwan, R., Rusmana, I., Widyastuti, Y., Wiryawan, K. G., Prasetya, B., Sakamoto, M., &amp; Ohkuma, M. (2014). Methane mitigation and microbial diversity of silage diets containing Calliandra calothyrsus in a rumen in vitro fermentation system. </w:t>
      </w:r>
      <w:r w:rsidRPr="009F49BD">
        <w:rPr>
          <w:rFonts w:ascii="Times New Roman" w:eastAsia="Times New Roman" w:hAnsi="Times New Roman" w:cs="Times New Roman"/>
          <w:i/>
          <w:iCs/>
          <w:highlight w:val="white"/>
        </w:rPr>
        <w:t>Tropical Animal Science Journal</w:t>
      </w:r>
      <w:r w:rsidRPr="009F49BD">
        <w:rPr>
          <w:rFonts w:ascii="Times New Roman" w:eastAsia="Times New Roman" w:hAnsi="Times New Roman" w:cs="Times New Roman"/>
          <w:highlight w:val="white"/>
        </w:rPr>
        <w:t>, </w:t>
      </w:r>
      <w:r w:rsidRPr="009F49BD">
        <w:rPr>
          <w:rFonts w:ascii="Times New Roman" w:eastAsia="Times New Roman" w:hAnsi="Times New Roman" w:cs="Times New Roman"/>
          <w:i/>
          <w:iCs/>
          <w:highlight w:val="white"/>
        </w:rPr>
        <w:t>37</w:t>
      </w:r>
      <w:r w:rsidRPr="009F49BD">
        <w:rPr>
          <w:rFonts w:ascii="Times New Roman" w:eastAsia="Times New Roman" w:hAnsi="Times New Roman" w:cs="Times New Roman"/>
          <w:highlight w:val="white"/>
        </w:rPr>
        <w:t xml:space="preserve">(2), 121. </w:t>
      </w:r>
      <w:r w:rsidRPr="009F49BD">
        <w:rPr>
          <w:rFonts w:ascii="Times New Roman" w:eastAsia="Times New Roman" w:hAnsi="Times New Roman" w:cs="Times New Roman"/>
          <w:b/>
          <w:bCs/>
          <w:highlight w:val="white"/>
        </w:rPr>
        <w:t> </w:t>
      </w:r>
      <w:hyperlink r:id="rId12" w:history="1">
        <w:r w:rsidRPr="009F49BD">
          <w:rPr>
            <w:rStyle w:val="Hyperlink"/>
            <w:rFonts w:ascii="Times New Roman" w:eastAsia="Times New Roman" w:hAnsi="Times New Roman" w:cs="Times New Roman"/>
            <w:color w:val="auto"/>
            <w:highlight w:val="white"/>
            <w:u w:val="none"/>
          </w:rPr>
          <w:t>https://doi.org/10.5398/medpet.2014.37.2.121</w:t>
        </w:r>
      </w:hyperlink>
    </w:p>
    <w:p w14:paraId="38DB1C1D"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da-DK"/>
        </w:rPr>
      </w:pPr>
      <w:r w:rsidRPr="009F49BD">
        <w:rPr>
          <w:rFonts w:ascii="Times New Roman" w:eastAsia="Times New Roman" w:hAnsi="Times New Roman" w:cs="Times New Roman"/>
          <w:highlight w:val="white"/>
        </w:rPr>
        <w:t xml:space="preserve">Sahid, S. A., Ayuningsih, B., &amp; Hernaman, I. (2022). Pengaruh lama fermentasi terhadap kandungan lignin dan selulosa silase tebon jagung (Zea mays) dengan aditif dedak fermentasi. </w:t>
      </w:r>
      <w:r w:rsidRPr="009F49BD">
        <w:rPr>
          <w:rFonts w:ascii="Times New Roman" w:eastAsia="Times New Roman" w:hAnsi="Times New Roman" w:cs="Times New Roman"/>
          <w:highlight w:val="white"/>
          <w:lang w:val="da-DK"/>
        </w:rPr>
        <w:t>Jurnal Nutrisi Ternak Tropis dan Ilmu Pakan, 4(1), 1-9.</w:t>
      </w:r>
      <w:r w:rsidRPr="009F49BD">
        <w:rPr>
          <w:rFonts w:ascii="Times New Roman" w:hAnsi="Times New Roman" w:cs="Times New Roman"/>
          <w:lang w:val="da-DK"/>
        </w:rPr>
        <w:t xml:space="preserve"> </w:t>
      </w:r>
      <w:hyperlink r:id="rId13" w:history="1">
        <w:r w:rsidRPr="009F49BD">
          <w:rPr>
            <w:rStyle w:val="Hyperlink"/>
            <w:rFonts w:ascii="Times New Roman" w:eastAsia="Times New Roman" w:hAnsi="Times New Roman" w:cs="Times New Roman"/>
            <w:color w:val="auto"/>
            <w:u w:val="none"/>
            <w:lang w:val="da-DK"/>
          </w:rPr>
          <w:t>https://doi.org/10.24198/jnttip.v4i1.38967</w:t>
        </w:r>
      </w:hyperlink>
      <w:r w:rsidRPr="009F49BD">
        <w:rPr>
          <w:rFonts w:ascii="Times New Roman" w:eastAsia="Times New Roman" w:hAnsi="Times New Roman" w:cs="Times New Roman"/>
          <w:lang w:val="da-DK"/>
        </w:rPr>
        <w:t xml:space="preserve"> </w:t>
      </w:r>
    </w:p>
    <w:p w14:paraId="48D2550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rPr>
      </w:pPr>
      <w:r w:rsidRPr="009F49BD">
        <w:rPr>
          <w:rFonts w:ascii="Times New Roman" w:eastAsia="Times New Roman" w:hAnsi="Times New Roman" w:cs="Times New Roman"/>
          <w:highlight w:val="white"/>
        </w:rPr>
        <w:t xml:space="preserve">Smith, P. E., Kelly, A. K., Kenny, D. A., &amp; Waters, S. M. (2022). Enteric methane research and mitigation strategies for pastoral-based beef cattle production systems. </w:t>
      </w:r>
      <w:r w:rsidRPr="009F49BD">
        <w:rPr>
          <w:rFonts w:ascii="Times New Roman" w:eastAsia="Times New Roman" w:hAnsi="Times New Roman" w:cs="Times New Roman"/>
          <w:i/>
          <w:iCs/>
          <w:highlight w:val="white"/>
        </w:rPr>
        <w:t>Frontiers in Veterinary Science</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9</w:t>
      </w:r>
      <w:r w:rsidRPr="009F49BD">
        <w:rPr>
          <w:rFonts w:ascii="Times New Roman" w:eastAsia="Times New Roman" w:hAnsi="Times New Roman" w:cs="Times New Roman"/>
          <w:highlight w:val="white"/>
        </w:rPr>
        <w:t xml:space="preserve">, 958340. </w:t>
      </w:r>
      <w:hyperlink r:id="rId14">
        <w:r w:rsidRPr="009F49BD">
          <w:rPr>
            <w:rFonts w:ascii="Times New Roman" w:eastAsia="Times New Roman" w:hAnsi="Times New Roman" w:cs="Times New Roman"/>
            <w:highlight w:val="white"/>
          </w:rPr>
          <w:t>https://doi.org/10.3389/fvets.2022.958340</w:t>
        </w:r>
      </w:hyperlink>
    </w:p>
    <w:p w14:paraId="48140AB6" w14:textId="77777777" w:rsidR="009F49BD" w:rsidRPr="009F49BD" w:rsidRDefault="009F49BD" w:rsidP="00651360">
      <w:pPr>
        <w:pStyle w:val="ListParagraph"/>
        <w:keepLines/>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Suharti, S., Aliyah, D. N., &amp; Suryahadi, S. (2019). </w:t>
      </w:r>
      <w:r w:rsidRPr="009F49BD">
        <w:rPr>
          <w:rFonts w:ascii="Times New Roman" w:eastAsia="Times New Roman" w:hAnsi="Times New Roman" w:cs="Times New Roman"/>
          <w:highlight w:val="white"/>
          <w:lang w:val="da-DK"/>
        </w:rPr>
        <w:t>Karakteristik fermentasi rumen in vitro dengan penambahan sabun kalsium minyak nabati pada buffer yang berbeda.</w:t>
      </w:r>
      <w:hyperlink r:id="rId15">
        <w:r w:rsidRPr="009F49BD">
          <w:rPr>
            <w:rFonts w:ascii="Times New Roman" w:eastAsia="Times New Roman" w:hAnsi="Times New Roman" w:cs="Times New Roman"/>
            <w:highlight w:val="white"/>
          </w:rPr>
          <w:t>https://doi.org/10.29244/jintp.16.3.56-64</w:t>
        </w:r>
      </w:hyperlink>
    </w:p>
    <w:p w14:paraId="43EBD1EB"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rPr>
      </w:pPr>
      <w:r w:rsidRPr="009F49BD">
        <w:rPr>
          <w:rFonts w:ascii="Times New Roman" w:eastAsia="Times New Roman" w:hAnsi="Times New Roman" w:cs="Times New Roman"/>
          <w:highlight w:val="white"/>
        </w:rPr>
        <w:t xml:space="preserve">Sulistyawati, D. (2024). Pengaruh Komposisi Campuran Hijauan Jagung (Zea mays) dan Legum Kaliandra Merah (Calliandra calothrysus) Terhadap Kualitas Fisik Wafer Pakan. </w:t>
      </w:r>
      <w:r w:rsidRPr="009F49BD">
        <w:rPr>
          <w:rFonts w:ascii="Times New Roman" w:eastAsia="Times New Roman" w:hAnsi="Times New Roman" w:cs="Times New Roman"/>
          <w:i/>
          <w:iCs/>
          <w:highlight w:val="white"/>
        </w:rPr>
        <w:t>Jurnal Nutrisi Ternak Tropis dan Ilmu Pakan</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6</w:t>
      </w:r>
      <w:r w:rsidRPr="009F49BD">
        <w:rPr>
          <w:rFonts w:ascii="Times New Roman" w:eastAsia="Times New Roman" w:hAnsi="Times New Roman" w:cs="Times New Roman"/>
          <w:highlight w:val="white"/>
        </w:rPr>
        <w:t xml:space="preserve">(2), 75-83. </w:t>
      </w:r>
      <w:hyperlink r:id="rId16">
        <w:r w:rsidRPr="009F49BD">
          <w:rPr>
            <w:rFonts w:ascii="Times New Roman" w:eastAsia="Times New Roman" w:hAnsi="Times New Roman" w:cs="Times New Roman"/>
            <w:highlight w:val="white"/>
          </w:rPr>
          <w:t>https://doi.org/10.24198/jnttip.v6i2.53720</w:t>
        </w:r>
      </w:hyperlink>
    </w:p>
    <w:p w14:paraId="48E0EA21" w14:textId="77777777" w:rsidR="009F49BD" w:rsidRPr="009F49BD" w:rsidRDefault="009F49BD" w:rsidP="00651360">
      <w:pPr>
        <w:pStyle w:val="ListParagraph"/>
        <w:numPr>
          <w:ilvl w:val="0"/>
          <w:numId w:val="1"/>
        </w:numPr>
        <w:spacing w:line="240" w:lineRule="auto"/>
        <w:jc w:val="both"/>
        <w:rPr>
          <w:rFonts w:ascii="Times New Roman" w:hAnsi="Times New Roman" w:cs="Times New Roman"/>
          <w:lang w:val="da-DK"/>
        </w:rPr>
      </w:pPr>
      <w:r w:rsidRPr="009F49BD">
        <w:rPr>
          <w:rFonts w:ascii="Times New Roman" w:hAnsi="Times New Roman" w:cs="Times New Roman"/>
        </w:rPr>
        <w:t>Susilawati, I.  &amp; Khairani, L. (2017). Introduksi pembuatan pelet hijauan pakan ternak ruminansia di Arjasari Kabupaten Bandung. </w:t>
      </w:r>
      <w:r w:rsidRPr="009F49BD">
        <w:rPr>
          <w:rFonts w:ascii="Times New Roman" w:hAnsi="Times New Roman" w:cs="Times New Roman"/>
          <w:i/>
          <w:iCs/>
          <w:lang w:val="da-DK"/>
        </w:rPr>
        <w:t>Jurnal Pengabdian Kepada Masyarakat</w:t>
      </w:r>
      <w:r w:rsidRPr="009F49BD">
        <w:rPr>
          <w:rFonts w:ascii="Times New Roman" w:hAnsi="Times New Roman" w:cs="Times New Roman"/>
          <w:lang w:val="da-DK"/>
        </w:rPr>
        <w:t>, </w:t>
      </w:r>
      <w:r w:rsidRPr="009F49BD">
        <w:rPr>
          <w:rFonts w:ascii="Times New Roman" w:hAnsi="Times New Roman" w:cs="Times New Roman"/>
          <w:i/>
          <w:iCs/>
          <w:lang w:val="da-DK"/>
        </w:rPr>
        <w:t>1</w:t>
      </w:r>
      <w:r w:rsidRPr="009F49BD">
        <w:rPr>
          <w:rFonts w:ascii="Times New Roman" w:hAnsi="Times New Roman" w:cs="Times New Roman"/>
          <w:lang w:val="da-DK"/>
        </w:rPr>
        <w:t>(4). https://journals.unpad.ac.id/pkm/article/view/16404</w:t>
      </w:r>
    </w:p>
    <w:p w14:paraId="7782D1F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da-DK"/>
        </w:rPr>
      </w:pPr>
      <w:r w:rsidRPr="009F49BD">
        <w:rPr>
          <w:rFonts w:ascii="Times New Roman" w:eastAsia="Times New Roman" w:hAnsi="Times New Roman" w:cs="Times New Roman"/>
          <w:highlight w:val="white"/>
          <w:lang w:val="da-DK"/>
        </w:rPr>
        <w:t xml:space="preserve">Tuwaidan, N. W. H., Sondakh, E. H. B., &amp; Kaunang, C. L. (2024). Strategi mitigasi gas metan pada ternak ruminansia. Review. </w:t>
      </w:r>
      <w:r w:rsidRPr="009F49BD">
        <w:rPr>
          <w:rFonts w:ascii="Times New Roman" w:eastAsia="Times New Roman" w:hAnsi="Times New Roman" w:cs="Times New Roman"/>
          <w:lang w:val="da-DK"/>
        </w:rPr>
        <w:t xml:space="preserve"> </w:t>
      </w:r>
      <w:hyperlink r:id="rId17" w:history="1">
        <w:r w:rsidRPr="009F49BD">
          <w:rPr>
            <w:rStyle w:val="Hyperlink"/>
            <w:rFonts w:ascii="Times New Roman" w:eastAsia="Times New Roman" w:hAnsi="Times New Roman" w:cs="Times New Roman"/>
            <w:color w:val="auto"/>
            <w:u w:val="none"/>
            <w:lang w:val="da-DK"/>
          </w:rPr>
          <w:t>https://orcid.org/0009-0003-7373-0100</w:t>
        </w:r>
      </w:hyperlink>
    </w:p>
    <w:p w14:paraId="70BD2892"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lang w:val="pt-BR"/>
        </w:rPr>
      </w:pPr>
      <w:r w:rsidRPr="009F49BD">
        <w:rPr>
          <w:rFonts w:ascii="Times New Roman" w:eastAsia="Times New Roman" w:hAnsi="Times New Roman" w:cs="Times New Roman"/>
          <w:highlight w:val="white"/>
        </w:rPr>
        <w:t>Yasin, M. Y., Hupron, M. U. Z., Khomarudin, M., Hadiarto, A. F., &amp; Lestariningsih, L. (2021). Peran penting mikrob</w:t>
      </w:r>
      <w:r w:rsidRPr="009F49BD">
        <w:rPr>
          <w:rFonts w:ascii="Times New Roman" w:eastAsia="Times New Roman" w:hAnsi="Times New Roman" w:cs="Times New Roman"/>
          <w:highlight w:val="white"/>
        </w:rPr>
        <w:tab/>
        <w:t xml:space="preserve">a rumen pada ternak ruminansia. </w:t>
      </w:r>
      <w:r w:rsidRPr="009F49BD">
        <w:rPr>
          <w:rFonts w:ascii="Times New Roman" w:eastAsia="Times New Roman" w:hAnsi="Times New Roman" w:cs="Times New Roman"/>
          <w:i/>
          <w:iCs/>
          <w:highlight w:val="white"/>
        </w:rPr>
        <w:t>International Journal of Animal Science</w:t>
      </w:r>
      <w:r w:rsidRPr="009F49BD">
        <w:rPr>
          <w:rFonts w:ascii="Times New Roman" w:eastAsia="Times New Roman" w:hAnsi="Times New Roman" w:cs="Times New Roman"/>
          <w:highlight w:val="white"/>
        </w:rPr>
        <w:t xml:space="preserve">, </w:t>
      </w:r>
      <w:r w:rsidRPr="009F49BD">
        <w:rPr>
          <w:rFonts w:ascii="Times New Roman" w:eastAsia="Times New Roman" w:hAnsi="Times New Roman" w:cs="Times New Roman"/>
          <w:i/>
          <w:iCs/>
          <w:highlight w:val="white"/>
        </w:rPr>
        <w:t>4</w:t>
      </w:r>
      <w:r w:rsidRPr="009F49BD">
        <w:rPr>
          <w:rFonts w:ascii="Times New Roman" w:eastAsia="Times New Roman" w:hAnsi="Times New Roman" w:cs="Times New Roman"/>
          <w:highlight w:val="white"/>
        </w:rPr>
        <w:t xml:space="preserve">(01), 33-42. </w:t>
      </w:r>
      <w:hyperlink r:id="rId18">
        <w:r w:rsidRPr="009F49BD">
          <w:rPr>
            <w:rFonts w:ascii="Times New Roman" w:eastAsia="Times New Roman" w:hAnsi="Times New Roman" w:cs="Times New Roman"/>
            <w:highlight w:val="white"/>
            <w:lang w:val="pt-BR"/>
          </w:rPr>
          <w:t>10.30736/ijasc.v4i01.32</w:t>
        </w:r>
      </w:hyperlink>
    </w:p>
    <w:p w14:paraId="23CA6C64" w14:textId="77777777" w:rsidR="009F49BD" w:rsidRPr="009F49BD" w:rsidRDefault="009F49BD" w:rsidP="00651360">
      <w:pPr>
        <w:pStyle w:val="ListParagraph"/>
        <w:numPr>
          <w:ilvl w:val="0"/>
          <w:numId w:val="1"/>
        </w:numPr>
        <w:spacing w:line="240" w:lineRule="auto"/>
        <w:jc w:val="both"/>
        <w:rPr>
          <w:rFonts w:ascii="Times New Roman" w:eastAsia="Times New Roman" w:hAnsi="Times New Roman" w:cs="Times New Roman"/>
          <w:highlight w:val="white"/>
          <w:lang w:val="da-DK"/>
        </w:rPr>
      </w:pPr>
      <w:r w:rsidRPr="009F49BD">
        <w:rPr>
          <w:rFonts w:ascii="Times New Roman" w:eastAsia="Times New Roman" w:hAnsi="Times New Roman" w:cs="Times New Roman"/>
          <w:highlight w:val="white"/>
          <w:lang w:val="pt-BR"/>
        </w:rPr>
        <w:t xml:space="preserve">Yuliana, P., Laconi, E, B., Jayanegara, A., Achmadi, s, s., Samsudin, A, A.  (2019). Modulasi Pola Fermentasi Rumen dan Emisi Gas Metana dari Penambahan Ekstrak Lerak pada Silase Gamal. </w:t>
      </w:r>
      <w:r w:rsidRPr="009F49BD">
        <w:rPr>
          <w:rFonts w:ascii="Times New Roman" w:eastAsia="Times New Roman" w:hAnsi="Times New Roman" w:cs="Times New Roman"/>
          <w:i/>
          <w:iCs/>
          <w:highlight w:val="white"/>
          <w:lang w:val="da-DK"/>
        </w:rPr>
        <w:t>Jurnal Veteriner Jurnal Veteriner Juni</w:t>
      </w:r>
      <w:r w:rsidRPr="009F49BD">
        <w:rPr>
          <w:rFonts w:ascii="Times New Roman" w:eastAsia="Times New Roman" w:hAnsi="Times New Roman" w:cs="Times New Roman"/>
          <w:highlight w:val="white"/>
          <w:lang w:val="da-DK"/>
        </w:rPr>
        <w:t xml:space="preserve">, </w:t>
      </w:r>
      <w:r w:rsidRPr="009F49BD">
        <w:rPr>
          <w:rFonts w:ascii="Times New Roman" w:eastAsia="Times New Roman" w:hAnsi="Times New Roman" w:cs="Times New Roman"/>
          <w:i/>
          <w:iCs/>
          <w:highlight w:val="white"/>
          <w:lang w:val="da-DK"/>
        </w:rPr>
        <w:t>20</w:t>
      </w:r>
      <w:r w:rsidRPr="009F49BD">
        <w:rPr>
          <w:rFonts w:ascii="Times New Roman" w:eastAsia="Times New Roman" w:hAnsi="Times New Roman" w:cs="Times New Roman"/>
          <w:highlight w:val="white"/>
          <w:lang w:val="da-DK"/>
        </w:rPr>
        <w:t xml:space="preserve">(2), 202-210. </w:t>
      </w:r>
      <w:hyperlink r:id="rId19">
        <w:r w:rsidRPr="009F49BD">
          <w:rPr>
            <w:rFonts w:ascii="Times New Roman" w:eastAsia="Times New Roman" w:hAnsi="Times New Roman" w:cs="Times New Roman"/>
            <w:highlight w:val="white"/>
            <w:lang w:val="da-DK"/>
          </w:rPr>
          <w:t>https://doi.org/10.19087/jveteriner.2019.20.2.202</w:t>
        </w:r>
      </w:hyperlink>
    </w:p>
    <w:p w14:paraId="27ACFBD7" w14:textId="77777777" w:rsidR="009F49BD" w:rsidRPr="00345854" w:rsidRDefault="009F49BD" w:rsidP="00651360">
      <w:pPr>
        <w:pStyle w:val="ListParagraph"/>
        <w:numPr>
          <w:ilvl w:val="0"/>
          <w:numId w:val="1"/>
        </w:numPr>
        <w:spacing w:line="240" w:lineRule="auto"/>
        <w:jc w:val="both"/>
        <w:rPr>
          <w:rFonts w:ascii="Times New Roman" w:hAnsi="Times New Roman" w:cs="Times New Roman"/>
        </w:rPr>
      </w:pPr>
      <w:r w:rsidRPr="009F49BD">
        <w:rPr>
          <w:rFonts w:ascii="Times New Roman" w:eastAsia="Times New Roman" w:hAnsi="Times New Roman" w:cs="Times New Roman"/>
          <w:highlight w:val="white"/>
          <w:lang w:val="da-DK"/>
        </w:rPr>
        <w:t xml:space="preserve">Zahera, R., Purwanti, J., &amp; Evvyernie, D. (2022). Populasi Mikroba Rumen, Fermentabilitas, dan Kecernaan Suplementasi Daun Kelor dalam Ransum Sapi Perah secara In Vitro. </w:t>
      </w:r>
      <w:r w:rsidRPr="009F49BD">
        <w:rPr>
          <w:rFonts w:ascii="Times New Roman" w:eastAsia="Times New Roman" w:hAnsi="Times New Roman" w:cs="Times New Roman"/>
          <w:i/>
          <w:iCs/>
          <w:highlight w:val="white"/>
          <w:lang w:val="da-DK"/>
        </w:rPr>
        <w:t>Nutrition &amp; Feed Technology Journal/Jurnal Ilmu Nutrisi dan Teknologi Pakan</w:t>
      </w:r>
      <w:r w:rsidRPr="009F49BD">
        <w:rPr>
          <w:rFonts w:ascii="Times New Roman" w:eastAsia="Times New Roman" w:hAnsi="Times New Roman" w:cs="Times New Roman"/>
          <w:highlight w:val="white"/>
          <w:lang w:val="da-DK"/>
        </w:rPr>
        <w:t xml:space="preserve">, </w:t>
      </w:r>
      <w:r w:rsidRPr="009F49BD">
        <w:rPr>
          <w:rFonts w:ascii="Times New Roman" w:eastAsia="Times New Roman" w:hAnsi="Times New Roman" w:cs="Times New Roman"/>
          <w:i/>
          <w:iCs/>
          <w:highlight w:val="white"/>
          <w:lang w:val="da-DK"/>
        </w:rPr>
        <w:t>20</w:t>
      </w:r>
      <w:r w:rsidRPr="009F49BD">
        <w:rPr>
          <w:rFonts w:ascii="Times New Roman" w:eastAsia="Times New Roman" w:hAnsi="Times New Roman" w:cs="Times New Roman"/>
          <w:highlight w:val="white"/>
          <w:lang w:val="da-DK"/>
        </w:rPr>
        <w:t>(3).</w:t>
      </w:r>
      <w:r w:rsidRPr="009F49BD">
        <w:rPr>
          <w:rFonts w:ascii="Times New Roman" w:eastAsia="Times New Roman" w:hAnsi="Times New Roman" w:cs="Times New Roman"/>
          <w:lang w:val="da-DK"/>
        </w:rPr>
        <w:t xml:space="preserve"> </w:t>
      </w:r>
      <w:hyperlink r:id="rId20" w:history="1">
        <w:r w:rsidRPr="009F49BD">
          <w:rPr>
            <w:rStyle w:val="Hyperlink"/>
            <w:rFonts w:ascii="Times New Roman" w:eastAsia="Times New Roman" w:hAnsi="Times New Roman" w:cs="Times New Roman"/>
            <w:color w:val="auto"/>
            <w:highlight w:val="white"/>
            <w:u w:val="none"/>
          </w:rPr>
          <w:t>https://doi.org/10.29244/jintp.20.3.117-122</w:t>
        </w:r>
      </w:hyperlink>
    </w:p>
    <w:sectPr w:rsidR="009F49BD" w:rsidRPr="00345854" w:rsidSect="006960D6">
      <w:pgSz w:w="12240" w:h="15840"/>
      <w:pgMar w:top="1094" w:right="607" w:bottom="607" w:left="6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951FE"/>
    <w:multiLevelType w:val="hybridMultilevel"/>
    <w:tmpl w:val="8A3EF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62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21"/>
    <w:rsid w:val="00053C71"/>
    <w:rsid w:val="0007219C"/>
    <w:rsid w:val="00072514"/>
    <w:rsid w:val="0008761C"/>
    <w:rsid w:val="000D44D5"/>
    <w:rsid w:val="000D4A8E"/>
    <w:rsid w:val="00165470"/>
    <w:rsid w:val="001E79C6"/>
    <w:rsid w:val="002C332F"/>
    <w:rsid w:val="002D6378"/>
    <w:rsid w:val="002E6EEC"/>
    <w:rsid w:val="00310600"/>
    <w:rsid w:val="00345854"/>
    <w:rsid w:val="0036591F"/>
    <w:rsid w:val="00370D83"/>
    <w:rsid w:val="003A4DF3"/>
    <w:rsid w:val="003C1507"/>
    <w:rsid w:val="003F477F"/>
    <w:rsid w:val="00446E21"/>
    <w:rsid w:val="004755F2"/>
    <w:rsid w:val="004A6094"/>
    <w:rsid w:val="005A0517"/>
    <w:rsid w:val="005D7D6B"/>
    <w:rsid w:val="005E30F7"/>
    <w:rsid w:val="00651360"/>
    <w:rsid w:val="00677492"/>
    <w:rsid w:val="00686B58"/>
    <w:rsid w:val="006960D6"/>
    <w:rsid w:val="006A18BA"/>
    <w:rsid w:val="007208C4"/>
    <w:rsid w:val="007B237D"/>
    <w:rsid w:val="00863AD2"/>
    <w:rsid w:val="008B33F2"/>
    <w:rsid w:val="00900AAD"/>
    <w:rsid w:val="00993724"/>
    <w:rsid w:val="00994E7B"/>
    <w:rsid w:val="009D7A4E"/>
    <w:rsid w:val="009E3AE6"/>
    <w:rsid w:val="009F49BD"/>
    <w:rsid w:val="00A06982"/>
    <w:rsid w:val="00B67EBB"/>
    <w:rsid w:val="00B97EC9"/>
    <w:rsid w:val="00C1435B"/>
    <w:rsid w:val="00CB45FB"/>
    <w:rsid w:val="00CF5723"/>
    <w:rsid w:val="00DD6AEC"/>
    <w:rsid w:val="00E562C9"/>
    <w:rsid w:val="00E6541A"/>
    <w:rsid w:val="00E80488"/>
    <w:rsid w:val="00E965B9"/>
    <w:rsid w:val="00EE02CB"/>
    <w:rsid w:val="00EE3021"/>
    <w:rsid w:val="00F523B6"/>
    <w:rsid w:val="00FD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FCD9"/>
  <w15:chartTrackingRefBased/>
  <w15:docId w15:val="{0A36018C-D79A-4BAC-9D0E-2EADE702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E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E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E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E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21"/>
    <w:rPr>
      <w:rFonts w:eastAsiaTheme="majorEastAsia" w:cstheme="majorBidi"/>
      <w:color w:val="272727" w:themeColor="text1" w:themeTint="D8"/>
    </w:rPr>
  </w:style>
  <w:style w:type="paragraph" w:styleId="Title">
    <w:name w:val="Title"/>
    <w:basedOn w:val="Normal"/>
    <w:next w:val="Normal"/>
    <w:link w:val="TitleChar"/>
    <w:uiPriority w:val="10"/>
    <w:qFormat/>
    <w:rsid w:val="00446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21"/>
    <w:pPr>
      <w:spacing w:before="160"/>
      <w:jc w:val="center"/>
    </w:pPr>
    <w:rPr>
      <w:i/>
      <w:iCs/>
      <w:color w:val="404040" w:themeColor="text1" w:themeTint="BF"/>
    </w:rPr>
  </w:style>
  <w:style w:type="character" w:customStyle="1" w:styleId="QuoteChar">
    <w:name w:val="Quote Char"/>
    <w:basedOn w:val="DefaultParagraphFont"/>
    <w:link w:val="Quote"/>
    <w:uiPriority w:val="29"/>
    <w:rsid w:val="00446E21"/>
    <w:rPr>
      <w:i/>
      <w:iCs/>
      <w:color w:val="404040" w:themeColor="text1" w:themeTint="BF"/>
    </w:rPr>
  </w:style>
  <w:style w:type="paragraph" w:styleId="ListParagraph">
    <w:name w:val="List Paragraph"/>
    <w:basedOn w:val="Normal"/>
    <w:uiPriority w:val="34"/>
    <w:qFormat/>
    <w:rsid w:val="00446E21"/>
    <w:pPr>
      <w:ind w:left="720"/>
      <w:contextualSpacing/>
    </w:pPr>
  </w:style>
  <w:style w:type="character" w:styleId="IntenseEmphasis">
    <w:name w:val="Intense Emphasis"/>
    <w:basedOn w:val="DefaultParagraphFont"/>
    <w:uiPriority w:val="21"/>
    <w:qFormat/>
    <w:rsid w:val="00446E21"/>
    <w:rPr>
      <w:i/>
      <w:iCs/>
      <w:color w:val="2F5496" w:themeColor="accent1" w:themeShade="BF"/>
    </w:rPr>
  </w:style>
  <w:style w:type="paragraph" w:styleId="IntenseQuote">
    <w:name w:val="Intense Quote"/>
    <w:basedOn w:val="Normal"/>
    <w:next w:val="Normal"/>
    <w:link w:val="IntenseQuoteChar"/>
    <w:uiPriority w:val="30"/>
    <w:qFormat/>
    <w:rsid w:val="00446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21"/>
    <w:rPr>
      <w:i/>
      <w:iCs/>
      <w:color w:val="2F5496" w:themeColor="accent1" w:themeShade="BF"/>
    </w:rPr>
  </w:style>
  <w:style w:type="character" w:styleId="IntenseReference">
    <w:name w:val="Intense Reference"/>
    <w:basedOn w:val="DefaultParagraphFont"/>
    <w:uiPriority w:val="32"/>
    <w:qFormat/>
    <w:rsid w:val="00446E21"/>
    <w:rPr>
      <w:b/>
      <w:bCs/>
      <w:smallCaps/>
      <w:color w:val="2F5496" w:themeColor="accent1" w:themeShade="BF"/>
      <w:spacing w:val="5"/>
    </w:rPr>
  </w:style>
  <w:style w:type="character" w:styleId="Hyperlink">
    <w:name w:val="Hyperlink"/>
    <w:basedOn w:val="DefaultParagraphFont"/>
    <w:uiPriority w:val="99"/>
    <w:unhideWhenUsed/>
    <w:rsid w:val="00446E21"/>
    <w:rPr>
      <w:color w:val="0563C1" w:themeColor="hyperlink"/>
      <w:u w:val="single"/>
    </w:rPr>
  </w:style>
  <w:style w:type="character" w:styleId="CommentReference">
    <w:name w:val="annotation reference"/>
    <w:basedOn w:val="DefaultParagraphFont"/>
    <w:uiPriority w:val="99"/>
    <w:semiHidden/>
    <w:unhideWhenUsed/>
    <w:rsid w:val="007208C4"/>
    <w:rPr>
      <w:sz w:val="16"/>
      <w:szCs w:val="16"/>
    </w:rPr>
  </w:style>
  <w:style w:type="paragraph" w:styleId="CommentText">
    <w:name w:val="annotation text"/>
    <w:basedOn w:val="Normal"/>
    <w:link w:val="CommentTextChar"/>
    <w:uiPriority w:val="99"/>
    <w:unhideWhenUsed/>
    <w:rsid w:val="007208C4"/>
    <w:pPr>
      <w:spacing w:line="240" w:lineRule="auto"/>
    </w:pPr>
    <w:rPr>
      <w:sz w:val="20"/>
      <w:szCs w:val="20"/>
    </w:rPr>
  </w:style>
  <w:style w:type="character" w:customStyle="1" w:styleId="CommentTextChar">
    <w:name w:val="Comment Text Char"/>
    <w:basedOn w:val="DefaultParagraphFont"/>
    <w:link w:val="CommentText"/>
    <w:uiPriority w:val="99"/>
    <w:rsid w:val="007208C4"/>
    <w:rPr>
      <w:sz w:val="20"/>
      <w:szCs w:val="20"/>
    </w:rPr>
  </w:style>
  <w:style w:type="paragraph" w:styleId="CommentSubject">
    <w:name w:val="annotation subject"/>
    <w:basedOn w:val="CommentText"/>
    <w:next w:val="CommentText"/>
    <w:link w:val="CommentSubjectChar"/>
    <w:uiPriority w:val="99"/>
    <w:semiHidden/>
    <w:unhideWhenUsed/>
    <w:rsid w:val="007208C4"/>
    <w:rPr>
      <w:b/>
      <w:bCs/>
    </w:rPr>
  </w:style>
  <w:style w:type="character" w:customStyle="1" w:styleId="CommentSubjectChar">
    <w:name w:val="Comment Subject Char"/>
    <w:basedOn w:val="CommentTextChar"/>
    <w:link w:val="CommentSubject"/>
    <w:uiPriority w:val="99"/>
    <w:semiHidden/>
    <w:rsid w:val="007208C4"/>
    <w:rPr>
      <w:b/>
      <w:bCs/>
      <w:sz w:val="20"/>
      <w:szCs w:val="20"/>
    </w:rPr>
  </w:style>
  <w:style w:type="paragraph" w:styleId="HTMLPreformatted">
    <w:name w:val="HTML Preformatted"/>
    <w:basedOn w:val="Normal"/>
    <w:link w:val="HTMLPreformattedChar"/>
    <w:uiPriority w:val="99"/>
    <w:semiHidden/>
    <w:unhideWhenUsed/>
    <w:rsid w:val="00E804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048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98/jit.v18i1.14460" TargetMode="External"/><Relationship Id="rId13" Type="http://schemas.openxmlformats.org/officeDocument/2006/relationships/hyperlink" Target="https://doi.org/10.24198/jnttip.v4i1.38967" TargetMode="External"/><Relationship Id="rId18" Type="http://schemas.openxmlformats.org/officeDocument/2006/relationships/hyperlink" Target="https://doi.org/10.30736/ijasc.v4i01.3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x.doi.org/10.24014/jupet.v18i1.11241" TargetMode="External"/><Relationship Id="rId12" Type="http://schemas.openxmlformats.org/officeDocument/2006/relationships/hyperlink" Target="https://doi.org/10.5398/medpet.2014.37.2.121" TargetMode="External"/><Relationship Id="rId17" Type="http://schemas.openxmlformats.org/officeDocument/2006/relationships/hyperlink" Target="https://orcid.org/0009-0003-7373-0100" TargetMode="External"/><Relationship Id="rId2" Type="http://schemas.openxmlformats.org/officeDocument/2006/relationships/styles" Target="styles.xml"/><Relationship Id="rId16" Type="http://schemas.openxmlformats.org/officeDocument/2006/relationships/hyperlink" Target="https://doi.org/10.24198/jnttip.v6i2.53720" TargetMode="External"/><Relationship Id="rId20" Type="http://schemas.openxmlformats.org/officeDocument/2006/relationships/hyperlink" Target="https://doi.org/10.29244/jintp.20.3.117-122" TargetMode="External"/><Relationship Id="rId1" Type="http://schemas.openxmlformats.org/officeDocument/2006/relationships/numbering" Target="numbering.xml"/><Relationship Id="rId6" Type="http://schemas.openxmlformats.org/officeDocument/2006/relationships/hyperlink" Target="https://doi.org/10.51791/njap.v51i5.8269" TargetMode="External"/><Relationship Id="rId11" Type="http://schemas.openxmlformats.org/officeDocument/2006/relationships/hyperlink" Target="https://doi.org/10.3390/encyclopedia4010013" TargetMode="External"/><Relationship Id="rId5" Type="http://schemas.openxmlformats.org/officeDocument/2006/relationships/hyperlink" Target="https://doi.org/10.3390/molecules27238273" TargetMode="External"/><Relationship Id="rId15" Type="http://schemas.openxmlformats.org/officeDocument/2006/relationships/hyperlink" Target="https://doi.org/10.29244/jintp.16.3.56-64" TargetMode="External"/><Relationship Id="rId10" Type="http://schemas.openxmlformats.org/officeDocument/2006/relationships/hyperlink" Target="https://doi.org/10.23960/jipt.v7i3.p293-298" TargetMode="External"/><Relationship Id="rId19" Type="http://schemas.openxmlformats.org/officeDocument/2006/relationships/hyperlink" Target="https://doi.org/10.19087/jveteriner.2019.20.2.202" TargetMode="External"/><Relationship Id="rId4" Type="http://schemas.openxmlformats.org/officeDocument/2006/relationships/webSettings" Target="webSettings.xml"/><Relationship Id="rId9" Type="http://schemas.openxmlformats.org/officeDocument/2006/relationships/hyperlink" Target="https://doi.org/10.19087/jveteriner.2025.26.3.431" TargetMode="External"/><Relationship Id="rId14" Type="http://schemas.openxmlformats.org/officeDocument/2006/relationships/hyperlink" Target="https://doi.org/10.3389/fvets.2022.9583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iqi2403@gmail.com</dc:creator>
  <cp:keywords/>
  <dc:description/>
  <cp:lastModifiedBy>iqi2403@gmail.com</cp:lastModifiedBy>
  <cp:revision>41</cp:revision>
  <dcterms:created xsi:type="dcterms:W3CDTF">2026-04-15T11:57:00Z</dcterms:created>
  <dcterms:modified xsi:type="dcterms:W3CDTF">2026-05-03T16:40:00Z</dcterms:modified>
</cp:coreProperties>
</file>