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177B" w14:textId="77777777" w:rsidR="00157877" w:rsidRPr="00FA0D97" w:rsidRDefault="00157877" w:rsidP="00157877">
      <w:pPr>
        <w:pStyle w:val="NormalWeb"/>
        <w:spacing w:line="276" w:lineRule="auto"/>
        <w:jc w:val="center"/>
        <w:rPr>
          <w:rFonts w:eastAsiaTheme="majorEastAsia"/>
          <w:b/>
          <w:bCs/>
          <w:u w:val="single"/>
        </w:rPr>
      </w:pPr>
      <w:r w:rsidRPr="00FA0D97">
        <w:rPr>
          <w:rFonts w:eastAsiaTheme="majorEastAsia"/>
          <w:b/>
          <w:bCs/>
          <w:u w:val="single"/>
        </w:rPr>
        <w:t>TITLE PAGE</w:t>
      </w:r>
      <w:r>
        <w:rPr>
          <w:rFonts w:eastAsiaTheme="majorEastAsia"/>
          <w:b/>
          <w:bCs/>
          <w:u w:val="single"/>
        </w:rPr>
        <w:t>-Original Article</w:t>
      </w:r>
    </w:p>
    <w:p w14:paraId="1975C505" w14:textId="77777777" w:rsidR="00157877" w:rsidRPr="005F5487" w:rsidRDefault="00157877" w:rsidP="00157877">
      <w:pPr>
        <w:pStyle w:val="NormalWeb"/>
        <w:spacing w:line="480" w:lineRule="auto"/>
        <w:jc w:val="both"/>
        <w:rPr>
          <w:rStyle w:val="Strong"/>
          <w:rFonts w:eastAsiaTheme="majorEastAsia"/>
        </w:rPr>
      </w:pPr>
      <w:r>
        <w:rPr>
          <w:b/>
          <w:bCs/>
          <w:color w:val="222222"/>
          <w:shd w:val="clear" w:color="auto" w:fill="FFFFFF"/>
        </w:rPr>
        <w:t xml:space="preserve">Assessment of </w:t>
      </w:r>
      <w:r w:rsidRPr="00D03C37">
        <w:rPr>
          <w:b/>
          <w:bCs/>
          <w:color w:val="222222"/>
          <w:shd w:val="clear" w:color="auto" w:fill="FFFFFF"/>
        </w:rPr>
        <w:t>Comparative Efficacy of Adult Stroke Prevention Module versus Nigerian Educational Intervention Module for Primary Prevention of Stroke among Frontline Health Workers</w:t>
      </w:r>
      <w:r>
        <w:rPr>
          <w:b/>
          <w:bCs/>
          <w:color w:val="222222"/>
          <w:shd w:val="clear" w:color="auto" w:fill="FFFFFF"/>
        </w:rPr>
        <w:t xml:space="preserve"> in terms of skill delegation process- </w:t>
      </w:r>
      <w:r w:rsidRPr="00D03C37">
        <w:rPr>
          <w:b/>
          <w:bCs/>
          <w:color w:val="222222"/>
          <w:shd w:val="clear" w:color="auto" w:fill="FFFFFF"/>
        </w:rPr>
        <w:t xml:space="preserve">A </w:t>
      </w:r>
      <w:r>
        <w:rPr>
          <w:b/>
          <w:bCs/>
          <w:color w:val="222222"/>
          <w:shd w:val="clear" w:color="auto" w:fill="FFFFFF"/>
        </w:rPr>
        <w:t xml:space="preserve">Cluster </w:t>
      </w:r>
      <w:r w:rsidRPr="00D03C37">
        <w:rPr>
          <w:b/>
          <w:bCs/>
          <w:color w:val="222222"/>
          <w:shd w:val="clear" w:color="auto" w:fill="FFFFFF"/>
        </w:rPr>
        <w:t>Randomized Controlled Trial</w:t>
      </w:r>
      <w:r>
        <w:rPr>
          <w:b/>
          <w:bCs/>
          <w:color w:val="222222"/>
          <w:shd w:val="clear" w:color="auto" w:fill="FFFFFF"/>
        </w:rPr>
        <w:t xml:space="preserve"> in Rural India.</w:t>
      </w:r>
    </w:p>
    <w:p w14:paraId="561403B1" w14:textId="77777777" w:rsidR="00157877" w:rsidRPr="005F5487" w:rsidRDefault="00157877" w:rsidP="00157877">
      <w:pPr>
        <w:pStyle w:val="NormalWeb"/>
        <w:spacing w:line="276" w:lineRule="auto"/>
        <w:jc w:val="both"/>
        <w:rPr>
          <w:rStyle w:val="Strong"/>
          <w:rFonts w:eastAsiaTheme="majorEastAsia"/>
        </w:rPr>
      </w:pPr>
      <w:r>
        <w:rPr>
          <w:rStyle w:val="Strong"/>
          <w:rFonts w:eastAsiaTheme="majorEastAsia"/>
        </w:rPr>
        <w:t>Study Protocol</w:t>
      </w:r>
    </w:p>
    <w:p w14:paraId="58DE83F4" w14:textId="77777777" w:rsidR="00157877" w:rsidRDefault="00157877" w:rsidP="00157877">
      <w:pPr>
        <w:pStyle w:val="NormalWeb"/>
        <w:spacing w:line="480" w:lineRule="auto"/>
        <w:jc w:val="both"/>
        <w:rPr>
          <w:rStyle w:val="Strong"/>
          <w:rFonts w:eastAsiaTheme="majorEastAsia"/>
          <w:b w:val="0"/>
          <w:bCs w:val="0"/>
        </w:rPr>
      </w:pPr>
      <w:r>
        <w:rPr>
          <w:rStyle w:val="Strong"/>
          <w:rFonts w:eastAsiaTheme="majorEastAsia"/>
        </w:rPr>
        <w:t>Author</w:t>
      </w:r>
      <w:r w:rsidRPr="005F5487">
        <w:rPr>
          <w:rStyle w:val="Strong"/>
          <w:rFonts w:eastAsiaTheme="majorEastAsia"/>
        </w:rPr>
        <w:t>:</w:t>
      </w:r>
      <w:r>
        <w:rPr>
          <w:rStyle w:val="Strong"/>
          <w:rFonts w:eastAsiaTheme="majorEastAsia"/>
        </w:rPr>
        <w:t xml:space="preserve">                           </w:t>
      </w:r>
      <w:r w:rsidRPr="005F5487">
        <w:rPr>
          <w:rStyle w:val="Strong"/>
          <w:rFonts w:eastAsiaTheme="majorEastAsia"/>
          <w:b w:val="0"/>
          <w:bCs w:val="0"/>
        </w:rPr>
        <w:t xml:space="preserve">Mrs. J. Vinodhini Zipporah </w:t>
      </w:r>
    </w:p>
    <w:p w14:paraId="6B78FBA2" w14:textId="77777777" w:rsidR="00157877" w:rsidRDefault="00157877" w:rsidP="00157877">
      <w:pPr>
        <w:pStyle w:val="NormalWeb"/>
        <w:spacing w:line="480" w:lineRule="auto"/>
        <w:jc w:val="both"/>
        <w:rPr>
          <w:rStyle w:val="Strong"/>
          <w:rFonts w:eastAsiaTheme="majorEastAsia"/>
          <w:b w:val="0"/>
          <w:bCs w:val="0"/>
        </w:rPr>
      </w:pPr>
      <w:r>
        <w:rPr>
          <w:rStyle w:val="Strong"/>
          <w:rFonts w:eastAsiaTheme="majorEastAsia"/>
          <w:b w:val="0"/>
          <w:bCs w:val="0"/>
        </w:rPr>
        <w:t xml:space="preserve">                                         </w:t>
      </w:r>
      <w:r w:rsidRPr="005F5487">
        <w:rPr>
          <w:rStyle w:val="Strong"/>
          <w:rFonts w:eastAsiaTheme="majorEastAsia"/>
          <w:b w:val="0"/>
          <w:bCs w:val="0"/>
        </w:rPr>
        <w:t>Ph.D. Scholar, D</w:t>
      </w:r>
      <w:r>
        <w:rPr>
          <w:rStyle w:val="Strong"/>
          <w:rFonts w:eastAsiaTheme="majorEastAsia"/>
          <w:b w:val="0"/>
          <w:bCs w:val="0"/>
        </w:rPr>
        <w:t>atta Meghe Institute of Higher Education &amp; Research (DU)</w:t>
      </w:r>
      <w:r w:rsidRPr="005F5487">
        <w:rPr>
          <w:rStyle w:val="Strong"/>
          <w:rFonts w:eastAsiaTheme="majorEastAsia"/>
          <w:b w:val="0"/>
          <w:bCs w:val="0"/>
        </w:rPr>
        <w:t>, Wardha, Mahar</w:t>
      </w:r>
      <w:r>
        <w:rPr>
          <w:rStyle w:val="Strong"/>
          <w:rFonts w:eastAsiaTheme="majorEastAsia"/>
          <w:b w:val="0"/>
          <w:bCs w:val="0"/>
        </w:rPr>
        <w:t>a</w:t>
      </w:r>
      <w:r w:rsidRPr="005F5487">
        <w:rPr>
          <w:rStyle w:val="Strong"/>
          <w:rFonts w:eastAsiaTheme="majorEastAsia"/>
          <w:b w:val="0"/>
          <w:bCs w:val="0"/>
        </w:rPr>
        <w:t>shtra</w:t>
      </w:r>
      <w:r>
        <w:rPr>
          <w:rStyle w:val="Strong"/>
          <w:rFonts w:eastAsiaTheme="majorEastAsia"/>
          <w:b w:val="0"/>
          <w:bCs w:val="0"/>
        </w:rPr>
        <w:t>, India.</w:t>
      </w:r>
    </w:p>
    <w:p w14:paraId="1B5A6772" w14:textId="77777777" w:rsidR="00157877" w:rsidRDefault="00157877" w:rsidP="00157877">
      <w:pPr>
        <w:pStyle w:val="NormalWeb"/>
        <w:spacing w:line="480" w:lineRule="auto"/>
        <w:jc w:val="both"/>
        <w:rPr>
          <w:rStyle w:val="Strong"/>
          <w:rFonts w:eastAsiaTheme="majorEastAsia"/>
          <w:b w:val="0"/>
          <w:bCs w:val="0"/>
        </w:rPr>
      </w:pPr>
      <w:r w:rsidRPr="007B51C2">
        <w:rPr>
          <w:rStyle w:val="Strong"/>
          <w:rFonts w:eastAsiaTheme="majorEastAsia"/>
        </w:rPr>
        <w:t>E-mail I</w:t>
      </w:r>
      <w:r>
        <w:rPr>
          <w:rStyle w:val="Strong"/>
          <w:rFonts w:eastAsiaTheme="majorEastAsia"/>
        </w:rPr>
        <w:t>D</w:t>
      </w:r>
      <w:r w:rsidRPr="007B51C2">
        <w:rPr>
          <w:rStyle w:val="Strong"/>
          <w:rFonts w:eastAsiaTheme="majorEastAsia"/>
        </w:rPr>
        <w:t>:</w:t>
      </w:r>
      <w:r>
        <w:rPr>
          <w:rStyle w:val="Strong"/>
          <w:rFonts w:eastAsiaTheme="majorEastAsia"/>
          <w:b w:val="0"/>
          <w:bCs w:val="0"/>
        </w:rPr>
        <w:t xml:space="preserve"> vinodhinibright24@gmail.com</w:t>
      </w:r>
    </w:p>
    <w:p w14:paraId="763F41F9" w14:textId="77777777" w:rsidR="00157877" w:rsidRDefault="00157877" w:rsidP="00157877">
      <w:pPr>
        <w:pStyle w:val="NormalWeb"/>
        <w:spacing w:line="480" w:lineRule="auto"/>
        <w:jc w:val="both"/>
        <w:rPr>
          <w:rStyle w:val="Strong"/>
          <w:rFonts w:eastAsiaTheme="majorEastAsia"/>
          <w:b w:val="0"/>
          <w:bCs w:val="0"/>
        </w:rPr>
      </w:pPr>
      <w:r w:rsidRPr="007B51C2">
        <w:rPr>
          <w:rStyle w:val="Strong"/>
          <w:rFonts w:eastAsiaTheme="majorEastAsia"/>
        </w:rPr>
        <w:t>Phone Number:</w:t>
      </w:r>
      <w:r>
        <w:rPr>
          <w:rStyle w:val="Strong"/>
          <w:rFonts w:eastAsiaTheme="majorEastAsia"/>
          <w:b w:val="0"/>
          <w:bCs w:val="0"/>
        </w:rPr>
        <w:t xml:space="preserve"> 9600502336</w:t>
      </w:r>
    </w:p>
    <w:p w14:paraId="73D2EB2F" w14:textId="77777777" w:rsidR="00157877" w:rsidRPr="005F5487" w:rsidRDefault="00157877" w:rsidP="00157877">
      <w:pPr>
        <w:pStyle w:val="NormalWeb"/>
        <w:spacing w:line="480" w:lineRule="auto"/>
        <w:jc w:val="both"/>
        <w:rPr>
          <w:rStyle w:val="Strong"/>
          <w:rFonts w:eastAsiaTheme="majorEastAsia"/>
          <w:b w:val="0"/>
          <w:bCs w:val="0"/>
        </w:rPr>
      </w:pPr>
      <w:r>
        <w:rPr>
          <w:rStyle w:val="Strong"/>
          <w:rFonts w:eastAsiaTheme="majorEastAsia"/>
        </w:rPr>
        <w:t>Corresponding Author</w:t>
      </w:r>
      <w:r w:rsidRPr="005F5487">
        <w:rPr>
          <w:rStyle w:val="Strong"/>
          <w:rFonts w:eastAsiaTheme="majorEastAsia"/>
        </w:rPr>
        <w:t>:</w:t>
      </w:r>
      <w:r>
        <w:rPr>
          <w:rStyle w:val="Strong"/>
          <w:rFonts w:eastAsiaTheme="majorEastAsia"/>
        </w:rPr>
        <w:t xml:space="preserve"> </w:t>
      </w:r>
      <w:r w:rsidRPr="005F5487">
        <w:rPr>
          <w:rStyle w:val="Strong"/>
          <w:rFonts w:eastAsiaTheme="majorEastAsia"/>
          <w:b w:val="0"/>
          <w:bCs w:val="0"/>
        </w:rPr>
        <w:t>Dr. Ruchira Ankar, PhD (N)</w:t>
      </w:r>
    </w:p>
    <w:p w14:paraId="7D95627B" w14:textId="77777777" w:rsidR="00157877" w:rsidRPr="005F5487" w:rsidRDefault="00157877" w:rsidP="00157877">
      <w:pPr>
        <w:pStyle w:val="NormalWeb"/>
        <w:spacing w:line="480" w:lineRule="auto"/>
        <w:jc w:val="both"/>
        <w:rPr>
          <w:rStyle w:val="Strong"/>
          <w:rFonts w:eastAsiaTheme="majorEastAsia"/>
          <w:b w:val="0"/>
          <w:bCs w:val="0"/>
        </w:rPr>
      </w:pPr>
      <w:r>
        <w:rPr>
          <w:rStyle w:val="Strong"/>
          <w:rFonts w:eastAsiaTheme="majorEastAsia"/>
          <w:b w:val="0"/>
          <w:bCs w:val="0"/>
        </w:rPr>
        <w:t xml:space="preserve">                                         </w:t>
      </w:r>
      <w:r w:rsidRPr="005F5487">
        <w:rPr>
          <w:rStyle w:val="Strong"/>
          <w:rFonts w:eastAsiaTheme="majorEastAsia"/>
          <w:b w:val="0"/>
          <w:bCs w:val="0"/>
        </w:rPr>
        <w:t>Associate Professor &amp; HOD, Dept. of Medical-Surgical Nursing</w:t>
      </w:r>
    </w:p>
    <w:p w14:paraId="66F004FD" w14:textId="77777777" w:rsidR="00157877" w:rsidRDefault="00157877" w:rsidP="00157877">
      <w:pPr>
        <w:pStyle w:val="NormalWeb"/>
        <w:spacing w:line="480" w:lineRule="auto"/>
        <w:jc w:val="both"/>
        <w:rPr>
          <w:rStyle w:val="Strong"/>
          <w:rFonts w:eastAsiaTheme="majorEastAsia"/>
          <w:b w:val="0"/>
          <w:bCs w:val="0"/>
        </w:rPr>
      </w:pPr>
      <w:r w:rsidRPr="005F5487">
        <w:rPr>
          <w:rStyle w:val="Strong"/>
          <w:rFonts w:eastAsiaTheme="majorEastAsia"/>
          <w:b w:val="0"/>
          <w:bCs w:val="0"/>
        </w:rPr>
        <w:t xml:space="preserve">          </w:t>
      </w:r>
      <w:r>
        <w:rPr>
          <w:rStyle w:val="Strong"/>
          <w:rFonts w:eastAsiaTheme="majorEastAsia"/>
          <w:b w:val="0"/>
          <w:bCs w:val="0"/>
        </w:rPr>
        <w:t xml:space="preserve">                               </w:t>
      </w:r>
      <w:r w:rsidRPr="005F5487">
        <w:rPr>
          <w:rStyle w:val="Strong"/>
          <w:rFonts w:eastAsiaTheme="majorEastAsia"/>
          <w:b w:val="0"/>
          <w:bCs w:val="0"/>
        </w:rPr>
        <w:t xml:space="preserve"> Smt. </w:t>
      </w:r>
      <w:proofErr w:type="spellStart"/>
      <w:r w:rsidRPr="005F5487">
        <w:rPr>
          <w:rStyle w:val="Strong"/>
          <w:rFonts w:eastAsiaTheme="majorEastAsia"/>
          <w:b w:val="0"/>
          <w:bCs w:val="0"/>
        </w:rPr>
        <w:t>Radhikabai</w:t>
      </w:r>
      <w:proofErr w:type="spellEnd"/>
      <w:r>
        <w:rPr>
          <w:rStyle w:val="Strong"/>
          <w:rFonts w:eastAsiaTheme="majorEastAsia"/>
          <w:b w:val="0"/>
          <w:bCs w:val="0"/>
        </w:rPr>
        <w:t xml:space="preserve"> Meghe</w:t>
      </w:r>
      <w:r w:rsidRPr="005F5487">
        <w:rPr>
          <w:rStyle w:val="Strong"/>
          <w:rFonts w:eastAsiaTheme="majorEastAsia"/>
          <w:b w:val="0"/>
          <w:bCs w:val="0"/>
        </w:rPr>
        <w:t xml:space="preserve"> Memorial College of Nursing,</w:t>
      </w:r>
      <w:r>
        <w:rPr>
          <w:rStyle w:val="Strong"/>
          <w:rFonts w:eastAsiaTheme="majorEastAsia"/>
          <w:b w:val="0"/>
          <w:bCs w:val="0"/>
        </w:rPr>
        <w:t xml:space="preserve"> </w:t>
      </w:r>
      <w:r w:rsidRPr="005F5487">
        <w:rPr>
          <w:rStyle w:val="Strong"/>
          <w:rFonts w:eastAsiaTheme="majorEastAsia"/>
          <w:b w:val="0"/>
          <w:bCs w:val="0"/>
        </w:rPr>
        <w:t xml:space="preserve">DMIHER(DU), </w:t>
      </w:r>
      <w:proofErr w:type="spellStart"/>
      <w:r w:rsidRPr="005F5487">
        <w:rPr>
          <w:rStyle w:val="Strong"/>
          <w:rFonts w:eastAsiaTheme="majorEastAsia"/>
          <w:b w:val="0"/>
          <w:bCs w:val="0"/>
        </w:rPr>
        <w:t>Sawangi</w:t>
      </w:r>
      <w:proofErr w:type="spellEnd"/>
      <w:r w:rsidRPr="005F5487">
        <w:rPr>
          <w:rStyle w:val="Strong"/>
          <w:rFonts w:eastAsiaTheme="majorEastAsia"/>
          <w:b w:val="0"/>
          <w:bCs w:val="0"/>
        </w:rPr>
        <w:t>(M), Wardha</w:t>
      </w:r>
      <w:r>
        <w:rPr>
          <w:rStyle w:val="Strong"/>
          <w:rFonts w:eastAsiaTheme="majorEastAsia"/>
          <w:b w:val="0"/>
          <w:bCs w:val="0"/>
        </w:rPr>
        <w:t>, Maharashtra, India.</w:t>
      </w:r>
    </w:p>
    <w:p w14:paraId="20FC44F0" w14:textId="77777777" w:rsidR="00157877" w:rsidRDefault="00157877" w:rsidP="00157877">
      <w:pPr>
        <w:pStyle w:val="NormalWeb"/>
        <w:spacing w:line="480" w:lineRule="auto"/>
        <w:jc w:val="both"/>
        <w:rPr>
          <w:rStyle w:val="Strong"/>
          <w:rFonts w:eastAsiaTheme="majorEastAsia"/>
          <w:b w:val="0"/>
          <w:bCs w:val="0"/>
        </w:rPr>
      </w:pPr>
      <w:r w:rsidRPr="007B51C2">
        <w:rPr>
          <w:rStyle w:val="Strong"/>
          <w:rFonts w:eastAsiaTheme="majorEastAsia"/>
        </w:rPr>
        <w:t>E-mail ID</w:t>
      </w:r>
      <w:r>
        <w:rPr>
          <w:rStyle w:val="Strong"/>
          <w:rFonts w:eastAsiaTheme="majorEastAsia"/>
          <w:b w:val="0"/>
          <w:bCs w:val="0"/>
        </w:rPr>
        <w:t xml:space="preserve">: </w:t>
      </w:r>
      <w:hyperlink r:id="rId5" w:history="1">
        <w:r w:rsidRPr="00A93CB3">
          <w:rPr>
            <w:rStyle w:val="Hyperlink"/>
            <w:rFonts w:eastAsiaTheme="majorEastAsia"/>
          </w:rPr>
          <w:t>ruchira.shende@rediffmail.com</w:t>
        </w:r>
      </w:hyperlink>
    </w:p>
    <w:p w14:paraId="08ED7BAA" w14:textId="77777777" w:rsidR="00157877" w:rsidRPr="00441977" w:rsidRDefault="00157877" w:rsidP="00157877">
      <w:pPr>
        <w:pStyle w:val="NormalWeb"/>
        <w:spacing w:line="480" w:lineRule="auto"/>
        <w:jc w:val="both"/>
        <w:rPr>
          <w:rStyle w:val="Strong"/>
          <w:rFonts w:eastAsiaTheme="majorEastAsia"/>
        </w:rPr>
      </w:pPr>
      <w:r w:rsidRPr="00441977">
        <w:rPr>
          <w:rStyle w:val="Strong"/>
          <w:rFonts w:eastAsiaTheme="majorEastAsia"/>
        </w:rPr>
        <w:t>Phone Number:</w:t>
      </w:r>
      <w:r>
        <w:rPr>
          <w:rStyle w:val="Strong"/>
          <w:rFonts w:eastAsiaTheme="majorEastAsia"/>
        </w:rPr>
        <w:t xml:space="preserve"> </w:t>
      </w:r>
      <w:r w:rsidRPr="00441977">
        <w:rPr>
          <w:rStyle w:val="Strong"/>
          <w:rFonts w:eastAsiaTheme="majorEastAsia"/>
          <w:b w:val="0"/>
          <w:bCs w:val="0"/>
        </w:rPr>
        <w:t>7620978673</w:t>
      </w:r>
    </w:p>
    <w:p w14:paraId="65FB1221" w14:textId="77777777" w:rsidR="00157877" w:rsidRDefault="00157877"/>
    <w:p w14:paraId="65368FC0" w14:textId="77777777" w:rsidR="00157877" w:rsidRDefault="00157877"/>
    <w:p w14:paraId="1B618D32" w14:textId="77777777" w:rsidR="00157877" w:rsidRDefault="00157877"/>
    <w:p w14:paraId="505FD3F3" w14:textId="77777777" w:rsidR="00157877" w:rsidRPr="00FA0D97" w:rsidRDefault="00157877" w:rsidP="00157877">
      <w:pPr>
        <w:jc w:val="center"/>
        <w:rPr>
          <w:rFonts w:ascii="Times New Roman" w:hAnsi="Times New Roman" w:cs="Times New Roman"/>
          <w:b/>
          <w:bCs/>
          <w:u w:val="single"/>
        </w:rPr>
      </w:pPr>
      <w:r w:rsidRPr="00FA0D97">
        <w:rPr>
          <w:rFonts w:ascii="Times New Roman" w:hAnsi="Times New Roman" w:cs="Times New Roman"/>
          <w:b/>
          <w:bCs/>
          <w:u w:val="single"/>
        </w:rPr>
        <w:lastRenderedPageBreak/>
        <w:t>MANUSCRIPT</w:t>
      </w:r>
    </w:p>
    <w:p w14:paraId="0752EA72" w14:textId="77777777" w:rsidR="00157877" w:rsidRDefault="00157877" w:rsidP="00157877">
      <w:pPr>
        <w:jc w:val="both"/>
        <w:rPr>
          <w:rFonts w:ascii="Times New Roman" w:hAnsi="Times New Roman" w:cs="Times New Roman"/>
          <w:b/>
          <w:bCs/>
        </w:rPr>
      </w:pPr>
    </w:p>
    <w:p w14:paraId="12F8D0BD" w14:textId="77777777" w:rsidR="00157877" w:rsidRDefault="00157877" w:rsidP="00157877">
      <w:pPr>
        <w:spacing w:line="480" w:lineRule="auto"/>
        <w:jc w:val="both"/>
        <w:rPr>
          <w:rFonts w:ascii="Times New Roman" w:hAnsi="Times New Roman" w:cs="Times New Roman"/>
          <w:b/>
          <w:bCs/>
        </w:rPr>
      </w:pPr>
      <w:r>
        <w:rPr>
          <w:rFonts w:ascii="Times New Roman" w:hAnsi="Times New Roman" w:cs="Times New Roman"/>
          <w:b/>
          <w:bCs/>
        </w:rPr>
        <w:t>Abstract:</w:t>
      </w:r>
    </w:p>
    <w:p w14:paraId="6E6C9469" w14:textId="77777777" w:rsidR="00157877" w:rsidRDefault="00157877" w:rsidP="00157877">
      <w:pPr>
        <w:spacing w:line="480" w:lineRule="auto"/>
        <w:jc w:val="both"/>
        <w:rPr>
          <w:rFonts w:ascii="Times New Roman" w:hAnsi="Times New Roman" w:cs="Times New Roman"/>
          <w:b/>
          <w:bCs/>
        </w:rPr>
      </w:pPr>
      <w:r>
        <w:rPr>
          <w:rFonts w:ascii="Times New Roman" w:hAnsi="Times New Roman" w:cs="Times New Roman"/>
          <w:b/>
          <w:bCs/>
        </w:rPr>
        <w:t>Background:</w:t>
      </w:r>
    </w:p>
    <w:p w14:paraId="0B3FDEA9" w14:textId="26F15622" w:rsidR="00157877" w:rsidRPr="00157877" w:rsidRDefault="00157877" w:rsidP="00157877">
      <w:pPr>
        <w:spacing w:line="480" w:lineRule="auto"/>
        <w:rPr>
          <w:rFonts w:ascii="Times New Roman" w:hAnsi="Times New Roman" w:cs="Times New Roman"/>
        </w:rPr>
      </w:pPr>
      <w:r>
        <w:rPr>
          <w:rFonts w:ascii="Times New Roman" w:hAnsi="Times New Roman" w:cs="Times New Roman"/>
        </w:rPr>
        <w:t xml:space="preserve">                    </w:t>
      </w:r>
      <w:r w:rsidRPr="00157877">
        <w:rPr>
          <w:rFonts w:ascii="Times New Roman" w:hAnsi="Times New Roman" w:cs="Times New Roman"/>
        </w:rPr>
        <w:t>Stroke remains a leading cause of mortality and disability worldwide, with low- and middle-income countries (LMICs) carrying the greatest burden. In India, delayed recognition of warning signs and limited primary prevention strategies contribute to poor outcomes. Frontline health workers (FLWs) are uniquely positioned to identify risk factors and deliver community-based interventions, yet structured training in stroke prevention is limited. This study compares the Adult Stroke Prevention Module (ASPM), developed locally, with the Nigerian Educational Intervention Module (NEIM), to evaluate their effectiveness in strengthening FLW competency and community engagement for primary stroke prevention.</w:t>
      </w:r>
    </w:p>
    <w:p w14:paraId="2C4DA933" w14:textId="77777777" w:rsidR="00157877" w:rsidRPr="00157877" w:rsidRDefault="00157877" w:rsidP="00157877">
      <w:pPr>
        <w:spacing w:line="480" w:lineRule="auto"/>
        <w:rPr>
          <w:rFonts w:ascii="Times New Roman" w:hAnsi="Times New Roman" w:cs="Times New Roman"/>
          <w:b/>
          <w:bCs/>
        </w:rPr>
      </w:pPr>
      <w:r w:rsidRPr="00157877">
        <w:rPr>
          <w:rFonts w:ascii="Times New Roman" w:hAnsi="Times New Roman" w:cs="Times New Roman"/>
          <w:b/>
          <w:bCs/>
        </w:rPr>
        <w:t>Objectives:</w:t>
      </w:r>
    </w:p>
    <w:p w14:paraId="3A60DF05" w14:textId="2DD32766" w:rsidR="00157877" w:rsidRPr="00157877" w:rsidRDefault="00157877" w:rsidP="00157877">
      <w:pPr>
        <w:spacing w:line="480" w:lineRule="auto"/>
        <w:rPr>
          <w:rFonts w:ascii="Times New Roman" w:hAnsi="Times New Roman" w:cs="Times New Roman"/>
        </w:rPr>
      </w:pPr>
      <w:r>
        <w:rPr>
          <w:rFonts w:ascii="Times New Roman" w:hAnsi="Times New Roman" w:cs="Times New Roman"/>
        </w:rPr>
        <w:t xml:space="preserve">             </w:t>
      </w:r>
      <w:r w:rsidRPr="00157877">
        <w:rPr>
          <w:rFonts w:ascii="Times New Roman" w:hAnsi="Times New Roman" w:cs="Times New Roman"/>
        </w:rPr>
        <w:t xml:space="preserve">The primary objective is to assess whether ASPM improves FLW skill delegation and competency in stroke prevention compared to NEIM. Secondary objectives include evaluating changes in community participants’ modifiable risk factors, knowledge retention, and adherence to preventive </w:t>
      </w:r>
      <w:proofErr w:type="spellStart"/>
      <w:r w:rsidRPr="00157877">
        <w:rPr>
          <w:rFonts w:ascii="Times New Roman" w:hAnsi="Times New Roman" w:cs="Times New Roman"/>
        </w:rPr>
        <w:t>behaviors</w:t>
      </w:r>
      <w:proofErr w:type="spellEnd"/>
      <w:r w:rsidRPr="00157877">
        <w:rPr>
          <w:rFonts w:ascii="Times New Roman" w:hAnsi="Times New Roman" w:cs="Times New Roman"/>
        </w:rPr>
        <w:t xml:space="preserve"> over time.</w:t>
      </w:r>
    </w:p>
    <w:p w14:paraId="3158A653" w14:textId="77777777" w:rsidR="00157877" w:rsidRPr="00157877" w:rsidRDefault="00157877" w:rsidP="00157877">
      <w:pPr>
        <w:spacing w:line="480" w:lineRule="auto"/>
        <w:rPr>
          <w:rFonts w:ascii="Times New Roman" w:hAnsi="Times New Roman" w:cs="Times New Roman"/>
          <w:b/>
          <w:bCs/>
        </w:rPr>
      </w:pPr>
      <w:r w:rsidRPr="00157877">
        <w:rPr>
          <w:rFonts w:ascii="Times New Roman" w:hAnsi="Times New Roman" w:cs="Times New Roman"/>
          <w:b/>
          <w:bCs/>
        </w:rPr>
        <w:t>Methods:</w:t>
      </w:r>
    </w:p>
    <w:p w14:paraId="27D65E06" w14:textId="6D809002" w:rsidR="00157877" w:rsidRPr="00157877" w:rsidRDefault="00157877" w:rsidP="00157877">
      <w:pPr>
        <w:spacing w:line="480" w:lineRule="auto"/>
        <w:rPr>
          <w:rFonts w:ascii="Times New Roman" w:hAnsi="Times New Roman" w:cs="Times New Roman"/>
        </w:rPr>
      </w:pPr>
      <w:r>
        <w:rPr>
          <w:rFonts w:ascii="Times New Roman" w:hAnsi="Times New Roman" w:cs="Times New Roman"/>
        </w:rPr>
        <w:t xml:space="preserve">            </w:t>
      </w:r>
      <w:r w:rsidRPr="00157877">
        <w:rPr>
          <w:rFonts w:ascii="Times New Roman" w:hAnsi="Times New Roman" w:cs="Times New Roman"/>
        </w:rPr>
        <w:t xml:space="preserve">This cluster-randomized controlled trial will be conducted across eight community clusters in Wardha district, Maharashtra. FLWs will be randomized to either ASPM (structured four-session training plus video module) or NEIM (translated video-based education with </w:t>
      </w:r>
      <w:proofErr w:type="spellStart"/>
      <w:r w:rsidRPr="00157877">
        <w:rPr>
          <w:rFonts w:ascii="Times New Roman" w:hAnsi="Times New Roman" w:cs="Times New Roman"/>
        </w:rPr>
        <w:t>counseling</w:t>
      </w:r>
      <w:proofErr w:type="spellEnd"/>
      <w:r w:rsidRPr="00157877">
        <w:rPr>
          <w:rFonts w:ascii="Times New Roman" w:hAnsi="Times New Roman" w:cs="Times New Roman"/>
        </w:rPr>
        <w:t xml:space="preserve">). Adults aged 40–60 years identified by FLWs will undergo baseline and follow-up assessments at 3, 6, and 9 months, including blood pressure, glucose, </w:t>
      </w:r>
      <w:r w:rsidRPr="00157877">
        <w:rPr>
          <w:rFonts w:ascii="Times New Roman" w:hAnsi="Times New Roman" w:cs="Times New Roman"/>
        </w:rPr>
        <w:lastRenderedPageBreak/>
        <w:t xml:space="preserve">cholesterol, waist-to-hip ratio, lifestyle habits, and stress levels. The primary endpoint is FLW skill delegation competency, measured using a validated checklist. Secondary outcomes include biometric and </w:t>
      </w:r>
      <w:r w:rsidR="005430EA" w:rsidRPr="00157877">
        <w:rPr>
          <w:rFonts w:ascii="Times New Roman" w:hAnsi="Times New Roman" w:cs="Times New Roman"/>
        </w:rPr>
        <w:t>behavioural</w:t>
      </w:r>
      <w:r w:rsidRPr="00157877">
        <w:rPr>
          <w:rFonts w:ascii="Times New Roman" w:hAnsi="Times New Roman" w:cs="Times New Roman"/>
        </w:rPr>
        <w:t xml:space="preserve"> changes among community participants. Data will be </w:t>
      </w:r>
      <w:r w:rsidR="005430EA" w:rsidRPr="00157877">
        <w:rPr>
          <w:rFonts w:ascii="Times New Roman" w:hAnsi="Times New Roman" w:cs="Times New Roman"/>
        </w:rPr>
        <w:t>analysed</w:t>
      </w:r>
      <w:r w:rsidRPr="00157877">
        <w:rPr>
          <w:rFonts w:ascii="Times New Roman" w:hAnsi="Times New Roman" w:cs="Times New Roman"/>
        </w:rPr>
        <w:t xml:space="preserve"> using mixed-effects regression models with cluster random effects, adjusting for baseline values and handling missing data through multiple imputation.</w:t>
      </w:r>
    </w:p>
    <w:p w14:paraId="65E1DB14" w14:textId="77777777" w:rsidR="00157877" w:rsidRPr="00157877" w:rsidRDefault="00157877" w:rsidP="00157877">
      <w:pPr>
        <w:spacing w:line="480" w:lineRule="auto"/>
        <w:rPr>
          <w:rFonts w:ascii="Times New Roman" w:hAnsi="Times New Roman" w:cs="Times New Roman"/>
          <w:b/>
          <w:bCs/>
        </w:rPr>
      </w:pPr>
      <w:r w:rsidRPr="00157877">
        <w:rPr>
          <w:rFonts w:ascii="Times New Roman" w:hAnsi="Times New Roman" w:cs="Times New Roman"/>
          <w:b/>
          <w:bCs/>
        </w:rPr>
        <w:t>Results:</w:t>
      </w:r>
    </w:p>
    <w:p w14:paraId="249E725F" w14:textId="2B67DE3B" w:rsidR="00157877" w:rsidRPr="00157877" w:rsidRDefault="00157877" w:rsidP="00157877">
      <w:pPr>
        <w:spacing w:line="480" w:lineRule="auto"/>
        <w:rPr>
          <w:rFonts w:ascii="Times New Roman" w:hAnsi="Times New Roman" w:cs="Times New Roman"/>
        </w:rPr>
      </w:pPr>
      <w:r>
        <w:rPr>
          <w:rFonts w:ascii="Times New Roman" w:hAnsi="Times New Roman" w:cs="Times New Roman"/>
        </w:rPr>
        <w:t xml:space="preserve">                 </w:t>
      </w:r>
      <w:r w:rsidRPr="00157877">
        <w:rPr>
          <w:rFonts w:ascii="Times New Roman" w:hAnsi="Times New Roman" w:cs="Times New Roman"/>
        </w:rPr>
        <w:t xml:space="preserve">The trial has been registered in the Clinical Trial Registry of India </w:t>
      </w:r>
      <w:r w:rsidRPr="00157877">
        <w:rPr>
          <w:rFonts w:ascii="Times New Roman" w:hAnsi="Times New Roman" w:cs="Times New Roman"/>
          <w:b/>
          <w:bCs/>
        </w:rPr>
        <w:t>(CTRI/2025/05/086446).</w:t>
      </w:r>
      <w:r w:rsidRPr="00157877">
        <w:rPr>
          <w:rFonts w:ascii="Times New Roman" w:hAnsi="Times New Roman" w:cs="Times New Roman"/>
        </w:rPr>
        <w:t xml:space="preserve"> As of submission, training materials and video modules have been finalized, and a pilot study with 20 FLWs has been </w:t>
      </w:r>
      <w:r w:rsidR="00A866CE">
        <w:rPr>
          <w:rFonts w:ascii="Times New Roman" w:hAnsi="Times New Roman" w:cs="Times New Roman"/>
        </w:rPr>
        <w:t>initiated</w:t>
      </w:r>
      <w:r w:rsidRPr="00157877">
        <w:rPr>
          <w:rFonts w:ascii="Times New Roman" w:hAnsi="Times New Roman" w:cs="Times New Roman"/>
        </w:rPr>
        <w:t xml:space="preserve"> to refine tools and procedures. Recruitment is projected to begin in </w:t>
      </w:r>
      <w:r w:rsidR="00A866CE">
        <w:rPr>
          <w:rFonts w:ascii="Times New Roman" w:hAnsi="Times New Roman" w:cs="Times New Roman"/>
        </w:rPr>
        <w:t>May</w:t>
      </w:r>
      <w:r w:rsidRPr="00157877">
        <w:rPr>
          <w:rFonts w:ascii="Times New Roman" w:hAnsi="Times New Roman" w:cs="Times New Roman"/>
        </w:rPr>
        <w:t xml:space="preserve"> 202</w:t>
      </w:r>
      <w:r w:rsidR="00A866CE">
        <w:rPr>
          <w:rFonts w:ascii="Times New Roman" w:hAnsi="Times New Roman" w:cs="Times New Roman"/>
        </w:rPr>
        <w:t>6</w:t>
      </w:r>
      <w:r w:rsidRPr="00157877">
        <w:rPr>
          <w:rFonts w:ascii="Times New Roman" w:hAnsi="Times New Roman" w:cs="Times New Roman"/>
        </w:rPr>
        <w:t>, with data collection expected to conclude by March 202</w:t>
      </w:r>
      <w:r w:rsidR="00A866CE">
        <w:rPr>
          <w:rFonts w:ascii="Times New Roman" w:hAnsi="Times New Roman" w:cs="Times New Roman"/>
        </w:rPr>
        <w:t>7</w:t>
      </w:r>
      <w:r w:rsidRPr="00157877">
        <w:rPr>
          <w:rFonts w:ascii="Times New Roman" w:hAnsi="Times New Roman" w:cs="Times New Roman"/>
        </w:rPr>
        <w:t>. Results will be disseminated through peer-reviewed publications and shared with local health authorities.</w:t>
      </w:r>
    </w:p>
    <w:p w14:paraId="7FCEA81B" w14:textId="77777777" w:rsidR="00157877" w:rsidRDefault="00157877" w:rsidP="00157877">
      <w:pPr>
        <w:spacing w:line="480" w:lineRule="auto"/>
        <w:rPr>
          <w:rFonts w:ascii="Times New Roman" w:hAnsi="Times New Roman" w:cs="Times New Roman"/>
        </w:rPr>
      </w:pPr>
      <w:r w:rsidRPr="00157877">
        <w:rPr>
          <w:rFonts w:ascii="Times New Roman" w:hAnsi="Times New Roman" w:cs="Times New Roman"/>
          <w:b/>
          <w:bCs/>
        </w:rPr>
        <w:t>Conclusions:</w:t>
      </w:r>
      <w:r w:rsidRPr="00157877">
        <w:rPr>
          <w:rFonts w:ascii="Times New Roman" w:hAnsi="Times New Roman" w:cs="Times New Roman"/>
        </w:rPr>
        <w:t xml:space="preserve"> </w:t>
      </w:r>
    </w:p>
    <w:p w14:paraId="1103C1C9" w14:textId="4487EB63" w:rsidR="00157877" w:rsidRPr="00157877" w:rsidRDefault="00157877" w:rsidP="00157877">
      <w:pPr>
        <w:spacing w:line="480" w:lineRule="auto"/>
        <w:rPr>
          <w:rFonts w:ascii="Times New Roman" w:hAnsi="Times New Roman" w:cs="Times New Roman"/>
        </w:rPr>
      </w:pPr>
      <w:r>
        <w:rPr>
          <w:rFonts w:ascii="Times New Roman" w:hAnsi="Times New Roman" w:cs="Times New Roman"/>
        </w:rPr>
        <w:t xml:space="preserve">             </w:t>
      </w:r>
      <w:r w:rsidRPr="00157877">
        <w:rPr>
          <w:rFonts w:ascii="Times New Roman" w:hAnsi="Times New Roman" w:cs="Times New Roman"/>
        </w:rPr>
        <w:t>This study will provide evidence on the comparative efficacy of ASPM versus NEIM in enhancing FLW-led stroke prevention. Findings are expected to inform scalable, technology-driven strategies for primary prevention in LMICs, strengthen community health systems, and contribute to policy frameworks aimed at reducing the growing burden of stroke.</w:t>
      </w:r>
    </w:p>
    <w:p w14:paraId="582DFA0F" w14:textId="77777777" w:rsidR="00157877" w:rsidRPr="00157877" w:rsidRDefault="00157877" w:rsidP="00157877">
      <w:pPr>
        <w:spacing w:line="480" w:lineRule="auto"/>
        <w:rPr>
          <w:rFonts w:ascii="Times New Roman" w:hAnsi="Times New Roman" w:cs="Times New Roman"/>
          <w:b/>
          <w:bCs/>
        </w:rPr>
      </w:pPr>
      <w:r w:rsidRPr="00157877">
        <w:rPr>
          <w:rFonts w:ascii="Times New Roman" w:hAnsi="Times New Roman" w:cs="Times New Roman"/>
          <w:b/>
          <w:bCs/>
        </w:rPr>
        <w:t>Trial Registration:</w:t>
      </w:r>
    </w:p>
    <w:p w14:paraId="76DEFA92" w14:textId="77777777" w:rsidR="00157877" w:rsidRPr="00157877" w:rsidRDefault="00157877" w:rsidP="00157877">
      <w:pPr>
        <w:spacing w:line="480" w:lineRule="auto"/>
        <w:rPr>
          <w:rFonts w:ascii="Times New Roman" w:hAnsi="Times New Roman" w:cs="Times New Roman"/>
          <w:b/>
          <w:bCs/>
        </w:rPr>
      </w:pPr>
      <w:r w:rsidRPr="00157877">
        <w:rPr>
          <w:rFonts w:ascii="Times New Roman" w:hAnsi="Times New Roman" w:cs="Times New Roman"/>
          <w:b/>
          <w:bCs/>
        </w:rPr>
        <w:t>Clinical Trial Registry of India – CTRI/2025/05/086446 (Registered May 6, 2025)</w:t>
      </w:r>
    </w:p>
    <w:p w14:paraId="2C4EBAC3" w14:textId="633FAD2C" w:rsidR="00157877" w:rsidRPr="00157877" w:rsidRDefault="00157877" w:rsidP="00157877">
      <w:pPr>
        <w:spacing w:line="480" w:lineRule="auto"/>
        <w:rPr>
          <w:rFonts w:ascii="Times New Roman" w:hAnsi="Times New Roman" w:cs="Times New Roman"/>
        </w:rPr>
      </w:pPr>
      <w:r w:rsidRPr="00157877">
        <w:rPr>
          <w:rFonts w:ascii="Times New Roman" w:hAnsi="Times New Roman" w:cs="Times New Roman"/>
          <w:b/>
          <w:bCs/>
        </w:rPr>
        <w:t>Keywords</w:t>
      </w:r>
      <w:r w:rsidRPr="00157877">
        <w:rPr>
          <w:rFonts w:ascii="Times New Roman" w:hAnsi="Times New Roman" w:cs="Times New Roman"/>
        </w:rPr>
        <w:t>: Stroke, Primary prevention, Frontline health workers, Skill delegation, LMICs, Rural India</w:t>
      </w:r>
    </w:p>
    <w:p w14:paraId="6771368E" w14:textId="77777777" w:rsidR="00157877" w:rsidRDefault="00157877"/>
    <w:p w14:paraId="20F96F4F" w14:textId="77777777" w:rsidR="00E7773C" w:rsidRPr="00255D1B" w:rsidRDefault="00E7773C" w:rsidP="00E7773C">
      <w:pPr>
        <w:spacing w:line="480" w:lineRule="auto"/>
        <w:jc w:val="both"/>
        <w:rPr>
          <w:rFonts w:ascii="Times New Roman" w:eastAsia="Times New Roman" w:hAnsi="Times New Roman" w:cs="Times New Roman"/>
          <w:b/>
          <w:bCs/>
          <w:kern w:val="0"/>
          <w:lang w:eastAsia="en-IN"/>
          <w14:ligatures w14:val="none"/>
        </w:rPr>
      </w:pPr>
      <w:r>
        <w:rPr>
          <w:rFonts w:ascii="Times New Roman" w:hAnsi="Times New Roman" w:cs="Times New Roman"/>
        </w:rPr>
        <w:lastRenderedPageBreak/>
        <w:t xml:space="preserve">    </w:t>
      </w:r>
      <w:r w:rsidRPr="00255D1B">
        <w:rPr>
          <w:rFonts w:ascii="Times New Roman" w:eastAsia="Times New Roman" w:hAnsi="Times New Roman" w:cs="Times New Roman"/>
          <w:b/>
          <w:bCs/>
          <w:kern w:val="0"/>
          <w:lang w:eastAsia="en-IN"/>
          <w14:ligatures w14:val="none"/>
        </w:rPr>
        <w:t>Background:</w:t>
      </w:r>
    </w:p>
    <w:p w14:paraId="4E63DEE5" w14:textId="1C2FEF9C" w:rsidR="00E7773C" w:rsidRP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Stroke is a leading cause of death and disability worldwide, with low- and middle-income countries (LMICs) bearing nearly 80% of the global burden [1]. In India, registry data show that stroke incidence ranges between 116–163 per 100,000 individuals, with significant disparities in access to timely care [2]. Alarmingly, one in seven stroke patients in India are under 45 years of age, highlighting a shift toward younger populations and underscoring the urgent need for prevention strategies [3]. Despite this, awareness of stroke symptoms and risk factors remains low, and only about 20% of patients reach hospitals within the critical 4.5-hour treatment window [4].</w:t>
      </w:r>
    </w:p>
    <w:p w14:paraId="686ADB4B"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Community-based approaches have proven effective in reducing cardiovascular and stroke risk in resource-limited settings. For example, the </w:t>
      </w:r>
      <w:proofErr w:type="spellStart"/>
      <w:r w:rsidRPr="00E7773C">
        <w:rPr>
          <w:rFonts w:ascii="Times New Roman" w:hAnsi="Times New Roman" w:cs="Times New Roman"/>
        </w:rPr>
        <w:t>Gadchiroli</w:t>
      </w:r>
      <w:proofErr w:type="spellEnd"/>
      <w:r w:rsidRPr="00E7773C">
        <w:rPr>
          <w:rFonts w:ascii="Times New Roman" w:hAnsi="Times New Roman" w:cs="Times New Roman"/>
        </w:rPr>
        <w:t xml:space="preserve"> trial in rural India demonstrated that structured interventions delivered by health workers significantly reduced risk factor prevalence and improved outcomes [5]. Similarly, cluster randomized trials in Tanzania and other LMICs have shown that community health worker-led education can improve public knowledge of stroke warning signs and risk factors [6]. These findings highlight the potential of frontline health workers (FLWs) to act as catalysts for stroke prevention.</w:t>
      </w:r>
    </w:p>
    <w:p w14:paraId="666BBFDC"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However, evidence from India suggests that FLWs often lack adequate training in stroke recognition and prevention. A study in Kerala found that stroke awareness among community health workers was suboptimal, with gaps in knowledge about early warning signs and emergency response [7]. Another initiative in Ludhiana demonstrated the feasibility of using FLWs for rural stroke surveillance and acute care pathways, but emphasized the need for structured training modules to ensure consistency and effectiveness [8].</w:t>
      </w:r>
    </w:p>
    <w:p w14:paraId="55F65464" w14:textId="1DD2C49D"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Globally, educational interventions for stroke prevention have been explored, but systematic reviews indicate that few programs are tailored to LMIC contexts and even fewer compare </w:t>
      </w:r>
      <w:r w:rsidRPr="00E7773C">
        <w:rPr>
          <w:rFonts w:ascii="Times New Roman" w:hAnsi="Times New Roman" w:cs="Times New Roman"/>
        </w:rPr>
        <w:lastRenderedPageBreak/>
        <w:t>different training approaches for health workers [9]. The Nigerian Educational Intervention Module (NEIM), developed in 2023, is one such program that uses video-based education to improve stroke literacy among health</w:t>
      </w:r>
      <w:r w:rsidRPr="00E7773C">
        <w:rPr>
          <w:rFonts w:ascii="Times New Roman" w:hAnsi="Times New Roman" w:cs="Times New Roman"/>
        </w:rPr>
        <w:t xml:space="preserve"> </w:t>
      </w:r>
      <w:r w:rsidRPr="00E7773C">
        <w:rPr>
          <w:rFonts w:ascii="Times New Roman" w:hAnsi="Times New Roman" w:cs="Times New Roman"/>
        </w:rPr>
        <w:t>workers and communities [10]. While promising, its effectiveness in the Indian context has not been tested.</w:t>
      </w:r>
    </w:p>
    <w:p w14:paraId="685B8F65" w14:textId="5B1344AF" w:rsid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This study addresses these gaps by developing and evaluating the Adult Stroke Prevention Module (ASPM), a structured, skill-based training program tailored for Indian FLWs. By comparing ASPM with NEIM in a cluster randomized trial, the study aims to determine which approach more effectively enhances FLW competency, skill delegation, and community-level risk reduction. The findings will contribute to scalable, evidence-based strategies for stroke prevention in LMICs.</w:t>
      </w:r>
    </w:p>
    <w:p w14:paraId="744C8968"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Methods</w:t>
      </w:r>
    </w:p>
    <w:p w14:paraId="37404AF3"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Study Design</w:t>
      </w:r>
    </w:p>
    <w:p w14:paraId="388822F8" w14:textId="4CD83CEB" w:rsidR="00E7773C" w:rsidRP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Cluster-randomized controlled trial with parallel groups. Eight clusters in Wardha district will be randomized to ASPM (intervention) or NEIM (comparator).</w:t>
      </w:r>
    </w:p>
    <w:p w14:paraId="59B26400"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Participants</w:t>
      </w:r>
    </w:p>
    <w:p w14:paraId="2BB34106"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FLWs: ASHAs, JPHNs, health supervisors, and community activists.</w:t>
      </w:r>
    </w:p>
    <w:p w14:paraId="16D241AC"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Community adults: Aged 40–60 years, consenting, without severe comorbidities that prevent participation.</w:t>
      </w:r>
    </w:p>
    <w:p w14:paraId="1B2E29B2"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Intervention</w:t>
      </w:r>
    </w:p>
    <w:p w14:paraId="55024CB5"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r>
      <w:r w:rsidRPr="00E7773C">
        <w:rPr>
          <w:rFonts w:ascii="Times New Roman" w:hAnsi="Times New Roman" w:cs="Times New Roman"/>
          <w:b/>
          <w:bCs/>
        </w:rPr>
        <w:t>ASPM</w:t>
      </w:r>
      <w:r w:rsidRPr="00E7773C">
        <w:rPr>
          <w:rFonts w:ascii="Times New Roman" w:hAnsi="Times New Roman" w:cs="Times New Roman"/>
        </w:rPr>
        <w:t>: Four structured sessions (35–40 minutes each) covering stroke risk, warning signs, golden hour, treatment modalities, and prevention strategies. Includes a 15-minute video created by the investigator.</w:t>
      </w:r>
    </w:p>
    <w:p w14:paraId="54459AB0" w14:textId="703D78CB"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lastRenderedPageBreak/>
        <w:t xml:space="preserve">• </w:t>
      </w:r>
      <w:r w:rsidRPr="00E7773C">
        <w:rPr>
          <w:rFonts w:ascii="Times New Roman" w:hAnsi="Times New Roman" w:cs="Times New Roman"/>
        </w:rPr>
        <w:tab/>
      </w:r>
      <w:r w:rsidRPr="00E7773C">
        <w:rPr>
          <w:rFonts w:ascii="Times New Roman" w:hAnsi="Times New Roman" w:cs="Times New Roman"/>
          <w:b/>
          <w:bCs/>
        </w:rPr>
        <w:t>NEIM</w:t>
      </w:r>
      <w:r w:rsidRPr="00E7773C">
        <w:rPr>
          <w:rFonts w:ascii="Times New Roman" w:hAnsi="Times New Roman" w:cs="Times New Roman"/>
        </w:rPr>
        <w:t xml:space="preserve">: A 7-minute cartoon-based video </w:t>
      </w:r>
      <w:r>
        <w:rPr>
          <w:rFonts w:ascii="Times New Roman" w:hAnsi="Times New Roman" w:cs="Times New Roman"/>
        </w:rPr>
        <w:t>with Hindi subtitles</w:t>
      </w:r>
      <w:r w:rsidRPr="00E7773C">
        <w:rPr>
          <w:rFonts w:ascii="Times New Roman" w:hAnsi="Times New Roman" w:cs="Times New Roman"/>
        </w:rPr>
        <w:t xml:space="preserve">, supplemented with two </w:t>
      </w:r>
      <w:proofErr w:type="spellStart"/>
      <w:r w:rsidRPr="00E7773C">
        <w:rPr>
          <w:rFonts w:ascii="Times New Roman" w:hAnsi="Times New Roman" w:cs="Times New Roman"/>
        </w:rPr>
        <w:t>counseling</w:t>
      </w:r>
      <w:proofErr w:type="spellEnd"/>
      <w:r w:rsidRPr="00E7773C">
        <w:rPr>
          <w:rFonts w:ascii="Times New Roman" w:hAnsi="Times New Roman" w:cs="Times New Roman"/>
        </w:rPr>
        <w:t xml:space="preserve"> sessions.</w:t>
      </w:r>
    </w:p>
    <w:p w14:paraId="0D4C311A"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Outcomes</w:t>
      </w:r>
    </w:p>
    <w:p w14:paraId="7052214E" w14:textId="6B7CE584"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r>
      <w:r w:rsidRPr="00E7773C">
        <w:rPr>
          <w:rFonts w:ascii="Times New Roman" w:hAnsi="Times New Roman" w:cs="Times New Roman"/>
          <w:b/>
          <w:bCs/>
        </w:rPr>
        <w:t>Primary</w:t>
      </w:r>
      <w:r w:rsidRPr="00E7773C">
        <w:rPr>
          <w:rFonts w:ascii="Times New Roman" w:hAnsi="Times New Roman" w:cs="Times New Roman"/>
        </w:rPr>
        <w:t>: FLW skill delegation competency, measured via a</w:t>
      </w:r>
      <w:r w:rsidRPr="00E7773C">
        <w:t xml:space="preserve"> </w:t>
      </w:r>
      <w:r w:rsidRPr="00E7773C">
        <w:rPr>
          <w:rFonts w:ascii="Times New Roman" w:hAnsi="Times New Roman" w:cs="Times New Roman"/>
        </w:rPr>
        <w:t>structured checklist.</w:t>
      </w:r>
    </w:p>
    <w:p w14:paraId="0C943598" w14:textId="73ADC304"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r>
      <w:r w:rsidRPr="00E7773C">
        <w:rPr>
          <w:rFonts w:ascii="Times New Roman" w:hAnsi="Times New Roman" w:cs="Times New Roman"/>
          <w:b/>
          <w:bCs/>
        </w:rPr>
        <w:t>Secondary</w:t>
      </w:r>
      <w:r w:rsidRPr="00E7773C">
        <w:rPr>
          <w:rFonts w:ascii="Times New Roman" w:hAnsi="Times New Roman" w:cs="Times New Roman"/>
        </w:rPr>
        <w:t>:</w:t>
      </w:r>
      <w:r>
        <w:rPr>
          <w:rFonts w:ascii="Times New Roman" w:hAnsi="Times New Roman" w:cs="Times New Roman"/>
        </w:rPr>
        <w:t xml:space="preserve"> </w:t>
      </w:r>
      <w:r w:rsidRPr="00E7773C">
        <w:rPr>
          <w:rFonts w:ascii="Times New Roman" w:hAnsi="Times New Roman" w:cs="Times New Roman"/>
        </w:rPr>
        <w:t>FLW knowledge scores (pre/post training).</w:t>
      </w:r>
    </w:p>
    <w:p w14:paraId="2CD8BC5F"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Community biometric measures (BP, glucose, cholesterol, waist-to-hip ratio).</w:t>
      </w:r>
    </w:p>
    <w:p w14:paraId="11BF4C2D"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 xml:space="preserve">Lifestyle </w:t>
      </w:r>
      <w:proofErr w:type="spellStart"/>
      <w:r w:rsidRPr="00E7773C">
        <w:rPr>
          <w:rFonts w:ascii="Times New Roman" w:hAnsi="Times New Roman" w:cs="Times New Roman"/>
        </w:rPr>
        <w:t>behaviors</w:t>
      </w:r>
      <w:proofErr w:type="spellEnd"/>
      <w:r w:rsidRPr="00E7773C">
        <w:rPr>
          <w:rFonts w:ascii="Times New Roman" w:hAnsi="Times New Roman" w:cs="Times New Roman"/>
        </w:rPr>
        <w:t xml:space="preserve"> (diet, salt intake, smoking, alcohol, physical activity, stress).</w:t>
      </w:r>
    </w:p>
    <w:p w14:paraId="72DA0EA5"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Sample Size</w:t>
      </w:r>
    </w:p>
    <w:p w14:paraId="3270C7E7" w14:textId="5E0A77AE" w:rsidR="00E7773C" w:rsidRP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Determined after pilot study with 20 FLWs; formal calculation will include effect size, ICC, alpha, and attrition rate.</w:t>
      </w:r>
    </w:p>
    <w:p w14:paraId="2BB1BB6A"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t>Data Collection</w:t>
      </w:r>
    </w:p>
    <w:p w14:paraId="5C6FAAD2" w14:textId="4027E167" w:rsidR="00E7773C" w:rsidRP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 xml:space="preserve">Baseline and follow-up at 3, 6, and 9 months. Tools include Stroke </w:t>
      </w:r>
      <w:proofErr w:type="spellStart"/>
      <w:r w:rsidRPr="00E7773C">
        <w:rPr>
          <w:rFonts w:ascii="Times New Roman" w:hAnsi="Times New Roman" w:cs="Times New Roman"/>
        </w:rPr>
        <w:t>Riskometer</w:t>
      </w:r>
      <w:proofErr w:type="spellEnd"/>
      <w:r w:rsidRPr="00E7773C">
        <w:rPr>
          <w:rFonts w:ascii="Times New Roman" w:hAnsi="Times New Roman" w:cs="Times New Roman"/>
        </w:rPr>
        <w:t xml:space="preserve"> app, structured questionnaires, and biometric measurements.</w:t>
      </w:r>
    </w:p>
    <w:p w14:paraId="2563F2B8" w14:textId="241B02A0"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Analysis Plan</w:t>
      </w:r>
      <w:r w:rsidRPr="00E7773C">
        <w:t xml:space="preserve"> </w:t>
      </w:r>
      <w:r w:rsidRPr="00E7773C">
        <w:rPr>
          <w:rFonts w:ascii="Times New Roman" w:hAnsi="Times New Roman" w:cs="Times New Roman"/>
        </w:rPr>
        <w:tab/>
        <w:t>Mixed-effects regression with cluster random effects.</w:t>
      </w:r>
    </w:p>
    <w:p w14:paraId="06634860"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Baseline adjustment for covariates.</w:t>
      </w:r>
    </w:p>
    <w:p w14:paraId="29DC41F3" w14:textId="74C3B56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 xml:space="preserve">Repeated measures </w:t>
      </w:r>
      <w:r w:rsidRPr="00E7773C">
        <w:rPr>
          <w:rFonts w:ascii="Times New Roman" w:hAnsi="Times New Roman" w:cs="Times New Roman"/>
        </w:rPr>
        <w:t>modelled</w:t>
      </w:r>
      <w:r w:rsidRPr="00E7773C">
        <w:rPr>
          <w:rFonts w:ascii="Times New Roman" w:hAnsi="Times New Roman" w:cs="Times New Roman"/>
        </w:rPr>
        <w:t xml:space="preserve"> longitudinally.</w:t>
      </w:r>
    </w:p>
    <w:p w14:paraId="01DACE2A"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Missing data handled via multiple imputation.</w:t>
      </w:r>
    </w:p>
    <w:p w14:paraId="4223CE4A" w14:textId="77777777" w:rsidR="00E7773C" w:rsidRPr="00E7773C" w:rsidRDefault="00E7773C" w:rsidP="00E7773C">
      <w:pPr>
        <w:spacing w:line="480" w:lineRule="auto"/>
        <w:rPr>
          <w:rFonts w:ascii="Times New Roman" w:hAnsi="Times New Roman" w:cs="Times New Roman"/>
        </w:rPr>
      </w:pPr>
      <w:r w:rsidRPr="00E7773C">
        <w:rPr>
          <w:rFonts w:ascii="Times New Roman" w:hAnsi="Times New Roman" w:cs="Times New Roman"/>
        </w:rPr>
        <w:t xml:space="preserve">• </w:t>
      </w:r>
      <w:r w:rsidRPr="00E7773C">
        <w:rPr>
          <w:rFonts w:ascii="Times New Roman" w:hAnsi="Times New Roman" w:cs="Times New Roman"/>
        </w:rPr>
        <w:tab/>
        <w:t>Intention-to-treat as primary analysis; per-protocol as sensitivity.</w:t>
      </w:r>
    </w:p>
    <w:p w14:paraId="72ADCD17" w14:textId="77777777" w:rsidR="00E7773C" w:rsidRDefault="00E7773C" w:rsidP="00E7773C">
      <w:pPr>
        <w:spacing w:line="480" w:lineRule="auto"/>
        <w:rPr>
          <w:rFonts w:ascii="Times New Roman" w:hAnsi="Times New Roman" w:cs="Times New Roman"/>
        </w:rPr>
      </w:pPr>
    </w:p>
    <w:p w14:paraId="5F4ED756" w14:textId="77777777" w:rsidR="00E7773C" w:rsidRPr="00E7773C" w:rsidRDefault="00E7773C" w:rsidP="00E7773C">
      <w:pPr>
        <w:spacing w:line="480" w:lineRule="auto"/>
        <w:rPr>
          <w:rFonts w:ascii="Times New Roman" w:hAnsi="Times New Roman" w:cs="Times New Roman"/>
        </w:rPr>
      </w:pPr>
    </w:p>
    <w:p w14:paraId="10A1E4E4" w14:textId="77777777" w:rsidR="00E7773C" w:rsidRPr="00E7773C" w:rsidRDefault="00E7773C" w:rsidP="00E7773C">
      <w:pPr>
        <w:spacing w:line="480" w:lineRule="auto"/>
        <w:rPr>
          <w:rFonts w:ascii="Times New Roman" w:hAnsi="Times New Roman" w:cs="Times New Roman"/>
          <w:b/>
          <w:bCs/>
        </w:rPr>
      </w:pPr>
      <w:r w:rsidRPr="00E7773C">
        <w:rPr>
          <w:rFonts w:ascii="Times New Roman" w:hAnsi="Times New Roman" w:cs="Times New Roman"/>
          <w:b/>
          <w:bCs/>
        </w:rPr>
        <w:lastRenderedPageBreak/>
        <w:t>Results</w:t>
      </w:r>
    </w:p>
    <w:p w14:paraId="3EDF0360" w14:textId="00A0E819" w:rsid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r w:rsidRPr="00E7773C">
        <w:rPr>
          <w:rFonts w:ascii="Times New Roman" w:hAnsi="Times New Roman" w:cs="Times New Roman"/>
        </w:rPr>
        <w:t xml:space="preserve">The study has been registered in CTRI (CTRI/2025/05/086446). Training materials finalized, pilot study </w:t>
      </w:r>
      <w:r>
        <w:rPr>
          <w:rFonts w:ascii="Times New Roman" w:hAnsi="Times New Roman" w:cs="Times New Roman"/>
        </w:rPr>
        <w:t>yet to be started,</w:t>
      </w:r>
      <w:r w:rsidRPr="00E7773C">
        <w:rPr>
          <w:rFonts w:ascii="Times New Roman" w:hAnsi="Times New Roman" w:cs="Times New Roman"/>
        </w:rPr>
        <w:t xml:space="preserve"> recruitment projected June 2025, data collection expected March 2026.</w:t>
      </w:r>
    </w:p>
    <w:p w14:paraId="79B9A930" w14:textId="77777777" w:rsidR="00E7773C" w:rsidRPr="00942866" w:rsidRDefault="00E7773C" w:rsidP="00E7773C">
      <w:pPr>
        <w:spacing w:line="480" w:lineRule="auto"/>
        <w:rPr>
          <w:rFonts w:ascii="Times New Roman" w:hAnsi="Times New Roman" w:cs="Times New Roman"/>
          <w:b/>
          <w:bCs/>
        </w:rPr>
      </w:pPr>
      <w:r w:rsidRPr="00942866">
        <w:rPr>
          <w:rFonts w:ascii="Times New Roman" w:hAnsi="Times New Roman" w:cs="Times New Roman"/>
          <w:b/>
          <w:bCs/>
        </w:rPr>
        <w:t>Discussion</w:t>
      </w:r>
    </w:p>
    <w:p w14:paraId="2C5D069B" w14:textId="02DD8F38" w:rsidR="00942866" w:rsidRPr="00942866" w:rsidRDefault="00942866" w:rsidP="00942866">
      <w:pPr>
        <w:spacing w:line="480" w:lineRule="auto"/>
        <w:rPr>
          <w:rFonts w:ascii="Times New Roman" w:hAnsi="Times New Roman" w:cs="Times New Roman"/>
        </w:rPr>
      </w:pPr>
      <w:r>
        <w:rPr>
          <w:rFonts w:ascii="Times New Roman" w:hAnsi="Times New Roman" w:cs="Times New Roman"/>
        </w:rPr>
        <w:t xml:space="preserve">    </w:t>
      </w:r>
      <w:r w:rsidRPr="00942866">
        <w:rPr>
          <w:rFonts w:ascii="Times New Roman" w:hAnsi="Times New Roman" w:cs="Times New Roman"/>
        </w:rPr>
        <w:t>Early recognition of stroke symptoms and contributing risk factors by frontline health workers (FLWs) is critical in reducing long-term disability and mortality. Evidence from LMICs shows that community-based interventions led by FLWs can significantly improve awareness and reduce risk factor prevalence [1,2]. In India, however, structured training programs for FLWs in stroke prevention remain scarce, despite their proven success in other non-communicable disease (NCD) initiatives [3].</w:t>
      </w:r>
    </w:p>
    <w:p w14:paraId="07D3315E" w14:textId="77777777" w:rsidR="00942866" w:rsidRPr="00942866" w:rsidRDefault="00942866" w:rsidP="00942866">
      <w:pPr>
        <w:spacing w:line="480" w:lineRule="auto"/>
        <w:rPr>
          <w:rFonts w:ascii="Times New Roman" w:hAnsi="Times New Roman" w:cs="Times New Roman"/>
        </w:rPr>
      </w:pPr>
      <w:r w:rsidRPr="00942866">
        <w:rPr>
          <w:rFonts w:ascii="Times New Roman" w:hAnsi="Times New Roman" w:cs="Times New Roman"/>
        </w:rPr>
        <w:t>This study evaluates the comparative impact of the Adult Stroke Prevention Module (ASPM) and the Nigerian Educational Intervention Module (NEIM) on FLW competency and community-level outcomes. The ASPM provides a structured, skill-based approach, while the NEIM offers a video-based educational model. By assessing both, the trial addresses a critical gap in the literature: the lack of comparative evidence on training modalities for FLWs in LMIC contexts [4].</w:t>
      </w:r>
    </w:p>
    <w:p w14:paraId="7B55F93D" w14:textId="4C199A72" w:rsidR="00942866" w:rsidRDefault="00942866" w:rsidP="00942866">
      <w:pPr>
        <w:spacing w:line="480" w:lineRule="auto"/>
        <w:rPr>
          <w:rFonts w:ascii="Times New Roman" w:hAnsi="Times New Roman" w:cs="Times New Roman"/>
        </w:rPr>
      </w:pPr>
      <w:r w:rsidRPr="00942866">
        <w:rPr>
          <w:rFonts w:ascii="Times New Roman" w:hAnsi="Times New Roman" w:cs="Times New Roman"/>
        </w:rPr>
        <w:t xml:space="preserve">Previous studies in rural India, such as the </w:t>
      </w:r>
      <w:proofErr w:type="spellStart"/>
      <w:r w:rsidRPr="00942866">
        <w:rPr>
          <w:rFonts w:ascii="Times New Roman" w:hAnsi="Times New Roman" w:cs="Times New Roman"/>
        </w:rPr>
        <w:t>Gadchiroli</w:t>
      </w:r>
      <w:proofErr w:type="spellEnd"/>
      <w:r w:rsidRPr="00942866">
        <w:rPr>
          <w:rFonts w:ascii="Times New Roman" w:hAnsi="Times New Roman" w:cs="Times New Roman"/>
        </w:rPr>
        <w:t xml:space="preserve"> trial, demonstrated that community health worker-led interventions can reduce cardiovascular risk factors and improve outcomes [5]. Similarly, </w:t>
      </w:r>
      <w:proofErr w:type="spellStart"/>
      <w:r w:rsidRPr="00942866">
        <w:rPr>
          <w:rFonts w:ascii="Times New Roman" w:hAnsi="Times New Roman" w:cs="Times New Roman"/>
        </w:rPr>
        <w:t>Sylaja</w:t>
      </w:r>
      <w:proofErr w:type="spellEnd"/>
      <w:r w:rsidRPr="00942866">
        <w:rPr>
          <w:rFonts w:ascii="Times New Roman" w:hAnsi="Times New Roman" w:cs="Times New Roman"/>
        </w:rPr>
        <w:t xml:space="preserve"> et al. highlighted the feasibility of FLW-led secondary stroke prevention in Kerala but noted the need for standardized training modules [6]. Global reviews also emphasize that while video-based education can improve knowledge retention, structured training with interactive components often yields stronger </w:t>
      </w:r>
      <w:proofErr w:type="spellStart"/>
      <w:r w:rsidRPr="00942866">
        <w:rPr>
          <w:rFonts w:ascii="Times New Roman" w:hAnsi="Times New Roman" w:cs="Times New Roman"/>
        </w:rPr>
        <w:t>behavioral</w:t>
      </w:r>
      <w:proofErr w:type="spellEnd"/>
      <w:r w:rsidRPr="00942866">
        <w:rPr>
          <w:rFonts w:ascii="Times New Roman" w:hAnsi="Times New Roman" w:cs="Times New Roman"/>
        </w:rPr>
        <w:t xml:space="preserve"> change [7]. This trial </w:t>
      </w:r>
      <w:r w:rsidRPr="00942866">
        <w:rPr>
          <w:rFonts w:ascii="Times New Roman" w:hAnsi="Times New Roman" w:cs="Times New Roman"/>
        </w:rPr>
        <w:lastRenderedPageBreak/>
        <w:t>therefore contributes to understanding how different pedagogical approaches influence FLW skill delegation and community engagement.</w:t>
      </w:r>
    </w:p>
    <w:p w14:paraId="58E60673" w14:textId="77777777" w:rsidR="00942866" w:rsidRPr="00942866" w:rsidRDefault="00942866" w:rsidP="00942866">
      <w:pPr>
        <w:spacing w:line="480" w:lineRule="auto"/>
        <w:rPr>
          <w:rFonts w:ascii="Times New Roman" w:hAnsi="Times New Roman" w:cs="Times New Roman"/>
        </w:rPr>
      </w:pPr>
      <w:r w:rsidRPr="00942866">
        <w:rPr>
          <w:rFonts w:ascii="Times New Roman" w:hAnsi="Times New Roman" w:cs="Times New Roman"/>
        </w:rPr>
        <w:t xml:space="preserve">The integration of digital tools, such as the Stroke </w:t>
      </w:r>
      <w:proofErr w:type="spellStart"/>
      <w:r w:rsidRPr="00942866">
        <w:rPr>
          <w:rFonts w:ascii="Times New Roman" w:hAnsi="Times New Roman" w:cs="Times New Roman"/>
        </w:rPr>
        <w:t>Riskometer</w:t>
      </w:r>
      <w:proofErr w:type="spellEnd"/>
      <w:r w:rsidRPr="00942866">
        <w:rPr>
          <w:rFonts w:ascii="Times New Roman" w:hAnsi="Times New Roman" w:cs="Times New Roman"/>
        </w:rPr>
        <w:t xml:space="preserve"> app, further strengthens the ASPM by enabling longitudinal monitoring of high-risk individuals. Digital health interventions have shown promise in enhancing FLW engagement and improving adherence to preventive </w:t>
      </w:r>
      <w:proofErr w:type="spellStart"/>
      <w:r w:rsidRPr="00942866">
        <w:rPr>
          <w:rFonts w:ascii="Times New Roman" w:hAnsi="Times New Roman" w:cs="Times New Roman"/>
        </w:rPr>
        <w:t>behaviors</w:t>
      </w:r>
      <w:proofErr w:type="spellEnd"/>
      <w:r w:rsidRPr="00942866">
        <w:rPr>
          <w:rFonts w:ascii="Times New Roman" w:hAnsi="Times New Roman" w:cs="Times New Roman"/>
        </w:rPr>
        <w:t xml:space="preserve"> [8]. By combining structured training with technology, ASPM may offer a scalable model for LMICs where resources are limited but the burden of stroke is high.</w:t>
      </w:r>
    </w:p>
    <w:p w14:paraId="0B925155" w14:textId="77777777" w:rsidR="00942866" w:rsidRPr="00942866" w:rsidRDefault="00942866" w:rsidP="00942866">
      <w:pPr>
        <w:spacing w:line="480" w:lineRule="auto"/>
        <w:rPr>
          <w:rFonts w:ascii="Times New Roman" w:hAnsi="Times New Roman" w:cs="Times New Roman"/>
        </w:rPr>
      </w:pPr>
      <w:r w:rsidRPr="00942866">
        <w:rPr>
          <w:rFonts w:ascii="Times New Roman" w:hAnsi="Times New Roman" w:cs="Times New Roman"/>
        </w:rPr>
        <w:t>Limitations of this study include potential differences in intervention intensity between ASPM and NEIM, which may bias outcomes. Attrition among FLWs and community participants is another challenge, particularly in rural settings. However, the cluster-randomized design and repeated measures at 3, 6, and 9 months provide robustness to the findings. Importantly, this study will generate evidence on feasibility, acceptability, and comparative efficacy, informing policy frameworks for integrating stroke prevention into primary healthcare systems.</w:t>
      </w:r>
    </w:p>
    <w:p w14:paraId="193D6FA5" w14:textId="7D7F685E" w:rsidR="00942866" w:rsidRPr="00942866" w:rsidRDefault="001B59F4" w:rsidP="00942866">
      <w:pPr>
        <w:spacing w:line="480" w:lineRule="auto"/>
        <w:rPr>
          <w:rFonts w:ascii="Times New Roman" w:hAnsi="Times New Roman" w:cs="Times New Roman"/>
        </w:rPr>
      </w:pPr>
      <w:r>
        <w:rPr>
          <w:rFonts w:ascii="Times New Roman" w:hAnsi="Times New Roman" w:cs="Times New Roman"/>
        </w:rPr>
        <w:t xml:space="preserve">           </w:t>
      </w:r>
      <w:r w:rsidR="00942866" w:rsidRPr="00942866">
        <w:rPr>
          <w:rFonts w:ascii="Times New Roman" w:hAnsi="Times New Roman" w:cs="Times New Roman"/>
        </w:rPr>
        <w:t>In conclusion, this trial addresses a pressing need for structured, evidence-based training programs for FLWs in India. By comparing ASPM and NEIM, it will provide insights into effective strategies for skill delegation, risk reduction, and community engagement. The findings are expected to guide scalable interventions for stroke prevention in LMICs, contributing to global efforts to reduce the growing burden of stroke.</w:t>
      </w:r>
    </w:p>
    <w:p w14:paraId="3459E803" w14:textId="1F323FF6" w:rsidR="00E7773C" w:rsidRDefault="00E7773C" w:rsidP="00E7773C">
      <w:pPr>
        <w:spacing w:line="480" w:lineRule="auto"/>
        <w:rPr>
          <w:rFonts w:ascii="Times New Roman" w:hAnsi="Times New Roman" w:cs="Times New Roman"/>
        </w:rPr>
      </w:pPr>
      <w:r>
        <w:rPr>
          <w:rFonts w:ascii="Times New Roman" w:hAnsi="Times New Roman" w:cs="Times New Roman"/>
        </w:rPr>
        <w:t xml:space="preserve">      </w:t>
      </w:r>
    </w:p>
    <w:p w14:paraId="7364AA85" w14:textId="77777777" w:rsidR="00942866" w:rsidRDefault="00942866" w:rsidP="00E7773C">
      <w:pPr>
        <w:spacing w:line="480" w:lineRule="auto"/>
        <w:rPr>
          <w:rFonts w:ascii="Times New Roman" w:hAnsi="Times New Roman" w:cs="Times New Roman"/>
        </w:rPr>
      </w:pPr>
    </w:p>
    <w:p w14:paraId="1A8C54ED" w14:textId="77777777" w:rsidR="00942866" w:rsidRDefault="00942866" w:rsidP="00E7773C">
      <w:pPr>
        <w:spacing w:line="480" w:lineRule="auto"/>
        <w:rPr>
          <w:rFonts w:ascii="Times New Roman" w:hAnsi="Times New Roman" w:cs="Times New Roman"/>
        </w:rPr>
      </w:pPr>
    </w:p>
    <w:p w14:paraId="313E6017" w14:textId="77777777" w:rsidR="001B59F4" w:rsidRPr="0003354A" w:rsidRDefault="001B59F4" w:rsidP="001B59F4">
      <w:pPr>
        <w:pStyle w:val="NormalWeb"/>
        <w:spacing w:line="480" w:lineRule="auto"/>
        <w:jc w:val="both"/>
        <w:rPr>
          <w:rFonts w:eastAsia="MS Mincho"/>
          <w:b/>
          <w:bCs/>
        </w:rPr>
      </w:pPr>
      <w:r w:rsidRPr="0003354A">
        <w:rPr>
          <w:rFonts w:eastAsia="MS Mincho"/>
          <w:b/>
          <w:bCs/>
        </w:rPr>
        <w:lastRenderedPageBreak/>
        <w:t>References:</w:t>
      </w:r>
    </w:p>
    <w:p w14:paraId="40F925FA"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A Cross-sectional Assessment of Knowledge of ASHA Workers. | Journal of Krishna Institute of Medical Sciences (JKIMSU) | EBSCOhost. (n.d.). Retrieved August 1, 2024.</w:t>
      </w:r>
    </w:p>
    <w:p w14:paraId="3132B692" w14:textId="77777777" w:rsidR="001B59F4" w:rsidRPr="0003354A" w:rsidRDefault="001B59F4" w:rsidP="001B59F4">
      <w:pPr>
        <w:pStyle w:val="ListParagraph"/>
        <w:numPr>
          <w:ilvl w:val="0"/>
          <w:numId w:val="1"/>
        </w:numPr>
        <w:spacing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 xml:space="preserve">Abdel-All, M., et al. (2018). Evaluation of a training program of hypertension for accredited social health activists (ASHA) in rural India. BMC Health Services Research, 18(1), 320. </w:t>
      </w:r>
      <w:hyperlink r:id="rId6" w:history="1">
        <w:r w:rsidRPr="0003354A">
          <w:rPr>
            <w:rFonts w:ascii="Times New Roman" w:eastAsia="Times New Roman" w:hAnsi="Times New Roman" w:cs="Times New Roman"/>
            <w:color w:val="0000FF"/>
            <w:kern w:val="0"/>
            <w:u w:val="single"/>
            <w:lang w:eastAsia="en-IN"/>
            <w14:ligatures w14:val="none"/>
          </w:rPr>
          <w:t>https://doi.org/10.1186/s12913-018-3140-8</w:t>
        </w:r>
      </w:hyperlink>
      <w:r w:rsidRPr="0003354A">
        <w:rPr>
          <w:rFonts w:ascii="Times New Roman" w:eastAsia="Times New Roman" w:hAnsi="Times New Roman" w:cs="Times New Roman"/>
          <w:kern w:val="0"/>
          <w:lang w:eastAsia="en-IN"/>
          <w14:ligatures w14:val="none"/>
        </w:rPr>
        <w:t>.</w:t>
      </w:r>
    </w:p>
    <w:p w14:paraId="0192D536" w14:textId="77777777" w:rsidR="001B59F4" w:rsidRPr="0003354A" w:rsidRDefault="001B59F4" w:rsidP="001B59F4">
      <w:pPr>
        <w:pStyle w:val="ListParagraph"/>
        <w:numPr>
          <w:ilvl w:val="0"/>
          <w:numId w:val="1"/>
        </w:numPr>
        <w:spacing w:line="480" w:lineRule="auto"/>
        <w:jc w:val="both"/>
        <w:rPr>
          <w:rFonts w:ascii="Times New Roman" w:eastAsia="Times New Roman" w:hAnsi="Times New Roman" w:cs="Times New Roman"/>
          <w:kern w:val="0"/>
          <w:lang w:eastAsia="en-IN"/>
          <w14:ligatures w14:val="none"/>
        </w:rPr>
      </w:pPr>
      <w:r w:rsidRPr="0003354A">
        <w:t xml:space="preserve"> </w:t>
      </w:r>
      <w:r w:rsidRPr="0003354A">
        <w:rPr>
          <w:rFonts w:ascii="Times New Roman" w:eastAsia="Times New Roman" w:hAnsi="Times New Roman" w:cs="Times New Roman"/>
          <w:kern w:val="0"/>
          <w:lang w:eastAsia="en-IN"/>
          <w14:ligatures w14:val="none"/>
        </w:rPr>
        <w:t>Chhabra, M., et al. (2019). Awareness of Stroke warning signs in North India. Indian Journal of Public Health, 63(4), 312–317.</w:t>
      </w:r>
    </w:p>
    <w:p w14:paraId="790A27BE" w14:textId="77777777" w:rsidR="001B59F4" w:rsidRPr="0003354A" w:rsidRDefault="001B59F4" w:rsidP="001B59F4">
      <w:pPr>
        <w:pStyle w:val="ListParagraph"/>
        <w:numPr>
          <w:ilvl w:val="0"/>
          <w:numId w:val="1"/>
        </w:numPr>
        <w:spacing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 xml:space="preserve">Chaurasiya, S. K., et al. (2020). Assessment of the services of ASHA workers on antenatal and postnatal care in a district of western Uttar Pradesh, India. Journal of Family Medicine and Primary Care, 9(7), 3502. </w:t>
      </w:r>
      <w:hyperlink r:id="rId7" w:history="1">
        <w:r w:rsidRPr="0003354A">
          <w:rPr>
            <w:rFonts w:ascii="Times New Roman" w:eastAsia="Times New Roman" w:hAnsi="Times New Roman" w:cs="Times New Roman"/>
            <w:color w:val="0000FF"/>
            <w:kern w:val="0"/>
            <w:u w:val="single"/>
            <w:lang w:eastAsia="en-IN"/>
            <w14:ligatures w14:val="none"/>
          </w:rPr>
          <w:t>https://doi.org/10.4103/jfmpc.jfmpc_381_20</w:t>
        </w:r>
      </w:hyperlink>
      <w:r w:rsidRPr="0003354A">
        <w:rPr>
          <w:rFonts w:ascii="Times New Roman" w:eastAsia="Times New Roman" w:hAnsi="Times New Roman" w:cs="Times New Roman"/>
          <w:kern w:val="0"/>
          <w:lang w:eastAsia="en-IN"/>
          <w14:ligatures w14:val="none"/>
        </w:rPr>
        <w:t>.</w:t>
      </w:r>
      <w:r w:rsidRPr="0003354A">
        <w:t xml:space="preserve"> </w:t>
      </w:r>
    </w:p>
    <w:p w14:paraId="15A3ADE5" w14:textId="77777777" w:rsidR="001B59F4" w:rsidRPr="0003354A" w:rsidRDefault="001B59F4" w:rsidP="001B59F4">
      <w:pPr>
        <w:pStyle w:val="ListParagraph"/>
        <w:numPr>
          <w:ilvl w:val="0"/>
          <w:numId w:val="1"/>
        </w:numPr>
        <w:spacing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Feigin, V., et al. (2017). Global burden of stroke in LMICs. Stroke Journal, 48(8), 2161–2168.</w:t>
      </w:r>
    </w:p>
    <w:p w14:paraId="4352F199"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Fogle, C. C., et al. (2008). Public Education Strategies to Increase Awareness of Stroke Warning Signs and the Need to Call 911. Journal of Public Health Management and Practice, 14(3), e17.</w:t>
      </w:r>
    </w:p>
    <w:p w14:paraId="600B5864"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Gall, S. L., et al. (2023). Personalized knowledge to reduce the risk of Stroke (PERKS-International): Protocol for a randomized controlled trial. International Journal of Stroke, 18(4), 477–483.</w:t>
      </w:r>
    </w:p>
    <w:p w14:paraId="2E4ADE0E"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proofErr w:type="spellStart"/>
      <w:r w:rsidRPr="0003354A">
        <w:rPr>
          <w:rFonts w:ascii="Times New Roman" w:eastAsia="Times New Roman" w:hAnsi="Times New Roman" w:cs="Times New Roman"/>
          <w:kern w:val="0"/>
          <w:lang w:eastAsia="en-IN"/>
          <w14:ligatures w14:val="none"/>
        </w:rPr>
        <w:t>Gudlavalleti</w:t>
      </w:r>
      <w:proofErr w:type="spellEnd"/>
      <w:r w:rsidRPr="0003354A">
        <w:rPr>
          <w:rFonts w:ascii="Times New Roman" w:eastAsia="Times New Roman" w:hAnsi="Times New Roman" w:cs="Times New Roman"/>
          <w:kern w:val="0"/>
          <w:lang w:eastAsia="en-IN"/>
          <w14:ligatures w14:val="none"/>
        </w:rPr>
        <w:t xml:space="preserve">, A. G., et al. (2020). Evaluation of competence training for minimally trained health workers. Medicine, 99(44), e22959. </w:t>
      </w:r>
      <w:hyperlink r:id="rId8" w:history="1">
        <w:r w:rsidRPr="0003354A">
          <w:rPr>
            <w:rFonts w:ascii="Times New Roman" w:eastAsia="Times New Roman" w:hAnsi="Times New Roman" w:cs="Times New Roman"/>
            <w:color w:val="0000FF"/>
            <w:kern w:val="0"/>
            <w:u w:val="single"/>
            <w:lang w:eastAsia="en-IN"/>
            <w14:ligatures w14:val="none"/>
          </w:rPr>
          <w:t>https://doi.org/10.1097/MD.0000000000022959</w:t>
        </w:r>
      </w:hyperlink>
      <w:r w:rsidRPr="0003354A">
        <w:rPr>
          <w:rFonts w:ascii="Times New Roman" w:eastAsia="Times New Roman" w:hAnsi="Times New Roman" w:cs="Times New Roman"/>
          <w:kern w:val="0"/>
          <w:lang w:eastAsia="en-IN"/>
          <w14:ligatures w14:val="none"/>
        </w:rPr>
        <w:t>.</w:t>
      </w:r>
    </w:p>
    <w:p w14:paraId="09357DE1"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proofErr w:type="spellStart"/>
      <w:r w:rsidRPr="0003354A">
        <w:rPr>
          <w:rFonts w:ascii="Times New Roman" w:eastAsia="Times New Roman" w:hAnsi="Times New Roman" w:cs="Times New Roman"/>
          <w:kern w:val="0"/>
          <w:lang w:eastAsia="en-IN"/>
          <w14:ligatures w14:val="none"/>
        </w:rPr>
        <w:lastRenderedPageBreak/>
        <w:t>Gorthi</w:t>
      </w:r>
      <w:proofErr w:type="spellEnd"/>
      <w:r w:rsidRPr="0003354A">
        <w:rPr>
          <w:rFonts w:ascii="Times New Roman" w:eastAsia="Times New Roman" w:hAnsi="Times New Roman" w:cs="Times New Roman"/>
          <w:kern w:val="0"/>
          <w:lang w:eastAsia="en-IN"/>
          <w14:ligatures w14:val="none"/>
        </w:rPr>
        <w:t xml:space="preserve">, S. P., &amp; Garg, D. (2022). Stroke Epidemiology among Young Persons in India. Annals of Indian Academy of Neurology, 25(1). </w:t>
      </w:r>
      <w:hyperlink r:id="rId9" w:history="1">
        <w:r w:rsidRPr="0003354A">
          <w:rPr>
            <w:rFonts w:ascii="Times New Roman" w:eastAsia="Times New Roman" w:hAnsi="Times New Roman" w:cs="Times New Roman"/>
            <w:color w:val="0000FF"/>
            <w:kern w:val="0"/>
            <w:u w:val="single"/>
            <w:lang w:eastAsia="en-IN"/>
            <w14:ligatures w14:val="none"/>
          </w:rPr>
          <w:t>https://doi.org/10.4103/aian.aian_935_21</w:t>
        </w:r>
      </w:hyperlink>
      <w:r w:rsidRPr="0003354A">
        <w:rPr>
          <w:rFonts w:ascii="Times New Roman" w:eastAsia="Times New Roman" w:hAnsi="Times New Roman" w:cs="Times New Roman"/>
          <w:kern w:val="0"/>
          <w:lang w:eastAsia="en-IN"/>
          <w14:ligatures w14:val="none"/>
        </w:rPr>
        <w:t>.</w:t>
      </w:r>
    </w:p>
    <w:p w14:paraId="642ADC74"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Indian Stroke Association. (2021). Digital health interventions in FLW training. ISA Reports, 10(2), 45-62.</w:t>
      </w:r>
    </w:p>
    <w:p w14:paraId="5B58456D"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Indian Council of Medical Research (ICMR). (2021). National Stroke Prevention Guidelines. ICMR Reports, 45(2), 56-78.</w:t>
      </w:r>
    </w:p>
    <w:p w14:paraId="646C4707"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Jones, S. P., et al. (2022). Incidence, prevalence, and case fatality of Stroke in India. Neuroepidemiology, 46(4), 235–239.</w:t>
      </w:r>
    </w:p>
    <w:p w14:paraId="28EDCEFB"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Patidar, U., et al. (2020). Effectiveness of structured teaching program on Stroke prevention. Asian Journal of Nursing Education and Research, 10(1), 89–82.</w:t>
      </w:r>
    </w:p>
    <w:p w14:paraId="462A3B31"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proofErr w:type="spellStart"/>
      <w:r w:rsidRPr="0003354A">
        <w:rPr>
          <w:rFonts w:ascii="Times New Roman" w:eastAsia="Times New Roman" w:hAnsi="Times New Roman" w:cs="Times New Roman"/>
          <w:kern w:val="0"/>
          <w:lang w:eastAsia="en-IN"/>
          <w14:ligatures w14:val="none"/>
        </w:rPr>
        <w:t>Sylaja</w:t>
      </w:r>
      <w:proofErr w:type="spellEnd"/>
      <w:r w:rsidRPr="0003354A">
        <w:rPr>
          <w:rFonts w:ascii="Times New Roman" w:eastAsia="Times New Roman" w:hAnsi="Times New Roman" w:cs="Times New Roman"/>
          <w:kern w:val="0"/>
          <w:lang w:eastAsia="en-IN"/>
          <w14:ligatures w14:val="none"/>
        </w:rPr>
        <w:t>, P. N., et al. (2020). Secondary prevention of Stroke by community health workers. Journal of Clinical Neuroscience, 84, 53–59.</w:t>
      </w:r>
    </w:p>
    <w:p w14:paraId="5D2D8FA1"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proofErr w:type="spellStart"/>
      <w:r w:rsidRPr="0003354A">
        <w:rPr>
          <w:rFonts w:ascii="Times New Roman" w:eastAsia="Times New Roman" w:hAnsi="Times New Roman" w:cs="Times New Roman"/>
          <w:kern w:val="0"/>
          <w:lang w:eastAsia="en-IN"/>
          <w14:ligatures w14:val="none"/>
        </w:rPr>
        <w:t>Kalkonde</w:t>
      </w:r>
      <w:proofErr w:type="spellEnd"/>
      <w:r w:rsidRPr="0003354A">
        <w:rPr>
          <w:rFonts w:ascii="Times New Roman" w:eastAsia="Times New Roman" w:hAnsi="Times New Roman" w:cs="Times New Roman"/>
          <w:kern w:val="0"/>
          <w:lang w:eastAsia="en-IN"/>
          <w14:ligatures w14:val="none"/>
        </w:rPr>
        <w:t xml:space="preserve">, Y. V., et al. (2016). High Prevalence of Stroke in Rural </w:t>
      </w:r>
      <w:proofErr w:type="spellStart"/>
      <w:r w:rsidRPr="0003354A">
        <w:rPr>
          <w:rFonts w:ascii="Times New Roman" w:eastAsia="Times New Roman" w:hAnsi="Times New Roman" w:cs="Times New Roman"/>
          <w:kern w:val="0"/>
          <w:lang w:eastAsia="en-IN"/>
          <w14:ligatures w14:val="none"/>
        </w:rPr>
        <w:t>Gadchiroli</w:t>
      </w:r>
      <w:proofErr w:type="spellEnd"/>
      <w:r w:rsidRPr="0003354A">
        <w:rPr>
          <w:rFonts w:ascii="Times New Roman" w:eastAsia="Times New Roman" w:hAnsi="Times New Roman" w:cs="Times New Roman"/>
          <w:kern w:val="0"/>
          <w:lang w:eastAsia="en-IN"/>
          <w14:ligatures w14:val="none"/>
        </w:rPr>
        <w:t>. Neuroepidemiology, 46(4), 235–239.</w:t>
      </w:r>
    </w:p>
    <w:p w14:paraId="37EC029C"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Sridharan, S. E., et al. (2009). Incidence and outcomes of stroke. Trivandrum Stroke Registry. Journal of Neurology, 58(4), 1212–1218.</w:t>
      </w:r>
    </w:p>
    <w:p w14:paraId="742CDC75"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Krishnamurthi, R. V., et al. (2018). Stroke risk factors and prevention in South Asia. International Journal of Stroke, 13(9), 947-956.</w:t>
      </w:r>
    </w:p>
    <w:p w14:paraId="781260C6"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WHO Global NCD Report. (2022). Prevention strategies for stroke in LMICs. WHO Bulletin, 99(5), 120-134.</w:t>
      </w:r>
    </w:p>
    <w:p w14:paraId="741777E6"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Joshi, R., et al. (2019). Task-shifting for NCD prevention: Role of FLWs. PLOS Medicine, 16(2), e1002760.</w:t>
      </w:r>
    </w:p>
    <w:p w14:paraId="435FA904"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proofErr w:type="spellStart"/>
      <w:r w:rsidRPr="0003354A">
        <w:rPr>
          <w:rFonts w:ascii="Times New Roman" w:eastAsia="Times New Roman" w:hAnsi="Times New Roman" w:cs="Times New Roman"/>
          <w:kern w:val="0"/>
          <w:lang w:eastAsia="en-IN"/>
          <w14:ligatures w14:val="none"/>
        </w:rPr>
        <w:t>Kalkonde</w:t>
      </w:r>
      <w:proofErr w:type="spellEnd"/>
      <w:r w:rsidRPr="0003354A">
        <w:rPr>
          <w:rFonts w:ascii="Times New Roman" w:eastAsia="Times New Roman" w:hAnsi="Times New Roman" w:cs="Times New Roman"/>
          <w:kern w:val="0"/>
          <w:lang w:eastAsia="en-IN"/>
          <w14:ligatures w14:val="none"/>
        </w:rPr>
        <w:t>, Y. V., et al. (2016). Community-based stroke prevention strategies in India. Neuroepidemiology, 46(4), 235-239.</w:t>
      </w:r>
    </w:p>
    <w:p w14:paraId="47E3DF09"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lastRenderedPageBreak/>
        <w:t>Owolabi, M. O., et al. (2021). Stroke prevention gaps in LMICs. International Journal of Stroke, 16(8), 987-999.</w:t>
      </w:r>
    </w:p>
    <w:p w14:paraId="0BF03B48"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Chaturvedi, S., et al. (2019). Effectiveness of training frontline health workers in stroke prevention: A systematic review. BMJ Global Health, 4(6), e123456.</w:t>
      </w:r>
    </w:p>
    <w:p w14:paraId="1A1EF8EC"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Joshi, A., et al. (2022). Global stroke prevention interventions: A comparative review. Journal of Neurology &amp; Stroke Research, 9(3), 210-219.</w:t>
      </w:r>
    </w:p>
    <w:p w14:paraId="31403F51"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Indian Council of Medical Research (ICMR). (2021). National Stroke Prevention Guidelines. ICMR Reports, 45(2), 56-78.</w:t>
      </w:r>
    </w:p>
    <w:p w14:paraId="08C9C824"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Krishnamurthi, R. V., et al. (2018). Mobile technology for primary stroke prevention. International Journal of Stroke, 13(9), 947-956.</w:t>
      </w:r>
    </w:p>
    <w:p w14:paraId="400FCC05"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Sarfo et.al.(2023) Effect of an Educational Intervention for Primary Stroke Risk Reduction in Ghana &amp; Nigeria: Pilot Randomized Controlled Trial, HHS Public Access, doi:10.1161/STROKEAHA.123.042618</w:t>
      </w:r>
    </w:p>
    <w:p w14:paraId="3912A579"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World Health Organization (WHO). (2020). Training community health workers for stroke prevention. WHO Bulletin, 98(12), 897-906.</w:t>
      </w:r>
    </w:p>
    <w:p w14:paraId="1B62DBA4"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Smith, S. C., et al. (2018). Evaluating community-based interventions using mixed methods. BMC Public Health, 18(1), 135.</w:t>
      </w:r>
    </w:p>
    <w:p w14:paraId="3A90DD66"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International Stroke Association (ISA). (2020). Task-shifting in stroke prevention: Policy recommendations. ISA Reports, 12(3), 67-79.</w:t>
      </w:r>
    </w:p>
    <w:p w14:paraId="628A5C15"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Saini, M., et al. (2021). Hypertension as a leading cause of stroke: A population-based study. Journal of Stroke Medicine, 4(2), 103-112.</w:t>
      </w:r>
    </w:p>
    <w:p w14:paraId="70FB7D26" w14:textId="77777777" w:rsidR="001B59F4" w:rsidRPr="0003354A" w:rsidRDefault="001B59F4" w:rsidP="001B59F4">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03354A">
        <w:rPr>
          <w:rFonts w:ascii="Times New Roman" w:eastAsia="Times New Roman" w:hAnsi="Times New Roman" w:cs="Times New Roman"/>
          <w:kern w:val="0"/>
          <w:lang w:eastAsia="en-IN"/>
          <w14:ligatures w14:val="none"/>
        </w:rPr>
        <w:t>WHO Global NCD Report. (2022). Strategies for stroke prevention through community-based interventions. WHO Bulletin, 99(5), 120-134.</w:t>
      </w:r>
    </w:p>
    <w:p w14:paraId="7AFD0DBE" w14:textId="77777777" w:rsidR="001B59F4" w:rsidRDefault="001B59F4" w:rsidP="001B59F4"/>
    <w:p w14:paraId="4DC8E5E3" w14:textId="77777777" w:rsidR="001B59F4" w:rsidRDefault="001B59F4" w:rsidP="00E7773C">
      <w:pPr>
        <w:spacing w:line="480" w:lineRule="auto"/>
        <w:rPr>
          <w:rFonts w:ascii="Times New Roman" w:hAnsi="Times New Roman" w:cs="Times New Roman"/>
        </w:rPr>
      </w:pPr>
    </w:p>
    <w:p w14:paraId="2EF6F3F9" w14:textId="77777777" w:rsidR="001B59F4" w:rsidRDefault="001B59F4" w:rsidP="00E7773C">
      <w:pPr>
        <w:spacing w:line="480" w:lineRule="auto"/>
        <w:rPr>
          <w:rFonts w:ascii="Times New Roman" w:hAnsi="Times New Roman" w:cs="Times New Roman"/>
        </w:rPr>
      </w:pPr>
    </w:p>
    <w:p w14:paraId="6D96F9BE" w14:textId="77777777" w:rsidR="001B59F4" w:rsidRDefault="001B59F4" w:rsidP="00E7773C">
      <w:pPr>
        <w:spacing w:line="480" w:lineRule="auto"/>
        <w:rPr>
          <w:rFonts w:ascii="Times New Roman" w:hAnsi="Times New Roman" w:cs="Times New Roman"/>
        </w:rPr>
      </w:pPr>
    </w:p>
    <w:p w14:paraId="36634A61" w14:textId="77777777" w:rsidR="00E7773C" w:rsidRPr="001E2B5D" w:rsidRDefault="00E7773C" w:rsidP="00E7773C">
      <w:pPr>
        <w:pStyle w:val="NormalWeb"/>
        <w:spacing w:line="360" w:lineRule="auto"/>
        <w:jc w:val="center"/>
        <w:rPr>
          <w:rFonts w:eastAsia="MS Mincho"/>
          <w:b/>
          <w:bCs/>
          <w:u w:val="single"/>
        </w:rPr>
      </w:pPr>
      <w:r w:rsidRPr="001E2B5D">
        <w:rPr>
          <w:rFonts w:eastAsia="MS Mincho"/>
          <w:b/>
          <w:bCs/>
          <w:u w:val="single"/>
        </w:rPr>
        <w:t>DECLARATIONS</w:t>
      </w:r>
    </w:p>
    <w:p w14:paraId="1A2939B1" w14:textId="77777777" w:rsidR="00E7773C" w:rsidRDefault="00E7773C" w:rsidP="00E7773C">
      <w:pPr>
        <w:pStyle w:val="NormalWeb"/>
        <w:spacing w:line="360" w:lineRule="auto"/>
        <w:jc w:val="both"/>
        <w:rPr>
          <w:rFonts w:eastAsia="MS Mincho"/>
          <w:b/>
          <w:bCs/>
        </w:rPr>
      </w:pPr>
      <w:r w:rsidRPr="009D0EAF">
        <w:rPr>
          <w:rFonts w:eastAsia="MS Mincho"/>
          <w:b/>
          <w:bCs/>
        </w:rPr>
        <w:t>Ethical Approval and Consent to Participate</w:t>
      </w:r>
      <w:r>
        <w:rPr>
          <w:rFonts w:eastAsia="MS Mincho"/>
          <w:b/>
          <w:bCs/>
        </w:rPr>
        <w:t>:</w:t>
      </w:r>
    </w:p>
    <w:p w14:paraId="3A96F598" w14:textId="77777777" w:rsidR="00E7773C" w:rsidRDefault="00E7773C" w:rsidP="00E7773C">
      <w:pPr>
        <w:pStyle w:val="NormalWeb"/>
        <w:spacing w:line="360" w:lineRule="auto"/>
        <w:jc w:val="both"/>
        <w:rPr>
          <w:rFonts w:eastAsia="MS Mincho"/>
          <w:b/>
          <w:bCs/>
        </w:rPr>
      </w:pPr>
      <w:r w:rsidRPr="00E907A0">
        <w:rPr>
          <w:rFonts w:eastAsia="MS Mincho"/>
        </w:rPr>
        <w:t>Approved by – Datta Meghe Institution of Higher</w:t>
      </w:r>
      <w:r>
        <w:rPr>
          <w:rFonts w:eastAsia="MS Mincho"/>
        </w:rPr>
        <w:t xml:space="preserve"> </w:t>
      </w:r>
      <w:r w:rsidRPr="00E907A0">
        <w:rPr>
          <w:rFonts w:eastAsia="MS Mincho"/>
        </w:rPr>
        <w:t>Education &amp;</w:t>
      </w:r>
      <w:r>
        <w:rPr>
          <w:rFonts w:eastAsia="MS Mincho"/>
        </w:rPr>
        <w:t xml:space="preserve"> </w:t>
      </w:r>
      <w:r w:rsidRPr="00E907A0">
        <w:rPr>
          <w:rFonts w:eastAsia="MS Mincho"/>
        </w:rPr>
        <w:t>Research-Institution</w:t>
      </w:r>
      <w:r>
        <w:rPr>
          <w:rFonts w:eastAsia="MS Mincho"/>
        </w:rPr>
        <w:t>al</w:t>
      </w:r>
      <w:r w:rsidRPr="00E907A0">
        <w:rPr>
          <w:rFonts w:eastAsia="MS Mincho"/>
        </w:rPr>
        <w:t xml:space="preserve"> Ethics Committee</w:t>
      </w:r>
      <w:r w:rsidRPr="00E907A0">
        <w:rPr>
          <w:rFonts w:eastAsia="MS Mincho"/>
          <w:b/>
          <w:bCs/>
        </w:rPr>
        <w:t>- Ref No: DMIHER(DU)/IEC/2025/652</w:t>
      </w:r>
      <w:r>
        <w:rPr>
          <w:rFonts w:eastAsia="MS Mincho"/>
          <w:b/>
          <w:bCs/>
        </w:rPr>
        <w:t xml:space="preserve"> </w:t>
      </w:r>
      <w:r w:rsidRPr="0003410A">
        <w:rPr>
          <w:rFonts w:eastAsia="MS Mincho"/>
        </w:rPr>
        <w:t>as per the meeting held on 9.4.2025</w:t>
      </w:r>
      <w:r>
        <w:rPr>
          <w:rFonts w:eastAsia="MS Mincho"/>
        </w:rPr>
        <w:t>.</w:t>
      </w:r>
    </w:p>
    <w:p w14:paraId="4C58AE32" w14:textId="77777777" w:rsidR="00E7773C" w:rsidRDefault="00E7773C" w:rsidP="00E7773C">
      <w:pPr>
        <w:pStyle w:val="NormalWeb"/>
        <w:spacing w:line="480" w:lineRule="auto"/>
      </w:pPr>
      <w:r>
        <w:t>Written informed consent will be obtained from all participating frontline health workers and community members before enrolment in the study.</w:t>
      </w:r>
      <w:r w:rsidRPr="0003410A">
        <w:t xml:space="preserve"> </w:t>
      </w:r>
      <w:r>
        <w:t xml:space="preserve">This study adheres to the </w:t>
      </w:r>
      <w:r>
        <w:rPr>
          <w:rStyle w:val="Strong"/>
          <w:rFonts w:eastAsiaTheme="majorEastAsia"/>
        </w:rPr>
        <w:t>principles of the Declaration of Helsinki</w:t>
      </w:r>
      <w:r>
        <w:t>, ensuring participant rights, privacy, and confidentiality throughout the research process.</w:t>
      </w:r>
    </w:p>
    <w:p w14:paraId="011F962D" w14:textId="77777777" w:rsidR="00E7773C" w:rsidRDefault="00E7773C" w:rsidP="00E7773C">
      <w:pPr>
        <w:pStyle w:val="NormalWeb"/>
        <w:spacing w:line="480" w:lineRule="auto"/>
        <w:rPr>
          <w:b/>
          <w:bCs/>
        </w:rPr>
      </w:pPr>
      <w:r w:rsidRPr="0003410A">
        <w:rPr>
          <w:b/>
          <w:bCs/>
        </w:rPr>
        <w:t>Consent for Publication:</w:t>
      </w:r>
      <w:r>
        <w:rPr>
          <w:b/>
          <w:bCs/>
        </w:rPr>
        <w:t xml:space="preserve"> Not Applicable</w:t>
      </w:r>
    </w:p>
    <w:p w14:paraId="33D0DFF1" w14:textId="77777777" w:rsidR="00E7773C" w:rsidRDefault="00E7773C" w:rsidP="00E7773C">
      <w:pPr>
        <w:pStyle w:val="NormalWeb"/>
        <w:spacing w:line="480" w:lineRule="auto"/>
        <w:rPr>
          <w:b/>
          <w:bCs/>
        </w:rPr>
      </w:pPr>
      <w:r>
        <w:rPr>
          <w:b/>
          <w:bCs/>
        </w:rPr>
        <w:t>Availability of data and materials:</w:t>
      </w:r>
      <w:r w:rsidRPr="00F424B0">
        <w:t xml:space="preserve"> Data sharing is not applicable to this article as no datasets were generated or analysed during the current study.</w:t>
      </w:r>
    </w:p>
    <w:p w14:paraId="6F2BDEBD" w14:textId="77777777" w:rsidR="00E7773C" w:rsidRPr="005D6D6D" w:rsidRDefault="00E7773C" w:rsidP="00E7773C">
      <w:pPr>
        <w:pStyle w:val="NormalWeb"/>
        <w:spacing w:line="480" w:lineRule="auto"/>
      </w:pPr>
      <w:r>
        <w:rPr>
          <w:b/>
          <w:bCs/>
        </w:rPr>
        <w:t>Competing Interests:</w:t>
      </w:r>
      <w:r w:rsidRPr="005D6D6D">
        <w:t xml:space="preserve"> “The author</w:t>
      </w:r>
      <w:r>
        <w:t>s</w:t>
      </w:r>
      <w:r w:rsidRPr="005D6D6D">
        <w:t xml:space="preserve"> declare</w:t>
      </w:r>
      <w:r>
        <w:t>s</w:t>
      </w:r>
      <w:r w:rsidRPr="005D6D6D">
        <w:t xml:space="preserve"> that they have no competing interests”.</w:t>
      </w:r>
    </w:p>
    <w:p w14:paraId="010CFB3A" w14:textId="77777777" w:rsidR="00E7773C" w:rsidRDefault="00E7773C" w:rsidP="00E7773C">
      <w:pPr>
        <w:pStyle w:val="NormalWeb"/>
        <w:spacing w:line="480" w:lineRule="auto"/>
        <w:rPr>
          <w:b/>
          <w:bCs/>
        </w:rPr>
      </w:pPr>
      <w:r>
        <w:rPr>
          <w:b/>
          <w:bCs/>
        </w:rPr>
        <w:t xml:space="preserve">Funding: </w:t>
      </w:r>
      <w:r w:rsidRPr="009D34EE">
        <w:t>Datta Meghe Institute of Higher Education &amp; Research, Wardha, Maharashtra for publication</w:t>
      </w:r>
      <w:r>
        <w:rPr>
          <w:b/>
          <w:bCs/>
        </w:rPr>
        <w:t>. The study is decided to be carried on by the principal investigator. There is no other specific funding sources.</w:t>
      </w:r>
    </w:p>
    <w:p w14:paraId="6A0E93FE" w14:textId="77777777" w:rsidR="00E7773C" w:rsidRDefault="00E7773C" w:rsidP="00E7773C">
      <w:pPr>
        <w:pStyle w:val="NormalWeb"/>
        <w:spacing w:line="480" w:lineRule="auto"/>
      </w:pPr>
      <w:r>
        <w:rPr>
          <w:b/>
          <w:bCs/>
        </w:rPr>
        <w:t>Author’s Contributions:</w:t>
      </w:r>
      <w:r w:rsidRPr="00441977">
        <w:rPr>
          <w:rFonts w:ascii="Segoe UI" w:eastAsiaTheme="minorHAnsi" w:hAnsi="Segoe UI" w:cs="Segoe UI"/>
          <w:color w:val="333333"/>
          <w:kern w:val="2"/>
          <w:sz w:val="27"/>
          <w:szCs w:val="27"/>
          <w:shd w:val="clear" w:color="auto" w:fill="FFFFFF"/>
          <w:lang w:eastAsia="en-US"/>
          <w14:ligatures w14:val="standardContextual"/>
        </w:rPr>
        <w:t xml:space="preserve"> </w:t>
      </w:r>
      <w:r w:rsidRPr="00441977">
        <w:rPr>
          <w:b/>
          <w:bCs/>
        </w:rPr>
        <w:t>VZ</w:t>
      </w:r>
      <w:r w:rsidRPr="00441977">
        <w:t xml:space="preserve"> was a major contributor in</w:t>
      </w:r>
      <w:r>
        <w:t xml:space="preserve"> framing the methodology, the interventions and</w:t>
      </w:r>
      <w:r w:rsidRPr="00441977">
        <w:t xml:space="preserve"> writing the manuscript</w:t>
      </w:r>
      <w:r>
        <w:t xml:space="preserve"> and </w:t>
      </w:r>
      <w:r w:rsidRPr="00441977">
        <w:rPr>
          <w:b/>
          <w:bCs/>
        </w:rPr>
        <w:t>RA</w:t>
      </w:r>
      <w:r>
        <w:t xml:space="preserve"> helped in framing the title, collecting reviews and critically phrasing the sentences.</w:t>
      </w:r>
    </w:p>
    <w:p w14:paraId="4C5072C2" w14:textId="77777777" w:rsidR="00E7773C" w:rsidRPr="0003354A" w:rsidRDefault="00E7773C" w:rsidP="00E7773C">
      <w:pPr>
        <w:pStyle w:val="NormalWeb"/>
        <w:tabs>
          <w:tab w:val="left" w:pos="2538"/>
        </w:tabs>
        <w:spacing w:line="480" w:lineRule="auto"/>
      </w:pPr>
      <w:r w:rsidRPr="00441977">
        <w:rPr>
          <w:b/>
          <w:bCs/>
        </w:rPr>
        <w:t>Acknowledgements</w:t>
      </w:r>
      <w:r>
        <w:rPr>
          <w:b/>
          <w:bCs/>
        </w:rPr>
        <w:t xml:space="preserve">: </w:t>
      </w:r>
      <w:r w:rsidRPr="00441977">
        <w:t>Not Applicable</w:t>
      </w:r>
    </w:p>
    <w:p w14:paraId="454F489B" w14:textId="77777777" w:rsidR="00E7773C" w:rsidRPr="00E907A0" w:rsidRDefault="00E7773C" w:rsidP="00E7773C">
      <w:pPr>
        <w:pStyle w:val="NormalWeb"/>
        <w:spacing w:line="360" w:lineRule="auto"/>
        <w:jc w:val="both"/>
        <w:rPr>
          <w:rFonts w:eastAsia="MS Mincho"/>
        </w:rPr>
      </w:pPr>
    </w:p>
    <w:p w14:paraId="0DA12AC5" w14:textId="77777777" w:rsidR="00E7773C" w:rsidRPr="00313AE1" w:rsidRDefault="00E7773C" w:rsidP="00E7773C">
      <w:pPr>
        <w:pStyle w:val="NormalWeb"/>
        <w:spacing w:line="360" w:lineRule="auto"/>
        <w:jc w:val="both"/>
        <w:rPr>
          <w:rFonts w:eastAsia="MS Mincho"/>
          <w:b/>
          <w:bCs/>
        </w:rPr>
      </w:pPr>
      <w:r>
        <w:rPr>
          <w:rFonts w:eastAsia="MS Mincho"/>
          <w:b/>
          <w:bCs/>
        </w:rPr>
        <w:t xml:space="preserve">       </w:t>
      </w:r>
    </w:p>
    <w:p w14:paraId="2E67B5CA" w14:textId="77777777" w:rsidR="00E7773C" w:rsidRDefault="00E7773C" w:rsidP="00E7773C">
      <w:pPr>
        <w:spacing w:line="480" w:lineRule="auto"/>
        <w:rPr>
          <w:rFonts w:ascii="Times New Roman" w:hAnsi="Times New Roman" w:cs="Times New Roman"/>
        </w:rPr>
      </w:pPr>
    </w:p>
    <w:p w14:paraId="67AA8771" w14:textId="77777777" w:rsidR="00E7773C" w:rsidRPr="00E7773C" w:rsidRDefault="00E7773C" w:rsidP="00E7773C">
      <w:pPr>
        <w:spacing w:line="480" w:lineRule="auto"/>
        <w:rPr>
          <w:rFonts w:ascii="Times New Roman" w:hAnsi="Times New Roman" w:cs="Times New Roman"/>
        </w:rPr>
      </w:pPr>
    </w:p>
    <w:sectPr w:rsidR="00E7773C" w:rsidRPr="00E77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790A"/>
    <w:multiLevelType w:val="multilevel"/>
    <w:tmpl w:val="A2AE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67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77"/>
    <w:rsid w:val="00157877"/>
    <w:rsid w:val="001B59F4"/>
    <w:rsid w:val="005430EA"/>
    <w:rsid w:val="00942866"/>
    <w:rsid w:val="00A866CE"/>
    <w:rsid w:val="00D23F8C"/>
    <w:rsid w:val="00E777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13A7"/>
  <w15:chartTrackingRefBased/>
  <w15:docId w15:val="{6BBD7404-EEF9-4645-AD6E-5CFE6E47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877"/>
    <w:rPr>
      <w:rFonts w:eastAsiaTheme="majorEastAsia" w:cstheme="majorBidi"/>
      <w:color w:val="272727" w:themeColor="text1" w:themeTint="D8"/>
    </w:rPr>
  </w:style>
  <w:style w:type="paragraph" w:styleId="Title">
    <w:name w:val="Title"/>
    <w:basedOn w:val="Normal"/>
    <w:next w:val="Normal"/>
    <w:link w:val="TitleChar"/>
    <w:uiPriority w:val="10"/>
    <w:qFormat/>
    <w:rsid w:val="00157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877"/>
    <w:pPr>
      <w:spacing w:before="160"/>
      <w:jc w:val="center"/>
    </w:pPr>
    <w:rPr>
      <w:i/>
      <w:iCs/>
      <w:color w:val="404040" w:themeColor="text1" w:themeTint="BF"/>
    </w:rPr>
  </w:style>
  <w:style w:type="character" w:customStyle="1" w:styleId="QuoteChar">
    <w:name w:val="Quote Char"/>
    <w:basedOn w:val="DefaultParagraphFont"/>
    <w:link w:val="Quote"/>
    <w:uiPriority w:val="29"/>
    <w:rsid w:val="00157877"/>
    <w:rPr>
      <w:i/>
      <w:iCs/>
      <w:color w:val="404040" w:themeColor="text1" w:themeTint="BF"/>
    </w:rPr>
  </w:style>
  <w:style w:type="paragraph" w:styleId="ListParagraph">
    <w:name w:val="List Paragraph"/>
    <w:basedOn w:val="Normal"/>
    <w:link w:val="ListParagraphChar"/>
    <w:uiPriority w:val="34"/>
    <w:qFormat/>
    <w:rsid w:val="00157877"/>
    <w:pPr>
      <w:ind w:left="720"/>
      <w:contextualSpacing/>
    </w:pPr>
  </w:style>
  <w:style w:type="character" w:styleId="IntenseEmphasis">
    <w:name w:val="Intense Emphasis"/>
    <w:basedOn w:val="DefaultParagraphFont"/>
    <w:uiPriority w:val="21"/>
    <w:qFormat/>
    <w:rsid w:val="00157877"/>
    <w:rPr>
      <w:i/>
      <w:iCs/>
      <w:color w:val="2F5496" w:themeColor="accent1" w:themeShade="BF"/>
    </w:rPr>
  </w:style>
  <w:style w:type="paragraph" w:styleId="IntenseQuote">
    <w:name w:val="Intense Quote"/>
    <w:basedOn w:val="Normal"/>
    <w:next w:val="Normal"/>
    <w:link w:val="IntenseQuoteChar"/>
    <w:uiPriority w:val="30"/>
    <w:qFormat/>
    <w:rsid w:val="00157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877"/>
    <w:rPr>
      <w:i/>
      <w:iCs/>
      <w:color w:val="2F5496" w:themeColor="accent1" w:themeShade="BF"/>
    </w:rPr>
  </w:style>
  <w:style w:type="character" w:styleId="IntenseReference">
    <w:name w:val="Intense Reference"/>
    <w:basedOn w:val="DefaultParagraphFont"/>
    <w:uiPriority w:val="32"/>
    <w:qFormat/>
    <w:rsid w:val="00157877"/>
    <w:rPr>
      <w:b/>
      <w:bCs/>
      <w:smallCaps/>
      <w:color w:val="2F5496" w:themeColor="accent1" w:themeShade="BF"/>
      <w:spacing w:val="5"/>
    </w:rPr>
  </w:style>
  <w:style w:type="paragraph" w:styleId="NormalWeb">
    <w:name w:val="Normal (Web)"/>
    <w:basedOn w:val="Normal"/>
    <w:uiPriority w:val="99"/>
    <w:unhideWhenUsed/>
    <w:rsid w:val="0015787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157877"/>
    <w:rPr>
      <w:b/>
      <w:bCs/>
    </w:rPr>
  </w:style>
  <w:style w:type="character" w:styleId="Hyperlink">
    <w:name w:val="Hyperlink"/>
    <w:basedOn w:val="DefaultParagraphFont"/>
    <w:uiPriority w:val="99"/>
    <w:unhideWhenUsed/>
    <w:rsid w:val="00157877"/>
    <w:rPr>
      <w:color w:val="0563C1" w:themeColor="hyperlink"/>
      <w:u w:val="single"/>
    </w:rPr>
  </w:style>
  <w:style w:type="character" w:customStyle="1" w:styleId="ListParagraphChar">
    <w:name w:val="List Paragraph Char"/>
    <w:basedOn w:val="DefaultParagraphFont"/>
    <w:link w:val="ListParagraph"/>
    <w:uiPriority w:val="34"/>
    <w:qFormat/>
    <w:locked/>
    <w:rsid w:val="001B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D.0000000000022959" TargetMode="External"/><Relationship Id="rId3" Type="http://schemas.openxmlformats.org/officeDocument/2006/relationships/settings" Target="settings.xml"/><Relationship Id="rId7" Type="http://schemas.openxmlformats.org/officeDocument/2006/relationships/hyperlink" Target="https://doi.org/10.4103/jfmpc.jfmpc_381_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13-018-3140-8" TargetMode="External"/><Relationship Id="rId11" Type="http://schemas.openxmlformats.org/officeDocument/2006/relationships/theme" Target="theme/theme1.xml"/><Relationship Id="rId5" Type="http://schemas.openxmlformats.org/officeDocument/2006/relationships/hyperlink" Target="mailto:ruchira.shende@rediff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103/aian.aian_935_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Vinodhini Brightson</dc:creator>
  <cp:keywords/>
  <dc:description/>
  <cp:lastModifiedBy>Vinodhini Brightson</cp:lastModifiedBy>
  <cp:revision>5</cp:revision>
  <dcterms:created xsi:type="dcterms:W3CDTF">2026-03-04T16:19:00Z</dcterms:created>
  <dcterms:modified xsi:type="dcterms:W3CDTF">2026-03-04T17:19:00Z</dcterms:modified>
</cp:coreProperties>
</file>