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1F294" w14:textId="267C4C1D" w:rsidR="001477E7" w:rsidRPr="00E27D4E" w:rsidRDefault="005A4697" w:rsidP="005A4697">
      <w:pPr>
        <w:jc w:val="center"/>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 xml:space="preserve">Suitability Analysis of Green Hydrogen Energy </w:t>
      </w:r>
      <w:r w:rsidR="00E27D4E" w:rsidRPr="00E27D4E">
        <w:rPr>
          <w:rFonts w:ascii="Times New Roman" w:hAnsi="Times New Roman" w:cs="Times New Roman"/>
          <w:b/>
          <w:bCs/>
          <w:color w:val="000000" w:themeColor="text1"/>
          <w:sz w:val="22"/>
          <w:szCs w:val="22"/>
        </w:rPr>
        <w:t xml:space="preserve">in </w:t>
      </w:r>
      <w:r w:rsidRPr="00E27D4E">
        <w:rPr>
          <w:rFonts w:ascii="Times New Roman" w:hAnsi="Times New Roman" w:cs="Times New Roman"/>
          <w:b/>
          <w:bCs/>
          <w:color w:val="000000" w:themeColor="text1"/>
          <w:sz w:val="22"/>
          <w:szCs w:val="22"/>
        </w:rPr>
        <w:t>Niger State, Nigeria</w:t>
      </w:r>
    </w:p>
    <w:p w14:paraId="1AD997E8" w14:textId="77777777" w:rsidR="00352855" w:rsidRPr="00E27D4E" w:rsidRDefault="00352855" w:rsidP="005A4697">
      <w:pPr>
        <w:jc w:val="center"/>
        <w:rPr>
          <w:rFonts w:ascii="Times New Roman" w:hAnsi="Times New Roman" w:cs="Times New Roman"/>
          <w:color w:val="000000" w:themeColor="text1"/>
          <w:sz w:val="22"/>
          <w:szCs w:val="22"/>
        </w:rPr>
      </w:pPr>
    </w:p>
    <w:p w14:paraId="6BDFF191" w14:textId="3509176B" w:rsidR="00352855" w:rsidRDefault="005A4697" w:rsidP="0021632D">
      <w:pPr>
        <w:spacing w:after="0" w:line="240" w:lineRule="auto"/>
        <w:jc w:val="center"/>
        <w:rPr>
          <w:rFonts w:ascii="Times New Roman" w:hAnsi="Times New Roman" w:cs="Times New Roman"/>
          <w:b/>
          <w:color w:val="000000" w:themeColor="text1"/>
          <w:sz w:val="22"/>
          <w:szCs w:val="22"/>
        </w:rPr>
      </w:pPr>
      <w:r w:rsidRPr="00E27D4E">
        <w:rPr>
          <w:rFonts w:ascii="Times New Roman" w:hAnsi="Times New Roman" w:cs="Times New Roman"/>
          <w:b/>
          <w:color w:val="000000" w:themeColor="text1"/>
          <w:sz w:val="22"/>
          <w:szCs w:val="22"/>
        </w:rPr>
        <w:t>Halima Aliyu Musa</w:t>
      </w:r>
    </w:p>
    <w:p w14:paraId="30D86A6E" w14:textId="77777777" w:rsidR="004C5EC0" w:rsidRPr="00E27D4E" w:rsidRDefault="004C5EC0" w:rsidP="004C5EC0">
      <w:pPr>
        <w:spacing w:after="0" w:line="240" w:lineRule="auto"/>
        <w:jc w:val="center"/>
        <w:rPr>
          <w:rFonts w:ascii="Times New Roman" w:hAnsi="Times New Roman" w:cs="Times New Roman"/>
          <w:b/>
          <w:color w:val="000000" w:themeColor="text1"/>
          <w:sz w:val="22"/>
          <w:szCs w:val="22"/>
        </w:rPr>
      </w:pPr>
      <w:r w:rsidRPr="004C5EC0">
        <w:rPr>
          <w:rFonts w:ascii="Times New Roman" w:hAnsi="Times New Roman" w:cs="Times New Roman"/>
          <w:b/>
          <w:color w:val="000000" w:themeColor="text1"/>
          <w:sz w:val="22"/>
          <w:szCs w:val="22"/>
        </w:rPr>
        <w:t>National Space Research and Development Agency (NARSDA), Obasanjo Space Centre, Umaru Musa</w:t>
      </w:r>
      <w:r>
        <w:rPr>
          <w:rFonts w:ascii="Times New Roman" w:hAnsi="Times New Roman" w:cs="Times New Roman"/>
          <w:b/>
          <w:color w:val="000000" w:themeColor="text1"/>
          <w:sz w:val="22"/>
          <w:szCs w:val="22"/>
        </w:rPr>
        <w:t xml:space="preserve"> </w:t>
      </w:r>
      <w:proofErr w:type="spellStart"/>
      <w:r w:rsidRPr="004C5EC0">
        <w:rPr>
          <w:rFonts w:ascii="Times New Roman" w:hAnsi="Times New Roman" w:cs="Times New Roman"/>
          <w:b/>
          <w:color w:val="000000" w:themeColor="text1"/>
          <w:sz w:val="22"/>
          <w:szCs w:val="22"/>
        </w:rPr>
        <w:t>Yar’adua</w:t>
      </w:r>
      <w:proofErr w:type="spellEnd"/>
      <w:r w:rsidRPr="004C5EC0">
        <w:rPr>
          <w:rFonts w:ascii="Times New Roman" w:hAnsi="Times New Roman" w:cs="Times New Roman"/>
          <w:b/>
          <w:color w:val="000000" w:themeColor="text1"/>
          <w:sz w:val="22"/>
          <w:szCs w:val="22"/>
        </w:rPr>
        <w:t xml:space="preserve"> Expressway, Lugbe, Airport Road, Abuja, Nigeria</w:t>
      </w:r>
    </w:p>
    <w:p w14:paraId="29D326FE" w14:textId="11F400A4" w:rsidR="0021632D" w:rsidRPr="004C5EC0" w:rsidRDefault="0021632D" w:rsidP="004C5EC0">
      <w:pPr>
        <w:spacing w:after="0" w:line="240" w:lineRule="auto"/>
        <w:jc w:val="center"/>
        <w:rPr>
          <w:rFonts w:ascii="Times New Roman" w:hAnsi="Times New Roman" w:cs="Times New Roman"/>
          <w:b/>
          <w:bCs/>
          <w:color w:val="000000" w:themeColor="text1"/>
          <w:sz w:val="22"/>
          <w:szCs w:val="22"/>
        </w:rPr>
      </w:pPr>
      <w:r w:rsidRPr="004C5EC0">
        <w:rPr>
          <w:rFonts w:ascii="Times New Roman" w:hAnsi="Times New Roman" w:cs="Times New Roman"/>
          <w:b/>
          <w:bCs/>
          <w:color w:val="000000" w:themeColor="text1"/>
          <w:sz w:val="22"/>
          <w:szCs w:val="22"/>
        </w:rPr>
        <w:t xml:space="preserve">Email: </w:t>
      </w:r>
      <w:r w:rsidR="007556CB" w:rsidRPr="004C5EC0">
        <w:rPr>
          <w:rFonts w:ascii="Times New Roman" w:hAnsi="Times New Roman" w:cs="Times New Roman"/>
          <w:color w:val="000000" w:themeColor="text1"/>
          <w:sz w:val="22"/>
          <w:szCs w:val="22"/>
        </w:rPr>
        <w:t>halimaaliyumusa1@gmail.com</w:t>
      </w:r>
    </w:p>
    <w:p w14:paraId="4AECB193" w14:textId="58559F4C" w:rsidR="0021632D" w:rsidRPr="00E27D4E" w:rsidRDefault="0021632D" w:rsidP="005A4697">
      <w:pPr>
        <w:jc w:val="center"/>
        <w:rPr>
          <w:rFonts w:ascii="Times New Roman" w:hAnsi="Times New Roman" w:cs="Times New Roman"/>
          <w:color w:val="000000" w:themeColor="text1"/>
          <w:sz w:val="22"/>
          <w:szCs w:val="22"/>
        </w:rPr>
      </w:pPr>
      <w:r w:rsidRPr="0021632D">
        <w:rPr>
          <w:rFonts w:ascii="Times New Roman" w:hAnsi="Times New Roman" w:cs="Times New Roman"/>
          <w:b/>
          <w:bCs/>
          <w:color w:val="000000" w:themeColor="text1"/>
          <w:sz w:val="22"/>
          <w:szCs w:val="22"/>
        </w:rPr>
        <w:t>Tel:</w:t>
      </w:r>
      <w:r>
        <w:rPr>
          <w:rFonts w:ascii="Times New Roman" w:hAnsi="Times New Roman" w:cs="Times New Roman"/>
          <w:color w:val="000000" w:themeColor="text1"/>
          <w:sz w:val="22"/>
          <w:szCs w:val="22"/>
        </w:rPr>
        <w:t xml:space="preserve"> </w:t>
      </w:r>
      <w:r w:rsidRPr="0021632D">
        <w:rPr>
          <w:rFonts w:ascii="Times New Roman" w:hAnsi="Times New Roman" w:cs="Times New Roman"/>
          <w:color w:val="000000" w:themeColor="text1"/>
          <w:sz w:val="22"/>
          <w:szCs w:val="22"/>
        </w:rPr>
        <w:t>+2348133584282</w:t>
      </w:r>
    </w:p>
    <w:p w14:paraId="75F33873" w14:textId="77777777" w:rsidR="00352855" w:rsidRPr="00E27D4E" w:rsidRDefault="00352855" w:rsidP="005A4697">
      <w:pPr>
        <w:jc w:val="both"/>
        <w:rPr>
          <w:rFonts w:ascii="Times New Roman" w:hAnsi="Times New Roman" w:cs="Times New Roman"/>
          <w:color w:val="000000" w:themeColor="text1"/>
          <w:sz w:val="22"/>
          <w:szCs w:val="22"/>
        </w:rPr>
      </w:pPr>
    </w:p>
    <w:p w14:paraId="54E96F62" w14:textId="18FD31AB" w:rsidR="00352855" w:rsidRPr="00E27D4E" w:rsidRDefault="00E27D4E" w:rsidP="00E27D4E">
      <w:pPr>
        <w:pStyle w:val="Heading1"/>
        <w:spacing w:line="240" w:lineRule="auto"/>
        <w:jc w:val="both"/>
        <w:rPr>
          <w:rFonts w:ascii="Times New Roman" w:hAnsi="Times New Roman" w:cs="Times New Roman"/>
          <w:b/>
          <w:bCs/>
          <w:color w:val="000000" w:themeColor="text1"/>
          <w:sz w:val="22"/>
          <w:szCs w:val="22"/>
        </w:rPr>
      </w:pPr>
      <w:bookmarkStart w:id="0" w:name="_Toc218873724"/>
      <w:r w:rsidRPr="00E27D4E">
        <w:rPr>
          <w:rFonts w:ascii="Times New Roman" w:hAnsi="Times New Roman" w:cs="Times New Roman"/>
          <w:b/>
          <w:bCs/>
          <w:color w:val="000000" w:themeColor="text1"/>
          <w:sz w:val="22"/>
          <w:szCs w:val="22"/>
        </w:rPr>
        <w:t>Abstract</w:t>
      </w:r>
      <w:bookmarkEnd w:id="0"/>
    </w:p>
    <w:p w14:paraId="620326C2" w14:textId="1A62F758" w:rsidR="00352855" w:rsidRPr="00E27D4E" w:rsidRDefault="00352855" w:rsidP="00E27D4E">
      <w:pPr>
        <w:spacing w:line="240" w:lineRule="auto"/>
        <w:jc w:val="both"/>
        <w:rPr>
          <w:rFonts w:ascii="Times New Roman" w:hAnsi="Times New Roman" w:cs="Times New Roman"/>
          <w:i/>
          <w:iCs/>
          <w:color w:val="000000" w:themeColor="text1"/>
          <w:sz w:val="22"/>
          <w:szCs w:val="22"/>
        </w:rPr>
      </w:pPr>
      <w:r w:rsidRPr="00E27D4E">
        <w:rPr>
          <w:rFonts w:ascii="Times New Roman" w:hAnsi="Times New Roman" w:cs="Times New Roman"/>
          <w:i/>
          <w:iCs/>
          <w:color w:val="000000" w:themeColor="text1"/>
          <w:sz w:val="22"/>
          <w:szCs w:val="22"/>
        </w:rPr>
        <w:t xml:space="preserve">This study was conducted on suitability analysis of green hydrogen energy in Niger state, Nigeria. Data used in this study where secondary in nature, gotten from literature reviews, administrative map of the study area, </w:t>
      </w:r>
      <w:proofErr w:type="spellStart"/>
      <w:r w:rsidRPr="00E27D4E">
        <w:rPr>
          <w:rFonts w:ascii="Times New Roman" w:hAnsi="Times New Roman" w:cs="Times New Roman"/>
          <w:i/>
          <w:iCs/>
          <w:color w:val="000000" w:themeColor="text1"/>
          <w:sz w:val="22"/>
          <w:szCs w:val="22"/>
        </w:rPr>
        <w:t>landsat</w:t>
      </w:r>
      <w:proofErr w:type="spellEnd"/>
      <w:r w:rsidRPr="00E27D4E">
        <w:rPr>
          <w:rFonts w:ascii="Times New Roman" w:hAnsi="Times New Roman" w:cs="Times New Roman"/>
          <w:i/>
          <w:iCs/>
          <w:color w:val="000000" w:themeColor="text1"/>
          <w:sz w:val="22"/>
          <w:szCs w:val="22"/>
        </w:rPr>
        <w:t xml:space="preserve"> imagery, road shapefile, relevant information from journals, articles, reports from government agencies, and other publications which contain necessary data related to this study. Geospatial technique with the aid of ArcGIS software was employed to </w:t>
      </w:r>
      <w:proofErr w:type="spellStart"/>
      <w:r w:rsidRPr="00E27D4E">
        <w:rPr>
          <w:rFonts w:ascii="Times New Roman" w:hAnsi="Times New Roman" w:cs="Times New Roman"/>
          <w:i/>
          <w:iCs/>
          <w:color w:val="000000" w:themeColor="text1"/>
          <w:sz w:val="22"/>
          <w:szCs w:val="22"/>
        </w:rPr>
        <w:t>analyse</w:t>
      </w:r>
      <w:proofErr w:type="spellEnd"/>
      <w:r w:rsidRPr="00E27D4E">
        <w:rPr>
          <w:rFonts w:ascii="Times New Roman" w:hAnsi="Times New Roman" w:cs="Times New Roman"/>
          <w:i/>
          <w:iCs/>
          <w:color w:val="000000" w:themeColor="text1"/>
          <w:sz w:val="22"/>
          <w:szCs w:val="22"/>
        </w:rPr>
        <w:t xml:space="preserve"> the data. Findings reveals features of green hydrogen is gotten through electrolysis of water. Niger state has the potential for green hydrogen transition because of the </w:t>
      </w:r>
      <w:proofErr w:type="spellStart"/>
      <w:r w:rsidRPr="00E27D4E">
        <w:rPr>
          <w:rFonts w:ascii="Times New Roman" w:hAnsi="Times New Roman" w:cs="Times New Roman"/>
          <w:i/>
          <w:iCs/>
          <w:color w:val="000000" w:themeColor="text1"/>
          <w:sz w:val="22"/>
          <w:szCs w:val="22"/>
        </w:rPr>
        <w:t>states</w:t>
      </w:r>
      <w:proofErr w:type="spellEnd"/>
      <w:r w:rsidRPr="00E27D4E">
        <w:rPr>
          <w:rFonts w:ascii="Times New Roman" w:hAnsi="Times New Roman" w:cs="Times New Roman"/>
          <w:i/>
          <w:iCs/>
          <w:color w:val="000000" w:themeColor="text1"/>
          <w:sz w:val="22"/>
          <w:szCs w:val="22"/>
        </w:rPr>
        <w:t xml:space="preserve"> abundant wind, solar and hydroelectric power potential. Maps generated using Arc GIS software showed potential areas for green hydrogen project implementation in the state with Borgu local government area having the most potential. Map generated showed distribution of land use land cover features across the state, with their percentages and area per square meter. Land use land cover map of Borgu local government area with its percentage and area per square meter was also generated. Map showing local government </w:t>
      </w:r>
      <w:proofErr w:type="spellStart"/>
      <w:r w:rsidRPr="00E27D4E">
        <w:rPr>
          <w:rFonts w:ascii="Times New Roman" w:hAnsi="Times New Roman" w:cs="Times New Roman"/>
          <w:i/>
          <w:iCs/>
          <w:color w:val="000000" w:themeColor="text1"/>
          <w:sz w:val="22"/>
          <w:szCs w:val="22"/>
        </w:rPr>
        <w:t>boundries</w:t>
      </w:r>
      <w:proofErr w:type="spellEnd"/>
      <w:r w:rsidRPr="00E27D4E">
        <w:rPr>
          <w:rFonts w:ascii="Times New Roman" w:hAnsi="Times New Roman" w:cs="Times New Roman"/>
          <w:i/>
          <w:iCs/>
          <w:color w:val="000000" w:themeColor="text1"/>
          <w:sz w:val="22"/>
          <w:szCs w:val="22"/>
        </w:rPr>
        <w:t xml:space="preserve"> and proximity to road network was generated. Map showing local government </w:t>
      </w:r>
      <w:proofErr w:type="spellStart"/>
      <w:r w:rsidRPr="00E27D4E">
        <w:rPr>
          <w:rFonts w:ascii="Times New Roman" w:hAnsi="Times New Roman" w:cs="Times New Roman"/>
          <w:i/>
          <w:iCs/>
          <w:color w:val="000000" w:themeColor="text1"/>
          <w:sz w:val="22"/>
          <w:szCs w:val="22"/>
        </w:rPr>
        <w:t>boundries</w:t>
      </w:r>
      <w:proofErr w:type="spellEnd"/>
      <w:r w:rsidRPr="00E27D4E">
        <w:rPr>
          <w:rFonts w:ascii="Times New Roman" w:hAnsi="Times New Roman" w:cs="Times New Roman"/>
          <w:i/>
          <w:iCs/>
          <w:color w:val="000000" w:themeColor="text1"/>
          <w:sz w:val="22"/>
          <w:szCs w:val="22"/>
        </w:rPr>
        <w:t xml:space="preserve"> and population density, was generated showing areas of very low, low, moderate, high and very high population density is being displayed on the map. Furthermore population size and mean population size maps where also produced.</w:t>
      </w:r>
    </w:p>
    <w:p w14:paraId="16C2FCB9" w14:textId="38E92C2E" w:rsidR="00E27D4E" w:rsidRPr="00E27D4E" w:rsidRDefault="00E27D4E" w:rsidP="00E27D4E">
      <w:pPr>
        <w:spacing w:line="240" w:lineRule="auto"/>
        <w:jc w:val="both"/>
        <w:rPr>
          <w:rFonts w:ascii="Times New Roman" w:hAnsi="Times New Roman" w:cs="Times New Roman"/>
          <w:i/>
          <w:iCs/>
          <w:color w:val="000000" w:themeColor="text1"/>
          <w:sz w:val="22"/>
          <w:szCs w:val="22"/>
        </w:rPr>
      </w:pPr>
      <w:r w:rsidRPr="00E27D4E">
        <w:rPr>
          <w:rFonts w:ascii="Times New Roman" w:hAnsi="Times New Roman" w:cs="Times New Roman"/>
          <w:b/>
          <w:bCs/>
          <w:i/>
          <w:iCs/>
          <w:color w:val="000000" w:themeColor="text1"/>
          <w:sz w:val="22"/>
          <w:szCs w:val="22"/>
        </w:rPr>
        <w:t xml:space="preserve">Keywords: </w:t>
      </w:r>
      <w:r w:rsidRPr="00E27D4E">
        <w:rPr>
          <w:rFonts w:ascii="Times New Roman" w:hAnsi="Times New Roman" w:cs="Times New Roman"/>
          <w:i/>
          <w:iCs/>
          <w:color w:val="000000" w:themeColor="text1"/>
          <w:sz w:val="22"/>
          <w:szCs w:val="22"/>
        </w:rPr>
        <w:t>Green hydrogen, Suitability analysis, GIS, Renewable energy, Niger State, Site selection, Energy transition, Sustainable energy.</w:t>
      </w:r>
    </w:p>
    <w:p w14:paraId="6CC600E9" w14:textId="64673CB5" w:rsidR="00352855" w:rsidRPr="00E27D4E" w:rsidRDefault="00352855" w:rsidP="00E27D4E">
      <w:pPr>
        <w:spacing w:line="240" w:lineRule="auto"/>
        <w:jc w:val="both"/>
        <w:rPr>
          <w:rFonts w:ascii="Times New Roman" w:hAnsi="Times New Roman" w:cs="Times New Roman"/>
          <w:i/>
          <w:iCs/>
          <w:color w:val="000000" w:themeColor="text1"/>
          <w:sz w:val="22"/>
          <w:szCs w:val="22"/>
        </w:rPr>
      </w:pPr>
    </w:p>
    <w:p w14:paraId="2988C977" w14:textId="475036F9" w:rsidR="00352855" w:rsidRPr="00E27D4E" w:rsidRDefault="00352855"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Introduction</w:t>
      </w:r>
    </w:p>
    <w:p w14:paraId="42EF1C4C"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 xml:space="preserve">The role of the energy sector is significant in attaining countries’ established climate targets because it is a sector that is found to be a focal point for abating anthropogenic emissions (International Energy Agency, 2020). Developing countries, especially sub-Saharan African (SSA) countries struggle to provide reliable and affordable modern energy to their growing population (Michoud &amp; Hafner, 2021). In addition, countries in the region have fallen short of attaining their climate change commitments (Fawzy et al, 2020). These climate commitments are aimed at reducing risk and vulnerability to climate change, strengthening resilience, enhancing the well-being of people, and the capacity to anticipate and respond successfully to change (Eriksen et al, 2021). Energy plays the most vital role in the economic growth, progress, and development, as well as poverty eradication and security of any nation. Uninterrupted energy supply is a vital issue for all countries today. Future economic growth crucially depends on the long-term availability of energy from sources that are affordable, accessible, and environmentally friendly. Energy is an important factor in all the sectors of any country's economy. The standard of living of a given country can be directly related to the per capita energy consumption. </w:t>
      </w:r>
    </w:p>
    <w:p w14:paraId="6A1D6F97"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 xml:space="preserve">In the SSA region, especially in Nigeria, energy poverty and meeting climate targets are intertwined, i.e. the country needs to tackle the twin challenges of energy poverty, which limits economic development, and climate change. Although several attempts, including the policy that aims at strengthening the renewable energy sector, have been legislated and implemented to combat these challenges, still, people of the region and country have yet to experience reasonably reliable and </w:t>
      </w:r>
      <w:r w:rsidRPr="00E27D4E">
        <w:rPr>
          <w:rFonts w:ascii="Times New Roman" w:hAnsi="Times New Roman" w:cs="Times New Roman"/>
          <w:color w:val="000000" w:themeColor="text1"/>
          <w:sz w:val="22"/>
          <w:szCs w:val="22"/>
          <w:shd w:val="clear" w:color="auto" w:fill="FFFFFF"/>
        </w:rPr>
        <w:lastRenderedPageBreak/>
        <w:t>affordable modern energy services. This is evident in their very low per capita electricity consumption when compared to other developed regions in Europe and America.</w:t>
      </w:r>
    </w:p>
    <w:p w14:paraId="064EE7D9"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To overcome the intermittent nature of renewable energy sources, storage devices are required. The expensive cost of electricity storage systems is a main setback to enabling the integration of renewable energy sources into the countries’ energy mix. Due to the cost issue associated with storage facilities, the transformation of power to another form of fuel cells or gas (also, called power to </w:t>
      </w:r>
      <w:r w:rsidRPr="00E27D4E">
        <w:rPr>
          <w:rFonts w:ascii="Times New Roman" w:hAnsi="Times New Roman" w:cs="Times New Roman"/>
          <w:i/>
          <w:iCs/>
          <w:color w:val="000000" w:themeColor="text1"/>
          <w:sz w:val="22"/>
          <w:szCs w:val="22"/>
          <w:shd w:val="clear" w:color="auto" w:fill="FFFFFF"/>
        </w:rPr>
        <w:t>x</w:t>
      </w:r>
      <w:r w:rsidRPr="00E27D4E">
        <w:rPr>
          <w:rFonts w:ascii="Times New Roman" w:hAnsi="Times New Roman" w:cs="Times New Roman"/>
          <w:color w:val="000000" w:themeColor="text1"/>
          <w:sz w:val="22"/>
          <w:szCs w:val="22"/>
          <w:shd w:val="clear" w:color="auto" w:fill="FFFFFF"/>
        </w:rPr>
        <w:t>) has been gaining international attention. The use of fuel cells has largely found application in almost all sectors, including sectors that are difficult to decarbonize, i.e. transportation, heavy industries, and agriculture.</w:t>
      </w:r>
    </w:p>
    <w:p w14:paraId="1C212A34" w14:textId="7777777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Hydrogen has a high energy content and is naturally available in nature in combination with oxygen gas. It is a significant source of fuel cells that could support the drive towards carbon neutrality through the electrolysis of water using electricity generated from renewable energy sources. Although a rigorous deployment of clean fuel cells has found application in several developed countries in Europe, and developed to support their energy transition strategies; most developing countries in SSA are yet to make frantic efforts to investigate how hydrogen and fuel cells could be utilized to holistically address the like challenges confronting the region.</w:t>
      </w:r>
    </w:p>
    <w:p w14:paraId="3F5CD379" w14:textId="77777777" w:rsidR="00352855" w:rsidRPr="00E27D4E" w:rsidRDefault="00352855"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Niger State possesses significant renewable energy resources, including solar, biomass, and hydropower. Studies indicate that the region has high solar insolation, making it a viable candidate for solar-powered electrolysis for green hydrogen production. (Mohammed and Idris, 2021). </w:t>
      </w:r>
      <w:r w:rsidRPr="00E27D4E">
        <w:rPr>
          <w:rFonts w:ascii="Times New Roman" w:hAnsi="Times New Roman" w:cs="Times New Roman"/>
          <w:color w:val="000000" w:themeColor="text1"/>
          <w:sz w:val="22"/>
          <w:szCs w:val="22"/>
          <w:shd w:val="clear" w:color="auto" w:fill="FFFFFF"/>
        </w:rPr>
        <w:t>The development of local hydrogen energy systems tailored to Niger State's specific conditions is essential for optimizing resource use. (Ishmam et al, 2024)</w:t>
      </w:r>
    </w:p>
    <w:p w14:paraId="6FDE6C56" w14:textId="6729A6D7" w:rsidR="00352855" w:rsidRPr="00E27D4E" w:rsidRDefault="00352855"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hAnsi="Times New Roman" w:cs="Times New Roman"/>
          <w:color w:val="000000" w:themeColor="text1"/>
          <w:sz w:val="22"/>
          <w:szCs w:val="22"/>
          <w:shd w:val="clear" w:color="auto" w:fill="FFFFFF"/>
        </w:rPr>
        <w:t>This study employs the suitability analysis of green hydrogen energy in Niger state, Nigeria, looking at  the analysis of the set objectives.</w:t>
      </w:r>
    </w:p>
    <w:p w14:paraId="5F3FB92B" w14:textId="10E5F5FE" w:rsidR="00352855" w:rsidRPr="00E27D4E" w:rsidRDefault="00352855"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Nigeria faces a dual challenge of meeting its increasing energy demands while transitioning to sustainable energy sources to combat climate change. With a population exceeding 200 million and an energy access rate of about 55%, there is an urgent need for innovative solutions to address the energy crisis (World Bank, 2021). Green hydrogen, generated through the electrolysis of water using renewable energy sources, has the potential to provide a clean, sustainable energy alternative. However, the exploration of its viability in Nigeria is limited by several factors, including inadequate infrastructure, high production costs, a lack of technological expertise, and insufficient policy frameworks (Akinyele &amp; Williams, 2022). This research aims to assess the feasibility of green hydrogen as a sustainable energy solution in Niger state by evaluating its features, potential and mapping out locations for green hydrogen project implementation.</w:t>
      </w:r>
    </w:p>
    <w:p w14:paraId="75FC65F7" w14:textId="77777777" w:rsidR="00352855" w:rsidRPr="00E27D4E" w:rsidRDefault="00352855" w:rsidP="00E27D4E">
      <w:pPr>
        <w:spacing w:line="240" w:lineRule="auto"/>
        <w:jc w:val="both"/>
        <w:rPr>
          <w:rFonts w:ascii="Times New Roman" w:hAnsi="Times New Roman" w:cs="Times New Roman"/>
          <w:color w:val="000000" w:themeColor="text1"/>
          <w:sz w:val="22"/>
          <w:szCs w:val="22"/>
        </w:rPr>
      </w:pPr>
    </w:p>
    <w:p w14:paraId="3BC99ABF" w14:textId="7383AB59" w:rsidR="00352855" w:rsidRPr="00E27D4E" w:rsidRDefault="00352855" w:rsidP="00E27D4E">
      <w:pPr>
        <w:spacing w:after="0" w:line="240" w:lineRule="auto"/>
        <w:jc w:val="both"/>
        <w:rPr>
          <w:rFonts w:ascii="Times New Roman" w:eastAsia="Times New Roman" w:hAnsi="Times New Roman" w:cs="Times New Roman"/>
          <w:b/>
          <w:bCs/>
          <w:color w:val="000000" w:themeColor="text1"/>
          <w:sz w:val="22"/>
          <w:szCs w:val="22"/>
          <w:lang w:eastAsia="en-GB"/>
        </w:rPr>
      </w:pPr>
      <w:r w:rsidRPr="00E27D4E">
        <w:rPr>
          <w:rFonts w:ascii="Times New Roman" w:eastAsia="Times New Roman" w:hAnsi="Times New Roman" w:cs="Times New Roman"/>
          <w:b/>
          <w:bCs/>
          <w:color w:val="000000" w:themeColor="text1"/>
          <w:sz w:val="22"/>
          <w:szCs w:val="22"/>
          <w:lang w:eastAsia="en-GB"/>
        </w:rPr>
        <w:t>Literature Review and Theoretical Framework</w:t>
      </w:r>
    </w:p>
    <w:p w14:paraId="46B5E6DF" w14:textId="77777777" w:rsidR="00E27D4E" w:rsidRPr="00E27D4E" w:rsidRDefault="00E27D4E" w:rsidP="00E27D4E">
      <w:pPr>
        <w:pStyle w:val="Heading1"/>
        <w:spacing w:after="0" w:line="240" w:lineRule="auto"/>
        <w:jc w:val="both"/>
        <w:rPr>
          <w:rFonts w:ascii="Times New Roman" w:hAnsi="Times New Roman" w:cs="Times New Roman"/>
          <w:b/>
          <w:bCs/>
          <w:color w:val="000000" w:themeColor="text1"/>
          <w:sz w:val="22"/>
          <w:szCs w:val="22"/>
          <w:shd w:val="clear" w:color="auto" w:fill="FFFFFF"/>
        </w:rPr>
      </w:pPr>
      <w:bookmarkStart w:id="1" w:name="_Toc218873740"/>
      <w:r w:rsidRPr="00E27D4E">
        <w:rPr>
          <w:rFonts w:ascii="Times New Roman" w:hAnsi="Times New Roman" w:cs="Times New Roman"/>
          <w:b/>
          <w:bCs/>
          <w:color w:val="000000" w:themeColor="text1"/>
          <w:sz w:val="22"/>
          <w:szCs w:val="22"/>
          <w:shd w:val="clear" w:color="auto" w:fill="FFFFFF"/>
        </w:rPr>
        <w:t xml:space="preserve">Conceptual </w:t>
      </w:r>
      <w:bookmarkEnd w:id="1"/>
      <w:r w:rsidRPr="00E27D4E">
        <w:rPr>
          <w:rFonts w:ascii="Times New Roman" w:hAnsi="Times New Roman" w:cs="Times New Roman"/>
          <w:b/>
          <w:bCs/>
          <w:color w:val="000000" w:themeColor="text1"/>
          <w:sz w:val="22"/>
          <w:szCs w:val="22"/>
          <w:shd w:val="clear" w:color="auto" w:fill="FFFFFF"/>
        </w:rPr>
        <w:t>Review</w:t>
      </w:r>
    </w:p>
    <w:p w14:paraId="21B8A801" w14:textId="77777777" w:rsidR="00E27D4E" w:rsidRPr="00E27D4E" w:rsidRDefault="003921B4" w:rsidP="00E27D4E">
      <w:pPr>
        <w:pStyle w:val="Heading1"/>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Concept of Green Hydrogen and Energy Transition</w:t>
      </w:r>
    </w:p>
    <w:p w14:paraId="3D034F82" w14:textId="411019C0" w:rsidR="003921B4" w:rsidRPr="003921B4" w:rsidRDefault="003921B4" w:rsidP="00E27D4E">
      <w:pPr>
        <w:pStyle w:val="Heading1"/>
        <w:spacing w:line="240" w:lineRule="auto"/>
        <w:jc w:val="both"/>
        <w:rPr>
          <w:rFonts w:ascii="Times New Roman" w:hAnsi="Times New Roman" w:cs="Times New Roman"/>
          <w:b/>
          <w:bCs/>
          <w:color w:val="000000" w:themeColor="text1"/>
          <w:sz w:val="22"/>
          <w:szCs w:val="22"/>
          <w:shd w:val="clear" w:color="auto" w:fill="FFFFFF"/>
        </w:rPr>
      </w:pPr>
      <w:r w:rsidRPr="003921B4">
        <w:rPr>
          <w:rFonts w:ascii="Times New Roman" w:hAnsi="Times New Roman" w:cs="Times New Roman"/>
          <w:color w:val="000000" w:themeColor="text1"/>
          <w:sz w:val="22"/>
          <w:szCs w:val="22"/>
        </w:rPr>
        <w:t>The concept of green hydrogen is situated within the global shift from fossil-fuel-dependent energy systems toward low-carbon and environmentally sustainable energy pathways. Nigeria faces increasing energy demand alongside environmental degradation caused by conventional energy consumption. Consequently, adopting green hydrogen represents a strategic pathway for climate change mitigation, improved energy security and sustainable development (Ajayi et al., 2021; Sustainable Energy for National Climate Change, Food Security and Employment Opportunities: Implications for Nigeria, 2022).</w:t>
      </w:r>
    </w:p>
    <w:p w14:paraId="430E11F5"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 xml:space="preserve">Green hydrogen refers to hydrogen generated through the electrolysis of water using electricity obtained from renewable energy sources such as solar, wind and hydropower. Unlike traditional hydrogen production methods, particularly steam methane reforming, which releases large amounts of carbon </w:t>
      </w:r>
      <w:r w:rsidRPr="003921B4">
        <w:rPr>
          <w:rFonts w:ascii="Times New Roman" w:hAnsi="Times New Roman" w:cs="Times New Roman"/>
          <w:color w:val="000000" w:themeColor="text1"/>
          <w:sz w:val="22"/>
          <w:szCs w:val="22"/>
        </w:rPr>
        <w:lastRenderedPageBreak/>
        <w:t xml:space="preserve">dioxide, green hydrogen produces no direct greenhouse gas emissions (International Energy Agency, 2021). Technological advancements in </w:t>
      </w:r>
      <w:proofErr w:type="spellStart"/>
      <w:r w:rsidRPr="003921B4">
        <w:rPr>
          <w:rFonts w:ascii="Times New Roman" w:hAnsi="Times New Roman" w:cs="Times New Roman"/>
          <w:color w:val="000000" w:themeColor="text1"/>
          <w:sz w:val="22"/>
          <w:szCs w:val="22"/>
        </w:rPr>
        <w:t>electrolyzers</w:t>
      </w:r>
      <w:proofErr w:type="spellEnd"/>
      <w:r w:rsidRPr="003921B4">
        <w:rPr>
          <w:rFonts w:ascii="Times New Roman" w:hAnsi="Times New Roman" w:cs="Times New Roman"/>
          <w:color w:val="000000" w:themeColor="text1"/>
          <w:sz w:val="22"/>
          <w:szCs w:val="22"/>
        </w:rPr>
        <w:t xml:space="preserve"> have significantly improved efficiency and reduced costs, making hydrogen an increasingly viable alternative energy carrier (</w:t>
      </w:r>
      <w:proofErr w:type="spellStart"/>
      <w:r w:rsidRPr="003921B4">
        <w:rPr>
          <w:rFonts w:ascii="Times New Roman" w:hAnsi="Times New Roman" w:cs="Times New Roman"/>
          <w:color w:val="000000" w:themeColor="text1"/>
          <w:sz w:val="22"/>
          <w:szCs w:val="22"/>
        </w:rPr>
        <w:t>Triollet</w:t>
      </w:r>
      <w:proofErr w:type="spellEnd"/>
      <w:r w:rsidRPr="003921B4">
        <w:rPr>
          <w:rFonts w:ascii="Times New Roman" w:hAnsi="Times New Roman" w:cs="Times New Roman"/>
          <w:color w:val="000000" w:themeColor="text1"/>
          <w:sz w:val="22"/>
          <w:szCs w:val="22"/>
        </w:rPr>
        <w:t xml:space="preserve"> &amp; Alvarez, 2020).</w:t>
      </w:r>
    </w:p>
    <w:p w14:paraId="0DD3B4C8"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Green Hydrogen and Sustainable Development Goal 7</w:t>
      </w:r>
    </w:p>
    <w:p w14:paraId="0DCB08CB"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This study is anchored on Sustainable Development Goal 7, which aims to ensure access to affordable, reliable, sustainable and modern energy for all. Green hydrogen fits within this framework because it functions both as a clean fuel and as an energy storage medium. Renewable energy sources such as solar and wind are intermittent; therefore hydrogen storage helps stabilize electricity supply by storing excess energy for later use. In this way, green hydrogen enhances energy reliability while supporting decarbonization of national energy systems.</w:t>
      </w:r>
    </w:p>
    <w:p w14:paraId="411D06B3"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Affordability and Energy Accessibility</w:t>
      </w:r>
    </w:p>
    <w:p w14:paraId="1196C84A"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In the dimension of affordability and accessibility, green hydrogen has the potential to reduce long-term energy costs and expand electricity availability in underserved and remote communities. Nigeria’s off-grid populations face persistent electricity shortages due to infrastructural limitations, and hydrogen-based decentralized systems can provide alternative supply pathways. By complementing renewable mini-grids, green hydrogen can improve energy inclusion and reduce dependence on diesel generators.</w:t>
      </w:r>
    </w:p>
    <w:p w14:paraId="608E6864"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Reliability and Modern Energy Systems</w:t>
      </w:r>
    </w:p>
    <w:p w14:paraId="5247B64B"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Green hydrogen contributes to modernization of energy systems by integrating effectively with renewable technologies. Because hydrogen can store excess renewable electricity, it improves grid stability and reliability. This capability becomes particularly important in Nigeria where power supply fluctuations remain a major constraint to economic productivity. Hydrogen energy storage therefore enables continuous energy supply despite variability in renewable generation.</w:t>
      </w:r>
    </w:p>
    <w:p w14:paraId="24293FA7"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Environmental Sustainability and Climate Change Mitigation</w:t>
      </w:r>
    </w:p>
    <w:p w14:paraId="5D7BAC6D"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From an environmental perspective, green hydrogen contributes to reducing greenhouse gas emissions and supports global climate commitments. Nigeria’s reliance on fossil fuels exposes the country to environmental degradation and climate risks. By replacing carbon-intensive fuels in transportation, industry and electricity generation, hydrogen energy supports biodiversity preservation and sustainable resource management while aligning with international decarbonization goals.</w:t>
      </w:r>
    </w:p>
    <w:p w14:paraId="6C92CBBA"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Economic Development and Energy Diversification</w:t>
      </w:r>
    </w:p>
    <w:p w14:paraId="569EA19E"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Green hydrogen also promotes economic growth through industrial diversification and job creation. The emergence of hydrogen production, storage, distribution and application industries opens new opportunities for employment and technological innovation. For Nigeria, diversification of the energy mix reduces vulnerability to oil price fluctuations and strengthens long-term economic stability.</w:t>
      </w:r>
    </w:p>
    <w:p w14:paraId="1EAB1EC4" w14:textId="77777777" w:rsidR="003921B4" w:rsidRPr="003921B4" w:rsidRDefault="003921B4" w:rsidP="00E27D4E">
      <w:pPr>
        <w:spacing w:line="240" w:lineRule="auto"/>
        <w:jc w:val="both"/>
        <w:rPr>
          <w:rFonts w:ascii="Times New Roman" w:hAnsi="Times New Roman" w:cs="Times New Roman"/>
          <w:b/>
          <w:bCs/>
          <w:color w:val="000000" w:themeColor="text1"/>
          <w:sz w:val="22"/>
          <w:szCs w:val="22"/>
        </w:rPr>
      </w:pPr>
      <w:r w:rsidRPr="003921B4">
        <w:rPr>
          <w:rFonts w:ascii="Times New Roman" w:hAnsi="Times New Roman" w:cs="Times New Roman"/>
          <w:b/>
          <w:bCs/>
          <w:color w:val="000000" w:themeColor="text1"/>
          <w:sz w:val="22"/>
          <w:szCs w:val="22"/>
        </w:rPr>
        <w:t>Policy and Institutional Framework</w:t>
      </w:r>
    </w:p>
    <w:p w14:paraId="25C7FC0D"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Successful adoption of green hydrogen depends on deliberate policy and institutional support. Government is expected to develop a national hydrogen roadmap, implement enabling regulations, and promote public-private partnerships to attract investment (Bruce et al., 2021). Effective policies and infrastructure development are necessary to integrate hydrogen into the national energy system and ensure widespread utilization.</w:t>
      </w:r>
    </w:p>
    <w:p w14:paraId="74A1E091" w14:textId="77777777" w:rsidR="003921B4" w:rsidRPr="003921B4" w:rsidRDefault="003921B4" w:rsidP="00E27D4E">
      <w:pPr>
        <w:spacing w:line="240" w:lineRule="auto"/>
        <w:jc w:val="both"/>
        <w:rPr>
          <w:rFonts w:ascii="Times New Roman" w:hAnsi="Times New Roman" w:cs="Times New Roman"/>
          <w:color w:val="000000" w:themeColor="text1"/>
          <w:sz w:val="22"/>
          <w:szCs w:val="22"/>
        </w:rPr>
      </w:pPr>
      <w:r w:rsidRPr="003921B4">
        <w:rPr>
          <w:rFonts w:ascii="Times New Roman" w:hAnsi="Times New Roman" w:cs="Times New Roman"/>
          <w:color w:val="000000" w:themeColor="text1"/>
          <w:sz w:val="22"/>
          <w:szCs w:val="22"/>
        </w:rPr>
        <w:t>Within this framework, green hydrogen serves as the mediating mechanism connecting renewable energy resources to sustainable development outcomes. Renewable energy availability enables hydrogen production; hydrogen production enhances energy security and emission reduction; and these outcomes collectively support sustainable economic growth and environmental protection. Thus, investment in renewable technologies and supportive policies are critical drivers for transitioning Nigeria toward a hydrogen-based sustainable energy economy.</w:t>
      </w:r>
    </w:p>
    <w:p w14:paraId="1A2A4C26" w14:textId="77777777" w:rsidR="00E27D4E" w:rsidRDefault="00E27D4E">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br w:type="page"/>
      </w:r>
    </w:p>
    <w:p w14:paraId="71299FE6" w14:textId="291B5F78"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lastRenderedPageBreak/>
        <w:t>Theoretical Framework</w:t>
      </w:r>
    </w:p>
    <w:p w14:paraId="3BF1AACD" w14:textId="77777777" w:rsidR="00E27D4E" w:rsidRPr="005A4697" w:rsidRDefault="00E27D4E"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Energy Transition Theory</w:t>
      </w:r>
    </w:p>
    <w:p w14:paraId="64E81B6F" w14:textId="7963D971"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This study is anchored on Energy Transition Theory </w:t>
      </w:r>
      <w:r w:rsidR="00E27D4E">
        <w:rPr>
          <w:rFonts w:ascii="Times New Roman" w:hAnsi="Times New Roman" w:cs="Times New Roman"/>
          <w:color w:val="000000" w:themeColor="text1"/>
          <w:sz w:val="22"/>
          <w:szCs w:val="22"/>
        </w:rPr>
        <w:t xml:space="preserve">because it </w:t>
      </w:r>
      <w:r w:rsidRPr="005A4697">
        <w:rPr>
          <w:rFonts w:ascii="Times New Roman" w:hAnsi="Times New Roman" w:cs="Times New Roman"/>
          <w:color w:val="000000" w:themeColor="text1"/>
          <w:sz w:val="22"/>
          <w:szCs w:val="22"/>
        </w:rPr>
        <w:t>explain</w:t>
      </w:r>
      <w:r w:rsidR="00E27D4E">
        <w:rPr>
          <w:rFonts w:ascii="Times New Roman" w:hAnsi="Times New Roman" w:cs="Times New Roman"/>
          <w:color w:val="000000" w:themeColor="text1"/>
          <w:sz w:val="22"/>
          <w:szCs w:val="22"/>
        </w:rPr>
        <w:t>s</w:t>
      </w:r>
      <w:r w:rsidRPr="005A4697">
        <w:rPr>
          <w:rFonts w:ascii="Times New Roman" w:hAnsi="Times New Roman" w:cs="Times New Roman"/>
          <w:color w:val="000000" w:themeColor="text1"/>
          <w:sz w:val="22"/>
          <w:szCs w:val="22"/>
        </w:rPr>
        <w:t xml:space="preserve"> the transformation of national energy systems from environmentally harmful fossil-fuel dependence toward cleaner, reliable and socially beneficial energy structures. </w:t>
      </w:r>
      <w:r w:rsidR="00E27D4E">
        <w:rPr>
          <w:rFonts w:ascii="Times New Roman" w:hAnsi="Times New Roman" w:cs="Times New Roman"/>
          <w:color w:val="000000" w:themeColor="text1"/>
          <w:sz w:val="22"/>
          <w:szCs w:val="22"/>
        </w:rPr>
        <w:t xml:space="preserve">It </w:t>
      </w:r>
      <w:r w:rsidRPr="005A4697">
        <w:rPr>
          <w:rFonts w:ascii="Times New Roman" w:hAnsi="Times New Roman" w:cs="Times New Roman"/>
          <w:color w:val="000000" w:themeColor="text1"/>
          <w:sz w:val="22"/>
          <w:szCs w:val="22"/>
        </w:rPr>
        <w:t>provide</w:t>
      </w:r>
      <w:r w:rsidR="00E27D4E">
        <w:rPr>
          <w:rFonts w:ascii="Times New Roman" w:hAnsi="Times New Roman" w:cs="Times New Roman"/>
          <w:color w:val="000000" w:themeColor="text1"/>
          <w:sz w:val="22"/>
          <w:szCs w:val="22"/>
        </w:rPr>
        <w:t>s</w:t>
      </w:r>
      <w:r w:rsidRPr="005A4697">
        <w:rPr>
          <w:rFonts w:ascii="Times New Roman" w:hAnsi="Times New Roman" w:cs="Times New Roman"/>
          <w:color w:val="000000" w:themeColor="text1"/>
          <w:sz w:val="22"/>
          <w:szCs w:val="22"/>
        </w:rPr>
        <w:t xml:space="preserve"> the theoretical basis for understanding the role of green hydrogen as an alternative energy pathway capable of enhancing energy security and environmental sustainability in Nigeria.</w:t>
      </w:r>
    </w:p>
    <w:p w14:paraId="299B439E" w14:textId="77777777" w:rsidR="005A4697" w:rsidRPr="009D08EF" w:rsidRDefault="005A4697" w:rsidP="00E27D4E">
      <w:pPr>
        <w:spacing w:line="240" w:lineRule="auto"/>
        <w:jc w:val="both"/>
        <w:rPr>
          <w:rFonts w:ascii="Times New Roman" w:hAnsi="Times New Roman" w:cs="Times New Roman"/>
          <w:color w:val="EE0000"/>
          <w:sz w:val="22"/>
          <w:szCs w:val="22"/>
        </w:rPr>
      </w:pPr>
      <w:r w:rsidRPr="005A4697">
        <w:rPr>
          <w:rFonts w:ascii="Times New Roman" w:hAnsi="Times New Roman" w:cs="Times New Roman"/>
          <w:color w:val="000000" w:themeColor="text1"/>
          <w:sz w:val="22"/>
          <w:szCs w:val="22"/>
        </w:rPr>
        <w:t xml:space="preserve">Energy Transition Theory explains the gradual shift from high-carbon energy sources such as coal, oil and gas to low-carbon and renewable energy systems driven by technological innovation, policy reforms and societal adaptation (Smil, 2017). Historically, energy transitions occur in stages as new energy technologies become more efficient, affordable and widely accepted </w:t>
      </w:r>
      <w:r w:rsidRPr="009D08EF">
        <w:rPr>
          <w:rFonts w:ascii="Times New Roman" w:hAnsi="Times New Roman" w:cs="Times New Roman"/>
          <w:color w:val="EE0000"/>
          <w:sz w:val="22"/>
          <w:szCs w:val="22"/>
        </w:rPr>
        <w:t>(</w:t>
      </w:r>
      <w:proofErr w:type="spellStart"/>
      <w:r w:rsidRPr="009D08EF">
        <w:rPr>
          <w:rFonts w:ascii="Times New Roman" w:hAnsi="Times New Roman" w:cs="Times New Roman"/>
          <w:color w:val="EE0000"/>
          <w:sz w:val="22"/>
          <w:szCs w:val="22"/>
        </w:rPr>
        <w:t>Grubler</w:t>
      </w:r>
      <w:proofErr w:type="spellEnd"/>
      <w:r w:rsidRPr="009D08EF">
        <w:rPr>
          <w:rFonts w:ascii="Times New Roman" w:hAnsi="Times New Roman" w:cs="Times New Roman"/>
          <w:color w:val="EE0000"/>
          <w:sz w:val="22"/>
          <w:szCs w:val="22"/>
        </w:rPr>
        <w:t>, 2012).</w:t>
      </w:r>
    </w:p>
    <w:p w14:paraId="447DDDDD"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Hydrogen energy is considered part of the emerging phase of global energy transition because it allows renewable electricity to be converted into a storable and transportable fuel (International Energy Agency, 2021). Renewable sources like solar and wind are intermittent; therefore hydrogen functions as an energy storage medium that stabilizes supply (IRENA, 2020). In Nigeria, persistent electricity shortages and over-reliance on fossil fuels demonstrate the need for such transition technologies. Green hydrogen can support power generation, transportation and industrial energy demand while reducing emissions, thereby facilitating the shift toward a low-carbon economy (Nwafor &amp; </w:t>
      </w:r>
      <w:proofErr w:type="spellStart"/>
      <w:r w:rsidRPr="005A4697">
        <w:rPr>
          <w:rFonts w:ascii="Times New Roman" w:hAnsi="Times New Roman" w:cs="Times New Roman"/>
          <w:color w:val="000000" w:themeColor="text1"/>
          <w:sz w:val="22"/>
          <w:szCs w:val="22"/>
        </w:rPr>
        <w:t>Anyaeji</w:t>
      </w:r>
      <w:proofErr w:type="spellEnd"/>
      <w:r w:rsidRPr="005A4697">
        <w:rPr>
          <w:rFonts w:ascii="Times New Roman" w:hAnsi="Times New Roman" w:cs="Times New Roman"/>
          <w:color w:val="000000" w:themeColor="text1"/>
          <w:sz w:val="22"/>
          <w:szCs w:val="22"/>
        </w:rPr>
        <w:t>, 2022).</w:t>
      </w:r>
    </w:p>
    <w:p w14:paraId="002EE276" w14:textId="5B22868C"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Empirical Review</w:t>
      </w:r>
    </w:p>
    <w:p w14:paraId="21B27082"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Empirical studies on green hydrogen and renewable energy transition largely emphasize its potential to address energy insecurity, environmental degradation and economic diversification in developing economies. Evidence from both global and Nigerian-based studies demonstrates that hydrogen technology is increasingly becoming technically feasible and economically competitive as renewable energy costs decline.</w:t>
      </w:r>
    </w:p>
    <w:p w14:paraId="5592E213"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Studies focusing on Nigeria’s energy structure consistently show that the country’s heavy reliance on fossil fuels has resulted in electricity shortages and environmental challenges. Olubunmi and </w:t>
      </w:r>
      <w:proofErr w:type="spellStart"/>
      <w:r w:rsidRPr="005A4697">
        <w:rPr>
          <w:rFonts w:ascii="Times New Roman" w:hAnsi="Times New Roman" w:cs="Times New Roman"/>
          <w:color w:val="000000" w:themeColor="text1"/>
          <w:sz w:val="22"/>
          <w:szCs w:val="22"/>
        </w:rPr>
        <w:t>Akinluyi</w:t>
      </w:r>
      <w:proofErr w:type="spellEnd"/>
      <w:r w:rsidRPr="005A4697">
        <w:rPr>
          <w:rFonts w:ascii="Times New Roman" w:hAnsi="Times New Roman" w:cs="Times New Roman"/>
          <w:color w:val="000000" w:themeColor="text1"/>
          <w:sz w:val="22"/>
          <w:szCs w:val="22"/>
        </w:rPr>
        <w:t xml:space="preserve"> (2021) found that a large proportion of Nigeria’s population lacks reliable electricity access despite abundant natural resources, suggesting the need for alternative renewable energy pathways. Similarly, Akinbode and </w:t>
      </w:r>
      <w:proofErr w:type="spellStart"/>
      <w:r w:rsidRPr="005A4697">
        <w:rPr>
          <w:rFonts w:ascii="Times New Roman" w:hAnsi="Times New Roman" w:cs="Times New Roman"/>
          <w:color w:val="000000" w:themeColor="text1"/>
          <w:sz w:val="22"/>
          <w:szCs w:val="22"/>
        </w:rPr>
        <w:t>Makanjuo</w:t>
      </w:r>
      <w:proofErr w:type="spellEnd"/>
      <w:r w:rsidRPr="005A4697">
        <w:rPr>
          <w:rFonts w:ascii="Times New Roman" w:hAnsi="Times New Roman" w:cs="Times New Roman"/>
          <w:color w:val="000000" w:themeColor="text1"/>
          <w:sz w:val="22"/>
          <w:szCs w:val="22"/>
        </w:rPr>
        <w:t xml:space="preserve"> (2020) established that Nigeria possesses substantial solar and wind energy potential capable of supporting hydrogen production and reducing dependence on fossil fuels. Supporting this position, Dodo et al. (2021) revealed that full utilization of renewable energy resources could meet national electricity demand while significantly reducing emissions associated with fossil-fuel generators.</w:t>
      </w:r>
    </w:p>
    <w:p w14:paraId="7EF7D9A0"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Technological feasibility has also been examined in several studies. </w:t>
      </w:r>
      <w:proofErr w:type="spellStart"/>
      <w:r w:rsidRPr="005A4697">
        <w:rPr>
          <w:rFonts w:ascii="Times New Roman" w:hAnsi="Times New Roman" w:cs="Times New Roman"/>
          <w:color w:val="000000" w:themeColor="text1"/>
          <w:sz w:val="22"/>
          <w:szCs w:val="22"/>
        </w:rPr>
        <w:t>Mourshed</w:t>
      </w:r>
      <w:proofErr w:type="spellEnd"/>
      <w:r w:rsidRPr="005A4697">
        <w:rPr>
          <w:rFonts w:ascii="Times New Roman" w:hAnsi="Times New Roman" w:cs="Times New Roman"/>
          <w:color w:val="000000" w:themeColor="text1"/>
          <w:sz w:val="22"/>
          <w:szCs w:val="22"/>
        </w:rPr>
        <w:t xml:space="preserve"> and Zhao (2021) reported that improvements in </w:t>
      </w:r>
      <w:proofErr w:type="spellStart"/>
      <w:r w:rsidRPr="005A4697">
        <w:rPr>
          <w:rFonts w:ascii="Times New Roman" w:hAnsi="Times New Roman" w:cs="Times New Roman"/>
          <w:color w:val="000000" w:themeColor="text1"/>
          <w:sz w:val="22"/>
          <w:szCs w:val="22"/>
        </w:rPr>
        <w:t>electrolyzer</w:t>
      </w:r>
      <w:proofErr w:type="spellEnd"/>
      <w:r w:rsidRPr="005A4697">
        <w:rPr>
          <w:rFonts w:ascii="Times New Roman" w:hAnsi="Times New Roman" w:cs="Times New Roman"/>
          <w:color w:val="000000" w:themeColor="text1"/>
          <w:sz w:val="22"/>
          <w:szCs w:val="22"/>
        </w:rPr>
        <w:t xml:space="preserve"> design have increased efficiency and lowered operational costs, making green hydrogen production more viable. In addition, Nwafor and </w:t>
      </w:r>
      <w:proofErr w:type="spellStart"/>
      <w:r w:rsidRPr="005A4697">
        <w:rPr>
          <w:rFonts w:ascii="Times New Roman" w:hAnsi="Times New Roman" w:cs="Times New Roman"/>
          <w:color w:val="000000" w:themeColor="text1"/>
          <w:sz w:val="22"/>
          <w:szCs w:val="22"/>
        </w:rPr>
        <w:t>Anyaeji</w:t>
      </w:r>
      <w:proofErr w:type="spellEnd"/>
      <w:r w:rsidRPr="005A4697">
        <w:rPr>
          <w:rFonts w:ascii="Times New Roman" w:hAnsi="Times New Roman" w:cs="Times New Roman"/>
          <w:color w:val="000000" w:themeColor="text1"/>
          <w:sz w:val="22"/>
          <w:szCs w:val="22"/>
        </w:rPr>
        <w:t xml:space="preserve"> (2022) conducted an economic analysis and concluded that hydrogen energy could become cost-competitive with fossil fuels as renewable electricity prices fall. These findings indicate that technological advancement remains a key driver in accelerating hydrogen adoption.</w:t>
      </w:r>
    </w:p>
    <w:p w14:paraId="0564D075"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Policy and institutional factors have been identified as critical determinants of successful implementation. Adebayo and Oloyede (2023) observed that current regulatory frameworks in Nigeria remain largely oriented toward fossil fuels and require reform to accommodate hydrogen technologies. Likewise, </w:t>
      </w:r>
      <w:proofErr w:type="spellStart"/>
      <w:r w:rsidRPr="005A4697">
        <w:rPr>
          <w:rFonts w:ascii="Times New Roman" w:hAnsi="Times New Roman" w:cs="Times New Roman"/>
          <w:color w:val="000000" w:themeColor="text1"/>
          <w:sz w:val="22"/>
          <w:szCs w:val="22"/>
        </w:rPr>
        <w:t>Igbinovia</w:t>
      </w:r>
      <w:proofErr w:type="spellEnd"/>
      <w:r w:rsidRPr="005A4697">
        <w:rPr>
          <w:rFonts w:ascii="Times New Roman" w:hAnsi="Times New Roman" w:cs="Times New Roman"/>
          <w:color w:val="000000" w:themeColor="text1"/>
          <w:sz w:val="22"/>
          <w:szCs w:val="22"/>
        </w:rPr>
        <w:t xml:space="preserve"> and </w:t>
      </w:r>
      <w:proofErr w:type="spellStart"/>
      <w:r w:rsidRPr="005A4697">
        <w:rPr>
          <w:rFonts w:ascii="Times New Roman" w:hAnsi="Times New Roman" w:cs="Times New Roman"/>
          <w:color w:val="000000" w:themeColor="text1"/>
          <w:sz w:val="22"/>
          <w:szCs w:val="22"/>
        </w:rPr>
        <w:t>Orukpe</w:t>
      </w:r>
      <w:proofErr w:type="spellEnd"/>
      <w:r w:rsidRPr="005A4697">
        <w:rPr>
          <w:rFonts w:ascii="Times New Roman" w:hAnsi="Times New Roman" w:cs="Times New Roman"/>
          <w:color w:val="000000" w:themeColor="text1"/>
          <w:sz w:val="22"/>
          <w:szCs w:val="22"/>
        </w:rPr>
        <w:t xml:space="preserve"> (2020) emphasized that supportive government policies and investment incentives are necessary to attract private sector participation in hydrogen projects. Olayiwola and Agboola (2023) further noted that public awareness and community engagement significantly influence acceptance of renewable energy technologies, implying that social readiness is as important as technical readiness.</w:t>
      </w:r>
    </w:p>
    <w:p w14:paraId="079DB967"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lastRenderedPageBreak/>
        <w:t>Location-specific feasibility studies provide additional empirical insight. Adeyemo and Eniola (2020) highlighted that the viability of hydrogen production depends on the integration of renewable energy infrastructure and storage technology. In a related study, Mohammed and Idris (2021) concluded that regions with abundant renewable resources, such as Niger State, are suitable for hydrogen deployment but require strong institutional support and infrastructure development to succeed.</w:t>
      </w:r>
    </w:p>
    <w:p w14:paraId="48DE4DEE"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Global empirical evidence reinforces these national findings. The International Renewable Energy Agency (2020) reported that countries investing heavily in renewable-powered hydrogen production have experienced improved energy security and emission reductions. The Hydrogen Council (2022) projected that hydrogen could supply a significant share of global energy demand, while Deloitte (2021) showed that African countries with high solar potential are particularly well positioned for hydrogen development. These findings suggest that Nigeria’s renewable resource endowment provides a competitive advantage for green hydrogen adoption.</w:t>
      </w:r>
    </w:p>
    <w:p w14:paraId="13606F11" w14:textId="49A06721"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Overall, </w:t>
      </w:r>
      <w:r w:rsidRPr="00E27D4E">
        <w:rPr>
          <w:rFonts w:ascii="Times New Roman" w:hAnsi="Times New Roman" w:cs="Times New Roman"/>
          <w:color w:val="000000" w:themeColor="text1"/>
          <w:sz w:val="22"/>
          <w:szCs w:val="22"/>
        </w:rPr>
        <w:t xml:space="preserve">the </w:t>
      </w:r>
      <w:r w:rsidRPr="005A4697">
        <w:rPr>
          <w:rFonts w:ascii="Times New Roman" w:hAnsi="Times New Roman" w:cs="Times New Roman"/>
          <w:color w:val="000000" w:themeColor="text1"/>
          <w:sz w:val="22"/>
          <w:szCs w:val="22"/>
        </w:rPr>
        <w:t>empirical literature demonstrates that green hydrogen adoption depends on three interacting factors: availability of renewable resources, technological and economic feasibility, and supportive policy frameworks. Existing studies agree that Nigeria possesses the natural resource potential and growing technological feasibility, but policy implementation, infrastructure development and investment mobilization remain the primary barriers. Consequently, further research is required to evaluate specific locations and practical strategies for integrating green hydrogen into the Nigerian energy system.</w:t>
      </w:r>
    </w:p>
    <w:p w14:paraId="59C786C2" w14:textId="56909BF3"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t>Gap in Literature</w:t>
      </w:r>
    </w:p>
    <w:p w14:paraId="5689B271"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 xml:space="preserve">Existing empirical studies have established that green hydrogen is a promising alternative energy source capable of improving energy security, reducing emissions and supporting sustainable development. Prior research has largely concentrated on Nigeria’s abundant renewable energy potential and the general feasibility of hydrogen production (Akinbode &amp; </w:t>
      </w:r>
      <w:proofErr w:type="spellStart"/>
      <w:r w:rsidRPr="005A4697">
        <w:rPr>
          <w:rFonts w:ascii="Times New Roman" w:hAnsi="Times New Roman" w:cs="Times New Roman"/>
          <w:color w:val="000000" w:themeColor="text1"/>
          <w:sz w:val="22"/>
          <w:szCs w:val="22"/>
        </w:rPr>
        <w:t>Makanjuo</w:t>
      </w:r>
      <w:proofErr w:type="spellEnd"/>
      <w:r w:rsidRPr="005A4697">
        <w:rPr>
          <w:rFonts w:ascii="Times New Roman" w:hAnsi="Times New Roman" w:cs="Times New Roman"/>
          <w:color w:val="000000" w:themeColor="text1"/>
          <w:sz w:val="22"/>
          <w:szCs w:val="22"/>
        </w:rPr>
        <w:t>, 2020; Dodo et al., 2021). Other studies have examined technological efficiency and economic competitiveness, concluding that falling renewable electricity costs may make hydrogen cost-competitive with fossil fuels (</w:t>
      </w:r>
      <w:proofErr w:type="spellStart"/>
      <w:r w:rsidRPr="005A4697">
        <w:rPr>
          <w:rFonts w:ascii="Times New Roman" w:hAnsi="Times New Roman" w:cs="Times New Roman"/>
          <w:color w:val="000000" w:themeColor="text1"/>
          <w:sz w:val="22"/>
          <w:szCs w:val="22"/>
        </w:rPr>
        <w:t>Mourshed</w:t>
      </w:r>
      <w:proofErr w:type="spellEnd"/>
      <w:r w:rsidRPr="005A4697">
        <w:rPr>
          <w:rFonts w:ascii="Times New Roman" w:hAnsi="Times New Roman" w:cs="Times New Roman"/>
          <w:color w:val="000000" w:themeColor="text1"/>
          <w:sz w:val="22"/>
          <w:szCs w:val="22"/>
        </w:rPr>
        <w:t xml:space="preserve"> &amp; Zhao, 2021; Nwafor &amp; </w:t>
      </w:r>
      <w:proofErr w:type="spellStart"/>
      <w:r w:rsidRPr="005A4697">
        <w:rPr>
          <w:rFonts w:ascii="Times New Roman" w:hAnsi="Times New Roman" w:cs="Times New Roman"/>
          <w:color w:val="000000" w:themeColor="text1"/>
          <w:sz w:val="22"/>
          <w:szCs w:val="22"/>
        </w:rPr>
        <w:t>Anyaeji</w:t>
      </w:r>
      <w:proofErr w:type="spellEnd"/>
      <w:r w:rsidRPr="005A4697">
        <w:rPr>
          <w:rFonts w:ascii="Times New Roman" w:hAnsi="Times New Roman" w:cs="Times New Roman"/>
          <w:color w:val="000000" w:themeColor="text1"/>
          <w:sz w:val="22"/>
          <w:szCs w:val="22"/>
        </w:rPr>
        <w:t>, 2022). In addition, policy-oriented studies emphasize the need for regulatory reforms, investment incentives and public awareness to facilitate adoption (Adebayo &amp; Oloyede, 2023; Olayiwola &amp; Agboola, 2023).</w:t>
      </w:r>
    </w:p>
    <w:p w14:paraId="7B8F7D74"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Despite these contributions, the literature remains largely generalized and conceptual. Most Nigerian studies discuss hydrogen potential at the national level without identifying specific geographic locations suitable for implementation. There is limited empirical assessment of site-specific feasibility considering local renewable resource availability, infrastructure readiness and economic viability. Furthermore, while some studies acknowledge Nigeria’s renewable resource abundance, few examine how these resources can practically be integrated into hydrogen production systems within particular states or regions.</w:t>
      </w:r>
    </w:p>
    <w:p w14:paraId="4ACCB444"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Another gap lies in the absence of applied suitability analysis that combines technical, environmental and economic considerations within a single framework. Existing works often examine either technological feasibility, policy issues or economic potential independently, leaving a lack of comprehensive evaluation needed for real project planning. In particular, Niger State, despite its strong solar and hydropower potential, has received minimal scholarly attention regarding hydrogen deployment.</w:t>
      </w:r>
    </w:p>
    <w:p w14:paraId="2A2C688D"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Therefore, this study addresses the gap by conducting a location-specific suitability assessment of green hydrogen energy in Niger State. It integrates renewable resource availability, infrastructural considerations and sustainability outcomes into a unified analysis. By moving beyond general national discussions to a practical regional evaluation, the study provides empirical evidence necessary for policy formulation, investment planning and implementation of hydrogen projects in Nigeria.</w:t>
      </w:r>
    </w:p>
    <w:p w14:paraId="4403BCE2" w14:textId="6057F01A" w:rsidR="005A4697" w:rsidRPr="00E27D4E" w:rsidRDefault="00E27D4E"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2" w:name="_Toc218873752"/>
      <w:r w:rsidRPr="00E27D4E">
        <w:rPr>
          <w:rFonts w:ascii="Times New Roman" w:hAnsi="Times New Roman" w:cs="Times New Roman"/>
          <w:b/>
          <w:bCs/>
          <w:color w:val="000000" w:themeColor="text1"/>
          <w:sz w:val="22"/>
          <w:szCs w:val="22"/>
          <w:shd w:val="clear" w:color="auto" w:fill="FFFFFF"/>
        </w:rPr>
        <w:lastRenderedPageBreak/>
        <w:t>Methodology</w:t>
      </w:r>
      <w:bookmarkEnd w:id="2"/>
    </w:p>
    <w:p w14:paraId="5E72000B" w14:textId="28A2F14F"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3" w:name="_Toc218873753"/>
      <w:r w:rsidRPr="00E27D4E">
        <w:rPr>
          <w:rFonts w:ascii="Times New Roman" w:hAnsi="Times New Roman" w:cs="Times New Roman"/>
          <w:b/>
          <w:bCs/>
          <w:color w:val="000000" w:themeColor="text1"/>
          <w:sz w:val="22"/>
          <w:szCs w:val="22"/>
          <w:shd w:val="clear" w:color="auto" w:fill="FFFFFF"/>
        </w:rPr>
        <w:t>Research Design</w:t>
      </w:r>
      <w:bookmarkEnd w:id="3"/>
      <w:r w:rsidRPr="00E27D4E">
        <w:rPr>
          <w:rFonts w:ascii="Times New Roman" w:hAnsi="Times New Roman" w:cs="Times New Roman"/>
          <w:b/>
          <w:bCs/>
          <w:color w:val="000000" w:themeColor="text1"/>
          <w:sz w:val="22"/>
          <w:szCs w:val="22"/>
          <w:shd w:val="clear" w:color="auto" w:fill="FFFFFF"/>
        </w:rPr>
        <w:tab/>
      </w:r>
    </w:p>
    <w:p w14:paraId="56788CF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This chapter describes the methods and materials used in this study for achieving the research objectives successfully. The information includes description of data types and their sources, methods of data collection and analysis.</w:t>
      </w:r>
    </w:p>
    <w:p w14:paraId="69C40FC8" w14:textId="0E1031B4"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4" w:name="_Toc218873754"/>
      <w:r w:rsidRPr="00E27D4E">
        <w:rPr>
          <w:rFonts w:ascii="Times New Roman" w:hAnsi="Times New Roman" w:cs="Times New Roman"/>
          <w:b/>
          <w:bCs/>
          <w:color w:val="000000" w:themeColor="text1"/>
          <w:sz w:val="22"/>
          <w:szCs w:val="22"/>
        </w:rPr>
        <w:t>Type of Data and Method of Data Collection</w:t>
      </w:r>
      <w:bookmarkEnd w:id="4"/>
      <w:r w:rsidRPr="00E27D4E">
        <w:rPr>
          <w:rFonts w:ascii="Times New Roman" w:hAnsi="Times New Roman" w:cs="Times New Roman"/>
          <w:b/>
          <w:bCs/>
          <w:color w:val="000000" w:themeColor="text1"/>
          <w:sz w:val="22"/>
          <w:szCs w:val="22"/>
        </w:rPr>
        <w:t xml:space="preserve"> </w:t>
      </w:r>
    </w:p>
    <w:p w14:paraId="219E4CC4"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To achieve the objectives of this study, data sources where gotten from secondary sources. Sources include the administrative map of the study area, </w:t>
      </w:r>
      <w:proofErr w:type="spellStart"/>
      <w:r w:rsidRPr="00E27D4E">
        <w:rPr>
          <w:rFonts w:ascii="Times New Roman" w:hAnsi="Times New Roman" w:cs="Times New Roman"/>
          <w:color w:val="000000" w:themeColor="text1"/>
          <w:sz w:val="22"/>
          <w:szCs w:val="22"/>
        </w:rPr>
        <w:t>landsat</w:t>
      </w:r>
      <w:proofErr w:type="spellEnd"/>
      <w:r w:rsidRPr="00E27D4E">
        <w:rPr>
          <w:rFonts w:ascii="Times New Roman" w:hAnsi="Times New Roman" w:cs="Times New Roman"/>
          <w:color w:val="000000" w:themeColor="text1"/>
          <w:sz w:val="22"/>
          <w:szCs w:val="22"/>
        </w:rPr>
        <w:t xml:space="preserve"> imagery, road shapefile, relevant information from journals, articles, and other publications which contain necessary data related to this study.</w:t>
      </w:r>
    </w:p>
    <w:p w14:paraId="50F3BE43" w14:textId="1E4F7D3E"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5" w:name="_Toc218873755"/>
      <w:r w:rsidRPr="00E27D4E">
        <w:rPr>
          <w:rFonts w:ascii="Times New Roman" w:hAnsi="Times New Roman" w:cs="Times New Roman"/>
          <w:b/>
          <w:bCs/>
          <w:color w:val="000000" w:themeColor="text1"/>
          <w:sz w:val="22"/>
          <w:szCs w:val="22"/>
          <w:shd w:val="clear" w:color="auto" w:fill="FFFFFF"/>
        </w:rPr>
        <w:t>Table Showing the data sources</w:t>
      </w:r>
      <w:bookmarkEnd w:id="5"/>
    </w:p>
    <w:p w14:paraId="31D6FFF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p>
    <w:tbl>
      <w:tblPr>
        <w:tblStyle w:val="TableGrid"/>
        <w:tblW w:w="9828" w:type="dxa"/>
        <w:tblLook w:val="04A0" w:firstRow="1" w:lastRow="0" w:firstColumn="1" w:lastColumn="0" w:noHBand="0" w:noVBand="1"/>
      </w:tblPr>
      <w:tblGrid>
        <w:gridCol w:w="590"/>
        <w:gridCol w:w="1765"/>
        <w:gridCol w:w="1297"/>
        <w:gridCol w:w="1022"/>
        <w:gridCol w:w="1447"/>
        <w:gridCol w:w="1680"/>
        <w:gridCol w:w="2027"/>
      </w:tblGrid>
      <w:tr w:rsidR="00E27D4E" w:rsidRPr="00E27D4E" w14:paraId="37AB5C49" w14:textId="77777777" w:rsidTr="00E27D4E">
        <w:trPr>
          <w:trHeight w:val="401"/>
        </w:trPr>
        <w:tc>
          <w:tcPr>
            <w:tcW w:w="590" w:type="dxa"/>
          </w:tcPr>
          <w:p w14:paraId="202732C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S/N</w:t>
            </w:r>
          </w:p>
        </w:tc>
        <w:tc>
          <w:tcPr>
            <w:tcW w:w="1765" w:type="dxa"/>
          </w:tcPr>
          <w:p w14:paraId="1AD2BF2D"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Data</w:t>
            </w:r>
          </w:p>
        </w:tc>
        <w:tc>
          <w:tcPr>
            <w:tcW w:w="1297" w:type="dxa"/>
          </w:tcPr>
          <w:p w14:paraId="21FCE981"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Type</w:t>
            </w:r>
          </w:p>
        </w:tc>
        <w:tc>
          <w:tcPr>
            <w:tcW w:w="1022" w:type="dxa"/>
          </w:tcPr>
          <w:p w14:paraId="7E96D0A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Year</w:t>
            </w:r>
          </w:p>
        </w:tc>
        <w:tc>
          <w:tcPr>
            <w:tcW w:w="1447" w:type="dxa"/>
          </w:tcPr>
          <w:p w14:paraId="7ACE975D"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Format</w:t>
            </w:r>
          </w:p>
        </w:tc>
        <w:tc>
          <w:tcPr>
            <w:tcW w:w="1680" w:type="dxa"/>
          </w:tcPr>
          <w:p w14:paraId="6291B3C2"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Source</w:t>
            </w:r>
          </w:p>
        </w:tc>
        <w:tc>
          <w:tcPr>
            <w:tcW w:w="2027" w:type="dxa"/>
          </w:tcPr>
          <w:p w14:paraId="0AAA05C0" w14:textId="77777777" w:rsidR="005A4697" w:rsidRPr="00E27D4E" w:rsidRDefault="005A4697" w:rsidP="00E27D4E">
            <w:pPr>
              <w:widowControl/>
              <w:rPr>
                <w:rFonts w:ascii="Times New Roman" w:eastAsiaTheme="minorHAnsi" w:hAnsi="Times New Roman" w:cs="Times New Roman"/>
                <w:b/>
                <w:bCs/>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b/>
                <w:bCs/>
                <w:color w:val="000000" w:themeColor="text1"/>
                <w:kern w:val="2"/>
                <w:sz w:val="22"/>
                <w:szCs w:val="22"/>
                <w:shd w:val="clear" w:color="auto" w:fill="FFFFFF"/>
                <w14:ligatures w14:val="standardContextual"/>
              </w:rPr>
              <w:t>Relevance</w:t>
            </w:r>
          </w:p>
        </w:tc>
      </w:tr>
      <w:tr w:rsidR="00E27D4E" w:rsidRPr="00E27D4E" w14:paraId="3B03B841" w14:textId="77777777" w:rsidTr="00E27D4E">
        <w:trPr>
          <w:trHeight w:val="548"/>
        </w:trPr>
        <w:tc>
          <w:tcPr>
            <w:tcW w:w="590" w:type="dxa"/>
          </w:tcPr>
          <w:p w14:paraId="4400259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1</w:t>
            </w:r>
          </w:p>
        </w:tc>
        <w:tc>
          <w:tcPr>
            <w:tcW w:w="1765" w:type="dxa"/>
          </w:tcPr>
          <w:p w14:paraId="54AE561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Administrative boundary</w:t>
            </w:r>
          </w:p>
        </w:tc>
        <w:tc>
          <w:tcPr>
            <w:tcW w:w="1297" w:type="dxa"/>
          </w:tcPr>
          <w:p w14:paraId="3F287F9A"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0FB3FDFB"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2024</w:t>
            </w:r>
          </w:p>
        </w:tc>
        <w:tc>
          <w:tcPr>
            <w:tcW w:w="1447" w:type="dxa"/>
          </w:tcPr>
          <w:p w14:paraId="07234128"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Shapefile</w:t>
            </w:r>
          </w:p>
        </w:tc>
        <w:tc>
          <w:tcPr>
            <w:tcW w:w="1680" w:type="dxa"/>
          </w:tcPr>
          <w:p w14:paraId="6E874D2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OSGOF</w:t>
            </w:r>
          </w:p>
        </w:tc>
        <w:tc>
          <w:tcPr>
            <w:tcW w:w="2027" w:type="dxa"/>
          </w:tcPr>
          <w:p w14:paraId="57A6F4A1"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To delineate spatial boundary</w:t>
            </w:r>
          </w:p>
        </w:tc>
      </w:tr>
      <w:tr w:rsidR="00E27D4E" w:rsidRPr="00E27D4E" w14:paraId="046F3F11" w14:textId="77777777" w:rsidTr="00E27D4E">
        <w:trPr>
          <w:trHeight w:val="512"/>
        </w:trPr>
        <w:tc>
          <w:tcPr>
            <w:tcW w:w="590" w:type="dxa"/>
          </w:tcPr>
          <w:p w14:paraId="18C0617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w:t>
            </w:r>
          </w:p>
        </w:tc>
        <w:tc>
          <w:tcPr>
            <w:tcW w:w="1765" w:type="dxa"/>
          </w:tcPr>
          <w:p w14:paraId="2766FF0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Landsat imagery</w:t>
            </w:r>
          </w:p>
          <w:p w14:paraId="35515966" w14:textId="77777777" w:rsidR="005A4697" w:rsidRPr="00E27D4E" w:rsidRDefault="005A4697" w:rsidP="00E27D4E">
            <w:pPr>
              <w:rPr>
                <w:rFonts w:ascii="Times New Roman" w:eastAsiaTheme="minorHAnsi" w:hAnsi="Times New Roman" w:cs="Times New Roman"/>
                <w:color w:val="000000" w:themeColor="text1"/>
                <w:sz w:val="22"/>
                <w:szCs w:val="22"/>
              </w:rPr>
            </w:pPr>
          </w:p>
        </w:tc>
        <w:tc>
          <w:tcPr>
            <w:tcW w:w="1297" w:type="dxa"/>
          </w:tcPr>
          <w:p w14:paraId="0CDF72F4"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7349A665"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2024</w:t>
            </w:r>
          </w:p>
        </w:tc>
        <w:tc>
          <w:tcPr>
            <w:tcW w:w="1447" w:type="dxa"/>
          </w:tcPr>
          <w:p w14:paraId="6B8173E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Geo TIFF</w:t>
            </w:r>
          </w:p>
        </w:tc>
        <w:tc>
          <w:tcPr>
            <w:tcW w:w="1680" w:type="dxa"/>
          </w:tcPr>
          <w:p w14:paraId="6047CDC3"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roofErr w:type="spellStart"/>
            <w:r w:rsidRPr="00E27D4E">
              <w:rPr>
                <w:rFonts w:ascii="Times New Roman" w:eastAsiaTheme="minorHAnsi" w:hAnsi="Times New Roman" w:cs="Times New Roman"/>
                <w:color w:val="000000" w:themeColor="text1"/>
                <w:kern w:val="2"/>
                <w:sz w:val="22"/>
                <w:szCs w:val="22"/>
                <w:shd w:val="clear" w:color="auto" w:fill="FFFFFF"/>
                <w14:ligatures w14:val="standardContextual"/>
              </w:rPr>
              <w:t>Earthexplorer</w:t>
            </w:r>
            <w:proofErr w:type="spellEnd"/>
          </w:p>
          <w:p w14:paraId="3DADAD3F"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p w14:paraId="4ADC29F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2027" w:type="dxa"/>
          </w:tcPr>
          <w:p w14:paraId="7B41FD81"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 xml:space="preserve">For land </w:t>
            </w:r>
            <w:proofErr w:type="spellStart"/>
            <w:r w:rsidRPr="00E27D4E">
              <w:rPr>
                <w:rFonts w:ascii="Times New Roman" w:eastAsiaTheme="minorHAnsi" w:hAnsi="Times New Roman" w:cs="Times New Roman"/>
                <w:color w:val="000000" w:themeColor="text1"/>
                <w:kern w:val="2"/>
                <w:sz w:val="22"/>
                <w:szCs w:val="22"/>
                <w:shd w:val="clear" w:color="auto" w:fill="FFFFFF"/>
                <w14:ligatures w14:val="standardContextual"/>
              </w:rPr>
              <w:t>useland</w:t>
            </w:r>
            <w:proofErr w:type="spellEnd"/>
            <w:r w:rsidRPr="00E27D4E">
              <w:rPr>
                <w:rFonts w:ascii="Times New Roman" w:eastAsiaTheme="minorHAnsi" w:hAnsi="Times New Roman" w:cs="Times New Roman"/>
                <w:color w:val="000000" w:themeColor="text1"/>
                <w:kern w:val="2"/>
                <w:sz w:val="22"/>
                <w:szCs w:val="22"/>
                <w:shd w:val="clear" w:color="auto" w:fill="FFFFFF"/>
                <w14:ligatures w14:val="standardContextual"/>
              </w:rPr>
              <w:t xml:space="preserve"> cover mapping, </w:t>
            </w:r>
          </w:p>
          <w:p w14:paraId="2DA740D7" w14:textId="77777777" w:rsidR="005A4697" w:rsidRPr="00E27D4E" w:rsidRDefault="005A4697" w:rsidP="00E27D4E">
            <w:pPr>
              <w:rPr>
                <w:rFonts w:ascii="Times New Roman" w:eastAsiaTheme="minorHAnsi" w:hAnsi="Times New Roman" w:cs="Times New Roman"/>
                <w:color w:val="000000" w:themeColor="text1"/>
                <w:sz w:val="22"/>
                <w:szCs w:val="22"/>
              </w:rPr>
            </w:pPr>
          </w:p>
        </w:tc>
      </w:tr>
      <w:tr w:rsidR="00E27D4E" w:rsidRPr="00E27D4E" w14:paraId="74E14890" w14:textId="77777777" w:rsidTr="00E27D4E">
        <w:trPr>
          <w:trHeight w:val="206"/>
        </w:trPr>
        <w:tc>
          <w:tcPr>
            <w:tcW w:w="590" w:type="dxa"/>
          </w:tcPr>
          <w:p w14:paraId="3AD3232D"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3</w:t>
            </w:r>
          </w:p>
        </w:tc>
        <w:tc>
          <w:tcPr>
            <w:tcW w:w="1765" w:type="dxa"/>
          </w:tcPr>
          <w:p w14:paraId="50F9516F"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 xml:space="preserve">Road </w:t>
            </w:r>
            <w:proofErr w:type="spellStart"/>
            <w:r w:rsidRPr="00E27D4E">
              <w:rPr>
                <w:rFonts w:ascii="Times New Roman" w:eastAsiaTheme="minorHAnsi" w:hAnsi="Times New Roman" w:cs="Times New Roman"/>
                <w:color w:val="000000" w:themeColor="text1"/>
                <w:kern w:val="2"/>
                <w:sz w:val="22"/>
                <w:szCs w:val="22"/>
                <w:shd w:val="clear" w:color="auto" w:fill="FFFFFF"/>
                <w14:ligatures w14:val="standardContextual"/>
              </w:rPr>
              <w:t>Shapfile</w:t>
            </w:r>
            <w:proofErr w:type="spellEnd"/>
          </w:p>
        </w:tc>
        <w:tc>
          <w:tcPr>
            <w:tcW w:w="1297" w:type="dxa"/>
          </w:tcPr>
          <w:p w14:paraId="07B5F23C"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Secondary</w:t>
            </w:r>
          </w:p>
        </w:tc>
        <w:tc>
          <w:tcPr>
            <w:tcW w:w="1022" w:type="dxa"/>
          </w:tcPr>
          <w:p w14:paraId="6A1A9247"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1447" w:type="dxa"/>
          </w:tcPr>
          <w:p w14:paraId="186AADA0"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p>
        </w:tc>
        <w:tc>
          <w:tcPr>
            <w:tcW w:w="1680" w:type="dxa"/>
          </w:tcPr>
          <w:p w14:paraId="4F9381F4"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Grid 3</w:t>
            </w:r>
          </w:p>
        </w:tc>
        <w:tc>
          <w:tcPr>
            <w:tcW w:w="2027" w:type="dxa"/>
          </w:tcPr>
          <w:p w14:paraId="68ED5BA2" w14:textId="77777777" w:rsidR="005A4697" w:rsidRPr="00E27D4E" w:rsidRDefault="005A4697" w:rsidP="00E27D4E">
            <w:pPr>
              <w:widowControl/>
              <w:rPr>
                <w:rFonts w:ascii="Times New Roman" w:eastAsiaTheme="minorHAnsi" w:hAnsi="Times New Roman" w:cs="Times New Roman"/>
                <w:color w:val="000000" w:themeColor="text1"/>
                <w:kern w:val="2"/>
                <w:sz w:val="22"/>
                <w:szCs w:val="22"/>
                <w:shd w:val="clear" w:color="auto" w:fill="FFFFFF"/>
                <w14:ligatures w14:val="standardContextual"/>
              </w:rPr>
            </w:pPr>
            <w:r w:rsidRPr="00E27D4E">
              <w:rPr>
                <w:rFonts w:ascii="Times New Roman" w:eastAsiaTheme="minorHAnsi" w:hAnsi="Times New Roman" w:cs="Times New Roman"/>
                <w:color w:val="000000" w:themeColor="text1"/>
                <w:kern w:val="2"/>
                <w:sz w:val="22"/>
                <w:szCs w:val="22"/>
                <w:shd w:val="clear" w:color="auto" w:fill="FFFFFF"/>
                <w14:ligatures w14:val="standardContextual"/>
              </w:rPr>
              <w:t>Proximity</w:t>
            </w:r>
          </w:p>
        </w:tc>
      </w:tr>
    </w:tbl>
    <w:p w14:paraId="01A9C00A" w14:textId="7E09995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6" w:name="_Toc218873756"/>
      <w:r w:rsidRPr="00E27D4E">
        <w:rPr>
          <w:rFonts w:ascii="Times New Roman" w:hAnsi="Times New Roman" w:cs="Times New Roman"/>
          <w:b/>
          <w:bCs/>
          <w:color w:val="000000" w:themeColor="text1"/>
          <w:sz w:val="22"/>
          <w:szCs w:val="22"/>
          <w:shd w:val="clear" w:color="auto" w:fill="FFFFFF"/>
        </w:rPr>
        <w:t>Table 1: Table showing the data sources</w:t>
      </w:r>
      <w:bookmarkEnd w:id="6"/>
    </w:p>
    <w:p w14:paraId="6838FFB2" w14:textId="77777777" w:rsidR="005A4697" w:rsidRPr="00E27D4E" w:rsidRDefault="005A4697" w:rsidP="00473597">
      <w:pPr>
        <w:pStyle w:val="Heading1"/>
        <w:spacing w:line="240" w:lineRule="auto"/>
        <w:jc w:val="both"/>
        <w:rPr>
          <w:rFonts w:ascii="Times New Roman" w:hAnsi="Times New Roman" w:cs="Times New Roman"/>
          <w:b/>
          <w:bCs/>
          <w:color w:val="000000" w:themeColor="text1"/>
          <w:sz w:val="22"/>
          <w:szCs w:val="22"/>
          <w:shd w:val="clear" w:color="auto" w:fill="FFFFFF"/>
        </w:rPr>
      </w:pPr>
      <w:bookmarkStart w:id="7" w:name="_Toc218873757"/>
      <w:r w:rsidRPr="00E27D4E">
        <w:rPr>
          <w:rFonts w:ascii="Times New Roman" w:hAnsi="Times New Roman" w:cs="Times New Roman"/>
          <w:b/>
          <w:bCs/>
          <w:color w:val="000000" w:themeColor="text1"/>
          <w:sz w:val="22"/>
          <w:szCs w:val="22"/>
          <w:shd w:val="clear" w:color="auto" w:fill="FFFFFF"/>
        </w:rPr>
        <w:t>Data Collection Methods</w:t>
      </w:r>
      <w:bookmarkEnd w:id="7"/>
    </w:p>
    <w:p w14:paraId="6DB6351E"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Literature review was used to conduct review of existing academic literature, online publications and industry publications related to green hydrogen. This was used to achieve the following objectives; to explore the features of green hydrogen,</w:t>
      </w:r>
      <w:r w:rsidRPr="00E27D4E">
        <w:rPr>
          <w:rFonts w:ascii="Times New Roman" w:hAnsi="Times New Roman" w:cs="Times New Roman"/>
          <w:color w:val="000000" w:themeColor="text1"/>
          <w:sz w:val="22"/>
          <w:szCs w:val="22"/>
          <w:shd w:val="clear" w:color="auto" w:fill="FFFFFF"/>
        </w:rPr>
        <w:t xml:space="preserve"> and to </w:t>
      </w:r>
      <w:proofErr w:type="spellStart"/>
      <w:r w:rsidRPr="00E27D4E">
        <w:rPr>
          <w:rFonts w:ascii="Times New Roman" w:hAnsi="Times New Roman" w:cs="Times New Roman"/>
          <w:color w:val="000000" w:themeColor="text1"/>
          <w:sz w:val="22"/>
          <w:szCs w:val="22"/>
          <w:shd w:val="clear" w:color="auto" w:fill="FFFFFF"/>
        </w:rPr>
        <w:t>analyse</w:t>
      </w:r>
      <w:proofErr w:type="spellEnd"/>
      <w:r w:rsidRPr="00E27D4E">
        <w:rPr>
          <w:rFonts w:ascii="Times New Roman" w:hAnsi="Times New Roman" w:cs="Times New Roman"/>
          <w:color w:val="000000" w:themeColor="text1"/>
          <w:sz w:val="22"/>
          <w:szCs w:val="22"/>
          <w:shd w:val="clear" w:color="auto" w:fill="FFFFFF"/>
        </w:rPr>
        <w:t xml:space="preserve"> the potential of green hydrogen as a sustainable energy source in Nigeria. </w:t>
      </w:r>
      <w:r w:rsidRPr="00E27D4E">
        <w:rPr>
          <w:rFonts w:ascii="Times New Roman" w:hAnsi="Times New Roman" w:cs="Times New Roman"/>
          <w:color w:val="000000" w:themeColor="text1"/>
          <w:sz w:val="22"/>
          <w:szCs w:val="22"/>
        </w:rPr>
        <w:t>Satellite imageries downloaded online where used to collect data for GIS analysis to achieve mapping out areas suitable for green hydrogen projects and mapping population density and distance to road.</w:t>
      </w:r>
    </w:p>
    <w:p w14:paraId="0220A2F5" w14:textId="1F516643" w:rsidR="005A4697" w:rsidRPr="00E27D4E" w:rsidRDefault="005A4697" w:rsidP="00E27D4E">
      <w:pPr>
        <w:pStyle w:val="Heading1"/>
        <w:spacing w:line="240" w:lineRule="auto"/>
        <w:jc w:val="both"/>
        <w:rPr>
          <w:rFonts w:ascii="Times New Roman" w:eastAsia="Times New Roman" w:hAnsi="Times New Roman" w:cs="Times New Roman"/>
          <w:b/>
          <w:bCs/>
          <w:color w:val="000000" w:themeColor="text1"/>
          <w:sz w:val="22"/>
          <w:szCs w:val="22"/>
        </w:rPr>
      </w:pPr>
      <w:bookmarkStart w:id="8" w:name="_Toc218873758"/>
      <w:r w:rsidRPr="00E27D4E">
        <w:rPr>
          <w:rFonts w:ascii="Times New Roman" w:eastAsia="Times New Roman" w:hAnsi="Times New Roman" w:cs="Times New Roman"/>
          <w:b/>
          <w:bCs/>
          <w:color w:val="000000" w:themeColor="text1"/>
          <w:sz w:val="22"/>
          <w:szCs w:val="22"/>
        </w:rPr>
        <w:t>Data Analysis</w:t>
      </w:r>
      <w:bookmarkEnd w:id="8"/>
    </w:p>
    <w:p w14:paraId="39184993" w14:textId="77777777" w:rsidR="005A4697" w:rsidRPr="00E27D4E" w:rsidRDefault="005A4697" w:rsidP="00E27D4E">
      <w:pPr>
        <w:spacing w:line="240" w:lineRule="auto"/>
        <w:jc w:val="both"/>
        <w:rPr>
          <w:rFonts w:ascii="Times New Roman" w:hAnsi="Times New Roman" w:cs="Times New Roman"/>
          <w:color w:val="000000" w:themeColor="text1"/>
          <w:sz w:val="22"/>
          <w:szCs w:val="22"/>
          <w:shd w:val="clear" w:color="auto" w:fill="FFFFFF"/>
        </w:rPr>
      </w:pPr>
      <w:r w:rsidRPr="00E27D4E">
        <w:rPr>
          <w:rFonts w:ascii="Times New Roman" w:eastAsia="Times New Roman" w:hAnsi="Times New Roman" w:cs="Times New Roman"/>
          <w:color w:val="000000" w:themeColor="text1"/>
          <w:sz w:val="22"/>
          <w:szCs w:val="22"/>
        </w:rPr>
        <w:t>Arc GIS software was used for the data analysis to map out areas for sustainable green hydrogen projects in Nigeria</w:t>
      </w:r>
      <w:bookmarkStart w:id="9" w:name="_Hlk177815475"/>
      <w:r w:rsidRPr="00E27D4E">
        <w:rPr>
          <w:rFonts w:ascii="Times New Roman" w:eastAsia="Times New Roman" w:hAnsi="Times New Roman" w:cs="Times New Roman"/>
          <w:color w:val="000000" w:themeColor="text1"/>
          <w:sz w:val="22"/>
          <w:szCs w:val="22"/>
        </w:rPr>
        <w:t>.</w:t>
      </w:r>
      <w:r w:rsidRPr="00E27D4E">
        <w:rPr>
          <w:rFonts w:ascii="Times New Roman" w:hAnsi="Times New Roman" w:cs="Times New Roman"/>
          <w:color w:val="000000" w:themeColor="text1"/>
          <w:sz w:val="22"/>
          <w:szCs w:val="22"/>
          <w:shd w:val="clear" w:color="auto" w:fill="FFFFFF"/>
        </w:rPr>
        <w:t xml:space="preserve"> </w:t>
      </w:r>
      <w:r w:rsidRPr="00E27D4E">
        <w:rPr>
          <w:rFonts w:ascii="Times New Roman" w:eastAsia="DengXian" w:hAnsi="Times New Roman" w:cs="Times New Roman"/>
          <w:color w:val="000000" w:themeColor="text1"/>
          <w:kern w:val="0"/>
          <w:sz w:val="22"/>
          <w:szCs w:val="22"/>
          <w:lang w:eastAsia="zh-CN"/>
          <w14:ligatures w14:val="none"/>
        </w:rPr>
        <w:t>The following are the steps used in the achievement of mapping areas suitable for green hydrogen production in Nigeria.</w:t>
      </w:r>
    </w:p>
    <w:p w14:paraId="73CB6B90" w14:textId="77777777" w:rsidR="005A4697" w:rsidRPr="00E27D4E" w:rsidRDefault="005A4697" w:rsidP="00E27D4E">
      <w:pPr>
        <w:spacing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1: Data Collection</w:t>
      </w:r>
    </w:p>
    <w:p w14:paraId="5DEA5804" w14:textId="1AE67AFA" w:rsidR="005A4697" w:rsidRPr="00E27D4E" w:rsidRDefault="005A4697" w:rsidP="00E27D4E">
      <w:pPr>
        <w:spacing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Information was gathered on Green Hydrogen production, renewable energy sources, and existing infrastructure. Geographic Information Systems (GIS) was used to collect spatial data on:</w:t>
      </w:r>
    </w:p>
    <w:p w14:paraId="023F7017"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Renewable energy resources (solar, wind, hydro)</w:t>
      </w:r>
    </w:p>
    <w:p w14:paraId="56BBE5A4"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Water availability</w:t>
      </w:r>
    </w:p>
    <w:p w14:paraId="0165A2C5"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Land use and topography</w:t>
      </w:r>
    </w:p>
    <w:p w14:paraId="3322100C" w14:textId="77777777" w:rsidR="005A4697" w:rsidRPr="00E27D4E" w:rsidRDefault="005A4697" w:rsidP="00E27D4E">
      <w:pPr>
        <w:pStyle w:val="ListParagraph"/>
        <w:numPr>
          <w:ilvl w:val="0"/>
          <w:numId w:val="1"/>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Transportation infrastructure</w:t>
      </w:r>
    </w:p>
    <w:p w14:paraId="3CCE63D8"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2: Criteria Weighting</w:t>
      </w:r>
    </w:p>
    <w:p w14:paraId="54D91F62"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Evaluation criteria was determined by identifying key factors influencing Green Hydrogen production suitability. Weighs where assigned and relative importance was assigned to each criterion (e.g., physical </w:t>
      </w:r>
      <w:r w:rsidRPr="00E27D4E">
        <w:rPr>
          <w:rFonts w:ascii="Times New Roman" w:eastAsia="DengXian" w:hAnsi="Times New Roman" w:cs="Times New Roman"/>
          <w:color w:val="000000" w:themeColor="text1"/>
          <w:kern w:val="0"/>
          <w:sz w:val="22"/>
          <w:szCs w:val="22"/>
          <w:lang w:eastAsia="zh-CN"/>
          <w14:ligatures w14:val="none"/>
        </w:rPr>
        <w:lastRenderedPageBreak/>
        <w:t>30%, economic 25%, social 20%, and technical 25%). Weighs where then normalized to ensure weigh adds up to 100%.</w:t>
      </w:r>
    </w:p>
    <w:p w14:paraId="2895E6E4"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3: Spatial Analysis</w:t>
      </w:r>
    </w:p>
    <w:p w14:paraId="19C78F13"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GIS overlay was done to combine spatial data layers to identify areas with suitable conditions. Proximity to transportation infrastructure, population density was analyzed. Proximity analysis was done to evaluate distance to renewable energy sources, water, and land.</w:t>
      </w:r>
    </w:p>
    <w:p w14:paraId="17C88201"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4: Suitability Mapping</w:t>
      </w:r>
    </w:p>
    <w:p w14:paraId="02301963"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Weighted overlay was done by Combining weighted criteria using GIS. Suitability index was calculated to get a suitability score for each location. Map classification was then done to categorize areas as suitable, moderately suitable, or not suitable.</w:t>
      </w:r>
    </w:p>
    <w:p w14:paraId="0A4AA736"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5: Site Selection</w:t>
      </w:r>
    </w:p>
    <w:p w14:paraId="6CFD7797"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Multi-Criteria Decision Analysis (MCDA) was done to evaluate potential sites using MCDA methods (e.g., AHP, TOPSIS). Site ranking was then done to prioritize sites based on suitability scores.</w:t>
      </w:r>
    </w:p>
    <w:p w14:paraId="52E1DCCC"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Phase 6: Validation</w:t>
      </w:r>
    </w:p>
    <w:p w14:paraId="3DE05FE4"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Stakeholder feedback: Consult with experts and stakeholders to validate results.</w:t>
      </w:r>
    </w:p>
    <w:p w14:paraId="63CB893D"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Sensitivity analysis: Test the robustness of results to changes in weights and criteria.</w:t>
      </w:r>
    </w:p>
    <w:p w14:paraId="125CDA15" w14:textId="77777777" w:rsidR="005A4697" w:rsidRPr="00E27D4E" w:rsidRDefault="005A4697" w:rsidP="00E27D4E">
      <w:pPr>
        <w:pStyle w:val="ListParagraph"/>
        <w:numPr>
          <w:ilvl w:val="0"/>
          <w:numId w:val="3"/>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Refine site selection: Adjust site selection based on feedback and analysis.</w:t>
      </w:r>
    </w:p>
    <w:p w14:paraId="0F2700D8"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Tools and Techniques:</w:t>
      </w:r>
    </w:p>
    <w:p w14:paraId="66580E32"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GIS software (ArcGIS, QGIS)</w:t>
      </w:r>
    </w:p>
    <w:p w14:paraId="5B25890D"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Spatial analysis techniques (overlay, buffering)</w:t>
      </w:r>
    </w:p>
    <w:p w14:paraId="4A079F59"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val="it-IT"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r w:rsidRPr="00E27D4E">
        <w:rPr>
          <w:rFonts w:ascii="Times New Roman" w:eastAsia="DengXian" w:hAnsi="Times New Roman" w:cs="Times New Roman"/>
          <w:color w:val="000000" w:themeColor="text1"/>
          <w:kern w:val="0"/>
          <w:sz w:val="22"/>
          <w:szCs w:val="22"/>
          <w:lang w:val="it-IT" w:eastAsia="zh-CN"/>
          <w14:ligatures w14:val="none"/>
        </w:rPr>
        <w:t>Multi-criteria decision analysis (MCDA)</w:t>
      </w:r>
    </w:p>
    <w:p w14:paraId="2178FB31"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val="it-IT" w:eastAsia="zh-CN"/>
          <w14:ligatures w14:val="none"/>
        </w:rPr>
      </w:pPr>
      <w:r w:rsidRPr="00E27D4E">
        <w:rPr>
          <w:rFonts w:ascii="Times New Roman" w:eastAsia="DengXian" w:hAnsi="Times New Roman" w:cs="Times New Roman"/>
          <w:color w:val="000000" w:themeColor="text1"/>
          <w:kern w:val="0"/>
          <w:sz w:val="22"/>
          <w:szCs w:val="22"/>
          <w:lang w:val="it-IT" w:eastAsia="zh-CN"/>
          <w14:ligatures w14:val="none"/>
        </w:rPr>
        <w:t xml:space="preserve"> </w:t>
      </w:r>
      <w:r w:rsidRPr="00E27D4E">
        <w:rPr>
          <w:rFonts w:ascii="Times New Roman" w:eastAsia="DengXian" w:hAnsi="Times New Roman" w:cs="Times New Roman"/>
          <w:color w:val="000000" w:themeColor="text1"/>
          <w:kern w:val="0"/>
          <w:sz w:val="22"/>
          <w:szCs w:val="22"/>
          <w:lang w:eastAsia="zh-CN"/>
          <w14:ligatures w14:val="none"/>
        </w:rPr>
        <w:t>Weighted overlay analysis</w:t>
      </w:r>
    </w:p>
    <w:p w14:paraId="394942D2" w14:textId="77777777" w:rsidR="005A4697" w:rsidRPr="00E27D4E" w:rsidRDefault="005A4697" w:rsidP="00E27D4E">
      <w:pPr>
        <w:pStyle w:val="ListParagraph"/>
        <w:numPr>
          <w:ilvl w:val="0"/>
          <w:numId w:val="2"/>
        </w:num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Suitability mapping algorithms</w:t>
      </w:r>
    </w:p>
    <w:p w14:paraId="4A9538B9"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59ADE127"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20DCAEFC" w14:textId="17088E22"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noProof/>
          <w:color w:val="000000" w:themeColor="text1"/>
          <w:kern w:val="0"/>
          <w:sz w:val="22"/>
          <w:szCs w:val="22"/>
          <w14:ligatures w14:val="none"/>
        </w:rPr>
        <mc:AlternateContent>
          <mc:Choice Requires="wpg">
            <w:drawing>
              <wp:anchor distT="0" distB="0" distL="114300" distR="114300" simplePos="0" relativeHeight="251659264" behindDoc="0" locked="0" layoutInCell="1" allowOverlap="1" wp14:anchorId="534AD7A0" wp14:editId="793EFB06">
                <wp:simplePos x="0" y="0"/>
                <wp:positionH relativeFrom="margin">
                  <wp:posOffset>836930</wp:posOffset>
                </wp:positionH>
                <wp:positionV relativeFrom="paragraph">
                  <wp:posOffset>123190</wp:posOffset>
                </wp:positionV>
                <wp:extent cx="4040505" cy="3490595"/>
                <wp:effectExtent l="0" t="0" r="17145" b="14605"/>
                <wp:wrapNone/>
                <wp:docPr id="17" name="Group 17"/>
                <wp:cNvGraphicFramePr/>
                <a:graphic xmlns:a="http://schemas.openxmlformats.org/drawingml/2006/main">
                  <a:graphicData uri="http://schemas.microsoft.com/office/word/2010/wordprocessingGroup">
                    <wpg:wgp>
                      <wpg:cNvGrpSpPr/>
                      <wpg:grpSpPr>
                        <a:xfrm>
                          <a:off x="0" y="0"/>
                          <a:ext cx="4040505" cy="3490595"/>
                          <a:chOff x="5190" y="25053"/>
                          <a:chExt cx="5702" cy="6525"/>
                        </a:xfrm>
                      </wpg:grpSpPr>
                      <wps:wsp>
                        <wps:cNvPr id="1" name="Rounded Rectangle 1"/>
                        <wps:cNvSpPr/>
                        <wps:spPr>
                          <a:xfrm>
                            <a:off x="7102" y="25053"/>
                            <a:ext cx="2280" cy="721"/>
                          </a:xfrm>
                          <a:prstGeom prst="roundRect">
                            <a:avLst/>
                          </a:prstGeom>
                          <a:noFill/>
                          <a:ln w="12700" cap="flat" cmpd="sng" algn="ctr">
                            <a:solidFill>
                              <a:srgbClr val="5B9BD5">
                                <a:lumMod val="75000"/>
                              </a:srgbClr>
                            </a:solidFill>
                            <a:prstDash val="solid"/>
                            <a:miter lim="800000"/>
                          </a:ln>
                          <a:effectLst/>
                          <a:extLst>
                            <a:ext uri="{909E8E84-426E-40DD-AFC4-6F175D3DCCD1}">
                              <a14:hiddenFill xmlns:a14="http://schemas.microsoft.com/office/drawing/2010/main">
                                <a:solidFill>
                                  <a:schemeClr val="accent1"/>
                                </a:solidFill>
                              </a14:hiddenFill>
                            </a:ext>
                          </a:extLst>
                        </wps:spPr>
                        <wps:txbx>
                          <w:txbxContent>
                            <w:p w14:paraId="574709D1"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Data Collection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Rounded Rectangle 2"/>
                        <wps:cNvSpPr/>
                        <wps:spPr>
                          <a:xfrm>
                            <a:off x="7122" y="26339"/>
                            <a:ext cx="2280" cy="721"/>
                          </a:xfrm>
                          <a:prstGeom prst="roundRect">
                            <a:avLst/>
                          </a:prstGeom>
                          <a:noFill/>
                          <a:ln w="12700" cap="flat" cmpd="sng" algn="ctr">
                            <a:solidFill>
                              <a:srgbClr val="5B9BD5">
                                <a:lumMod val="75000"/>
                              </a:srgbClr>
                            </a:solidFill>
                            <a:prstDash val="solid"/>
                            <a:miter lim="800000"/>
                          </a:ln>
                          <a:effectLst/>
                        </wps:spPr>
                        <wps:txbx>
                          <w:txbxContent>
                            <w:p w14:paraId="3844FDE7" w14:textId="77777777" w:rsidR="005A4697" w:rsidRDefault="005A4697" w:rsidP="005A4697">
                              <w:r w:rsidRPr="00C278F1">
                                <w:rPr>
                                  <w:color w:val="000000"/>
                                  <w14:textFill>
                                    <w14:solidFill>
                                      <w14:srgbClr w14:val="000000">
                                        <w14:lumMod w14:val="95000"/>
                                        <w14:lumOff w14:val="5000"/>
                                      </w14:srgbClr>
                                    </w14:solidFill>
                                  </w14:textFill>
                                </w:rPr>
                                <w:t xml:space="preserve">Criteria Weighting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Rounded Rectangle 3"/>
                        <wps:cNvSpPr/>
                        <wps:spPr>
                          <a:xfrm>
                            <a:off x="8612" y="28916"/>
                            <a:ext cx="2280" cy="721"/>
                          </a:xfrm>
                          <a:prstGeom prst="roundRect">
                            <a:avLst/>
                          </a:prstGeom>
                          <a:noFill/>
                          <a:ln w="12700" cap="flat" cmpd="sng" algn="ctr">
                            <a:solidFill>
                              <a:srgbClr val="5B9BD5">
                                <a:lumMod val="75000"/>
                              </a:srgbClr>
                            </a:solidFill>
                            <a:prstDash val="solid"/>
                            <a:miter lim="800000"/>
                          </a:ln>
                          <a:effectLst/>
                        </wps:spPr>
                        <wps:txbx>
                          <w:txbxContent>
                            <w:p w14:paraId="643FC417"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Site Selection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Rounded Rectangle 5"/>
                        <wps:cNvSpPr/>
                        <wps:spPr>
                          <a:xfrm>
                            <a:off x="6973" y="27619"/>
                            <a:ext cx="2280" cy="721"/>
                          </a:xfrm>
                          <a:prstGeom prst="roundRect">
                            <a:avLst/>
                          </a:prstGeom>
                          <a:noFill/>
                          <a:ln w="12700" cap="flat" cmpd="sng" algn="ctr">
                            <a:solidFill>
                              <a:srgbClr val="5B9BD5">
                                <a:lumMod val="75000"/>
                              </a:srgbClr>
                            </a:solidFill>
                            <a:prstDash val="solid"/>
                            <a:miter lim="800000"/>
                          </a:ln>
                          <a:effectLst/>
                        </wps:spPr>
                        <wps:txbx>
                          <w:txbxContent>
                            <w:p w14:paraId="640C4D4E"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Suitability Mapping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Rounded Rectangle 6"/>
                        <wps:cNvSpPr/>
                        <wps:spPr>
                          <a:xfrm>
                            <a:off x="5190" y="28997"/>
                            <a:ext cx="2280" cy="721"/>
                          </a:xfrm>
                          <a:prstGeom prst="roundRect">
                            <a:avLst/>
                          </a:prstGeom>
                          <a:noFill/>
                          <a:ln w="12700" cap="flat" cmpd="sng" algn="ctr">
                            <a:solidFill>
                              <a:srgbClr val="5B9BD5">
                                <a:lumMod val="75000"/>
                              </a:srgbClr>
                            </a:solidFill>
                            <a:prstDash val="solid"/>
                            <a:miter lim="800000"/>
                          </a:ln>
                          <a:effectLst/>
                        </wps:spPr>
                        <wps:txbx>
                          <w:txbxContent>
                            <w:p w14:paraId="2EC15296"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Spatial Analysis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Rounded Rectangle 8"/>
                        <wps:cNvSpPr/>
                        <wps:spPr>
                          <a:xfrm>
                            <a:off x="7164" y="30782"/>
                            <a:ext cx="1958" cy="796"/>
                          </a:xfrm>
                          <a:prstGeom prst="roundRect">
                            <a:avLst/>
                          </a:prstGeom>
                          <a:noFill/>
                          <a:ln w="12700" cap="flat" cmpd="sng" algn="ctr">
                            <a:solidFill>
                              <a:srgbClr val="5B9BD5">
                                <a:lumMod val="75000"/>
                              </a:srgbClr>
                            </a:solidFill>
                            <a:prstDash val="solid"/>
                            <a:miter lim="800000"/>
                          </a:ln>
                          <a:effectLst/>
                        </wps:spPr>
                        <wps:txbx>
                          <w:txbxContent>
                            <w:p w14:paraId="52D17384"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Validation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Straight Arrow Connector 9"/>
                        <wps:cNvCnPr>
                          <a:stCxn id="1" idx="2"/>
                        </wps:cNvCnPr>
                        <wps:spPr>
                          <a:xfrm>
                            <a:off x="8242" y="25774"/>
                            <a:ext cx="8" cy="529"/>
                          </a:xfrm>
                          <a:prstGeom prst="straightConnector1">
                            <a:avLst/>
                          </a:prstGeom>
                          <a:noFill/>
                          <a:ln w="12700" cap="flat" cmpd="sng" algn="ctr">
                            <a:solidFill>
                              <a:srgbClr val="5B9BD5"/>
                            </a:solidFill>
                            <a:prstDash val="solid"/>
                            <a:miter lim="800000"/>
                            <a:tailEnd type="arrow"/>
                          </a:ln>
                          <a:effectLst/>
                        </wps:spPr>
                        <wps:bodyPr/>
                      </wps:wsp>
                      <wps:wsp>
                        <wps:cNvPr id="10" name="Straight Arrow Connector 10"/>
                        <wps:cNvCnPr/>
                        <wps:spPr>
                          <a:xfrm>
                            <a:off x="8174" y="27044"/>
                            <a:ext cx="8" cy="529"/>
                          </a:xfrm>
                          <a:prstGeom prst="straightConnector1">
                            <a:avLst/>
                          </a:prstGeom>
                          <a:noFill/>
                          <a:ln w="12700" cap="flat" cmpd="sng" algn="ctr">
                            <a:solidFill>
                              <a:srgbClr val="5B9BD5"/>
                            </a:solidFill>
                            <a:prstDash val="solid"/>
                            <a:miter lim="800000"/>
                            <a:tailEnd type="arrow"/>
                          </a:ln>
                          <a:effectLst/>
                        </wps:spPr>
                        <wps:bodyPr/>
                      </wps:wsp>
                      <wps:wsp>
                        <wps:cNvPr id="11" name="Elbow Connector 11"/>
                        <wps:cNvCnPr>
                          <a:stCxn id="5" idx="3"/>
                        </wps:cNvCnPr>
                        <wps:spPr>
                          <a:xfrm>
                            <a:off x="9253" y="27980"/>
                            <a:ext cx="261" cy="897"/>
                          </a:xfrm>
                          <a:prstGeom prst="bentConnector2">
                            <a:avLst/>
                          </a:prstGeom>
                          <a:noFill/>
                          <a:ln w="12700" cap="flat" cmpd="sng" algn="ctr">
                            <a:solidFill>
                              <a:srgbClr val="5B9BD5"/>
                            </a:solidFill>
                            <a:prstDash val="solid"/>
                            <a:miter lim="800000"/>
                          </a:ln>
                          <a:effectLst/>
                        </wps:spPr>
                        <wps:bodyPr/>
                      </wps:wsp>
                      <wps:wsp>
                        <wps:cNvPr id="12" name="Elbow Connector 12"/>
                        <wps:cNvCnPr>
                          <a:stCxn id="5" idx="1"/>
                        </wps:cNvCnPr>
                        <wps:spPr>
                          <a:xfrm rot="10800000" flipV="1">
                            <a:off x="6705" y="27979"/>
                            <a:ext cx="268" cy="999"/>
                          </a:xfrm>
                          <a:prstGeom prst="bentConnector2">
                            <a:avLst/>
                          </a:prstGeom>
                          <a:noFill/>
                          <a:ln w="12700" cap="flat" cmpd="sng" algn="ctr">
                            <a:solidFill>
                              <a:srgbClr val="5B9BD5"/>
                            </a:solidFill>
                            <a:prstDash val="solid"/>
                            <a:miter lim="800000"/>
                          </a:ln>
                          <a:effectLst/>
                        </wps:spPr>
                        <wps:bodyPr/>
                      </wps:wsp>
                      <wps:wsp>
                        <wps:cNvPr id="13" name="Straight Connector 13"/>
                        <wps:cNvCnPr/>
                        <wps:spPr>
                          <a:xfrm flipV="1">
                            <a:off x="6117" y="30288"/>
                            <a:ext cx="3633" cy="44"/>
                          </a:xfrm>
                          <a:prstGeom prst="line">
                            <a:avLst/>
                          </a:prstGeom>
                          <a:noFill/>
                          <a:ln w="12700" cap="flat" cmpd="sng" algn="ctr">
                            <a:solidFill>
                              <a:srgbClr val="5B9BD5"/>
                            </a:solidFill>
                            <a:prstDash val="solid"/>
                            <a:miter lim="800000"/>
                          </a:ln>
                          <a:effectLst/>
                        </wps:spPr>
                        <wps:bodyPr/>
                      </wps:wsp>
                      <wps:wsp>
                        <wps:cNvPr id="14" name="Straight Arrow Connector 14"/>
                        <wps:cNvCnPr>
                          <a:endCxn id="8" idx="0"/>
                        </wps:cNvCnPr>
                        <wps:spPr>
                          <a:xfrm flipH="1">
                            <a:off x="8143" y="30303"/>
                            <a:ext cx="4" cy="479"/>
                          </a:xfrm>
                          <a:prstGeom prst="straightConnector1">
                            <a:avLst/>
                          </a:prstGeom>
                          <a:noFill/>
                          <a:ln w="12700" cap="flat" cmpd="sng" algn="ctr">
                            <a:solidFill>
                              <a:srgbClr val="5B9BD5"/>
                            </a:solidFill>
                            <a:prstDash val="solid"/>
                            <a:miter lim="800000"/>
                            <a:tailEnd type="arrow"/>
                          </a:ln>
                          <a:effectLst/>
                        </wps:spPr>
                        <wps:bodyPr/>
                      </wps:wsp>
                      <wps:wsp>
                        <wps:cNvPr id="15" name="Straight Connector 15"/>
                        <wps:cNvCnPr>
                          <a:stCxn id="3" idx="2"/>
                        </wps:cNvCnPr>
                        <wps:spPr>
                          <a:xfrm>
                            <a:off x="9752" y="29637"/>
                            <a:ext cx="12" cy="651"/>
                          </a:xfrm>
                          <a:prstGeom prst="line">
                            <a:avLst/>
                          </a:prstGeom>
                          <a:noFill/>
                          <a:ln w="12700" cap="flat" cmpd="sng" algn="ctr">
                            <a:solidFill>
                              <a:srgbClr val="5B9BD5"/>
                            </a:solidFill>
                            <a:prstDash val="solid"/>
                            <a:miter lim="800000"/>
                          </a:ln>
                          <a:effectLst/>
                        </wps:spPr>
                        <wps:bodyPr/>
                      </wps:wsp>
                      <wps:wsp>
                        <wps:cNvPr id="16" name="Straight Connector 16"/>
                        <wps:cNvCnPr/>
                        <wps:spPr>
                          <a:xfrm flipH="1">
                            <a:off x="6132" y="29729"/>
                            <a:ext cx="7" cy="588"/>
                          </a:xfrm>
                          <a:prstGeom prst="line">
                            <a:avLst/>
                          </a:prstGeom>
                          <a:noFill/>
                          <a:ln w="12700" cap="flat" cmpd="sng" algn="ctr">
                            <a:solidFill>
                              <a:srgbClr val="5B9BD5"/>
                            </a:solidFill>
                            <a:prstDash val="solid"/>
                            <a:miter lim="800000"/>
                          </a:ln>
                          <a:effectLst/>
                        </wps:spPr>
                        <wps:bodyPr/>
                      </wps:wsp>
                    </wpg:wgp>
                  </a:graphicData>
                </a:graphic>
              </wp:anchor>
            </w:drawing>
          </mc:Choice>
          <mc:Fallback>
            <w:pict>
              <v:group w14:anchorId="534AD7A0" id="Group 17" o:spid="_x0000_s1026" style="position:absolute;left:0;text-align:left;margin-left:65.9pt;margin-top:9.7pt;width:318.15pt;height:274.85pt;z-index:251659264;mso-position-horizontal-relative:margin" coordorigin="5190,25053" coordsize="570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">
                <v:roundrect id="Rounded Rectangle 1" o:spid="_x0000_s1027" style="position:absolute;left:7102;top:25053;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" filled="f" fillcolor="#4472c4 [3204]" strokecolor="#2e75b6" strokeweight="1pt">
                  <v:stroke joinstyle="miter"/>
                  <v:textbox>
                    <w:txbxContent>
                      <w:p w14:paraId="574709D1"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Data Collection </w:t>
                        </w:r>
                      </w:p>
                    </w:txbxContent>
                  </v:textbox>
                </v:roundrect>
                <v:roundrect id="Rounded Rectangle 2" o:spid="_x0000_s1028" style="position:absolute;left:7122;top:26339;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" filled="f" strokecolor="#2e75b6" strokeweight="1pt">
                  <v:stroke joinstyle="miter"/>
                  <v:textbox>
                    <w:txbxContent>
                      <w:p w14:paraId="3844FDE7" w14:textId="77777777" w:rsidR="005A4697" w:rsidRDefault="005A4697" w:rsidP="005A4697">
                        <w:r w:rsidRPr="00C278F1">
                          <w:rPr>
                            <w:color w:val="000000"/>
                            <w14:textFill>
                              <w14:solidFill>
                                <w14:srgbClr w14:val="000000">
                                  <w14:lumMod w14:val="95000"/>
                                  <w14:lumOff w14:val="5000"/>
                                </w14:srgbClr>
                              </w14:solidFill>
                            </w14:textFill>
                          </w:rPr>
                          <w:t xml:space="preserve">Criteria Weighting </w:t>
                        </w:r>
                      </w:p>
                    </w:txbxContent>
                  </v:textbox>
                </v:roundrect>
                <v:roundrect id="Rounded Rectangle 3" o:spid="_x0000_s1029" style="position:absolute;left:8612;top:28916;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" filled="f" strokecolor="#2e75b6" strokeweight="1pt">
                  <v:stroke joinstyle="miter"/>
                  <v:textbox>
                    <w:txbxContent>
                      <w:p w14:paraId="643FC417"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Site Selection  </w:t>
                        </w:r>
                      </w:p>
                    </w:txbxContent>
                  </v:textbox>
                </v:roundrect>
                <v:roundrect id="Rounded Rectangle 5" o:spid="_x0000_s1030" style="position:absolute;left:6973;top:27619;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" filled="f" strokecolor="#2e75b6" strokeweight="1pt">
                  <v:stroke joinstyle="miter"/>
                  <v:textbox>
                    <w:txbxContent>
                      <w:p w14:paraId="640C4D4E" w14:textId="77777777" w:rsidR="005A4697" w:rsidRPr="00C278F1" w:rsidRDefault="005A4697" w:rsidP="005A4697">
                        <w:pPr>
                          <w:jc w:val="cente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Suitability Mapping </w:t>
                        </w:r>
                      </w:p>
                    </w:txbxContent>
                  </v:textbox>
                </v:roundrect>
                <v:roundrect id="Rounded Rectangle 6" o:spid="_x0000_s1031" style="position:absolute;left:5190;top:28997;width:2280;height: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" filled="f" strokecolor="#2e75b6" strokeweight="1pt">
                  <v:stroke joinstyle="miter"/>
                  <v:textbox>
                    <w:txbxContent>
                      <w:p w14:paraId="2EC15296"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Spatial Analysis </w:t>
                        </w:r>
                      </w:p>
                    </w:txbxContent>
                  </v:textbox>
                </v:roundrect>
                <v:roundrect id="Rounded Rectangle 8" o:spid="_x0000_s1032" style="position:absolute;left:7164;top:30782;width:1958;height: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" filled="f" strokecolor="#2e75b6" strokeweight="1pt">
                  <v:stroke joinstyle="miter"/>
                  <v:textbox>
                    <w:txbxContent>
                      <w:p w14:paraId="52D17384" w14:textId="77777777" w:rsidR="005A4697" w:rsidRPr="00C278F1" w:rsidRDefault="005A4697" w:rsidP="005A4697">
                        <w:pPr>
                          <w:rPr>
                            <w:color w:val="000000"/>
                            <w14:textFill>
                              <w14:solidFill>
                                <w14:srgbClr w14:val="000000">
                                  <w14:lumMod w14:val="95000"/>
                                  <w14:lumOff w14:val="5000"/>
                                </w14:srgbClr>
                              </w14:solidFill>
                            </w14:textFill>
                          </w:rPr>
                        </w:pPr>
                        <w:r w:rsidRPr="00C278F1">
                          <w:rPr>
                            <w:color w:val="000000"/>
                            <w14:textFill>
                              <w14:solidFill>
                                <w14:srgbClr w14:val="000000">
                                  <w14:lumMod w14:val="95000"/>
                                  <w14:lumOff w14:val="5000"/>
                                </w14:srgbClr>
                              </w14:solidFill>
                            </w14:textFill>
                          </w:rPr>
                          <w:t xml:space="preserve">Validation  </w:t>
                        </w:r>
                      </w:p>
                    </w:txbxContent>
                  </v:textbox>
                </v:roundrect>
                <v:shapetype id="_x0000_t32" coordsize="21600,21600" o:spt="32" o:oned="t" path="m,l21600,21600e" filled="f">
                  <v:path arrowok="t" fillok="f" o:connecttype="none"/>
                  <o:lock v:ext="edit" shapetype="t"/>
                </v:shapetype>
                <v:shape id="Straight Arrow Connector 9" o:spid="_x0000_s1033" type="#_x0000_t32" style="position:absolute;left:8242;top:25774;width:8;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" strokecolor="#5b9bd5" strokeweight="1pt">
                  <v:stroke endarrow="open" joinstyle="miter"/>
                </v:shape>
                <v:shape id="Straight Arrow Connector 10" o:spid="_x0000_s1034" type="#_x0000_t32" style="position:absolute;left:8174;top:27044;width:8;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" strokecolor="#5b9bd5" strokeweight="1pt">
                  <v:stroke endarrow="open" joinstyle="miter"/>
                </v:shape>
                <v:shapetype id="_x0000_t33" coordsize="21600,21600" o:spt="33" o:oned="t" path="m,l21600,r,21600e" filled="f">
                  <v:stroke joinstyle="miter"/>
                  <v:path arrowok="t" fillok="f" o:connecttype="none"/>
                  <o:lock v:ext="edit" shapetype="t"/>
                </v:shapetype>
                <v:shape id="Elbow Connector 11" o:spid="_x0000_s1035" type="#_x0000_t33" style="position:absolute;left:9253;top:27980;width:261;height: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" strokecolor="#5b9bd5" strokeweight="1pt"/>
                <v:shape id="Elbow Connector 12" o:spid="_x0000_s1036" type="#_x0000_t33" style="position:absolute;left:6705;top:27979;width:268;height:99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" strokecolor="#5b9bd5" strokeweight="1pt"/>
                <v:line id="Straight Connector 13" o:spid="_x0000_s1037" style="position:absolute;flip:y;visibility:visible;mso-wrap-style:square" from="6117,30288" to="9750,3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" strokecolor="#5b9bd5" strokeweight="1pt">
                  <v:stroke joinstyle="miter"/>
                </v:line>
                <v:shape id="Straight Arrow Connector 14" o:spid="_x0000_s1038" type="#_x0000_t32" style="position:absolute;left:8143;top:30303;width:4;height: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" strokecolor="#5b9bd5" strokeweight="1pt">
                  <v:stroke endarrow="open" joinstyle="miter"/>
                </v:shape>
                <v:line id="Straight Connector 15" o:spid="_x0000_s1039" style="position:absolute;visibility:visible;mso-wrap-style:square" from="9752,29637" to="9764,3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" strokecolor="#5b9bd5" strokeweight="1pt">
                  <v:stroke joinstyle="miter"/>
                </v:line>
                <v:line id="Straight Connector 16" o:spid="_x0000_s1040" style="position:absolute;flip:x;visibility:visible;mso-wrap-style:square" from="6132,29729" to="6139,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" strokecolor="#5b9bd5" strokeweight="1pt">
                  <v:stroke joinstyle="miter"/>
                </v:line>
                <w10:wrap anchorx="margin"/>
              </v:group>
            </w:pict>
          </mc:Fallback>
        </mc:AlternateContent>
      </w:r>
    </w:p>
    <w:p w14:paraId="4D31BBEF"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0803971F"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0CC924D5"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1B96A512"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7D476506"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p>
    <w:p w14:paraId="36FB8DF1"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p>
    <w:p w14:paraId="6B812CA4" w14:textId="77777777" w:rsidR="005A4697" w:rsidRPr="00E27D4E" w:rsidRDefault="005A4697" w:rsidP="00E27D4E">
      <w:pPr>
        <w:spacing w:after="0" w:line="240" w:lineRule="auto"/>
        <w:jc w:val="both"/>
        <w:rPr>
          <w:rFonts w:ascii="Times New Roman" w:eastAsia="DengXian" w:hAnsi="Times New Roman" w:cs="Times New Roman"/>
          <w:color w:val="000000" w:themeColor="text1"/>
          <w:kern w:val="0"/>
          <w:sz w:val="22"/>
          <w:szCs w:val="22"/>
          <w:lang w:eastAsia="zh-CN"/>
          <w14:ligatures w14:val="none"/>
        </w:rPr>
      </w:pPr>
      <w:r w:rsidRPr="00E27D4E">
        <w:rPr>
          <w:rFonts w:ascii="Times New Roman" w:eastAsia="DengXian" w:hAnsi="Times New Roman" w:cs="Times New Roman"/>
          <w:color w:val="000000" w:themeColor="text1"/>
          <w:kern w:val="0"/>
          <w:sz w:val="22"/>
          <w:szCs w:val="22"/>
          <w:lang w:eastAsia="zh-CN"/>
          <w14:ligatures w14:val="none"/>
        </w:rPr>
        <w:t xml:space="preserve">                        </w:t>
      </w:r>
    </w:p>
    <w:p w14:paraId="559A8477"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23D8B0DC"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4B05A36A"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325AFBE4"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77E2042"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CA87A49"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6683B75"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37BDB193"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0352257B"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01748155"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D923C59"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E220216"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9B6D20C"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15A4D7DA"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D6CB285" w14:textId="77777777" w:rsidR="00E27D4E" w:rsidRDefault="00E27D4E"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6FF9703A" w14:textId="514C96B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r w:rsidRPr="00E27D4E">
        <w:rPr>
          <w:rFonts w:ascii="Times New Roman" w:eastAsia="DengXian" w:hAnsi="Times New Roman" w:cs="Times New Roman"/>
          <w:b/>
          <w:bCs/>
          <w:color w:val="000000" w:themeColor="text1"/>
          <w:kern w:val="0"/>
          <w:sz w:val="22"/>
          <w:szCs w:val="22"/>
          <w:lang w:eastAsia="zh-CN"/>
          <w14:ligatures w14:val="none"/>
        </w:rPr>
        <w:t>Figure 1: Methodology Flow Chat</w:t>
      </w:r>
      <w:bookmarkEnd w:id="9"/>
    </w:p>
    <w:p w14:paraId="4F535D73" w14:textId="77777777" w:rsidR="005A4697" w:rsidRPr="00E27D4E" w:rsidRDefault="005A4697" w:rsidP="00E27D4E">
      <w:pPr>
        <w:spacing w:after="0" w:line="240" w:lineRule="auto"/>
        <w:jc w:val="both"/>
        <w:rPr>
          <w:rFonts w:ascii="Times New Roman" w:eastAsia="DengXian" w:hAnsi="Times New Roman" w:cs="Times New Roman"/>
          <w:b/>
          <w:bCs/>
          <w:color w:val="000000" w:themeColor="text1"/>
          <w:kern w:val="0"/>
          <w:sz w:val="22"/>
          <w:szCs w:val="22"/>
          <w:lang w:eastAsia="zh-CN"/>
          <w14:ligatures w14:val="none"/>
        </w:rPr>
      </w:pPr>
    </w:p>
    <w:p w14:paraId="4C34F2B2" w14:textId="023ECAEB" w:rsidR="005A4697" w:rsidRPr="00E27D4E" w:rsidRDefault="005A4697" w:rsidP="00E27D4E">
      <w:pPr>
        <w:pStyle w:val="Heading1"/>
        <w:spacing w:line="240" w:lineRule="auto"/>
        <w:jc w:val="both"/>
        <w:rPr>
          <w:rFonts w:ascii="Times New Roman" w:eastAsia="Times New Roman" w:hAnsi="Times New Roman" w:cs="Times New Roman"/>
          <w:b/>
          <w:bCs/>
          <w:color w:val="000000" w:themeColor="text1"/>
          <w:sz w:val="22"/>
          <w:szCs w:val="22"/>
        </w:rPr>
      </w:pPr>
      <w:bookmarkStart w:id="10" w:name="_Toc218873759"/>
      <w:r w:rsidRPr="00E27D4E">
        <w:rPr>
          <w:rFonts w:ascii="Times New Roman" w:eastAsia="Times New Roman" w:hAnsi="Times New Roman" w:cs="Times New Roman"/>
          <w:b/>
          <w:bCs/>
          <w:color w:val="000000" w:themeColor="text1"/>
          <w:sz w:val="22"/>
          <w:szCs w:val="22"/>
        </w:rPr>
        <w:lastRenderedPageBreak/>
        <w:t>Report Preparation</w:t>
      </w:r>
      <w:bookmarkEnd w:id="10"/>
    </w:p>
    <w:p w14:paraId="264F826A" w14:textId="77777777" w:rsidR="005A4697" w:rsidRPr="00E27D4E" w:rsidRDefault="005A4697" w:rsidP="00E27D4E">
      <w:pPr>
        <w:spacing w:before="100" w:beforeAutospacing="1" w:after="100" w:afterAutospacing="1" w:line="240" w:lineRule="auto"/>
        <w:jc w:val="both"/>
        <w:rPr>
          <w:rFonts w:ascii="Times New Roman" w:eastAsia="Times New Roman" w:hAnsi="Times New Roman" w:cs="Times New Roman"/>
          <w:color w:val="000000" w:themeColor="text1"/>
          <w:kern w:val="0"/>
          <w:sz w:val="22"/>
          <w:szCs w:val="22"/>
          <w14:ligatures w14:val="none"/>
        </w:rPr>
      </w:pPr>
      <w:r w:rsidRPr="00E27D4E">
        <w:rPr>
          <w:rFonts w:ascii="Times New Roman" w:eastAsia="Times New Roman" w:hAnsi="Times New Roman" w:cs="Times New Roman"/>
          <w:color w:val="000000" w:themeColor="text1"/>
          <w:kern w:val="0"/>
          <w:sz w:val="22"/>
          <w:szCs w:val="22"/>
          <w14:ligatures w14:val="none"/>
        </w:rPr>
        <w:t>To compile the findings and recommendations into a comprehensive report, report was drafted incorporating literature review findings, data analysis and case studies. Actionable recommendations and a strategic plan for green hydrogen deployment in Nigeria was included.</w:t>
      </w:r>
    </w:p>
    <w:p w14:paraId="3598B655" w14:textId="580E1138" w:rsidR="005A4697" w:rsidRPr="00E27D4E" w:rsidRDefault="00E27D4E" w:rsidP="00E27D4E">
      <w:pPr>
        <w:pStyle w:val="Heading1"/>
        <w:spacing w:line="240" w:lineRule="auto"/>
        <w:jc w:val="both"/>
        <w:rPr>
          <w:rFonts w:ascii="Times New Roman" w:hAnsi="Times New Roman" w:cs="Times New Roman"/>
          <w:b/>
          <w:bCs/>
          <w:color w:val="000000" w:themeColor="text1"/>
          <w:sz w:val="22"/>
          <w:szCs w:val="22"/>
        </w:rPr>
      </w:pPr>
      <w:bookmarkStart w:id="11" w:name="_Toc218873761"/>
      <w:r w:rsidRPr="00E27D4E">
        <w:rPr>
          <w:rFonts w:ascii="Times New Roman" w:hAnsi="Times New Roman" w:cs="Times New Roman"/>
          <w:b/>
          <w:bCs/>
          <w:color w:val="000000" w:themeColor="text1"/>
          <w:sz w:val="22"/>
          <w:szCs w:val="22"/>
        </w:rPr>
        <w:t>Data Presentation and Analysis of Results</w:t>
      </w:r>
      <w:bookmarkEnd w:id="11"/>
    </w:p>
    <w:p w14:paraId="3E97A06A" w14:textId="6CA3C986"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2" w:name="_Toc218873762"/>
      <w:r w:rsidRPr="00E27D4E">
        <w:rPr>
          <w:rFonts w:ascii="Times New Roman" w:hAnsi="Times New Roman" w:cs="Times New Roman"/>
          <w:b/>
          <w:bCs/>
          <w:color w:val="000000" w:themeColor="text1"/>
          <w:sz w:val="22"/>
          <w:szCs w:val="22"/>
        </w:rPr>
        <w:t>Observations</w:t>
      </w:r>
      <w:bookmarkEnd w:id="12"/>
    </w:p>
    <w:p w14:paraId="59F1CB90" w14:textId="62770846"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3" w:name="_Toc218873763"/>
      <w:r w:rsidRPr="00E27D4E">
        <w:rPr>
          <w:rFonts w:ascii="Times New Roman" w:hAnsi="Times New Roman" w:cs="Times New Roman"/>
          <w:b/>
          <w:bCs/>
          <w:color w:val="000000" w:themeColor="text1"/>
          <w:sz w:val="22"/>
          <w:szCs w:val="22"/>
        </w:rPr>
        <w:t>Features of Green Hydrogen</w:t>
      </w:r>
      <w:bookmarkEnd w:id="13"/>
    </w:p>
    <w:p w14:paraId="2C1B30F9"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4" w:name="_Toc218873764"/>
      <w:r w:rsidRPr="00E27D4E">
        <w:rPr>
          <w:rFonts w:ascii="Times New Roman" w:hAnsi="Times New Roman" w:cs="Times New Roman"/>
          <w:b/>
          <w:bCs/>
          <w:color w:val="000000" w:themeColor="text1"/>
          <w:sz w:val="22"/>
          <w:szCs w:val="22"/>
        </w:rPr>
        <w:t>Green Hydrogen Production</w:t>
      </w:r>
      <w:bookmarkEnd w:id="14"/>
    </w:p>
    <w:p w14:paraId="4D69BDD1" w14:textId="77777777" w:rsidR="00E27D4E" w:rsidRDefault="005A4697" w:rsidP="00E27D4E">
      <w:pPr>
        <w:spacing w:line="240" w:lineRule="auto"/>
        <w:jc w:val="both"/>
        <w:rPr>
          <w:rFonts w:ascii="Times New Roman" w:hAnsi="Times New Roman" w:cs="Times New Roman"/>
          <w:b/>
          <w:bCs/>
          <w:color w:val="000000" w:themeColor="text1"/>
          <w:sz w:val="22"/>
          <w:szCs w:val="22"/>
        </w:rPr>
      </w:pPr>
      <w:bookmarkStart w:id="15" w:name="_Hlk177819862"/>
      <w:r w:rsidRPr="00E27D4E">
        <w:rPr>
          <w:rFonts w:ascii="Times New Roman" w:hAnsi="Times New Roman" w:cs="Times New Roman"/>
          <w:color w:val="000000" w:themeColor="text1"/>
          <w:sz w:val="22"/>
          <w:szCs w:val="22"/>
        </w:rPr>
        <w:t>The result for objective one showed that green hydrogen can be efficiently produced through electrolysis powered by Nigeria’s abundant renewable energy sources, particularly solar and hydroelectric power.</w:t>
      </w:r>
      <w:bookmarkEnd w:id="15"/>
      <w:r w:rsidRPr="00E27D4E">
        <w:rPr>
          <w:rFonts w:ascii="Times New Roman" w:hAnsi="Times New Roman" w:cs="Times New Roman"/>
          <w:color w:val="000000" w:themeColor="text1"/>
          <w:sz w:val="22"/>
          <w:szCs w:val="22"/>
        </w:rPr>
        <w:t xml:space="preserve"> When we talk about green hydrogen, we mean hydrogen that has been obtained without generating pollutant emissions, i.e. sustainable hydrogen. A fuel that is already being presented as the key energy vector for achieving global </w:t>
      </w:r>
      <w:proofErr w:type="spellStart"/>
      <w:r w:rsidRPr="00E27D4E">
        <w:rPr>
          <w:rFonts w:ascii="Times New Roman" w:hAnsi="Times New Roman" w:cs="Times New Roman"/>
          <w:color w:val="000000" w:themeColor="text1"/>
          <w:sz w:val="22"/>
          <w:szCs w:val="22"/>
        </w:rPr>
        <w:t>decarbonisation</w:t>
      </w:r>
      <w:proofErr w:type="spellEnd"/>
      <w:r w:rsidRPr="00E27D4E">
        <w:rPr>
          <w:rFonts w:ascii="Times New Roman" w:hAnsi="Times New Roman" w:cs="Times New Roman"/>
          <w:color w:val="000000" w:themeColor="text1"/>
          <w:sz w:val="22"/>
          <w:szCs w:val="22"/>
        </w:rPr>
        <w:t> and fulfilling the commitments made for 2050 in the fight against climate change</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w:t>
      </w:r>
      <w:bookmarkStart w:id="16" w:name="_Hlk177684051"/>
      <w:r w:rsidRPr="00E27D4E">
        <w:rPr>
          <w:rFonts w:ascii="Times New Roman" w:hAnsi="Times New Roman" w:cs="Times New Roman"/>
          <w:color w:val="000000" w:themeColor="text1"/>
          <w:sz w:val="22"/>
          <w:szCs w:val="22"/>
        </w:rPr>
        <w:t xml:space="preserve">acciona.com). </w:t>
      </w:r>
      <w:bookmarkEnd w:id="16"/>
      <w:r w:rsidRPr="00E27D4E">
        <w:rPr>
          <w:rFonts w:ascii="Times New Roman" w:hAnsi="Times New Roman" w:cs="Times New Roman"/>
          <w:color w:val="000000" w:themeColor="text1"/>
          <w:sz w:val="22"/>
          <w:szCs w:val="22"/>
        </w:rPr>
        <w:t xml:space="preserve">Green hydrogen is achieved through a process of electrolysis powered by renewable energies such as wind or solar. Electrolysis involves using an electrical current to break down the water molecule into oxygen and hydrogen by electrodes. When we need to turn it into energy, hydrogen stored in specific tanks is </w:t>
      </w:r>
      <w:proofErr w:type="spellStart"/>
      <w:r w:rsidRPr="00E27D4E">
        <w:rPr>
          <w:rFonts w:ascii="Times New Roman" w:hAnsi="Times New Roman" w:cs="Times New Roman"/>
          <w:color w:val="000000" w:themeColor="text1"/>
          <w:sz w:val="22"/>
          <w:szCs w:val="22"/>
        </w:rPr>
        <w:t>channelled</w:t>
      </w:r>
      <w:proofErr w:type="spellEnd"/>
      <w:r w:rsidRPr="00E27D4E">
        <w:rPr>
          <w:rFonts w:ascii="Times New Roman" w:hAnsi="Times New Roman" w:cs="Times New Roman"/>
          <w:color w:val="000000" w:themeColor="text1"/>
          <w:sz w:val="22"/>
          <w:szCs w:val="22"/>
        </w:rPr>
        <w:t xml:space="preserve"> into a fuel cell. There it binds again with oxygen from the air and electricity is obtained. Thus, the only by-product of the</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 xml:space="preserve">process is water, resulting in a clean, sustainable system in which zero CO₂ is emitted to produce energy. When we need to turn it into energy, hydrogen stored in specific tanks is </w:t>
      </w:r>
      <w:proofErr w:type="spellStart"/>
      <w:r w:rsidRPr="00E27D4E">
        <w:rPr>
          <w:rFonts w:ascii="Times New Roman" w:hAnsi="Times New Roman" w:cs="Times New Roman"/>
          <w:color w:val="000000" w:themeColor="text1"/>
          <w:sz w:val="22"/>
          <w:szCs w:val="22"/>
        </w:rPr>
        <w:t>channelled</w:t>
      </w:r>
      <w:proofErr w:type="spellEnd"/>
      <w:r w:rsidRPr="00E27D4E">
        <w:rPr>
          <w:rFonts w:ascii="Times New Roman" w:hAnsi="Times New Roman" w:cs="Times New Roman"/>
          <w:color w:val="000000" w:themeColor="text1"/>
          <w:sz w:val="22"/>
          <w:szCs w:val="22"/>
        </w:rPr>
        <w:t xml:space="preserve"> into a fuel cell. There it binds again with oxygen from the air and electricity is obtained. </w:t>
      </w:r>
      <w:r w:rsidRPr="00E27D4E">
        <w:rPr>
          <w:rFonts w:ascii="Times New Roman" w:hAnsi="Times New Roman" w:cs="Times New Roman"/>
          <w:b/>
          <w:bCs/>
          <w:color w:val="000000" w:themeColor="text1"/>
          <w:sz w:val="22"/>
          <w:szCs w:val="22"/>
        </w:rPr>
        <w:t xml:space="preserve"> </w:t>
      </w:r>
    </w:p>
    <w:p w14:paraId="2A329C3F" w14:textId="2EB769FC"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Style w:val="Heading1Char"/>
          <w:rFonts w:ascii="Times New Roman" w:hAnsi="Times New Roman" w:cs="Times New Roman"/>
          <w:b/>
          <w:bCs/>
          <w:color w:val="000000" w:themeColor="text1"/>
          <w:sz w:val="22"/>
          <w:szCs w:val="22"/>
        </w:rPr>
        <w:t>Electrolysis Overview</w:t>
      </w:r>
    </w:p>
    <w:p w14:paraId="72A0E3EA"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Electrolysis is a process that uses an electric current to drive a chemical reaction, which in this case is the splitting of water (H₂O) into hydrogen (H₂) and oxygen (O₂). The overall reaction can be summarized as follows:</w:t>
      </w:r>
    </w:p>
    <w:p w14:paraId="21548FB5"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2H2O(l)→2H2(g)+O2(g)2H₂O(l) \</w:t>
      </w:r>
      <w:proofErr w:type="spellStart"/>
      <w:r w:rsidRPr="00E27D4E">
        <w:rPr>
          <w:rFonts w:ascii="Times New Roman" w:hAnsi="Times New Roman" w:cs="Times New Roman"/>
          <w:color w:val="000000" w:themeColor="text1"/>
          <w:sz w:val="22"/>
          <w:szCs w:val="22"/>
        </w:rPr>
        <w:t>rightarrow</w:t>
      </w:r>
      <w:proofErr w:type="spellEnd"/>
      <w:r w:rsidRPr="00E27D4E">
        <w:rPr>
          <w:rFonts w:ascii="Times New Roman" w:hAnsi="Times New Roman" w:cs="Times New Roman"/>
          <w:color w:val="000000" w:themeColor="text1"/>
          <w:sz w:val="22"/>
          <w:szCs w:val="22"/>
        </w:rPr>
        <w:t xml:space="preserve"> 2H₂(g) + O₂(g) 2H2​O(l)→2H2​(g)+O2​(g)</w:t>
      </w:r>
    </w:p>
    <w:p w14:paraId="4419C46E" w14:textId="0B85432B"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The Electrolysis Process</w:t>
      </w:r>
    </w:p>
    <w:p w14:paraId="2B919A36"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proofErr w:type="spellStart"/>
      <w:r w:rsidRPr="00E27D4E">
        <w:rPr>
          <w:rFonts w:ascii="Times New Roman" w:hAnsi="Times New Roman" w:cs="Times New Roman"/>
          <w:color w:val="000000" w:themeColor="text1"/>
          <w:sz w:val="22"/>
          <w:szCs w:val="22"/>
        </w:rPr>
        <w:t>Electrolyzer</w:t>
      </w:r>
      <w:proofErr w:type="spellEnd"/>
      <w:r w:rsidRPr="00E27D4E">
        <w:rPr>
          <w:rFonts w:ascii="Times New Roman" w:hAnsi="Times New Roman" w:cs="Times New Roman"/>
          <w:color w:val="000000" w:themeColor="text1"/>
          <w:sz w:val="22"/>
          <w:szCs w:val="22"/>
        </w:rPr>
        <w:t xml:space="preserve"> Components consists of anode, which is the positive electrode and this is where oxidation </w:t>
      </w:r>
      <w:proofErr w:type="spellStart"/>
      <w:r w:rsidRPr="00E27D4E">
        <w:rPr>
          <w:rFonts w:ascii="Times New Roman" w:hAnsi="Times New Roman" w:cs="Times New Roman"/>
          <w:color w:val="000000" w:themeColor="text1"/>
          <w:sz w:val="22"/>
          <w:szCs w:val="22"/>
        </w:rPr>
        <w:t>occours</w:t>
      </w:r>
      <w:proofErr w:type="spellEnd"/>
      <w:r w:rsidRPr="00E27D4E">
        <w:rPr>
          <w:rFonts w:ascii="Times New Roman" w:hAnsi="Times New Roman" w:cs="Times New Roman"/>
          <w:color w:val="000000" w:themeColor="text1"/>
          <w:sz w:val="22"/>
          <w:szCs w:val="22"/>
        </w:rPr>
        <w:t xml:space="preserve">, generating oxygen. It then consists of the cathode, which is the </w:t>
      </w:r>
      <w:proofErr w:type="spellStart"/>
      <w:r w:rsidRPr="00E27D4E">
        <w:rPr>
          <w:rFonts w:ascii="Times New Roman" w:hAnsi="Times New Roman" w:cs="Times New Roman"/>
          <w:color w:val="000000" w:themeColor="text1"/>
          <w:sz w:val="22"/>
          <w:szCs w:val="22"/>
        </w:rPr>
        <w:t>negetive</w:t>
      </w:r>
      <w:proofErr w:type="spellEnd"/>
      <w:r w:rsidRPr="00E27D4E">
        <w:rPr>
          <w:rFonts w:ascii="Times New Roman" w:hAnsi="Times New Roman" w:cs="Times New Roman"/>
          <w:color w:val="000000" w:themeColor="text1"/>
          <w:sz w:val="22"/>
          <w:szCs w:val="22"/>
        </w:rPr>
        <w:t xml:space="preserve"> electrode where reduction occurs, producing hydrogen. It then has an electrolyte, which is a med </w:t>
      </w:r>
      <w:proofErr w:type="spellStart"/>
      <w:r w:rsidRPr="00E27D4E">
        <w:rPr>
          <w:rFonts w:ascii="Times New Roman" w:hAnsi="Times New Roman" w:cs="Times New Roman"/>
          <w:color w:val="000000" w:themeColor="text1"/>
          <w:sz w:val="22"/>
          <w:szCs w:val="22"/>
        </w:rPr>
        <w:t>ium</w:t>
      </w:r>
      <w:proofErr w:type="spellEnd"/>
      <w:r w:rsidRPr="00E27D4E">
        <w:rPr>
          <w:rFonts w:ascii="Times New Roman" w:hAnsi="Times New Roman" w:cs="Times New Roman"/>
          <w:color w:val="000000" w:themeColor="text1"/>
          <w:sz w:val="22"/>
          <w:szCs w:val="22"/>
        </w:rPr>
        <w:t xml:space="preserve"> either liquid or solid that conducts ions between the anode and </w:t>
      </w:r>
      <w:proofErr w:type="spellStart"/>
      <w:r w:rsidRPr="00E27D4E">
        <w:rPr>
          <w:rFonts w:ascii="Times New Roman" w:hAnsi="Times New Roman" w:cs="Times New Roman"/>
          <w:color w:val="000000" w:themeColor="text1"/>
          <w:sz w:val="22"/>
          <w:szCs w:val="22"/>
        </w:rPr>
        <w:t>cssathode</w:t>
      </w:r>
      <w:proofErr w:type="spellEnd"/>
    </w:p>
    <w:p w14:paraId="0BD5D2D3"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Steps of Electrolysis</w:t>
      </w:r>
    </w:p>
    <w:p w14:paraId="2505ADE3"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Water is supplied to the </w:t>
      </w:r>
      <w:proofErr w:type="spellStart"/>
      <w:r w:rsidRPr="00E27D4E">
        <w:rPr>
          <w:rFonts w:ascii="Times New Roman" w:hAnsi="Times New Roman" w:cs="Times New Roman"/>
          <w:color w:val="000000" w:themeColor="text1"/>
          <w:sz w:val="22"/>
          <w:szCs w:val="22"/>
        </w:rPr>
        <w:t>electrolyzer</w:t>
      </w:r>
      <w:proofErr w:type="spellEnd"/>
      <w:r w:rsidRPr="00E27D4E">
        <w:rPr>
          <w:rFonts w:ascii="Times New Roman" w:hAnsi="Times New Roman" w:cs="Times New Roman"/>
          <w:color w:val="000000" w:themeColor="text1"/>
          <w:sz w:val="22"/>
          <w:szCs w:val="22"/>
        </w:rPr>
        <w:t xml:space="preserve">. Electric current, renewable electricity (from solar panels, wind turbines, or hydroelectric sources) is supplied to the </w:t>
      </w:r>
      <w:proofErr w:type="spellStart"/>
      <w:r w:rsidRPr="00E27D4E">
        <w:rPr>
          <w:rFonts w:ascii="Times New Roman" w:hAnsi="Times New Roman" w:cs="Times New Roman"/>
          <w:color w:val="000000" w:themeColor="text1"/>
          <w:sz w:val="22"/>
          <w:szCs w:val="22"/>
        </w:rPr>
        <w:t>electrolyzer</w:t>
      </w:r>
      <w:proofErr w:type="spellEnd"/>
      <w:r w:rsidRPr="00E27D4E">
        <w:rPr>
          <w:rFonts w:ascii="Times New Roman" w:hAnsi="Times New Roman" w:cs="Times New Roman"/>
          <w:color w:val="000000" w:themeColor="text1"/>
          <w:sz w:val="22"/>
          <w:szCs w:val="22"/>
        </w:rPr>
        <w:t xml:space="preserve">. Then a chemical reaction occur, the electric current causes water molecules at the anode to lose electrons (oxidation), forming oxygen gas and positively charged hydrogen ions (protons). The protons travel through the electrolyte to the cathode. Hydrogen production is achieved, at the cathode, the protons gain electrons (reduction), resulting in the formation of hydrogen gas. The next step is renewable energy integration, to produce green hydrogen, the electricity used in the electrolysis process must come from renewable sources, solar panels convert sunlight into electricity, which can then be used to power the </w:t>
      </w:r>
      <w:proofErr w:type="spellStart"/>
      <w:r w:rsidRPr="00E27D4E">
        <w:rPr>
          <w:rFonts w:ascii="Times New Roman" w:hAnsi="Times New Roman" w:cs="Times New Roman"/>
          <w:color w:val="000000" w:themeColor="text1"/>
          <w:sz w:val="22"/>
          <w:szCs w:val="22"/>
        </w:rPr>
        <w:t>electrolyzer</w:t>
      </w:r>
      <w:proofErr w:type="spellEnd"/>
      <w:r w:rsidRPr="00E27D4E">
        <w:rPr>
          <w:rFonts w:ascii="Times New Roman" w:hAnsi="Times New Roman" w:cs="Times New Roman"/>
          <w:color w:val="000000" w:themeColor="text1"/>
          <w:sz w:val="22"/>
          <w:szCs w:val="22"/>
        </w:rPr>
        <w:t>. Wind turbines harness wind energy to generate electricity, suitable for electrolytic processes by Hydroelectric power plants generate electricity from flowing water, which can also be directed to electrolysis.</w:t>
      </w:r>
    </w:p>
    <w:p w14:paraId="65ECB102"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lastRenderedPageBreak/>
        <w:t>Storage and transportation of Green Hydrogen</w:t>
      </w:r>
    </w:p>
    <w:p w14:paraId="444F87DF"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Various methods for storing and transporting green hydrogen (e.g., compressed gas, liquefaction, and chemical storage) were assessed. Each method presents different benefits and challenges, with compressed gas storage being the most feasible given current infrastructure. Below is a breakdown of the whole process;</w:t>
      </w:r>
    </w:p>
    <w:p w14:paraId="6B416F17"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Compressed Gas Storage:</w:t>
      </w:r>
    </w:p>
    <w:p w14:paraId="484FAC6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is compressed and stored in high-pressure tanks, typically at pressures ranging from 200 to 700 bar (approximately 2,900 to 10,000 psi). The advantage of this method is that his method is relatively straightforward and well-understood. It allows for a high energy density and is suitable for various applications, including fuel cell vehicles. The challenges is that high-pressure tanks require robust materials to withstand the pressure, and there are safety considerations related to hydrogen's flammability.</w:t>
      </w:r>
    </w:p>
    <w:p w14:paraId="3394FC27"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Storage:</w:t>
      </w:r>
    </w:p>
    <w:p w14:paraId="759A21C2"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 Hydrogen is cooled to extremely low temperatures (around -253°C or -423°F) to become a liquid, which is then stored in insulated tanks. The advantage of this method is that liquid hydrogen has a higher energy density than gaseous hydrogen, making it efficient for transportation. The challenges is that that the liquefaction process is energy-intensive, and maintaining cryogenic temperatures poses technical challenges and safety concerns.</w:t>
      </w:r>
    </w:p>
    <w:p w14:paraId="350DF528"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Metal Hydrides</w:t>
      </w:r>
    </w:p>
    <w:p w14:paraId="7382C5BC"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is stored in solid form by chemically bonding it with certain metals to form metal hydrides. The advantage of this method is that this method can provide safe storage at lower pressures and ambient temperatures. It also offers a higher volumetric energy density. The challenges is the release of hydrogen from metal hydrides requires heat, and the materials can be costly and heavy.</w:t>
      </w:r>
    </w:p>
    <w:p w14:paraId="7AE8C510" w14:textId="77777777" w:rsidR="005A4697" w:rsidRPr="00E27D4E" w:rsidRDefault="005A4697" w:rsidP="00E27D4E">
      <w:pPr>
        <w:pStyle w:val="ListParagraph"/>
        <w:numPr>
          <w:ilvl w:val="0"/>
          <w:numId w:val="7"/>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Chemical Storage:</w:t>
      </w:r>
    </w:p>
    <w:p w14:paraId="4EDCFC1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stored in chemical compounds (e.g., ammonia or liquid organic hydrogen carriers) that release hydrogen when needed. The advantage of this method can leverage existing chemical infrastructure and is often safer than storing hydrogen gas directly. The challenges is that the conversion processes to release hydrogen may require additional energy and technology.</w:t>
      </w:r>
    </w:p>
    <w:p w14:paraId="0EC09D69"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Transportation of Green Hydrogen</w:t>
      </w:r>
    </w:p>
    <w:p w14:paraId="0E637374"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Compressed Gas Transport:</w:t>
      </w:r>
    </w:p>
    <w:p w14:paraId="1850E65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Compressed hydrogen can be transported in high-pressure gas cylinders or tube trailers, similar to how natural gas is transported. This method is practical for shorter distances and smaller volumes. Transporting large quantities over long distances can be expensive and complex due to the required pressure and infrastructure.</w:t>
      </w:r>
    </w:p>
    <w:p w14:paraId="72A21A41"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Transport:</w:t>
      </w:r>
    </w:p>
    <w:p w14:paraId="4FD630B7"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Liquid hydrogen can be transported in specially designed cryogenic tankers. This method is efficient for moving large volumes over longer distances. The need for cryogenic storage and the associated costs make this method less common than compressed gas transport.</w:t>
      </w:r>
    </w:p>
    <w:p w14:paraId="6717B51E"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Pipelines:</w:t>
      </w:r>
    </w:p>
    <w:p w14:paraId="138C3B88"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transported through dedicated pipelines or by blending it with natural gas in existing infrastructure. Pipelines are efficient for large-scale, long-distance transportation. Hydrogen can cause embrittlement in some pipeline materials, requiring careful material selection and monitoring.</w:t>
      </w:r>
    </w:p>
    <w:p w14:paraId="05D49F03" w14:textId="77777777" w:rsidR="005A4697" w:rsidRPr="00E27D4E" w:rsidRDefault="005A4697" w:rsidP="00E27D4E">
      <w:pPr>
        <w:pStyle w:val="ListParagraph"/>
        <w:numPr>
          <w:ilvl w:val="0"/>
          <w:numId w:val="8"/>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Chemical Carriers:</w:t>
      </w:r>
    </w:p>
    <w:p w14:paraId="48E4D7F5"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 Hydrogen can be transported in the form of ammonia or other hydrogen-rich chemicals.</w:t>
      </w:r>
    </w:p>
    <w:p w14:paraId="0E3DAFBE"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lastRenderedPageBreak/>
        <w:t xml:space="preserve"> This method utilizes existing chemical transport infrastructure and is more stable and safer than transporting pure hydrogen. Converting back to hydrogen when it reaches its destination involves additional processing.</w:t>
      </w:r>
    </w:p>
    <w:p w14:paraId="6F8BC86A"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Applications of Green Hydrogen</w:t>
      </w:r>
    </w:p>
    <w:p w14:paraId="609473C8"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Green hydrogen has a wide range of applications across various sectors due to its versatility and clean energy profile. Here are some of the key applications:</w:t>
      </w:r>
    </w:p>
    <w:p w14:paraId="3A2AA170"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Transportation</w:t>
      </w:r>
    </w:p>
    <w:p w14:paraId="1080211A"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Fuel Cell Vehicles (FCVs): Green hydrogen can be used as a fuel in fuel cell electric vehicles (FCEVs), providing a clean alternative to conventional gasoline or diesel engines. It produces only water vapor as a byproduct.</w:t>
      </w:r>
    </w:p>
    <w:p w14:paraId="1E82AD00"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Heavy-Duty Transport: Hydrogen is particularly suitable for heavy-duty vehicles, buses, and trucks, where battery weight and range can be limiting factors.</w:t>
      </w:r>
    </w:p>
    <w:p w14:paraId="1633A894" w14:textId="77777777" w:rsidR="005A4697" w:rsidRPr="00E27D4E" w:rsidRDefault="005A4697" w:rsidP="00E27D4E">
      <w:pPr>
        <w:pStyle w:val="ListParagraph"/>
        <w:numPr>
          <w:ilvl w:val="0"/>
          <w:numId w:val="11"/>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Maritime and Aviation: Hydrogen can power ships and aircraft, reducing emissions in sectors that are challenging to electrify.</w:t>
      </w:r>
    </w:p>
    <w:p w14:paraId="56D6E57E"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Industrial Processes</w:t>
      </w:r>
    </w:p>
    <w:p w14:paraId="0D2F07AA"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Ammonia Production: Green hydrogen can replace fossil fuels in ammonia synthesis, which is essential for fertilizers. This process is traditionally carbon-intensive, so using green hydrogen significantly reduces emissions.</w:t>
      </w:r>
    </w:p>
    <w:p w14:paraId="6045C605"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Steel Manufacturing: Hydrogen can be used in the direct reduction of iron ore, replacing coke and reducing carbon emissions in steel production.</w:t>
      </w:r>
    </w:p>
    <w:p w14:paraId="6FCA8FAC" w14:textId="77777777" w:rsidR="005A4697" w:rsidRPr="00E27D4E" w:rsidRDefault="005A4697" w:rsidP="00E27D4E">
      <w:pPr>
        <w:pStyle w:val="ListParagraph"/>
        <w:numPr>
          <w:ilvl w:val="0"/>
          <w:numId w:val="9"/>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Chemical Production: Green hydrogen is a feedstock for various chemical processes, including methanol production and refining hydrocarbons.</w:t>
      </w:r>
    </w:p>
    <w:p w14:paraId="48F69BDD"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Energy Storage</w:t>
      </w:r>
    </w:p>
    <w:p w14:paraId="37C65A28"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Grid Balancing: Green hydrogen can store excess renewable energy generated during peak production periods (e.g., sunny or windy days). This stored energy can then be converted back to electricity when needed, helping to stabilize the grid.</w:t>
      </w:r>
    </w:p>
    <w:p w14:paraId="4F7D8773"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Long-Term Storage: Hydrogen offers a solution for seasonal energy storage, addressing intermittency issues associated with solar and wind energy.</w:t>
      </w:r>
    </w:p>
    <w:p w14:paraId="1DC2153B"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Power Generation</w:t>
      </w:r>
    </w:p>
    <w:p w14:paraId="39B532BB" w14:textId="77777777" w:rsidR="005A4697" w:rsidRPr="00E27D4E" w:rsidRDefault="005A4697" w:rsidP="00E27D4E">
      <w:pPr>
        <w:pStyle w:val="ListParagraph"/>
        <w:numPr>
          <w:ilvl w:val="0"/>
          <w:numId w:val="13"/>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Power Plants: Hydrogen can be used in gas turbines for electricity generation, either as a primary fuel or blended with natural gas.</w:t>
      </w:r>
    </w:p>
    <w:p w14:paraId="7767EF8B" w14:textId="77777777" w:rsidR="005A4697" w:rsidRPr="00E27D4E" w:rsidRDefault="005A4697" w:rsidP="00E27D4E">
      <w:pPr>
        <w:pStyle w:val="ListParagraph"/>
        <w:numPr>
          <w:ilvl w:val="0"/>
          <w:numId w:val="12"/>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Fuel Cells: These can generate electricity for various applications, from residential systems to larger-scale power plants, providing a clean energy source with high efficiency.</w:t>
      </w:r>
    </w:p>
    <w:p w14:paraId="695DAFDD"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Heating and Cooling</w:t>
      </w:r>
    </w:p>
    <w:p w14:paraId="4A30A19A" w14:textId="77777777" w:rsidR="005A4697" w:rsidRPr="00E27D4E" w:rsidRDefault="005A4697" w:rsidP="00E27D4E">
      <w:pPr>
        <w:pStyle w:val="ListParagraph"/>
        <w:numPr>
          <w:ilvl w:val="0"/>
          <w:numId w:val="14"/>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Residential Heating: Hydrogen can be blended with natural gas in existing gas networks for residential heating, reducing overall carbon emissions.</w:t>
      </w:r>
    </w:p>
    <w:p w14:paraId="46B47580" w14:textId="77777777" w:rsidR="005A4697" w:rsidRPr="00E27D4E" w:rsidRDefault="005A4697" w:rsidP="00E27D4E">
      <w:pPr>
        <w:pStyle w:val="ListParagraph"/>
        <w:numPr>
          <w:ilvl w:val="0"/>
          <w:numId w:val="14"/>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Industrial Heating: It can also be used in industrial processes that require high-temperature heat.</w:t>
      </w:r>
    </w:p>
    <w:p w14:paraId="140C8033" w14:textId="77777777" w:rsidR="005A4697" w:rsidRPr="00E27D4E" w:rsidRDefault="005A4697" w:rsidP="00E27D4E">
      <w:pPr>
        <w:spacing w:line="240" w:lineRule="auto"/>
        <w:jc w:val="both"/>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Emerging Technologies</w:t>
      </w:r>
    </w:p>
    <w:p w14:paraId="3E9EF00E" w14:textId="77777777" w:rsidR="005A4697" w:rsidRPr="00E27D4E" w:rsidRDefault="005A4697" w:rsidP="00E27D4E">
      <w:pPr>
        <w:pStyle w:val="ListParagraph"/>
        <w:numPr>
          <w:ilvl w:val="0"/>
          <w:numId w:val="1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as a Chemical Carrier: Hydrogen can be transported in chemical form (e.g., ammonia), which can then be converted back to hydrogen at the destination.</w:t>
      </w:r>
    </w:p>
    <w:p w14:paraId="726C2685" w14:textId="77777777" w:rsidR="005A4697" w:rsidRPr="00E27D4E" w:rsidRDefault="005A4697" w:rsidP="00E27D4E">
      <w:pPr>
        <w:pStyle w:val="ListParagraph"/>
        <w:numPr>
          <w:ilvl w:val="0"/>
          <w:numId w:val="1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Synthetic Fuels: Green hydrogen can be used to produce synthetic fuels (e-fuels) that can replace fossil fuels in existing engines and</w:t>
      </w:r>
      <w:r w:rsidRPr="00E27D4E">
        <w:rPr>
          <w:rFonts w:ascii="Times New Roman" w:hAnsi="Times New Roman" w:cs="Times New Roman"/>
          <w:b/>
          <w:bCs/>
          <w:color w:val="000000" w:themeColor="text1"/>
          <w:sz w:val="22"/>
          <w:szCs w:val="22"/>
        </w:rPr>
        <w:t xml:space="preserve"> </w:t>
      </w:r>
      <w:r w:rsidRPr="00E27D4E">
        <w:rPr>
          <w:rFonts w:ascii="Times New Roman" w:hAnsi="Times New Roman" w:cs="Times New Roman"/>
          <w:color w:val="000000" w:themeColor="text1"/>
          <w:sz w:val="22"/>
          <w:szCs w:val="22"/>
        </w:rPr>
        <w:t>infrastructure.</w:t>
      </w:r>
    </w:p>
    <w:p w14:paraId="3A0EA990"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7" w:name="_Toc218873765"/>
      <w:r w:rsidRPr="00E27D4E">
        <w:rPr>
          <w:rFonts w:ascii="Times New Roman" w:hAnsi="Times New Roman" w:cs="Times New Roman"/>
          <w:b/>
          <w:bCs/>
          <w:color w:val="000000" w:themeColor="text1"/>
          <w:sz w:val="22"/>
          <w:szCs w:val="22"/>
        </w:rPr>
        <w:lastRenderedPageBreak/>
        <w:t>Advantages of Green Hydrogen</w:t>
      </w:r>
      <w:bookmarkEnd w:id="17"/>
    </w:p>
    <w:p w14:paraId="5F8BCCDB"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Zero Emissions: Green hydrogen is produced using renewable energy, resulting in minimal or no greenhouse gas emissions during its production, use, and conversion.</w:t>
      </w:r>
    </w:p>
    <w:p w14:paraId="113EDBB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Reduction of Air Pollutants: It helps reduce pollutants such as sulfur dioxide and nitrogen oxides that are typically associated with fossil fuel combustion.</w:t>
      </w:r>
    </w:p>
    <w:p w14:paraId="337F62AE" w14:textId="77777777" w:rsidR="005A4697" w:rsidRPr="00E27D4E" w:rsidRDefault="005A4697" w:rsidP="00E27D4E">
      <w:pPr>
        <w:pStyle w:val="ListParagraph"/>
        <w:numPr>
          <w:ilvl w:val="0"/>
          <w:numId w:val="10"/>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Energy Storage and Flexibility: Green hydrogen can store excess renewable energy for long periods, helping to balance supply and demand in energy systems.</w:t>
      </w:r>
    </w:p>
    <w:p w14:paraId="38F9825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Grid Stability: It can provide a solution for intermittency issues in renewable energy generation, supporting grid stability.</w:t>
      </w:r>
    </w:p>
    <w:p w14:paraId="5709B78A"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Green hydrogen can be utilized across various sectors, including transportation (fuel cell vehicles), industry (ammonia and steel production), power generation, and residential heating.</w:t>
      </w:r>
    </w:p>
    <w:p w14:paraId="2AD31FF8"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By producing hydrogen from domestic renewable resources, countries can reduce reliance on imported fossil fuels, enhancing energy security.</w:t>
      </w:r>
    </w:p>
    <w:p w14:paraId="007E4A15"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The green hydrogen sector has the potential to create jobs and stimulate economic growth through new industries and technologies.</w:t>
      </w:r>
    </w:p>
    <w:p w14:paraId="07ECCB11" w14:textId="77777777" w:rsidR="005A4697" w:rsidRPr="00E27D4E" w:rsidRDefault="005A4697" w:rsidP="00E27D4E">
      <w:pPr>
        <w:pStyle w:val="ListParagraph"/>
        <w:numPr>
          <w:ilvl w:val="0"/>
          <w:numId w:val="10"/>
        </w:numPr>
        <w:tabs>
          <w:tab w:val="num" w:pos="1440"/>
        </w:tabs>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Hydrogen can be blended with natural gas for use in existing gas pipelines and infrastructure, facilitating a gradual transition to cleaner energy sources.</w:t>
      </w:r>
    </w:p>
    <w:p w14:paraId="223710F0" w14:textId="77777777"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8" w:name="_Toc218873766"/>
      <w:r w:rsidRPr="00E27D4E">
        <w:rPr>
          <w:rFonts w:ascii="Times New Roman" w:hAnsi="Times New Roman" w:cs="Times New Roman"/>
          <w:b/>
          <w:bCs/>
          <w:color w:val="000000" w:themeColor="text1"/>
          <w:sz w:val="22"/>
          <w:szCs w:val="22"/>
        </w:rPr>
        <w:t>Challenges of Green Hydrogen</w:t>
      </w:r>
      <w:bookmarkEnd w:id="18"/>
    </w:p>
    <w:p w14:paraId="35918A49" w14:textId="77777777" w:rsidR="005A4697" w:rsidRPr="00E27D4E" w:rsidRDefault="005A4697" w:rsidP="00E27D4E">
      <w:pPr>
        <w:pStyle w:val="ListParagraph"/>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 xml:space="preserve">High Production Costs: Currently, the cost of producing green hydrogen through electrolysis is higher than that of hydrogen produced from fossil fuels, primarily due to the costs of </w:t>
      </w:r>
      <w:proofErr w:type="spellStart"/>
      <w:r w:rsidRPr="00E27D4E">
        <w:rPr>
          <w:rFonts w:ascii="Times New Roman" w:hAnsi="Times New Roman" w:cs="Times New Roman"/>
          <w:color w:val="000000" w:themeColor="text1"/>
          <w:sz w:val="22"/>
          <w:szCs w:val="22"/>
        </w:rPr>
        <w:t>electrolyzers</w:t>
      </w:r>
      <w:proofErr w:type="spellEnd"/>
      <w:r w:rsidRPr="00E27D4E">
        <w:rPr>
          <w:rFonts w:ascii="Times New Roman" w:hAnsi="Times New Roman" w:cs="Times New Roman"/>
          <w:color w:val="000000" w:themeColor="text1"/>
          <w:sz w:val="22"/>
          <w:szCs w:val="22"/>
        </w:rPr>
        <w:t xml:space="preserve"> and renewable energy.</w:t>
      </w:r>
    </w:p>
    <w:p w14:paraId="2B72F277"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Infrastructure Needs: Significant investment is required to develop the infrastructure for hydrogen production, storage, and distribution. This includes pipelines, refueling stations, and storage facilities.</w:t>
      </w:r>
    </w:p>
    <w:p w14:paraId="73CC9C97"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Energy Efficiency: The process of converting renewable electricity into hydrogen and then back into electricity (if used for power generation) involves energy losses, making it less efficient than direct electricity usage.</w:t>
      </w:r>
    </w:p>
    <w:p w14:paraId="0BA03323"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Storage and Transport Challenges: Hydrogen has a low energy density, requiring high-pressure storage or cryogenic conditions, which can complicate transportation and increase costs. Additionally, hydrogen can cause embrittlement in some metals, necessitating careful material selection.</w:t>
      </w:r>
    </w:p>
    <w:p w14:paraId="1BD676F2"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Regulatory and Safety Issues: The production, storage, and transport of hydrogen require stringent safety regulations due to its flammable nature. Developing appropriate regulatory frameworks is essential for public acceptance and safety.</w:t>
      </w:r>
    </w:p>
    <w:p w14:paraId="0D9DE25B" w14:textId="77777777" w:rsidR="005A4697" w:rsidRPr="00E27D4E" w:rsidRDefault="005A4697" w:rsidP="00E27D4E">
      <w:pPr>
        <w:numPr>
          <w:ilvl w:val="0"/>
          <w:numId w:val="5"/>
        </w:num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Technological Maturity: While hydrogen technologies are advancing, many are still in developmental or pilot phases, and widespread commercial deployment is still needed.</w:t>
      </w:r>
    </w:p>
    <w:p w14:paraId="7D0178A0"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In conclusion, green hydrogen offers significant advantages as a clean, versatile energy carrier with the potential to decarbonize various sectors. However, challenges related to cost, infrastructure, and technology must be addressed to fully realize its potential and integrate it into the global energy landscape. Continued research, investment, and supportive policies will be critical to overcoming these challenges and promoting the adoption of green hydrogen.</w:t>
      </w:r>
    </w:p>
    <w:p w14:paraId="3C7D7B7A" w14:textId="6E703B45" w:rsidR="005A4697" w:rsidRPr="00E27D4E" w:rsidRDefault="005A4697" w:rsidP="00E27D4E">
      <w:pPr>
        <w:pStyle w:val="Heading1"/>
        <w:spacing w:line="240" w:lineRule="auto"/>
        <w:jc w:val="both"/>
        <w:rPr>
          <w:rFonts w:ascii="Times New Roman" w:hAnsi="Times New Roman" w:cs="Times New Roman"/>
          <w:b/>
          <w:bCs/>
          <w:color w:val="000000" w:themeColor="text1"/>
          <w:sz w:val="22"/>
          <w:szCs w:val="22"/>
        </w:rPr>
      </w:pPr>
      <w:bookmarkStart w:id="19" w:name="_Toc218873767"/>
      <w:r w:rsidRPr="00E27D4E">
        <w:rPr>
          <w:rFonts w:ascii="Times New Roman" w:hAnsi="Times New Roman" w:cs="Times New Roman"/>
          <w:b/>
          <w:bCs/>
          <w:color w:val="000000" w:themeColor="text1"/>
          <w:sz w:val="22"/>
          <w:szCs w:val="22"/>
          <w:shd w:val="clear" w:color="auto" w:fill="FFFFFF"/>
        </w:rPr>
        <w:t>Analyzing the viability of green hydrogen as a potential sustainable energy solution in Niger State</w:t>
      </w:r>
      <w:bookmarkEnd w:id="19"/>
    </w:p>
    <w:p w14:paraId="34F6B9C8"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 xml:space="preserve">With the renewable energy potential, green hydrogen would be emerging as a frontrunner for achieving a clean, secure, just, and affordable energy future for Nigeria and the entire Africa; this will greatly support economic opportunities for Nigeria’s economy (Africa’s Green Hydrogen Potential, 2022). With the abundant wind and solar potentials, many parts of Nigeria are ideally positioned for green </w:t>
      </w:r>
      <w:r w:rsidRPr="00E27D4E">
        <w:rPr>
          <w:color w:val="000000" w:themeColor="text1"/>
          <w:sz w:val="22"/>
          <w:szCs w:val="22"/>
          <w:shd w:val="clear" w:color="auto" w:fill="FFFFFF"/>
        </w:rPr>
        <w:lastRenderedPageBreak/>
        <w:t>hydrogen production to build their energy dependence and industrialization, while also meeting rising national energy demand.</w:t>
      </w:r>
    </w:p>
    <w:p w14:paraId="78420BEA"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 xml:space="preserve">Further, an advisory report prepared by the Deutsche Gesellschaft fur </w:t>
      </w:r>
      <w:proofErr w:type="spellStart"/>
      <w:r w:rsidRPr="00E27D4E">
        <w:rPr>
          <w:color w:val="000000" w:themeColor="text1"/>
          <w:sz w:val="22"/>
          <w:szCs w:val="22"/>
          <w:shd w:val="clear" w:color="auto" w:fill="FFFFFF"/>
        </w:rPr>
        <w:t>Internationale</w:t>
      </w:r>
      <w:proofErr w:type="spellEnd"/>
      <w:r w:rsidRPr="00E27D4E">
        <w:rPr>
          <w:color w:val="000000" w:themeColor="text1"/>
          <w:sz w:val="22"/>
          <w:szCs w:val="22"/>
          <w:shd w:val="clear" w:color="auto" w:fill="FFFFFF"/>
        </w:rPr>
        <w:t xml:space="preserve"> Zusammenarbeit (GIZ) </w:t>
      </w:r>
      <w:proofErr w:type="spellStart"/>
      <w:r w:rsidRPr="00E27D4E">
        <w:rPr>
          <w:color w:val="000000" w:themeColor="text1"/>
          <w:sz w:val="22"/>
          <w:szCs w:val="22"/>
          <w:shd w:val="clear" w:color="auto" w:fill="FFFFFF"/>
        </w:rPr>
        <w:t>Gmbh</w:t>
      </w:r>
      <w:proofErr w:type="spellEnd"/>
      <w:r w:rsidRPr="00E27D4E">
        <w:rPr>
          <w:color w:val="000000" w:themeColor="text1"/>
          <w:sz w:val="22"/>
          <w:szCs w:val="22"/>
          <w:shd w:val="clear" w:color="auto" w:fill="FFFFFF"/>
        </w:rPr>
        <w:t xml:space="preserve"> claimed that large renewable energy systems for commercial and industrial (C&amp;I) purposes, that utilize solar PV solutions in an off-grid solar hybrid mini-grid rely heavily on diesel generator sets for backup power (Gorre &amp; Nweke-Eze, </w:t>
      </w:r>
      <w:hyperlink r:id="rId7" w:anchor="ref-CR47" w:tooltip="Gorre, J., &amp; Nweke-Eze, C. (2023). Green Hydrogen for Decentralized Energy Applications in Nigeria, Advisory Report. Deutsche Gesellschaft Fur Internationale Zusammenarbeit (GIZ) Gmbh, 1–23." w:history="1">
        <w:r w:rsidRPr="00E27D4E">
          <w:rPr>
            <w:rStyle w:val="Hyperlink"/>
            <w:rFonts w:eastAsiaTheme="majorEastAsia"/>
            <w:color w:val="000000" w:themeColor="text1"/>
            <w:sz w:val="22"/>
            <w:szCs w:val="22"/>
            <w:shd w:val="clear" w:color="auto" w:fill="FFFFFF"/>
          </w:rPr>
          <w:t>2023</w:t>
        </w:r>
      </w:hyperlink>
      <w:r w:rsidRPr="00E27D4E">
        <w:rPr>
          <w:color w:val="000000" w:themeColor="text1"/>
          <w:sz w:val="22"/>
          <w:szCs w:val="22"/>
          <w:shd w:val="clear" w:color="auto" w:fill="FFFFFF"/>
        </w:rPr>
        <w:t xml:space="preserve">). However, recent research revealed that the country such application of renewable energy can be achieved complementarily using </w:t>
      </w:r>
      <w:proofErr w:type="spellStart"/>
      <w:r w:rsidRPr="00E27D4E">
        <w:rPr>
          <w:color w:val="000000" w:themeColor="text1"/>
          <w:sz w:val="22"/>
          <w:szCs w:val="22"/>
          <w:shd w:val="clear" w:color="auto" w:fill="FFFFFF"/>
        </w:rPr>
        <w:t>electrolyzers</w:t>
      </w:r>
      <w:proofErr w:type="spellEnd"/>
      <w:r w:rsidRPr="00E27D4E">
        <w:rPr>
          <w:color w:val="000000" w:themeColor="text1"/>
          <w:sz w:val="22"/>
          <w:szCs w:val="22"/>
          <w:shd w:val="clear" w:color="auto" w:fill="FFFFFF"/>
        </w:rPr>
        <w:t xml:space="preserve"> and fuel cells in a decentralized framework and achieving net-zero emissions objectives, such as energy access, producing green hydrogen and displacing petrol and diesel generator sets.</w:t>
      </w:r>
    </w:p>
    <w:p w14:paraId="18CFFD2E" w14:textId="77777777" w:rsidR="005A4697" w:rsidRPr="00E27D4E" w:rsidRDefault="005A4697" w:rsidP="00E27D4E">
      <w:pPr>
        <w:pStyle w:val="NormalWeb"/>
        <w:jc w:val="both"/>
        <w:rPr>
          <w:color w:val="000000" w:themeColor="text1"/>
          <w:sz w:val="22"/>
          <w:szCs w:val="22"/>
          <w:shd w:val="clear" w:color="auto" w:fill="FFFFFF"/>
        </w:rPr>
      </w:pPr>
      <w:r w:rsidRPr="00E27D4E">
        <w:rPr>
          <w:color w:val="000000" w:themeColor="text1"/>
          <w:sz w:val="22"/>
          <w:szCs w:val="22"/>
          <w:shd w:val="clear" w:color="auto" w:fill="FFFFFF"/>
        </w:rPr>
        <w:t>In 2022, Nigeria launched its roadmap to carbon neutrality by 2060, and an estimated sum of 1.9 Trillion USD is required (ETP, </w:t>
      </w:r>
      <w:hyperlink r:id="rId8" w:anchor="ref-CR7" w:tooltip="ETP. (2022). Nigeria energy transition plan. &#10;                  https://energytransition.gov.ng/&#10;                  &#10;                " w:history="1">
        <w:r w:rsidRPr="00E27D4E">
          <w:rPr>
            <w:rStyle w:val="Hyperlink"/>
            <w:rFonts w:eastAsiaTheme="majorEastAsia"/>
            <w:color w:val="000000" w:themeColor="text1"/>
            <w:sz w:val="22"/>
            <w:szCs w:val="22"/>
            <w:shd w:val="clear" w:color="auto" w:fill="FFFFFF"/>
          </w:rPr>
          <w:t>2022</w:t>
        </w:r>
      </w:hyperlink>
      <w:r w:rsidRPr="00E27D4E">
        <w:rPr>
          <w:color w:val="000000" w:themeColor="text1"/>
          <w:sz w:val="22"/>
          <w:szCs w:val="22"/>
          <w:shd w:val="clear" w:color="auto" w:fill="FFFFFF"/>
        </w:rPr>
        <w:t xml:space="preserve">). As part of the decarbonization strategy of the country’s net-zero targets, Nigeria has made plans to include about 9 GW and 34 GW of renewable energies by 2040 and 2050, respectively, in its power mix, in addition to a 4 GW and 22 GW capacity for hydrogen </w:t>
      </w:r>
      <w:proofErr w:type="spellStart"/>
      <w:r w:rsidRPr="00E27D4E">
        <w:rPr>
          <w:color w:val="000000" w:themeColor="text1"/>
          <w:sz w:val="22"/>
          <w:szCs w:val="22"/>
          <w:shd w:val="clear" w:color="auto" w:fill="FFFFFF"/>
        </w:rPr>
        <w:t>electrolyzer</w:t>
      </w:r>
      <w:proofErr w:type="spellEnd"/>
      <w:r w:rsidRPr="00E27D4E">
        <w:rPr>
          <w:color w:val="000000" w:themeColor="text1"/>
          <w:sz w:val="22"/>
          <w:szCs w:val="22"/>
          <w:shd w:val="clear" w:color="auto" w:fill="FFFFFF"/>
        </w:rPr>
        <w:t xml:space="preserve"> storage by 2040 and 2050. Electricity demand of about 1 TWh and 46 TWh is projected to be met by electricity generated from electrolytic hydrogen in 2040 and 2050, respectively (ETP, </w:t>
      </w:r>
      <w:hyperlink r:id="rId9" w:anchor="ref-CR7" w:tooltip="ETP. (2022). Nigeria energy transition plan. &#10;                  https://energytransition.gov.ng/&#10;                  &#10;                " w:history="1">
        <w:r w:rsidRPr="00E27D4E">
          <w:rPr>
            <w:rStyle w:val="Hyperlink"/>
            <w:rFonts w:eastAsiaTheme="majorEastAsia"/>
            <w:color w:val="000000" w:themeColor="text1"/>
            <w:sz w:val="22"/>
            <w:szCs w:val="22"/>
            <w:shd w:val="clear" w:color="auto" w:fill="FFFFFF"/>
          </w:rPr>
          <w:t>2022</w:t>
        </w:r>
      </w:hyperlink>
      <w:r w:rsidRPr="00E27D4E">
        <w:rPr>
          <w:color w:val="000000" w:themeColor="text1"/>
          <w:sz w:val="22"/>
          <w:szCs w:val="22"/>
          <w:shd w:val="clear" w:color="auto" w:fill="FFFFFF"/>
        </w:rPr>
        <w:t>).</w:t>
      </w:r>
    </w:p>
    <w:p w14:paraId="7E309A36"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Niger State is endowed with significant renewable energy resources, particularly solar and biomass. Several studies have assessed the potential for solar energy, which is vital for hydrogen production. Below are results from existing literatures on renewable energy potential.</w:t>
      </w:r>
    </w:p>
    <w:p w14:paraId="2998F4EB" w14:textId="77777777" w:rsidR="005A4697" w:rsidRPr="00E27D4E" w:rsidRDefault="005A4697" w:rsidP="00E27D4E">
      <w:pPr>
        <w:pStyle w:val="NormalWeb"/>
        <w:numPr>
          <w:ilvl w:val="0"/>
          <w:numId w:val="16"/>
        </w:numPr>
        <w:jc w:val="both"/>
        <w:rPr>
          <w:b/>
          <w:bCs/>
          <w:color w:val="000000" w:themeColor="text1"/>
          <w:sz w:val="22"/>
          <w:szCs w:val="22"/>
        </w:rPr>
      </w:pPr>
      <w:r w:rsidRPr="00E27D4E">
        <w:rPr>
          <w:b/>
          <w:bCs/>
          <w:color w:val="000000" w:themeColor="text1"/>
          <w:sz w:val="22"/>
          <w:szCs w:val="22"/>
        </w:rPr>
        <w:t>Renewable Energy Potential</w:t>
      </w:r>
    </w:p>
    <w:p w14:paraId="6BF8930A" w14:textId="77777777" w:rsidR="005A4697" w:rsidRPr="00E27D4E" w:rsidRDefault="005A4697" w:rsidP="00E27D4E">
      <w:pPr>
        <w:pStyle w:val="NormalWeb"/>
        <w:numPr>
          <w:ilvl w:val="1"/>
          <w:numId w:val="6"/>
        </w:numPr>
        <w:jc w:val="both"/>
        <w:rPr>
          <w:color w:val="000000" w:themeColor="text1"/>
          <w:sz w:val="22"/>
          <w:szCs w:val="22"/>
        </w:rPr>
      </w:pPr>
      <w:r w:rsidRPr="00E27D4E">
        <w:rPr>
          <w:rStyle w:val="Strong"/>
          <w:rFonts w:eastAsiaTheme="majorEastAsia"/>
          <w:color w:val="000000" w:themeColor="text1"/>
          <w:sz w:val="22"/>
          <w:szCs w:val="22"/>
        </w:rPr>
        <w:t>Solar Energy Assessment</w:t>
      </w:r>
      <w:r w:rsidRPr="00E27D4E">
        <w:rPr>
          <w:color w:val="000000" w:themeColor="text1"/>
          <w:sz w:val="22"/>
          <w:szCs w:val="22"/>
        </w:rPr>
        <w:t>: Mohammed and Idris (2021) conducted a detailed assessment of solar energy potential in Niger State, indicating high solar radiation levels suitable for photovoltaic applications. Their findings suggest that solar energy can be harnessed effectively to support green hydrogen production. (Mohammed and Idris, 2021)</w:t>
      </w:r>
    </w:p>
    <w:p w14:paraId="3A2DE543" w14:textId="77777777" w:rsidR="005A4697" w:rsidRPr="00E27D4E" w:rsidRDefault="005A4697" w:rsidP="00E27D4E">
      <w:pPr>
        <w:pStyle w:val="NormalWeb"/>
        <w:numPr>
          <w:ilvl w:val="1"/>
          <w:numId w:val="6"/>
        </w:numPr>
        <w:jc w:val="both"/>
        <w:rPr>
          <w:rStyle w:val="Strong"/>
          <w:b w:val="0"/>
          <w:bCs w:val="0"/>
          <w:color w:val="000000" w:themeColor="text1"/>
          <w:sz w:val="22"/>
          <w:szCs w:val="22"/>
        </w:rPr>
      </w:pPr>
      <w:r w:rsidRPr="00E27D4E">
        <w:rPr>
          <w:rStyle w:val="Strong"/>
          <w:color w:val="000000" w:themeColor="text1"/>
          <w:sz w:val="22"/>
          <w:szCs w:val="22"/>
        </w:rPr>
        <w:t>Biomass Resources</w:t>
      </w:r>
      <w:r w:rsidRPr="00E27D4E">
        <w:rPr>
          <w:color w:val="000000" w:themeColor="text1"/>
          <w:sz w:val="22"/>
          <w:szCs w:val="22"/>
        </w:rPr>
        <w:t xml:space="preserve">: The availability of agricultural residues and other biomass sources in the state presents additional opportunities for hydrogen production, supporting a more diverse energy portfolio (Adeyemo &amp; Eniola, 2022). </w:t>
      </w:r>
    </w:p>
    <w:p w14:paraId="0DC11448" w14:textId="77777777" w:rsidR="005A4697" w:rsidRPr="00E27D4E" w:rsidRDefault="005A4697" w:rsidP="00E27D4E">
      <w:pPr>
        <w:pStyle w:val="NormalWeb"/>
        <w:numPr>
          <w:ilvl w:val="0"/>
          <w:numId w:val="16"/>
        </w:numPr>
        <w:jc w:val="both"/>
        <w:rPr>
          <w:color w:val="000000" w:themeColor="text1"/>
          <w:sz w:val="22"/>
          <w:szCs w:val="22"/>
        </w:rPr>
      </w:pPr>
      <w:r w:rsidRPr="00E27D4E">
        <w:rPr>
          <w:b/>
          <w:bCs/>
          <w:color w:val="000000" w:themeColor="text1"/>
          <w:sz w:val="22"/>
          <w:szCs w:val="22"/>
        </w:rPr>
        <w:t>Technological Considerations</w:t>
      </w:r>
    </w:p>
    <w:p w14:paraId="4333D8EF" w14:textId="77777777" w:rsidR="005A4697" w:rsidRPr="00E27D4E" w:rsidRDefault="005A4697" w:rsidP="00E27D4E">
      <w:pPr>
        <w:spacing w:before="100" w:beforeAutospacing="1" w:after="100" w:afterAutospacing="1" w:line="240" w:lineRule="auto"/>
        <w:jc w:val="both"/>
        <w:rPr>
          <w:rFonts w:ascii="Times New Roman" w:eastAsia="Times New Roman" w:hAnsi="Times New Roman" w:cs="Times New Roman"/>
          <w:color w:val="000000" w:themeColor="text1"/>
          <w:kern w:val="0"/>
          <w:sz w:val="22"/>
          <w:szCs w:val="22"/>
          <w14:ligatures w14:val="none"/>
        </w:rPr>
      </w:pPr>
      <w:r w:rsidRPr="00E27D4E">
        <w:rPr>
          <w:rFonts w:ascii="Times New Roman" w:eastAsia="Times New Roman" w:hAnsi="Times New Roman" w:cs="Times New Roman"/>
          <w:color w:val="000000" w:themeColor="text1"/>
          <w:kern w:val="0"/>
          <w:sz w:val="22"/>
          <w:szCs w:val="22"/>
          <w14:ligatures w14:val="none"/>
        </w:rPr>
        <w:t xml:space="preserve">The success of green hydrogen production relies heavily on the availability and suitability of technology. Different electrolysis technologies, such as alkaline and proton exchange membrane (PEM) </w:t>
      </w:r>
      <w:proofErr w:type="spellStart"/>
      <w:r w:rsidRPr="00E27D4E">
        <w:rPr>
          <w:rFonts w:ascii="Times New Roman" w:eastAsia="Times New Roman" w:hAnsi="Times New Roman" w:cs="Times New Roman"/>
          <w:color w:val="000000" w:themeColor="text1"/>
          <w:kern w:val="0"/>
          <w:sz w:val="22"/>
          <w:szCs w:val="22"/>
          <w14:ligatures w14:val="none"/>
        </w:rPr>
        <w:t>electrolyzers</w:t>
      </w:r>
      <w:proofErr w:type="spellEnd"/>
      <w:r w:rsidRPr="00E27D4E">
        <w:rPr>
          <w:rFonts w:ascii="Times New Roman" w:eastAsia="Times New Roman" w:hAnsi="Times New Roman" w:cs="Times New Roman"/>
          <w:color w:val="000000" w:themeColor="text1"/>
          <w:kern w:val="0"/>
          <w:sz w:val="22"/>
          <w:szCs w:val="22"/>
          <w14:ligatures w14:val="none"/>
        </w:rPr>
        <w:t>, have been explored.</w:t>
      </w:r>
    </w:p>
    <w:p w14:paraId="37162D4E" w14:textId="77777777" w:rsidR="005A4697" w:rsidRPr="00E27D4E" w:rsidRDefault="005A4697" w:rsidP="00E27D4E">
      <w:pPr>
        <w:pStyle w:val="NormalWeb"/>
        <w:numPr>
          <w:ilvl w:val="0"/>
          <w:numId w:val="17"/>
        </w:numPr>
        <w:jc w:val="both"/>
        <w:rPr>
          <w:color w:val="000000" w:themeColor="text1"/>
          <w:sz w:val="22"/>
          <w:szCs w:val="22"/>
        </w:rPr>
      </w:pPr>
      <w:r w:rsidRPr="00E27D4E">
        <w:rPr>
          <w:rStyle w:val="Strong"/>
          <w:rFonts w:eastAsiaTheme="majorEastAsia"/>
          <w:color w:val="000000" w:themeColor="text1"/>
          <w:sz w:val="22"/>
          <w:szCs w:val="22"/>
        </w:rPr>
        <w:t>Electrolysis Efficiency</w:t>
      </w:r>
      <w:r w:rsidRPr="00E27D4E">
        <w:rPr>
          <w:color w:val="000000" w:themeColor="text1"/>
          <w:sz w:val="22"/>
          <w:szCs w:val="22"/>
        </w:rPr>
        <w:t xml:space="preserve">: Recent studies emphasize the importance of selecting efficient </w:t>
      </w:r>
      <w:proofErr w:type="spellStart"/>
      <w:r w:rsidRPr="00E27D4E">
        <w:rPr>
          <w:color w:val="000000" w:themeColor="text1"/>
          <w:sz w:val="22"/>
          <w:szCs w:val="22"/>
        </w:rPr>
        <w:t>electrolyzer</w:t>
      </w:r>
      <w:proofErr w:type="spellEnd"/>
      <w:r w:rsidRPr="00E27D4E">
        <w:rPr>
          <w:color w:val="000000" w:themeColor="text1"/>
          <w:sz w:val="22"/>
          <w:szCs w:val="22"/>
        </w:rPr>
        <w:t xml:space="preserve"> technologies to optimize hydrogen production. Adeyemo and Eniola (2022) highlight the need for local adaptations of these technologies to fit Niger State's unique conditions.</w:t>
      </w:r>
    </w:p>
    <w:p w14:paraId="68D4D310" w14:textId="77777777" w:rsidR="005A4697" w:rsidRPr="00E27D4E" w:rsidRDefault="005A4697" w:rsidP="00E27D4E">
      <w:pPr>
        <w:pStyle w:val="NormalWeb"/>
        <w:numPr>
          <w:ilvl w:val="0"/>
          <w:numId w:val="17"/>
        </w:numPr>
        <w:jc w:val="both"/>
        <w:rPr>
          <w:color w:val="000000" w:themeColor="text1"/>
          <w:sz w:val="22"/>
          <w:szCs w:val="22"/>
        </w:rPr>
      </w:pPr>
      <w:r w:rsidRPr="00E27D4E">
        <w:rPr>
          <w:rStyle w:val="Strong"/>
          <w:rFonts w:eastAsiaTheme="majorEastAsia"/>
          <w:color w:val="000000" w:themeColor="text1"/>
          <w:sz w:val="22"/>
          <w:szCs w:val="22"/>
        </w:rPr>
        <w:t>Storage and Distribution</w:t>
      </w:r>
      <w:r w:rsidRPr="00E27D4E">
        <w:rPr>
          <w:color w:val="000000" w:themeColor="text1"/>
          <w:sz w:val="22"/>
          <w:szCs w:val="22"/>
        </w:rPr>
        <w:t xml:space="preserve">: The development of effective hydrogen storage and distribution systems is also critical. </w:t>
      </w:r>
      <w:proofErr w:type="spellStart"/>
      <w:r w:rsidRPr="00E27D4E">
        <w:rPr>
          <w:color w:val="000000" w:themeColor="text1"/>
          <w:sz w:val="22"/>
          <w:szCs w:val="22"/>
        </w:rPr>
        <w:t>Chatzisymeon</w:t>
      </w:r>
      <w:proofErr w:type="spellEnd"/>
      <w:r w:rsidRPr="00E27D4E">
        <w:rPr>
          <w:color w:val="000000" w:themeColor="text1"/>
          <w:sz w:val="22"/>
          <w:szCs w:val="22"/>
        </w:rPr>
        <w:t xml:space="preserve"> and </w:t>
      </w:r>
      <w:proofErr w:type="spellStart"/>
      <w:r w:rsidRPr="00E27D4E">
        <w:rPr>
          <w:color w:val="000000" w:themeColor="text1"/>
          <w:sz w:val="22"/>
          <w:szCs w:val="22"/>
        </w:rPr>
        <w:t>Aigbe</w:t>
      </w:r>
      <w:proofErr w:type="spellEnd"/>
      <w:r w:rsidRPr="00E27D4E">
        <w:rPr>
          <w:color w:val="000000" w:themeColor="text1"/>
          <w:sz w:val="22"/>
          <w:szCs w:val="22"/>
        </w:rPr>
        <w:t xml:space="preserve"> (2021) discussed various storage methods and the infrastructure required for transporting hydrogen, underscoring the importance of investing in these areas.</w:t>
      </w:r>
    </w:p>
    <w:p w14:paraId="47B202D3"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Economic Feasibility</w:t>
      </w:r>
    </w:p>
    <w:p w14:paraId="132335B7"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Analyzing the economic viability of green hydrogen involves assessing production costs, market potential, and investment requirements.</w:t>
      </w:r>
    </w:p>
    <w:p w14:paraId="48D077E2" w14:textId="77777777" w:rsidR="005A4697" w:rsidRPr="00E27D4E" w:rsidRDefault="005A4697" w:rsidP="00E27D4E">
      <w:pPr>
        <w:pStyle w:val="NormalWeb"/>
        <w:numPr>
          <w:ilvl w:val="0"/>
          <w:numId w:val="18"/>
        </w:numPr>
        <w:jc w:val="both"/>
        <w:rPr>
          <w:color w:val="000000" w:themeColor="text1"/>
          <w:sz w:val="22"/>
          <w:szCs w:val="22"/>
        </w:rPr>
      </w:pPr>
      <w:r w:rsidRPr="00E27D4E">
        <w:rPr>
          <w:rStyle w:val="Strong"/>
          <w:rFonts w:eastAsiaTheme="majorEastAsia"/>
          <w:color w:val="000000" w:themeColor="text1"/>
          <w:sz w:val="22"/>
          <w:szCs w:val="22"/>
        </w:rPr>
        <w:lastRenderedPageBreak/>
        <w:t>Cost Analysis</w:t>
      </w:r>
      <w:r w:rsidRPr="00E27D4E">
        <w:rPr>
          <w:color w:val="000000" w:themeColor="text1"/>
          <w:sz w:val="22"/>
          <w:szCs w:val="22"/>
        </w:rPr>
        <w:t>: Olawale and Ogundipe (2023) conducted a life cycle assessment of green hydrogen production, indicating that while initial investments are high, operational costs can be minimized through advancements in technology and scaling production.</w:t>
      </w:r>
    </w:p>
    <w:p w14:paraId="0094011B" w14:textId="77777777" w:rsidR="005A4697" w:rsidRPr="00E27D4E" w:rsidRDefault="005A4697" w:rsidP="00E27D4E">
      <w:pPr>
        <w:pStyle w:val="NormalWeb"/>
        <w:numPr>
          <w:ilvl w:val="0"/>
          <w:numId w:val="18"/>
        </w:numPr>
        <w:jc w:val="both"/>
        <w:rPr>
          <w:color w:val="000000" w:themeColor="text1"/>
          <w:sz w:val="22"/>
          <w:szCs w:val="22"/>
        </w:rPr>
      </w:pPr>
      <w:r w:rsidRPr="00E27D4E">
        <w:rPr>
          <w:rStyle w:val="Strong"/>
          <w:color w:val="000000" w:themeColor="text1"/>
          <w:sz w:val="22"/>
          <w:szCs w:val="22"/>
        </w:rPr>
        <w:t>Market Demand</w:t>
      </w:r>
      <w:r w:rsidRPr="00E27D4E">
        <w:rPr>
          <w:color w:val="000000" w:themeColor="text1"/>
          <w:sz w:val="22"/>
          <w:szCs w:val="22"/>
        </w:rPr>
        <w:t xml:space="preserve">: Understanding local market demand for hydrogen is essential for feasibility assessments. </w:t>
      </w:r>
      <w:proofErr w:type="spellStart"/>
      <w:r w:rsidRPr="00E27D4E">
        <w:rPr>
          <w:color w:val="000000" w:themeColor="text1"/>
          <w:sz w:val="22"/>
          <w:szCs w:val="22"/>
        </w:rPr>
        <w:t>Igbinovia</w:t>
      </w:r>
      <w:proofErr w:type="spellEnd"/>
      <w:r w:rsidRPr="00E27D4E">
        <w:rPr>
          <w:color w:val="000000" w:themeColor="text1"/>
          <w:sz w:val="22"/>
          <w:szCs w:val="22"/>
        </w:rPr>
        <w:t xml:space="preserve"> and </w:t>
      </w:r>
      <w:proofErr w:type="spellStart"/>
      <w:r w:rsidRPr="00E27D4E">
        <w:rPr>
          <w:color w:val="000000" w:themeColor="text1"/>
          <w:sz w:val="22"/>
          <w:szCs w:val="22"/>
        </w:rPr>
        <w:t>Orukpe</w:t>
      </w:r>
      <w:proofErr w:type="spellEnd"/>
      <w:r w:rsidRPr="00E27D4E">
        <w:rPr>
          <w:color w:val="000000" w:themeColor="text1"/>
          <w:sz w:val="22"/>
          <w:szCs w:val="22"/>
        </w:rPr>
        <w:t xml:space="preserve"> (2020) emphasized the growing interest in hydrogen applications in transportation and industry, indicating potential economic benefits for Niger State.</w:t>
      </w:r>
    </w:p>
    <w:p w14:paraId="48FB20C8"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Environmental Impacts</w:t>
      </w:r>
    </w:p>
    <w:p w14:paraId="6525666E"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The environmental benefits of green hydrogen production must be evaluated alongside its economic viability.</w:t>
      </w:r>
    </w:p>
    <w:p w14:paraId="66D78418" w14:textId="77777777" w:rsidR="005A4697" w:rsidRPr="00E27D4E" w:rsidRDefault="005A4697" w:rsidP="00E27D4E">
      <w:pPr>
        <w:pStyle w:val="NormalWeb"/>
        <w:numPr>
          <w:ilvl w:val="0"/>
          <w:numId w:val="19"/>
        </w:numPr>
        <w:jc w:val="both"/>
        <w:rPr>
          <w:color w:val="000000" w:themeColor="text1"/>
          <w:sz w:val="22"/>
          <w:szCs w:val="22"/>
        </w:rPr>
      </w:pPr>
      <w:r w:rsidRPr="00E27D4E">
        <w:rPr>
          <w:rStyle w:val="Strong"/>
          <w:rFonts w:eastAsiaTheme="majorEastAsia"/>
          <w:color w:val="000000" w:themeColor="text1"/>
          <w:sz w:val="22"/>
          <w:szCs w:val="22"/>
        </w:rPr>
        <w:t>Sustainability Benefits</w:t>
      </w:r>
      <w:r w:rsidRPr="00E27D4E">
        <w:rPr>
          <w:color w:val="000000" w:themeColor="text1"/>
          <w:sz w:val="22"/>
          <w:szCs w:val="22"/>
        </w:rPr>
        <w:t>: Studies indicate that green hydrogen can significantly reduce greenhouse gas emissions compared to fossil fuels, aligning with Nigeria's climate goals (Suleiman &amp; Ibraheem, 2023).</w:t>
      </w:r>
    </w:p>
    <w:p w14:paraId="74F36967" w14:textId="77777777" w:rsidR="005A4697" w:rsidRPr="00E27D4E" w:rsidRDefault="005A4697" w:rsidP="00E27D4E">
      <w:pPr>
        <w:pStyle w:val="NormalWeb"/>
        <w:numPr>
          <w:ilvl w:val="0"/>
          <w:numId w:val="19"/>
        </w:numPr>
        <w:jc w:val="both"/>
        <w:rPr>
          <w:color w:val="000000" w:themeColor="text1"/>
          <w:sz w:val="22"/>
          <w:szCs w:val="22"/>
        </w:rPr>
      </w:pPr>
      <w:r w:rsidRPr="00E27D4E">
        <w:rPr>
          <w:rStyle w:val="Strong"/>
          <w:color w:val="000000" w:themeColor="text1"/>
          <w:sz w:val="22"/>
          <w:szCs w:val="22"/>
        </w:rPr>
        <w:t>Ecosystem Considerations</w:t>
      </w:r>
      <w:r w:rsidRPr="00E27D4E">
        <w:rPr>
          <w:color w:val="000000" w:themeColor="text1"/>
          <w:sz w:val="22"/>
          <w:szCs w:val="22"/>
        </w:rPr>
        <w:t>: Environmental assessments are crucial to understanding the impact of hydrogen production on local ecosystems. Ojo and Eniola (2022) discuss the need for sustainable practices to minimize ecological disruption.</w:t>
      </w:r>
    </w:p>
    <w:p w14:paraId="391F88B5" w14:textId="77777777" w:rsidR="005A4697" w:rsidRPr="00E27D4E" w:rsidRDefault="005A4697" w:rsidP="00E27D4E">
      <w:pPr>
        <w:pStyle w:val="Heading4"/>
        <w:numPr>
          <w:ilvl w:val="0"/>
          <w:numId w:val="16"/>
        </w:numPr>
        <w:tabs>
          <w:tab w:val="num" w:pos="360"/>
        </w:tabs>
        <w:spacing w:line="240" w:lineRule="auto"/>
        <w:ind w:left="0" w:firstLine="0"/>
        <w:jc w:val="both"/>
        <w:rPr>
          <w:rFonts w:ascii="Times New Roman" w:hAnsi="Times New Roman" w:cs="Times New Roman"/>
          <w:i w:val="0"/>
          <w:iCs w:val="0"/>
          <w:color w:val="000000" w:themeColor="text1"/>
          <w:sz w:val="22"/>
          <w:szCs w:val="22"/>
        </w:rPr>
      </w:pPr>
      <w:r w:rsidRPr="00E27D4E">
        <w:rPr>
          <w:rStyle w:val="Strong"/>
          <w:rFonts w:ascii="Times New Roman" w:hAnsi="Times New Roman" w:cs="Times New Roman"/>
          <w:i w:val="0"/>
          <w:iCs w:val="0"/>
          <w:color w:val="000000" w:themeColor="text1"/>
          <w:sz w:val="22"/>
          <w:szCs w:val="22"/>
        </w:rPr>
        <w:t>Policy and Regulatory Framework</w:t>
      </w:r>
    </w:p>
    <w:p w14:paraId="09CC5E00" w14:textId="77777777" w:rsidR="005A4697" w:rsidRPr="00E27D4E" w:rsidRDefault="005A4697" w:rsidP="00E27D4E">
      <w:pPr>
        <w:pStyle w:val="NormalWeb"/>
        <w:jc w:val="both"/>
        <w:rPr>
          <w:color w:val="000000" w:themeColor="text1"/>
          <w:sz w:val="22"/>
          <w:szCs w:val="22"/>
        </w:rPr>
      </w:pPr>
      <w:r w:rsidRPr="00E27D4E">
        <w:rPr>
          <w:color w:val="000000" w:themeColor="text1"/>
          <w:sz w:val="22"/>
          <w:szCs w:val="22"/>
        </w:rPr>
        <w:t>The role of government policies in promoting green hydrogen initiatives is vital.</w:t>
      </w:r>
    </w:p>
    <w:p w14:paraId="003EDC1A" w14:textId="77777777" w:rsidR="005A4697" w:rsidRPr="00E27D4E" w:rsidRDefault="005A4697" w:rsidP="00E27D4E">
      <w:pPr>
        <w:pStyle w:val="ListParagraph"/>
        <w:numPr>
          <w:ilvl w:val="0"/>
          <w:numId w:val="20"/>
        </w:numPr>
        <w:spacing w:before="100" w:beforeAutospacing="1" w:after="100" w:afterAutospacing="1" w:line="240" w:lineRule="auto"/>
        <w:jc w:val="both"/>
        <w:rPr>
          <w:rFonts w:ascii="Times New Roman" w:hAnsi="Times New Roman" w:cs="Times New Roman"/>
          <w:color w:val="000000" w:themeColor="text1"/>
          <w:sz w:val="22"/>
          <w:szCs w:val="22"/>
        </w:rPr>
      </w:pPr>
      <w:r w:rsidRPr="00E27D4E">
        <w:rPr>
          <w:rStyle w:val="Strong"/>
          <w:rFonts w:ascii="Times New Roman" w:hAnsi="Times New Roman" w:cs="Times New Roman"/>
          <w:color w:val="000000" w:themeColor="text1"/>
          <w:sz w:val="22"/>
          <w:szCs w:val="22"/>
        </w:rPr>
        <w:t>Government Support</w:t>
      </w:r>
      <w:r w:rsidRPr="00E27D4E">
        <w:rPr>
          <w:rFonts w:ascii="Times New Roman" w:hAnsi="Times New Roman" w:cs="Times New Roman"/>
          <w:color w:val="000000" w:themeColor="text1"/>
          <w:sz w:val="22"/>
          <w:szCs w:val="22"/>
        </w:rPr>
        <w:t xml:space="preserve">: Recent policy analyses indicate that supportive regulations and incentives are necessary to foster the growth of green hydrogen in Nigeria. </w:t>
      </w:r>
      <w:proofErr w:type="spellStart"/>
      <w:r w:rsidRPr="00E27D4E">
        <w:rPr>
          <w:rFonts w:ascii="Times New Roman" w:hAnsi="Times New Roman" w:cs="Times New Roman"/>
          <w:color w:val="000000" w:themeColor="text1"/>
          <w:sz w:val="22"/>
          <w:szCs w:val="22"/>
        </w:rPr>
        <w:t>Igbinovia</w:t>
      </w:r>
      <w:proofErr w:type="spellEnd"/>
      <w:r w:rsidRPr="00E27D4E">
        <w:rPr>
          <w:rFonts w:ascii="Times New Roman" w:hAnsi="Times New Roman" w:cs="Times New Roman"/>
          <w:color w:val="000000" w:themeColor="text1"/>
          <w:sz w:val="22"/>
          <w:szCs w:val="22"/>
        </w:rPr>
        <w:t xml:space="preserve"> and </w:t>
      </w:r>
      <w:proofErr w:type="spellStart"/>
      <w:r w:rsidRPr="00E27D4E">
        <w:rPr>
          <w:rFonts w:ascii="Times New Roman" w:hAnsi="Times New Roman" w:cs="Times New Roman"/>
          <w:color w:val="000000" w:themeColor="text1"/>
          <w:sz w:val="22"/>
          <w:szCs w:val="22"/>
        </w:rPr>
        <w:t>Orukpe</w:t>
      </w:r>
      <w:proofErr w:type="spellEnd"/>
      <w:r w:rsidRPr="00E27D4E">
        <w:rPr>
          <w:rFonts w:ascii="Times New Roman" w:hAnsi="Times New Roman" w:cs="Times New Roman"/>
          <w:color w:val="000000" w:themeColor="text1"/>
          <w:sz w:val="22"/>
          <w:szCs w:val="22"/>
        </w:rPr>
        <w:t xml:space="preserve"> (2020) highlight the need for comprehensive frameworks to facilitate investment in hydrogen technologies.</w:t>
      </w:r>
    </w:p>
    <w:p w14:paraId="2562D9D7" w14:textId="2667CF31" w:rsidR="005A4697" w:rsidRPr="00E27D4E" w:rsidRDefault="00E27D4E" w:rsidP="00E27D4E">
      <w:pPr>
        <w:pStyle w:val="NormalWeb"/>
        <w:jc w:val="both"/>
        <w:rPr>
          <w:rStyle w:val="Heading1Char"/>
          <w:rFonts w:ascii="Times New Roman" w:hAnsi="Times New Roman" w:cs="Times New Roman"/>
          <w:b/>
          <w:bCs/>
          <w:color w:val="000000" w:themeColor="text1"/>
          <w:sz w:val="22"/>
          <w:szCs w:val="22"/>
        </w:rPr>
      </w:pPr>
      <w:bookmarkStart w:id="20" w:name="_Toc218873768"/>
      <w:r w:rsidRPr="00E27D4E">
        <w:rPr>
          <w:noProof/>
          <w:color w:val="000000" w:themeColor="text1"/>
          <w:sz w:val="22"/>
          <w:szCs w:val="22"/>
          <w:shd w:val="clear" w:color="auto" w:fill="FFFFFF"/>
        </w:rPr>
        <w:drawing>
          <wp:anchor distT="0" distB="0" distL="114300" distR="114300" simplePos="0" relativeHeight="251660288" behindDoc="0" locked="0" layoutInCell="1" allowOverlap="1" wp14:anchorId="0A441EF0" wp14:editId="05DB7E3D">
            <wp:simplePos x="0" y="0"/>
            <wp:positionH relativeFrom="column">
              <wp:posOffset>600075</wp:posOffset>
            </wp:positionH>
            <wp:positionV relativeFrom="paragraph">
              <wp:posOffset>321310</wp:posOffset>
            </wp:positionV>
            <wp:extent cx="4210050" cy="3157771"/>
            <wp:effectExtent l="0" t="0" r="0" b="5080"/>
            <wp:wrapThrough wrapText="bothSides">
              <wp:wrapPolygon edited="0">
                <wp:start x="0" y="0"/>
                <wp:lineTo x="0" y="21504"/>
                <wp:lineTo x="21502" y="21504"/>
                <wp:lineTo x="21502" y="0"/>
                <wp:lineTo x="0" y="0"/>
              </wp:wrapPolygon>
            </wp:wrapThrough>
            <wp:docPr id="9694706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15777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p>
    <w:p w14:paraId="5C4BD073" w14:textId="3B68ED87" w:rsidR="005A4697" w:rsidRPr="00E27D4E" w:rsidRDefault="005A4697" w:rsidP="00E27D4E">
      <w:pPr>
        <w:pStyle w:val="NormalWeb"/>
        <w:jc w:val="both"/>
        <w:rPr>
          <w:noProof/>
          <w:color w:val="000000" w:themeColor="text1"/>
          <w:sz w:val="22"/>
          <w:szCs w:val="22"/>
          <w:shd w:val="clear" w:color="auto" w:fill="FFFFFF"/>
        </w:rPr>
      </w:pPr>
    </w:p>
    <w:p w14:paraId="291F06E7" w14:textId="77777777" w:rsidR="00E27D4E" w:rsidRDefault="00E27D4E" w:rsidP="00E27D4E">
      <w:pPr>
        <w:pStyle w:val="NormalWeb"/>
        <w:jc w:val="both"/>
        <w:rPr>
          <w:b/>
          <w:bCs/>
          <w:noProof/>
          <w:color w:val="000000" w:themeColor="text1"/>
          <w:sz w:val="22"/>
          <w:szCs w:val="22"/>
          <w:shd w:val="clear" w:color="auto" w:fill="FFFFFF"/>
        </w:rPr>
      </w:pPr>
    </w:p>
    <w:p w14:paraId="31579B19" w14:textId="77777777" w:rsidR="00E27D4E" w:rsidRDefault="00E27D4E" w:rsidP="00E27D4E">
      <w:pPr>
        <w:pStyle w:val="NormalWeb"/>
        <w:jc w:val="both"/>
        <w:rPr>
          <w:b/>
          <w:bCs/>
          <w:noProof/>
          <w:color w:val="000000" w:themeColor="text1"/>
          <w:sz w:val="22"/>
          <w:szCs w:val="22"/>
          <w:shd w:val="clear" w:color="auto" w:fill="FFFFFF"/>
        </w:rPr>
      </w:pPr>
    </w:p>
    <w:p w14:paraId="76979F0F" w14:textId="77777777" w:rsidR="00E27D4E" w:rsidRDefault="00E27D4E" w:rsidP="00E27D4E">
      <w:pPr>
        <w:pStyle w:val="NormalWeb"/>
        <w:jc w:val="both"/>
        <w:rPr>
          <w:b/>
          <w:bCs/>
          <w:noProof/>
          <w:color w:val="000000" w:themeColor="text1"/>
          <w:sz w:val="22"/>
          <w:szCs w:val="22"/>
          <w:shd w:val="clear" w:color="auto" w:fill="FFFFFF"/>
        </w:rPr>
      </w:pPr>
    </w:p>
    <w:p w14:paraId="60A3DBFC" w14:textId="77777777" w:rsidR="00E27D4E" w:rsidRDefault="00E27D4E" w:rsidP="00E27D4E">
      <w:pPr>
        <w:pStyle w:val="NormalWeb"/>
        <w:jc w:val="both"/>
        <w:rPr>
          <w:b/>
          <w:bCs/>
          <w:noProof/>
          <w:color w:val="000000" w:themeColor="text1"/>
          <w:sz w:val="22"/>
          <w:szCs w:val="22"/>
          <w:shd w:val="clear" w:color="auto" w:fill="FFFFFF"/>
        </w:rPr>
      </w:pPr>
    </w:p>
    <w:p w14:paraId="3ED1FBC0" w14:textId="77777777" w:rsidR="00E27D4E" w:rsidRDefault="00E27D4E" w:rsidP="00E27D4E">
      <w:pPr>
        <w:pStyle w:val="NormalWeb"/>
        <w:jc w:val="both"/>
        <w:rPr>
          <w:b/>
          <w:bCs/>
          <w:noProof/>
          <w:color w:val="000000" w:themeColor="text1"/>
          <w:sz w:val="22"/>
          <w:szCs w:val="22"/>
          <w:shd w:val="clear" w:color="auto" w:fill="FFFFFF"/>
        </w:rPr>
      </w:pPr>
    </w:p>
    <w:p w14:paraId="41CA8DE7" w14:textId="77777777" w:rsidR="00E27D4E" w:rsidRDefault="00E27D4E" w:rsidP="00E27D4E">
      <w:pPr>
        <w:pStyle w:val="NormalWeb"/>
        <w:jc w:val="both"/>
        <w:rPr>
          <w:b/>
          <w:bCs/>
          <w:noProof/>
          <w:color w:val="000000" w:themeColor="text1"/>
          <w:sz w:val="22"/>
          <w:szCs w:val="22"/>
          <w:shd w:val="clear" w:color="auto" w:fill="FFFFFF"/>
        </w:rPr>
      </w:pPr>
    </w:p>
    <w:p w14:paraId="6C64B1F3" w14:textId="77777777" w:rsidR="00E27D4E" w:rsidRDefault="00E27D4E" w:rsidP="00E27D4E">
      <w:pPr>
        <w:pStyle w:val="NormalWeb"/>
        <w:jc w:val="both"/>
        <w:rPr>
          <w:b/>
          <w:bCs/>
          <w:noProof/>
          <w:color w:val="000000" w:themeColor="text1"/>
          <w:sz w:val="22"/>
          <w:szCs w:val="22"/>
          <w:shd w:val="clear" w:color="auto" w:fill="FFFFFF"/>
        </w:rPr>
      </w:pPr>
    </w:p>
    <w:p w14:paraId="4DB992FC" w14:textId="77777777" w:rsidR="00E27D4E" w:rsidRDefault="00E27D4E" w:rsidP="00E27D4E">
      <w:pPr>
        <w:pStyle w:val="NormalWeb"/>
        <w:jc w:val="both"/>
        <w:rPr>
          <w:b/>
          <w:bCs/>
          <w:noProof/>
          <w:color w:val="000000" w:themeColor="text1"/>
          <w:sz w:val="22"/>
          <w:szCs w:val="22"/>
          <w:shd w:val="clear" w:color="auto" w:fill="FFFFFF"/>
        </w:rPr>
      </w:pPr>
    </w:p>
    <w:p w14:paraId="77CE35AA" w14:textId="77777777" w:rsidR="00E27D4E" w:rsidRDefault="00E27D4E" w:rsidP="00E27D4E">
      <w:pPr>
        <w:pStyle w:val="NormalWeb"/>
        <w:jc w:val="both"/>
        <w:rPr>
          <w:b/>
          <w:bCs/>
          <w:noProof/>
          <w:color w:val="000000" w:themeColor="text1"/>
          <w:sz w:val="22"/>
          <w:szCs w:val="22"/>
          <w:shd w:val="clear" w:color="auto" w:fill="FFFFFF"/>
        </w:rPr>
      </w:pPr>
    </w:p>
    <w:p w14:paraId="6388C067" w14:textId="1ADA972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2</w:t>
      </w:r>
      <w:r w:rsidRPr="00E27D4E">
        <w:rPr>
          <w:b/>
          <w:bCs/>
          <w:noProof/>
          <w:color w:val="000000" w:themeColor="text1"/>
          <w:sz w:val="22"/>
          <w:szCs w:val="22"/>
          <w:shd w:val="clear" w:color="auto" w:fill="FFFFFF"/>
        </w:rPr>
        <w:t>: Map showing locations where green hydrogen projects can be implemented in Niger State</w:t>
      </w:r>
    </w:p>
    <w:p w14:paraId="104A11E1"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lastRenderedPageBreak/>
        <w:t>The map above shows proposed locations where green hydrogen energy sites can be implemented in Niger State, Nigeria. From the result displayed on the map, we can see that Borgu local government has the most potential because of the availability of abundant water body. Making this region the best location in Niger state to site a green hydrogen project site as availability of water is a major criteria for site selection.</w:t>
      </w:r>
    </w:p>
    <w:p w14:paraId="049C8BC8" w14:textId="77777777" w:rsidR="005A4697" w:rsidRPr="00E27D4E" w:rsidRDefault="005A4697" w:rsidP="00E27D4E">
      <w:pPr>
        <w:pStyle w:val="NormalWeb"/>
        <w:jc w:val="both"/>
        <w:rPr>
          <w:color w:val="000000" w:themeColor="text1"/>
          <w:sz w:val="22"/>
          <w:szCs w:val="22"/>
          <w:shd w:val="clear" w:color="auto" w:fill="FFFFFF"/>
        </w:rPr>
      </w:pPr>
    </w:p>
    <w:p w14:paraId="04AB1D20"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rPr>
        <w:drawing>
          <wp:inline distT="0" distB="0" distL="114300" distR="114300" wp14:anchorId="729D2550" wp14:editId="77AC6DFC">
            <wp:extent cx="4101628" cy="3076575"/>
            <wp:effectExtent l="0" t="0" r="0" b="0"/>
            <wp:docPr id="1017738098" name="Picture 1017738098" descr="LAN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NDUSE"/>
                    <pic:cNvPicPr>
                      <a:picLocks noChangeAspect="1"/>
                    </pic:cNvPicPr>
                  </pic:nvPicPr>
                  <pic:blipFill>
                    <a:blip r:embed="rId11"/>
                    <a:stretch>
                      <a:fillRect/>
                    </a:stretch>
                  </pic:blipFill>
                  <pic:spPr>
                    <a:xfrm>
                      <a:off x="0" y="0"/>
                      <a:ext cx="4103143" cy="3077711"/>
                    </a:xfrm>
                    <a:prstGeom prst="rect">
                      <a:avLst/>
                    </a:prstGeom>
                  </pic:spPr>
                </pic:pic>
              </a:graphicData>
            </a:graphic>
          </wp:inline>
        </w:drawing>
      </w:r>
    </w:p>
    <w:p w14:paraId="33890135" w14:textId="020A6BF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3</w:t>
      </w:r>
      <w:r w:rsidRPr="00E27D4E">
        <w:rPr>
          <w:b/>
          <w:bCs/>
          <w:noProof/>
          <w:color w:val="000000" w:themeColor="text1"/>
          <w:sz w:val="22"/>
          <w:szCs w:val="22"/>
          <w:shd w:val="clear" w:color="auto" w:fill="FFFFFF"/>
        </w:rPr>
        <w:t>: Map showing land use land cover of Niger State</w:t>
      </w:r>
    </w:p>
    <w:p w14:paraId="2A002B04"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shd w:val="clear" w:color="auto" w:fill="FFFFFF"/>
        </w:rPr>
        <w:t>The map above shows result of landuse landcover map of Niger state. Result shows the different landuse classes in Niger state showing how they are distributed across the state. The land use classes are builtup areas, grasses and shrubs, forest area, farm land, water body and bare surface.</w:t>
      </w:r>
    </w:p>
    <w:p w14:paraId="1C2FE175" w14:textId="77777777" w:rsidR="005A4697" w:rsidRPr="00E27D4E" w:rsidRDefault="005A4697" w:rsidP="00E27D4E">
      <w:pPr>
        <w:pStyle w:val="NormalWeb"/>
        <w:jc w:val="both"/>
        <w:rPr>
          <w:b/>
          <w:bCs/>
          <w:noProof/>
          <w:color w:val="000000" w:themeColor="text1"/>
          <w:sz w:val="22"/>
          <w:szCs w:val="22"/>
          <w:shd w:val="clear" w:color="auto" w:fill="FFFFFF"/>
        </w:rPr>
      </w:pPr>
      <w:bookmarkStart w:id="21" w:name="_Hlk179017845"/>
      <w:r w:rsidRPr="00E27D4E">
        <w:rPr>
          <w:b/>
          <w:bCs/>
          <w:color w:val="000000" w:themeColor="text1"/>
          <w:sz w:val="22"/>
          <w:szCs w:val="22"/>
        </w:rPr>
        <w:t>Statistical analysis of Land use in Niger state</w:t>
      </w:r>
    </w:p>
    <w:tbl>
      <w:tblPr>
        <w:tblStyle w:val="TableGrid"/>
        <w:tblW w:w="0" w:type="auto"/>
        <w:tblLook w:val="04A0" w:firstRow="1" w:lastRow="0" w:firstColumn="1" w:lastColumn="0" w:noHBand="0" w:noVBand="1"/>
      </w:tblPr>
      <w:tblGrid>
        <w:gridCol w:w="1656"/>
        <w:gridCol w:w="1657"/>
        <w:gridCol w:w="1657"/>
        <w:gridCol w:w="1657"/>
      </w:tblGrid>
      <w:tr w:rsidR="00E27D4E" w:rsidRPr="00E27D4E" w14:paraId="08430B29" w14:textId="77777777" w:rsidTr="00E27D4E">
        <w:trPr>
          <w:trHeight w:val="420"/>
        </w:trPr>
        <w:tc>
          <w:tcPr>
            <w:tcW w:w="1656" w:type="dxa"/>
            <w:vAlign w:val="center"/>
          </w:tcPr>
          <w:p w14:paraId="73E8FBF9"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c>
          <w:tcPr>
            <w:tcW w:w="1657" w:type="dxa"/>
            <w:vAlign w:val="center"/>
          </w:tcPr>
          <w:p w14:paraId="4C1781AF"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 xml:space="preserve">Area in </w:t>
            </w:r>
            <w:proofErr w:type="spellStart"/>
            <w:r w:rsidRPr="00E27D4E">
              <w:rPr>
                <w:rFonts w:ascii="Times New Roman" w:eastAsia="SimSun" w:hAnsi="Times New Roman" w:cs="Times New Roman"/>
                <w:b/>
                <w:bCs/>
                <w:color w:val="000000" w:themeColor="text1"/>
                <w:sz w:val="22"/>
                <w:szCs w:val="22"/>
                <w:lang w:eastAsia="zh-CN" w:bidi="ar"/>
              </w:rPr>
              <w:t>Sqkm</w:t>
            </w:r>
            <w:proofErr w:type="spellEnd"/>
          </w:p>
        </w:tc>
        <w:tc>
          <w:tcPr>
            <w:tcW w:w="1657" w:type="dxa"/>
            <w:vAlign w:val="center"/>
          </w:tcPr>
          <w:p w14:paraId="3CD6E4BA"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 (%)</w:t>
            </w:r>
          </w:p>
        </w:tc>
        <w:tc>
          <w:tcPr>
            <w:tcW w:w="1657" w:type="dxa"/>
            <w:vAlign w:val="center"/>
          </w:tcPr>
          <w:p w14:paraId="1B11785B"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r>
      <w:tr w:rsidR="00E27D4E" w:rsidRPr="00E27D4E" w14:paraId="1D3AFBD7" w14:textId="77777777" w:rsidTr="00E27D4E">
        <w:trPr>
          <w:trHeight w:val="420"/>
        </w:trPr>
        <w:tc>
          <w:tcPr>
            <w:tcW w:w="1656" w:type="dxa"/>
            <w:vAlign w:val="center"/>
          </w:tcPr>
          <w:p w14:paraId="0F0FDE0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c>
          <w:tcPr>
            <w:tcW w:w="1657" w:type="dxa"/>
            <w:vAlign w:val="center"/>
          </w:tcPr>
          <w:p w14:paraId="6EC5FDA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1733.01</w:t>
            </w:r>
          </w:p>
        </w:tc>
        <w:tc>
          <w:tcPr>
            <w:tcW w:w="1657" w:type="dxa"/>
            <w:vAlign w:val="center"/>
          </w:tcPr>
          <w:p w14:paraId="3CA199B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2.41%</w:t>
            </w:r>
          </w:p>
        </w:tc>
        <w:tc>
          <w:tcPr>
            <w:tcW w:w="1657" w:type="dxa"/>
            <w:vAlign w:val="center"/>
          </w:tcPr>
          <w:p w14:paraId="1E938AA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r>
      <w:tr w:rsidR="00E27D4E" w:rsidRPr="00E27D4E" w14:paraId="4DA65C8E" w14:textId="77777777" w:rsidTr="00E27D4E">
        <w:trPr>
          <w:trHeight w:val="420"/>
        </w:trPr>
        <w:tc>
          <w:tcPr>
            <w:tcW w:w="1656" w:type="dxa"/>
            <w:vAlign w:val="center"/>
          </w:tcPr>
          <w:p w14:paraId="7ADC3268"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c>
          <w:tcPr>
            <w:tcW w:w="1657" w:type="dxa"/>
            <w:vAlign w:val="center"/>
          </w:tcPr>
          <w:p w14:paraId="6C86AEA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7193.74</w:t>
            </w:r>
          </w:p>
        </w:tc>
        <w:tc>
          <w:tcPr>
            <w:tcW w:w="1657" w:type="dxa"/>
            <w:vAlign w:val="center"/>
          </w:tcPr>
          <w:p w14:paraId="05E7F619"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9.99%</w:t>
            </w:r>
          </w:p>
        </w:tc>
        <w:tc>
          <w:tcPr>
            <w:tcW w:w="1657" w:type="dxa"/>
            <w:vAlign w:val="center"/>
          </w:tcPr>
          <w:p w14:paraId="2ED8C91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r>
      <w:tr w:rsidR="00E27D4E" w:rsidRPr="00E27D4E" w14:paraId="2615FF10" w14:textId="77777777" w:rsidTr="00E27D4E">
        <w:trPr>
          <w:trHeight w:val="420"/>
        </w:trPr>
        <w:tc>
          <w:tcPr>
            <w:tcW w:w="1656" w:type="dxa"/>
            <w:vAlign w:val="center"/>
          </w:tcPr>
          <w:p w14:paraId="0239831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c>
          <w:tcPr>
            <w:tcW w:w="1657" w:type="dxa"/>
            <w:vAlign w:val="center"/>
          </w:tcPr>
          <w:p w14:paraId="7366B21D"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15575.69</w:t>
            </w:r>
          </w:p>
        </w:tc>
        <w:tc>
          <w:tcPr>
            <w:tcW w:w="1657" w:type="dxa"/>
            <w:vAlign w:val="center"/>
          </w:tcPr>
          <w:p w14:paraId="45CBFB8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21.62%</w:t>
            </w:r>
          </w:p>
        </w:tc>
        <w:tc>
          <w:tcPr>
            <w:tcW w:w="1657" w:type="dxa"/>
            <w:vAlign w:val="center"/>
          </w:tcPr>
          <w:p w14:paraId="3D7E01C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r>
      <w:tr w:rsidR="00E27D4E" w:rsidRPr="00E27D4E" w14:paraId="200650B6" w14:textId="77777777" w:rsidTr="00E27D4E">
        <w:trPr>
          <w:trHeight w:val="420"/>
        </w:trPr>
        <w:tc>
          <w:tcPr>
            <w:tcW w:w="1656" w:type="dxa"/>
            <w:vAlign w:val="center"/>
          </w:tcPr>
          <w:p w14:paraId="34E6DA43"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c>
          <w:tcPr>
            <w:tcW w:w="1657" w:type="dxa"/>
            <w:vAlign w:val="center"/>
          </w:tcPr>
          <w:p w14:paraId="175000D4"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783.89</w:t>
            </w:r>
          </w:p>
        </w:tc>
        <w:tc>
          <w:tcPr>
            <w:tcW w:w="1657" w:type="dxa"/>
            <w:vAlign w:val="center"/>
          </w:tcPr>
          <w:p w14:paraId="733C793D"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1.09%</w:t>
            </w:r>
          </w:p>
        </w:tc>
        <w:tc>
          <w:tcPr>
            <w:tcW w:w="1657" w:type="dxa"/>
            <w:vAlign w:val="center"/>
          </w:tcPr>
          <w:p w14:paraId="72040A2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r>
      <w:tr w:rsidR="00E27D4E" w:rsidRPr="00E27D4E" w14:paraId="59528A57" w14:textId="77777777" w:rsidTr="00E27D4E">
        <w:trPr>
          <w:trHeight w:val="441"/>
        </w:trPr>
        <w:tc>
          <w:tcPr>
            <w:tcW w:w="1656" w:type="dxa"/>
            <w:vAlign w:val="center"/>
          </w:tcPr>
          <w:p w14:paraId="2D53282A"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c>
          <w:tcPr>
            <w:tcW w:w="1657" w:type="dxa"/>
            <w:vAlign w:val="center"/>
          </w:tcPr>
          <w:p w14:paraId="6A38A92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46747.00</w:t>
            </w:r>
          </w:p>
        </w:tc>
        <w:tc>
          <w:tcPr>
            <w:tcW w:w="1657" w:type="dxa"/>
            <w:vAlign w:val="center"/>
          </w:tcPr>
          <w:p w14:paraId="1ABD109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64.90%</w:t>
            </w:r>
          </w:p>
        </w:tc>
        <w:tc>
          <w:tcPr>
            <w:tcW w:w="1657" w:type="dxa"/>
            <w:vAlign w:val="center"/>
          </w:tcPr>
          <w:p w14:paraId="6232FE4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r>
    </w:tbl>
    <w:p w14:paraId="4E92188D" w14:textId="1B67038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2</w:t>
      </w:r>
      <w:r w:rsidRPr="00E27D4E">
        <w:rPr>
          <w:b/>
          <w:bCs/>
          <w:noProof/>
          <w:color w:val="000000" w:themeColor="text1"/>
          <w:sz w:val="22"/>
          <w:szCs w:val="22"/>
          <w:shd w:val="clear" w:color="auto" w:fill="FFFFFF"/>
        </w:rPr>
        <w:t>: Statistical Analysis of the land use land cover map of Niger State</w:t>
      </w:r>
    </w:p>
    <w:p w14:paraId="55C4B71B"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rPr>
        <w:lastRenderedPageBreak/>
        <w:drawing>
          <wp:inline distT="0" distB="0" distL="114300" distR="114300" wp14:anchorId="433E518A" wp14:editId="47DEBB7D">
            <wp:extent cx="4481830" cy="2529205"/>
            <wp:effectExtent l="0" t="0" r="13970" b="4445"/>
            <wp:docPr id="1926796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21"/>
    <w:p w14:paraId="76B1777F" w14:textId="003F753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4</w:t>
      </w:r>
      <w:r w:rsidRPr="00E27D4E">
        <w:rPr>
          <w:b/>
          <w:bCs/>
          <w:noProof/>
          <w:color w:val="000000" w:themeColor="text1"/>
          <w:sz w:val="22"/>
          <w:szCs w:val="22"/>
          <w:shd w:val="clear" w:color="auto" w:fill="FFFFFF"/>
        </w:rPr>
        <w:t>: Land use land cover chart of Niger State showing percentage cover</w:t>
      </w:r>
    </w:p>
    <w:p w14:paraId="11424A89" w14:textId="77777777" w:rsidR="005A4697" w:rsidRPr="00E27D4E" w:rsidRDefault="005A4697" w:rsidP="00E27D4E">
      <w:pPr>
        <w:pStyle w:val="NormalWeb"/>
        <w:jc w:val="both"/>
        <w:rPr>
          <w:noProof/>
          <w:color w:val="000000" w:themeColor="text1"/>
          <w:sz w:val="22"/>
          <w:szCs w:val="22"/>
          <w:shd w:val="clear" w:color="auto" w:fill="FFFFFF"/>
        </w:rPr>
      </w:pPr>
    </w:p>
    <w:p w14:paraId="19E63C8F"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drawing>
          <wp:inline distT="0" distB="0" distL="0" distR="0" wp14:anchorId="2D33257C" wp14:editId="2D5E78E2">
            <wp:extent cx="4010025" cy="3007741"/>
            <wp:effectExtent l="0" t="0" r="0" b="2540"/>
            <wp:docPr id="104339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80" cy="3014458"/>
                    </a:xfrm>
                    <a:prstGeom prst="rect">
                      <a:avLst/>
                    </a:prstGeom>
                    <a:noFill/>
                    <a:ln>
                      <a:noFill/>
                    </a:ln>
                  </pic:spPr>
                </pic:pic>
              </a:graphicData>
            </a:graphic>
          </wp:inline>
        </w:drawing>
      </w:r>
    </w:p>
    <w:p w14:paraId="30AE01A8" w14:textId="3C9554F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5</w:t>
      </w:r>
      <w:r w:rsidRPr="00E27D4E">
        <w:rPr>
          <w:b/>
          <w:bCs/>
          <w:noProof/>
          <w:color w:val="000000" w:themeColor="text1"/>
          <w:sz w:val="22"/>
          <w:szCs w:val="22"/>
          <w:shd w:val="clear" w:color="auto" w:fill="FFFFFF"/>
        </w:rPr>
        <w:t xml:space="preserve">: Study Area Map of Borgo Local Government showing proposed site for Green Hydrogen Energy </w:t>
      </w:r>
    </w:p>
    <w:p w14:paraId="482F46F3" w14:textId="1E825D5B" w:rsidR="005A4697" w:rsidRPr="00E27D4E" w:rsidRDefault="005A4697" w:rsidP="00E27D4E">
      <w:pPr>
        <w:spacing w:line="240" w:lineRule="auto"/>
        <w:jc w:val="both"/>
        <w:rPr>
          <w:rFonts w:ascii="Times New Roman" w:hAnsi="Times New Roman" w:cs="Times New Roman"/>
          <w:noProof/>
          <w:color w:val="000000" w:themeColor="text1"/>
          <w:sz w:val="22"/>
          <w:szCs w:val="22"/>
          <w:shd w:val="clear" w:color="auto" w:fill="FFFFFF"/>
        </w:rPr>
      </w:pPr>
      <w:r w:rsidRPr="00E27D4E">
        <w:rPr>
          <w:rFonts w:ascii="Times New Roman" w:hAnsi="Times New Roman" w:cs="Times New Roman"/>
          <w:noProof/>
          <w:color w:val="000000" w:themeColor="text1"/>
          <w:sz w:val="22"/>
          <w:szCs w:val="22"/>
          <w:shd w:val="clear" w:color="auto" w:fill="FFFFFF"/>
        </w:rPr>
        <w:t>The map above shows the proposed site for green hydrogen energy in Borgu local government area of Niger State. Five locations where picked which meets the main criteria for green hydrogen site selection which is water body. The longitude and latitude of these locations are shown in the table below for easy identification of the specific areas.</w:t>
      </w:r>
    </w:p>
    <w:p w14:paraId="5EDBDC23" w14:textId="77777777" w:rsidR="005A4697" w:rsidRPr="00E27D4E" w:rsidRDefault="005A4697" w:rsidP="00E27D4E">
      <w:pPr>
        <w:pStyle w:val="NormalWeb"/>
        <w:jc w:val="both"/>
        <w:rPr>
          <w:b/>
          <w:bCs/>
          <w:noProof/>
          <w:color w:val="000000" w:themeColor="text1"/>
          <w:sz w:val="22"/>
          <w:szCs w:val="22"/>
          <w:shd w:val="clear" w:color="auto" w:fill="FFFFFF"/>
        </w:rPr>
      </w:pPr>
    </w:p>
    <w:p w14:paraId="33991304" w14:textId="77777777" w:rsidR="005A4697" w:rsidRDefault="005A4697" w:rsidP="00E27D4E">
      <w:pPr>
        <w:pStyle w:val="NormalWeb"/>
        <w:jc w:val="both"/>
        <w:rPr>
          <w:b/>
          <w:bCs/>
          <w:noProof/>
          <w:color w:val="000000" w:themeColor="text1"/>
          <w:sz w:val="22"/>
          <w:szCs w:val="22"/>
          <w:shd w:val="clear" w:color="auto" w:fill="FFFFFF"/>
        </w:rPr>
      </w:pPr>
    </w:p>
    <w:p w14:paraId="0710AEC6" w14:textId="77777777" w:rsidR="00473597" w:rsidRPr="00E27D4E" w:rsidRDefault="00473597" w:rsidP="00E27D4E">
      <w:pPr>
        <w:pStyle w:val="NormalWeb"/>
        <w:jc w:val="both"/>
        <w:rPr>
          <w:b/>
          <w:bCs/>
          <w:noProof/>
          <w:color w:val="000000" w:themeColor="text1"/>
          <w:sz w:val="22"/>
          <w:szCs w:val="22"/>
          <w:shd w:val="clear" w:color="auto" w:fill="FFFFFF"/>
        </w:rPr>
      </w:pPr>
    </w:p>
    <w:tbl>
      <w:tblPr>
        <w:tblStyle w:val="TableGrid"/>
        <w:tblW w:w="0" w:type="auto"/>
        <w:tblLook w:val="04A0" w:firstRow="1" w:lastRow="0" w:firstColumn="1" w:lastColumn="0" w:noHBand="0" w:noVBand="1"/>
      </w:tblPr>
      <w:tblGrid>
        <w:gridCol w:w="3005"/>
        <w:gridCol w:w="3005"/>
        <w:gridCol w:w="3006"/>
      </w:tblGrid>
      <w:tr w:rsidR="00E27D4E" w:rsidRPr="00E27D4E" w14:paraId="791886D7" w14:textId="77777777" w:rsidTr="00391DD5">
        <w:tc>
          <w:tcPr>
            <w:tcW w:w="3005" w:type="dxa"/>
          </w:tcPr>
          <w:p w14:paraId="127B544D"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lastRenderedPageBreak/>
              <w:t>Location</w:t>
            </w:r>
          </w:p>
        </w:tc>
        <w:tc>
          <w:tcPr>
            <w:tcW w:w="3005" w:type="dxa"/>
          </w:tcPr>
          <w:p w14:paraId="205DCB44"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t>Longitude</w:t>
            </w:r>
          </w:p>
        </w:tc>
        <w:tc>
          <w:tcPr>
            <w:tcW w:w="3006" w:type="dxa"/>
          </w:tcPr>
          <w:p w14:paraId="494BB982" w14:textId="77777777" w:rsidR="005A4697" w:rsidRPr="00E27D4E" w:rsidRDefault="005A4697" w:rsidP="00E27D4E">
            <w:pPr>
              <w:pStyle w:val="NormalWeb"/>
              <w:rPr>
                <w:b/>
                <w:bCs/>
                <w:noProof/>
                <w:color w:val="000000" w:themeColor="text1"/>
                <w:sz w:val="22"/>
                <w:szCs w:val="22"/>
                <w:shd w:val="clear" w:color="auto" w:fill="FFFFFF"/>
              </w:rPr>
            </w:pPr>
            <w:r w:rsidRPr="00E27D4E">
              <w:rPr>
                <w:b/>
                <w:bCs/>
                <w:noProof/>
                <w:color w:val="000000" w:themeColor="text1"/>
                <w:sz w:val="22"/>
                <w:szCs w:val="22"/>
                <w:shd w:val="clear" w:color="auto" w:fill="FFFFFF"/>
              </w:rPr>
              <w:t>Latitude</w:t>
            </w:r>
          </w:p>
        </w:tc>
      </w:tr>
      <w:tr w:rsidR="00E27D4E" w:rsidRPr="00E27D4E" w14:paraId="10CC1A9B" w14:textId="77777777" w:rsidTr="00391DD5">
        <w:tc>
          <w:tcPr>
            <w:tcW w:w="3005" w:type="dxa"/>
          </w:tcPr>
          <w:p w14:paraId="3CF9E56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w:t>
            </w:r>
          </w:p>
        </w:tc>
        <w:tc>
          <w:tcPr>
            <w:tcW w:w="3005" w:type="dxa"/>
          </w:tcPr>
          <w:p w14:paraId="59E2B7FF"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4.018</w:t>
            </w:r>
          </w:p>
        </w:tc>
        <w:tc>
          <w:tcPr>
            <w:tcW w:w="3006" w:type="dxa"/>
          </w:tcPr>
          <w:p w14:paraId="69B99D15"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10.783</w:t>
            </w:r>
          </w:p>
        </w:tc>
      </w:tr>
      <w:tr w:rsidR="00E27D4E" w:rsidRPr="00E27D4E" w14:paraId="3D5B2377" w14:textId="77777777" w:rsidTr="00391DD5">
        <w:tc>
          <w:tcPr>
            <w:tcW w:w="3005" w:type="dxa"/>
          </w:tcPr>
          <w:p w14:paraId="012555F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2</w:t>
            </w:r>
          </w:p>
        </w:tc>
        <w:tc>
          <w:tcPr>
            <w:tcW w:w="3005" w:type="dxa"/>
          </w:tcPr>
          <w:p w14:paraId="105FE4A3"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4.21</w:t>
            </w:r>
          </w:p>
        </w:tc>
        <w:tc>
          <w:tcPr>
            <w:tcW w:w="3006" w:type="dxa"/>
          </w:tcPr>
          <w:p w14:paraId="49D2F704"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10.38</w:t>
            </w:r>
          </w:p>
        </w:tc>
      </w:tr>
      <w:tr w:rsidR="00E27D4E" w:rsidRPr="00E27D4E" w14:paraId="6224BE14" w14:textId="77777777" w:rsidTr="00391DD5">
        <w:tc>
          <w:tcPr>
            <w:tcW w:w="3005" w:type="dxa"/>
          </w:tcPr>
          <w:p w14:paraId="6C6C67A4"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3</w:t>
            </w:r>
          </w:p>
        </w:tc>
        <w:tc>
          <w:tcPr>
            <w:tcW w:w="3005" w:type="dxa"/>
          </w:tcPr>
          <w:p w14:paraId="15D0EF7F"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4.323</w:t>
            </w:r>
          </w:p>
        </w:tc>
        <w:tc>
          <w:tcPr>
            <w:tcW w:w="3006" w:type="dxa"/>
          </w:tcPr>
          <w:p w14:paraId="0B80AACA"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10.137</w:t>
            </w:r>
          </w:p>
        </w:tc>
      </w:tr>
      <w:tr w:rsidR="00E27D4E" w:rsidRPr="00E27D4E" w14:paraId="0E038D2D" w14:textId="77777777" w:rsidTr="00391DD5">
        <w:tc>
          <w:tcPr>
            <w:tcW w:w="3005" w:type="dxa"/>
          </w:tcPr>
          <w:p w14:paraId="369CF609"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w:t>
            </w:r>
          </w:p>
        </w:tc>
        <w:tc>
          <w:tcPr>
            <w:tcW w:w="3005" w:type="dxa"/>
          </w:tcPr>
          <w:p w14:paraId="3E9778E8"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4.511</w:t>
            </w:r>
          </w:p>
        </w:tc>
        <w:tc>
          <w:tcPr>
            <w:tcW w:w="3006" w:type="dxa"/>
          </w:tcPr>
          <w:p w14:paraId="54063A9D"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9.549</w:t>
            </w:r>
          </w:p>
        </w:tc>
      </w:tr>
      <w:tr w:rsidR="00E27D4E" w:rsidRPr="00E27D4E" w14:paraId="56E48217" w14:textId="77777777" w:rsidTr="00391DD5">
        <w:tc>
          <w:tcPr>
            <w:tcW w:w="3005" w:type="dxa"/>
          </w:tcPr>
          <w:p w14:paraId="394BBFA7"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5</w:t>
            </w:r>
          </w:p>
        </w:tc>
        <w:tc>
          <w:tcPr>
            <w:tcW w:w="3005" w:type="dxa"/>
          </w:tcPr>
          <w:p w14:paraId="2A044E60"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4.487</w:t>
            </w:r>
          </w:p>
        </w:tc>
        <w:tc>
          <w:tcPr>
            <w:tcW w:w="3006" w:type="dxa"/>
          </w:tcPr>
          <w:p w14:paraId="023F7126" w14:textId="77777777" w:rsidR="005A4697" w:rsidRPr="00E27D4E" w:rsidRDefault="005A4697" w:rsidP="00E27D4E">
            <w:pPr>
              <w:pStyle w:val="NormalWeb"/>
              <w:rPr>
                <w:noProof/>
                <w:color w:val="000000" w:themeColor="text1"/>
                <w:sz w:val="22"/>
                <w:szCs w:val="22"/>
                <w:shd w:val="clear" w:color="auto" w:fill="FFFFFF"/>
              </w:rPr>
            </w:pPr>
            <w:r w:rsidRPr="00E27D4E">
              <w:rPr>
                <w:noProof/>
                <w:color w:val="000000" w:themeColor="text1"/>
                <w:sz w:val="22"/>
                <w:szCs w:val="22"/>
                <w:shd w:val="clear" w:color="auto" w:fill="FFFFFF"/>
              </w:rPr>
              <w:t>9.884</w:t>
            </w:r>
          </w:p>
        </w:tc>
      </w:tr>
    </w:tbl>
    <w:p w14:paraId="175F8A8C" w14:textId="34891C72" w:rsidR="005A4697" w:rsidRPr="00E27D4E" w:rsidRDefault="005A4697" w:rsidP="00E27D4E">
      <w:pPr>
        <w:pStyle w:val="NormalWeb"/>
        <w:jc w:val="both"/>
        <w:rPr>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3</w:t>
      </w:r>
      <w:r w:rsidRPr="00E27D4E">
        <w:rPr>
          <w:b/>
          <w:bCs/>
          <w:noProof/>
          <w:color w:val="000000" w:themeColor="text1"/>
          <w:sz w:val="22"/>
          <w:szCs w:val="22"/>
          <w:shd w:val="clear" w:color="auto" w:fill="FFFFFF"/>
        </w:rPr>
        <w:t>: Table showing longitude and latitude of proposed green hydrogen sites in Borgu local government area</w:t>
      </w:r>
      <w:r w:rsidRPr="00E27D4E">
        <w:rPr>
          <w:noProof/>
          <w:color w:val="000000" w:themeColor="text1"/>
          <w:sz w:val="22"/>
          <w:szCs w:val="22"/>
          <w:shd w:val="clear" w:color="auto" w:fill="FFFFFF"/>
        </w:rPr>
        <w:t>.</w:t>
      </w:r>
    </w:p>
    <w:p w14:paraId="4752CD56"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drawing>
          <wp:inline distT="0" distB="0" distL="0" distR="0" wp14:anchorId="486C1F44" wp14:editId="3C3DE3F1">
            <wp:extent cx="4048125" cy="3036318"/>
            <wp:effectExtent l="0" t="0" r="0" b="0"/>
            <wp:docPr id="18223074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872" cy="3041379"/>
                    </a:xfrm>
                    <a:prstGeom prst="rect">
                      <a:avLst/>
                    </a:prstGeom>
                    <a:noFill/>
                    <a:ln>
                      <a:noFill/>
                    </a:ln>
                  </pic:spPr>
                </pic:pic>
              </a:graphicData>
            </a:graphic>
          </wp:inline>
        </w:drawing>
      </w:r>
    </w:p>
    <w:p w14:paraId="4E9C4A16" w14:textId="45262F36"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E27D4E">
        <w:rPr>
          <w:b/>
          <w:bCs/>
          <w:noProof/>
          <w:color w:val="000000" w:themeColor="text1"/>
          <w:sz w:val="22"/>
          <w:szCs w:val="22"/>
          <w:shd w:val="clear" w:color="auto" w:fill="FFFFFF"/>
        </w:rPr>
        <w:t>6</w:t>
      </w:r>
      <w:r w:rsidRPr="00E27D4E">
        <w:rPr>
          <w:b/>
          <w:bCs/>
          <w:noProof/>
          <w:color w:val="000000" w:themeColor="text1"/>
          <w:sz w:val="22"/>
          <w:szCs w:val="22"/>
          <w:shd w:val="clear" w:color="auto" w:fill="FFFFFF"/>
        </w:rPr>
        <w:t>: Map showing land use land cover of Borgu local Government</w:t>
      </w:r>
    </w:p>
    <w:p w14:paraId="5CD312C5"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various land use classes in Borgu local government area in Niger state. Land use classes include water body, vegetation, crop land, built up area and bare surface. Below is a table showing the area per square meter and percentage cover of the various land use classes.</w:t>
      </w:r>
    </w:p>
    <w:tbl>
      <w:tblPr>
        <w:tblStyle w:val="TableGrid"/>
        <w:tblW w:w="8538" w:type="dxa"/>
        <w:tblLook w:val="04A0" w:firstRow="1" w:lastRow="0" w:firstColumn="1" w:lastColumn="0" w:noHBand="0" w:noVBand="1"/>
      </w:tblPr>
      <w:tblGrid>
        <w:gridCol w:w="2134"/>
        <w:gridCol w:w="2134"/>
        <w:gridCol w:w="2135"/>
        <w:gridCol w:w="2135"/>
      </w:tblGrid>
      <w:tr w:rsidR="00E27D4E" w:rsidRPr="00E27D4E" w14:paraId="7892C989" w14:textId="77777777" w:rsidTr="00391DD5">
        <w:trPr>
          <w:trHeight w:val="494"/>
        </w:trPr>
        <w:tc>
          <w:tcPr>
            <w:tcW w:w="2134" w:type="dxa"/>
          </w:tcPr>
          <w:p w14:paraId="2883F52C" w14:textId="77777777" w:rsidR="005A4697" w:rsidRPr="00E27D4E" w:rsidRDefault="005A4697" w:rsidP="00E27D4E">
            <w:pPr>
              <w:rPr>
                <w:rFonts w:ascii="Times New Roman" w:hAnsi="Times New Roman" w:cs="Times New Roman"/>
                <w:b/>
                <w:bCs/>
                <w:color w:val="000000" w:themeColor="text1"/>
                <w:sz w:val="22"/>
                <w:szCs w:val="22"/>
              </w:rPr>
            </w:pPr>
            <w:r w:rsidRPr="00E27D4E">
              <w:rPr>
                <w:rFonts w:ascii="Times New Roman" w:hAnsi="Times New Roman" w:cs="Times New Roman"/>
                <w:b/>
                <w:bCs/>
                <w:color w:val="000000" w:themeColor="text1"/>
                <w:sz w:val="22"/>
                <w:szCs w:val="22"/>
              </w:rPr>
              <w:t>S/N</w:t>
            </w:r>
          </w:p>
        </w:tc>
        <w:tc>
          <w:tcPr>
            <w:tcW w:w="2134" w:type="dxa"/>
            <w:vAlign w:val="center"/>
          </w:tcPr>
          <w:p w14:paraId="69615826"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Class</w:t>
            </w:r>
          </w:p>
        </w:tc>
        <w:tc>
          <w:tcPr>
            <w:tcW w:w="2135" w:type="dxa"/>
            <w:vAlign w:val="center"/>
          </w:tcPr>
          <w:p w14:paraId="567F885D"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 (</w:t>
            </w:r>
            <w:proofErr w:type="spellStart"/>
            <w:r w:rsidRPr="00E27D4E">
              <w:rPr>
                <w:rFonts w:ascii="Times New Roman" w:eastAsia="SimSun" w:hAnsi="Times New Roman" w:cs="Times New Roman"/>
                <w:b/>
                <w:bCs/>
                <w:color w:val="000000" w:themeColor="text1"/>
                <w:sz w:val="22"/>
                <w:szCs w:val="22"/>
                <w:lang w:eastAsia="zh-CN" w:bidi="ar"/>
              </w:rPr>
              <w:t>Sqkm</w:t>
            </w:r>
            <w:proofErr w:type="spellEnd"/>
            <w:r w:rsidRPr="00E27D4E">
              <w:rPr>
                <w:rFonts w:ascii="Times New Roman" w:eastAsia="SimSun" w:hAnsi="Times New Roman" w:cs="Times New Roman"/>
                <w:b/>
                <w:bCs/>
                <w:color w:val="000000" w:themeColor="text1"/>
                <w:sz w:val="22"/>
                <w:szCs w:val="22"/>
                <w:lang w:eastAsia="zh-CN" w:bidi="ar"/>
              </w:rPr>
              <w:t>)</w:t>
            </w:r>
          </w:p>
        </w:tc>
        <w:tc>
          <w:tcPr>
            <w:tcW w:w="2135" w:type="dxa"/>
            <w:vAlign w:val="center"/>
          </w:tcPr>
          <w:p w14:paraId="759F3A76" w14:textId="77777777" w:rsidR="005A4697" w:rsidRPr="00E27D4E" w:rsidRDefault="005A4697" w:rsidP="00E27D4E">
            <w:pPr>
              <w:widowControl/>
              <w:textAlignment w:val="center"/>
              <w:rPr>
                <w:rFonts w:ascii="Times New Roman" w:hAnsi="Times New Roman" w:cs="Times New Roman"/>
                <w:b/>
                <w:bCs/>
                <w:color w:val="000000" w:themeColor="text1"/>
                <w:sz w:val="22"/>
                <w:szCs w:val="22"/>
              </w:rPr>
            </w:pPr>
            <w:r w:rsidRPr="00E27D4E">
              <w:rPr>
                <w:rFonts w:ascii="Times New Roman" w:eastAsia="SimSun" w:hAnsi="Times New Roman" w:cs="Times New Roman"/>
                <w:b/>
                <w:bCs/>
                <w:color w:val="000000" w:themeColor="text1"/>
                <w:sz w:val="22"/>
                <w:szCs w:val="22"/>
                <w:lang w:eastAsia="zh-CN" w:bidi="ar"/>
              </w:rPr>
              <w:t>Area(%)</w:t>
            </w:r>
          </w:p>
        </w:tc>
      </w:tr>
      <w:tr w:rsidR="00E27D4E" w:rsidRPr="00E27D4E" w14:paraId="07B3830B" w14:textId="77777777" w:rsidTr="00391DD5">
        <w:trPr>
          <w:trHeight w:val="494"/>
        </w:trPr>
        <w:tc>
          <w:tcPr>
            <w:tcW w:w="2134" w:type="dxa"/>
          </w:tcPr>
          <w:p w14:paraId="324A7299"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1</w:t>
            </w:r>
          </w:p>
        </w:tc>
        <w:tc>
          <w:tcPr>
            <w:tcW w:w="2134" w:type="dxa"/>
            <w:vAlign w:val="center"/>
          </w:tcPr>
          <w:p w14:paraId="6D1B2BB9"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Water body</w:t>
            </w:r>
          </w:p>
        </w:tc>
        <w:tc>
          <w:tcPr>
            <w:tcW w:w="2135" w:type="dxa"/>
            <w:vAlign w:val="center"/>
          </w:tcPr>
          <w:p w14:paraId="466957B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355.07</w:t>
            </w:r>
          </w:p>
        </w:tc>
        <w:tc>
          <w:tcPr>
            <w:tcW w:w="2135" w:type="dxa"/>
            <w:vAlign w:val="center"/>
          </w:tcPr>
          <w:p w14:paraId="5257A72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3.16%</w:t>
            </w:r>
          </w:p>
        </w:tc>
      </w:tr>
      <w:tr w:rsidR="00E27D4E" w:rsidRPr="00E27D4E" w14:paraId="7AF94104" w14:textId="77777777" w:rsidTr="00391DD5">
        <w:trPr>
          <w:trHeight w:val="494"/>
        </w:trPr>
        <w:tc>
          <w:tcPr>
            <w:tcW w:w="2134" w:type="dxa"/>
          </w:tcPr>
          <w:p w14:paraId="0CB6FF9C"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2</w:t>
            </w:r>
          </w:p>
        </w:tc>
        <w:tc>
          <w:tcPr>
            <w:tcW w:w="2134" w:type="dxa"/>
            <w:vAlign w:val="center"/>
          </w:tcPr>
          <w:p w14:paraId="6378C981"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Vegetation</w:t>
            </w:r>
          </w:p>
        </w:tc>
        <w:tc>
          <w:tcPr>
            <w:tcW w:w="2135" w:type="dxa"/>
            <w:vAlign w:val="center"/>
          </w:tcPr>
          <w:p w14:paraId="2BD73EC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1577.78</w:t>
            </w:r>
          </w:p>
        </w:tc>
        <w:tc>
          <w:tcPr>
            <w:tcW w:w="2135" w:type="dxa"/>
            <w:vAlign w:val="center"/>
          </w:tcPr>
          <w:p w14:paraId="7B90BEE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14.03%</w:t>
            </w:r>
          </w:p>
        </w:tc>
      </w:tr>
      <w:tr w:rsidR="00E27D4E" w:rsidRPr="00E27D4E" w14:paraId="7889175C" w14:textId="77777777" w:rsidTr="00391DD5">
        <w:trPr>
          <w:trHeight w:val="494"/>
        </w:trPr>
        <w:tc>
          <w:tcPr>
            <w:tcW w:w="2134" w:type="dxa"/>
          </w:tcPr>
          <w:p w14:paraId="47403C33"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3</w:t>
            </w:r>
          </w:p>
        </w:tc>
        <w:tc>
          <w:tcPr>
            <w:tcW w:w="2134" w:type="dxa"/>
            <w:vAlign w:val="center"/>
          </w:tcPr>
          <w:p w14:paraId="0652533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Crop land</w:t>
            </w:r>
          </w:p>
        </w:tc>
        <w:tc>
          <w:tcPr>
            <w:tcW w:w="2135" w:type="dxa"/>
            <w:vAlign w:val="center"/>
          </w:tcPr>
          <w:p w14:paraId="1F4EFA9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589.62</w:t>
            </w:r>
          </w:p>
        </w:tc>
        <w:tc>
          <w:tcPr>
            <w:tcW w:w="2135" w:type="dxa"/>
            <w:vAlign w:val="center"/>
          </w:tcPr>
          <w:p w14:paraId="33EF25C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5.24%</w:t>
            </w:r>
          </w:p>
        </w:tc>
      </w:tr>
      <w:tr w:rsidR="00E27D4E" w:rsidRPr="00E27D4E" w14:paraId="515715F6" w14:textId="77777777" w:rsidTr="00391DD5">
        <w:trPr>
          <w:trHeight w:val="494"/>
        </w:trPr>
        <w:tc>
          <w:tcPr>
            <w:tcW w:w="2134" w:type="dxa"/>
          </w:tcPr>
          <w:p w14:paraId="3E521CFB"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4</w:t>
            </w:r>
          </w:p>
        </w:tc>
        <w:tc>
          <w:tcPr>
            <w:tcW w:w="2134" w:type="dxa"/>
            <w:vAlign w:val="center"/>
          </w:tcPr>
          <w:p w14:paraId="6F2EAD0F"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Built up area</w:t>
            </w:r>
          </w:p>
        </w:tc>
        <w:tc>
          <w:tcPr>
            <w:tcW w:w="2135" w:type="dxa"/>
            <w:vAlign w:val="center"/>
          </w:tcPr>
          <w:p w14:paraId="6CB21D85"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38.49</w:t>
            </w:r>
          </w:p>
        </w:tc>
        <w:tc>
          <w:tcPr>
            <w:tcW w:w="2135" w:type="dxa"/>
            <w:vAlign w:val="center"/>
          </w:tcPr>
          <w:p w14:paraId="082367F0"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0.34%</w:t>
            </w:r>
          </w:p>
        </w:tc>
      </w:tr>
      <w:tr w:rsidR="00E27D4E" w:rsidRPr="00E27D4E" w14:paraId="2408E704" w14:textId="77777777" w:rsidTr="00391DD5">
        <w:trPr>
          <w:trHeight w:val="494"/>
        </w:trPr>
        <w:tc>
          <w:tcPr>
            <w:tcW w:w="2134" w:type="dxa"/>
          </w:tcPr>
          <w:p w14:paraId="14F26BEA" w14:textId="77777777" w:rsidR="005A4697" w:rsidRPr="00E27D4E" w:rsidRDefault="005A4697" w:rsidP="00E27D4E">
            <w:pPr>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t>5</w:t>
            </w:r>
          </w:p>
        </w:tc>
        <w:tc>
          <w:tcPr>
            <w:tcW w:w="2134" w:type="dxa"/>
            <w:vAlign w:val="center"/>
          </w:tcPr>
          <w:p w14:paraId="3322B8EA"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Bare surface</w:t>
            </w:r>
          </w:p>
        </w:tc>
        <w:tc>
          <w:tcPr>
            <w:tcW w:w="2135" w:type="dxa"/>
            <w:vAlign w:val="center"/>
          </w:tcPr>
          <w:p w14:paraId="561CB8BB"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8684.91</w:t>
            </w:r>
          </w:p>
        </w:tc>
        <w:tc>
          <w:tcPr>
            <w:tcW w:w="2135" w:type="dxa"/>
            <w:vAlign w:val="center"/>
          </w:tcPr>
          <w:p w14:paraId="26E7C1F7"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77.23%</w:t>
            </w:r>
          </w:p>
        </w:tc>
      </w:tr>
      <w:tr w:rsidR="00E27D4E" w:rsidRPr="00E27D4E" w14:paraId="62A8EF96" w14:textId="77777777" w:rsidTr="00391DD5">
        <w:trPr>
          <w:trHeight w:val="512"/>
        </w:trPr>
        <w:tc>
          <w:tcPr>
            <w:tcW w:w="2134" w:type="dxa"/>
          </w:tcPr>
          <w:p w14:paraId="04934678" w14:textId="77777777" w:rsidR="005A4697" w:rsidRPr="00E27D4E" w:rsidRDefault="005A4697" w:rsidP="00E27D4E">
            <w:pPr>
              <w:rPr>
                <w:rFonts w:ascii="Times New Roman" w:hAnsi="Times New Roman" w:cs="Times New Roman"/>
                <w:color w:val="000000" w:themeColor="text1"/>
                <w:sz w:val="22"/>
                <w:szCs w:val="22"/>
              </w:rPr>
            </w:pPr>
          </w:p>
        </w:tc>
        <w:tc>
          <w:tcPr>
            <w:tcW w:w="2134" w:type="dxa"/>
            <w:vAlign w:val="center"/>
          </w:tcPr>
          <w:p w14:paraId="21031E0C"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Total</w:t>
            </w:r>
          </w:p>
        </w:tc>
        <w:tc>
          <w:tcPr>
            <w:tcW w:w="2135" w:type="dxa"/>
            <w:vAlign w:val="center"/>
          </w:tcPr>
          <w:p w14:paraId="0FA46B88"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11245.87</w:t>
            </w:r>
          </w:p>
        </w:tc>
        <w:tc>
          <w:tcPr>
            <w:tcW w:w="2135" w:type="dxa"/>
            <w:vAlign w:val="center"/>
          </w:tcPr>
          <w:p w14:paraId="31BE0A96" w14:textId="77777777" w:rsidR="005A4697" w:rsidRPr="00E27D4E" w:rsidRDefault="005A4697" w:rsidP="00E27D4E">
            <w:pPr>
              <w:widowControl/>
              <w:textAlignment w:val="center"/>
              <w:rPr>
                <w:rFonts w:ascii="Times New Roman" w:hAnsi="Times New Roman" w:cs="Times New Roman"/>
                <w:color w:val="000000" w:themeColor="text1"/>
                <w:sz w:val="22"/>
                <w:szCs w:val="22"/>
              </w:rPr>
            </w:pPr>
            <w:r w:rsidRPr="00E27D4E">
              <w:rPr>
                <w:rFonts w:ascii="Times New Roman" w:eastAsia="SimSun" w:hAnsi="Times New Roman" w:cs="Times New Roman"/>
                <w:color w:val="000000" w:themeColor="text1"/>
                <w:sz w:val="22"/>
                <w:szCs w:val="22"/>
                <w:lang w:eastAsia="zh-CN" w:bidi="ar"/>
              </w:rPr>
              <w:t>100.00%</w:t>
            </w:r>
          </w:p>
        </w:tc>
      </w:tr>
    </w:tbl>
    <w:p w14:paraId="05FC3832" w14:textId="18480409"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Table </w:t>
      </w:r>
      <w:r w:rsidR="00E27D4E">
        <w:rPr>
          <w:b/>
          <w:bCs/>
          <w:noProof/>
          <w:color w:val="000000" w:themeColor="text1"/>
          <w:sz w:val="22"/>
          <w:szCs w:val="22"/>
          <w:shd w:val="clear" w:color="auto" w:fill="FFFFFF"/>
        </w:rPr>
        <w:t>4</w:t>
      </w:r>
      <w:r w:rsidRPr="00E27D4E">
        <w:rPr>
          <w:b/>
          <w:bCs/>
          <w:noProof/>
          <w:color w:val="000000" w:themeColor="text1"/>
          <w:sz w:val="22"/>
          <w:szCs w:val="22"/>
          <w:shd w:val="clear" w:color="auto" w:fill="FFFFFF"/>
        </w:rPr>
        <w:t>: Table showing the different land use classes and their areas per square meter and percentage cover</w:t>
      </w:r>
    </w:p>
    <w:p w14:paraId="38047C74"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rPr>
        <w:lastRenderedPageBreak/>
        <w:drawing>
          <wp:inline distT="0" distB="0" distL="114300" distR="114300" wp14:anchorId="2DE36942" wp14:editId="0849CA8B">
            <wp:extent cx="4826000" cy="2743200"/>
            <wp:effectExtent l="4445" t="4445" r="8255" b="14605"/>
            <wp:docPr id="71671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274103" w14:textId="0598DF10"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7</w:t>
      </w:r>
      <w:r w:rsidRPr="00E27D4E">
        <w:rPr>
          <w:b/>
          <w:bCs/>
          <w:noProof/>
          <w:color w:val="000000" w:themeColor="text1"/>
          <w:sz w:val="22"/>
          <w:szCs w:val="22"/>
          <w:shd w:val="clear" w:color="auto" w:fill="FFFFFF"/>
        </w:rPr>
        <w:t>; Land use land cover chart of Borgu local government showing area per square meter</w:t>
      </w:r>
    </w:p>
    <w:p w14:paraId="3FF5E5E2"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rPr>
        <w:drawing>
          <wp:inline distT="0" distB="0" distL="114300" distR="114300" wp14:anchorId="11EBE781" wp14:editId="221CEB66">
            <wp:extent cx="4826000" cy="2529205"/>
            <wp:effectExtent l="0" t="0" r="12700" b="4445"/>
            <wp:docPr id="12447896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80E81E" w14:textId="4ED4A17D"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8</w:t>
      </w:r>
      <w:r w:rsidRPr="00E27D4E">
        <w:rPr>
          <w:b/>
          <w:bCs/>
          <w:noProof/>
          <w:color w:val="000000" w:themeColor="text1"/>
          <w:sz w:val="22"/>
          <w:szCs w:val="22"/>
          <w:shd w:val="clear" w:color="auto" w:fill="FFFFFF"/>
        </w:rPr>
        <w:t>: Land use land cover chart of Borgu local government showing percentage cover.</w:t>
      </w:r>
    </w:p>
    <w:p w14:paraId="075598A6" w14:textId="77777777" w:rsidR="005A4697" w:rsidRPr="00E27D4E" w:rsidRDefault="005A4697" w:rsidP="00E27D4E">
      <w:pPr>
        <w:pStyle w:val="Heading1"/>
        <w:spacing w:line="240" w:lineRule="auto"/>
        <w:jc w:val="both"/>
        <w:rPr>
          <w:rFonts w:ascii="Times New Roman" w:hAnsi="Times New Roman" w:cs="Times New Roman"/>
          <w:b/>
          <w:bCs/>
          <w:noProof/>
          <w:color w:val="000000" w:themeColor="text1"/>
          <w:sz w:val="22"/>
          <w:szCs w:val="22"/>
          <w:shd w:val="clear" w:color="auto" w:fill="FFFFFF"/>
        </w:rPr>
      </w:pPr>
    </w:p>
    <w:p w14:paraId="68099E13"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drawing>
          <wp:inline distT="0" distB="0" distL="0" distR="0" wp14:anchorId="4A7F6FFC" wp14:editId="58C94D7F">
            <wp:extent cx="3822417" cy="2867025"/>
            <wp:effectExtent l="0" t="0" r="6985" b="0"/>
            <wp:docPr id="11329057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5819" cy="2877077"/>
                    </a:xfrm>
                    <a:prstGeom prst="rect">
                      <a:avLst/>
                    </a:prstGeom>
                    <a:noFill/>
                    <a:ln>
                      <a:noFill/>
                    </a:ln>
                  </pic:spPr>
                </pic:pic>
              </a:graphicData>
            </a:graphic>
          </wp:inline>
        </w:drawing>
      </w:r>
    </w:p>
    <w:p w14:paraId="54023178" w14:textId="768B0C36"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9</w:t>
      </w:r>
      <w:r w:rsidRPr="00E27D4E">
        <w:rPr>
          <w:b/>
          <w:bCs/>
          <w:noProof/>
          <w:color w:val="000000" w:themeColor="text1"/>
          <w:sz w:val="22"/>
          <w:szCs w:val="22"/>
          <w:shd w:val="clear" w:color="auto" w:fill="FFFFFF"/>
        </w:rPr>
        <w:t>: Map showing distance to road networks in Niger State</w:t>
      </w:r>
    </w:p>
    <w:p w14:paraId="73309804"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distance to road networks across Niger state. The value for distance to road are in meters and are displayed on the map. We can see that Borgu local government has close proximity to road, which meets up with a very good criteria for green hydrogen site selection, for easy transportation of products.</w:t>
      </w:r>
    </w:p>
    <w:p w14:paraId="2A44BFF9"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rPr>
        <w:drawing>
          <wp:inline distT="0" distB="0" distL="114300" distR="114300" wp14:anchorId="65F5BECE" wp14:editId="2EB7909E">
            <wp:extent cx="3682704" cy="2762250"/>
            <wp:effectExtent l="0" t="0" r="0" b="0"/>
            <wp:docPr id="1836705957" name="Picture 1836705957" descr="POP 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P DENS"/>
                    <pic:cNvPicPr>
                      <a:picLocks noChangeAspect="1"/>
                    </pic:cNvPicPr>
                  </pic:nvPicPr>
                  <pic:blipFill>
                    <a:blip r:embed="rId18"/>
                    <a:stretch>
                      <a:fillRect/>
                    </a:stretch>
                  </pic:blipFill>
                  <pic:spPr>
                    <a:xfrm>
                      <a:off x="0" y="0"/>
                      <a:ext cx="3690166" cy="2767847"/>
                    </a:xfrm>
                    <a:prstGeom prst="rect">
                      <a:avLst/>
                    </a:prstGeom>
                  </pic:spPr>
                </pic:pic>
              </a:graphicData>
            </a:graphic>
          </wp:inline>
        </w:drawing>
      </w:r>
    </w:p>
    <w:p w14:paraId="2A858A4D" w14:textId="702D88E8"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10</w:t>
      </w:r>
      <w:r w:rsidRPr="00E27D4E">
        <w:rPr>
          <w:b/>
          <w:bCs/>
          <w:noProof/>
          <w:color w:val="000000" w:themeColor="text1"/>
          <w:sz w:val="22"/>
          <w:szCs w:val="22"/>
          <w:shd w:val="clear" w:color="auto" w:fill="FFFFFF"/>
        </w:rPr>
        <w:t>: Map showing Population density of Niger state</w:t>
      </w:r>
    </w:p>
    <w:p w14:paraId="60177374"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population density of Niger state. Niger state comprises of areas of very low, low, moderate, high and very high population density. Borgo local government which is our selected site also comprises of very low, low, moderate, high and very high population density.</w:t>
      </w:r>
    </w:p>
    <w:p w14:paraId="7EB50DEA" w14:textId="77777777" w:rsidR="005A4697" w:rsidRPr="00E27D4E" w:rsidRDefault="005A4697" w:rsidP="00E27D4E">
      <w:pPr>
        <w:pStyle w:val="NormalWeb"/>
        <w:jc w:val="both"/>
        <w:rPr>
          <w:noProof/>
          <w:color w:val="000000" w:themeColor="text1"/>
          <w:sz w:val="22"/>
          <w:szCs w:val="22"/>
          <w:shd w:val="clear" w:color="auto" w:fill="FFFFFF"/>
        </w:rPr>
      </w:pPr>
    </w:p>
    <w:p w14:paraId="02E3D5FA"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rPr>
        <w:lastRenderedPageBreak/>
        <w:drawing>
          <wp:inline distT="0" distB="0" distL="114300" distR="114300" wp14:anchorId="36A76C77" wp14:editId="199629C8">
            <wp:extent cx="4050974" cy="3038475"/>
            <wp:effectExtent l="0" t="0" r="6985" b="0"/>
            <wp:docPr id="1198712512" name="Picture 1198712512"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OP"/>
                    <pic:cNvPicPr>
                      <a:picLocks noChangeAspect="1"/>
                    </pic:cNvPicPr>
                  </pic:nvPicPr>
                  <pic:blipFill>
                    <a:blip r:embed="rId19"/>
                    <a:stretch>
                      <a:fillRect/>
                    </a:stretch>
                  </pic:blipFill>
                  <pic:spPr>
                    <a:xfrm>
                      <a:off x="0" y="0"/>
                      <a:ext cx="4055146" cy="3041604"/>
                    </a:xfrm>
                    <a:prstGeom prst="rect">
                      <a:avLst/>
                    </a:prstGeom>
                  </pic:spPr>
                </pic:pic>
              </a:graphicData>
            </a:graphic>
          </wp:inline>
        </w:drawing>
      </w:r>
    </w:p>
    <w:p w14:paraId="799496FB" w14:textId="19B0ED2F"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11</w:t>
      </w:r>
      <w:r w:rsidRPr="00E27D4E">
        <w:rPr>
          <w:b/>
          <w:bCs/>
          <w:noProof/>
          <w:color w:val="000000" w:themeColor="text1"/>
          <w:sz w:val="22"/>
          <w:szCs w:val="22"/>
          <w:shd w:val="clear" w:color="auto" w:fill="FFFFFF"/>
        </w:rPr>
        <w:t>: Map showing population size of Niger State</w:t>
      </w:r>
    </w:p>
    <w:p w14:paraId="5471201C"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The map above shows the population size of Niger state. The size of the population is in thousand. Niger state has areas that have both high and low population size distributed across the various local government regions. Borgu local government also has areas of low to large population size.</w:t>
      </w:r>
    </w:p>
    <w:p w14:paraId="12E9A592" w14:textId="77777777" w:rsidR="005A4697" w:rsidRPr="00E27D4E" w:rsidRDefault="005A4697" w:rsidP="00E27D4E">
      <w:pPr>
        <w:pStyle w:val="NormalWeb"/>
        <w:jc w:val="both"/>
        <w:rPr>
          <w:b/>
          <w:bCs/>
          <w:noProof/>
          <w:color w:val="000000" w:themeColor="text1"/>
          <w:sz w:val="22"/>
          <w:szCs w:val="22"/>
          <w:shd w:val="clear" w:color="auto" w:fill="FFFFFF"/>
        </w:rPr>
      </w:pPr>
    </w:p>
    <w:p w14:paraId="2526986A" w14:textId="77777777" w:rsidR="005A4697" w:rsidRPr="00E27D4E" w:rsidRDefault="005A4697" w:rsidP="00E27D4E">
      <w:pPr>
        <w:pStyle w:val="NormalWeb"/>
        <w:jc w:val="both"/>
        <w:rPr>
          <w:b/>
          <w:bCs/>
          <w:noProof/>
          <w:color w:val="000000" w:themeColor="text1"/>
          <w:sz w:val="22"/>
          <w:szCs w:val="22"/>
          <w:shd w:val="clear" w:color="auto" w:fill="FFFFFF"/>
        </w:rPr>
      </w:pPr>
      <w:r w:rsidRPr="00E27D4E">
        <w:rPr>
          <w:noProof/>
          <w:color w:val="000000" w:themeColor="text1"/>
          <w:sz w:val="22"/>
          <w:szCs w:val="22"/>
        </w:rPr>
        <w:drawing>
          <wp:inline distT="0" distB="0" distL="114300" distR="114300" wp14:anchorId="1B6A62B2" wp14:editId="527C63A4">
            <wp:extent cx="3784296" cy="2838450"/>
            <wp:effectExtent l="0" t="0" r="6985" b="0"/>
            <wp:docPr id="46666067" name="Picture 46666067" descr="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pulation"/>
                    <pic:cNvPicPr>
                      <a:picLocks noChangeAspect="1"/>
                    </pic:cNvPicPr>
                  </pic:nvPicPr>
                  <pic:blipFill>
                    <a:blip r:embed="rId20"/>
                    <a:stretch>
                      <a:fillRect/>
                    </a:stretch>
                  </pic:blipFill>
                  <pic:spPr>
                    <a:xfrm>
                      <a:off x="0" y="0"/>
                      <a:ext cx="3789015" cy="2841990"/>
                    </a:xfrm>
                    <a:prstGeom prst="rect">
                      <a:avLst/>
                    </a:prstGeom>
                  </pic:spPr>
                </pic:pic>
              </a:graphicData>
            </a:graphic>
          </wp:inline>
        </w:drawing>
      </w:r>
    </w:p>
    <w:p w14:paraId="54B1EDD4" w14:textId="27F746B5" w:rsidR="005A4697" w:rsidRPr="00E27D4E" w:rsidRDefault="005A4697" w:rsidP="00E27D4E">
      <w:pPr>
        <w:pStyle w:val="NormalWeb"/>
        <w:jc w:val="both"/>
        <w:rPr>
          <w:b/>
          <w:bCs/>
          <w:noProof/>
          <w:color w:val="000000" w:themeColor="text1"/>
          <w:sz w:val="22"/>
          <w:szCs w:val="22"/>
          <w:shd w:val="clear" w:color="auto" w:fill="FFFFFF"/>
        </w:rPr>
      </w:pPr>
      <w:r w:rsidRPr="00E27D4E">
        <w:rPr>
          <w:b/>
          <w:bCs/>
          <w:noProof/>
          <w:color w:val="000000" w:themeColor="text1"/>
          <w:sz w:val="22"/>
          <w:szCs w:val="22"/>
          <w:shd w:val="clear" w:color="auto" w:fill="FFFFFF"/>
        </w:rPr>
        <w:t xml:space="preserve">Figure </w:t>
      </w:r>
      <w:r w:rsidR="0021632D">
        <w:rPr>
          <w:b/>
          <w:bCs/>
          <w:noProof/>
          <w:color w:val="000000" w:themeColor="text1"/>
          <w:sz w:val="22"/>
          <w:szCs w:val="22"/>
          <w:shd w:val="clear" w:color="auto" w:fill="FFFFFF"/>
        </w:rPr>
        <w:t>12</w:t>
      </w:r>
      <w:r w:rsidRPr="00E27D4E">
        <w:rPr>
          <w:b/>
          <w:bCs/>
          <w:noProof/>
          <w:color w:val="000000" w:themeColor="text1"/>
          <w:sz w:val="22"/>
          <w:szCs w:val="22"/>
          <w:shd w:val="clear" w:color="auto" w:fill="FFFFFF"/>
        </w:rPr>
        <w:t>: Map of Niger state showing mean population size</w:t>
      </w:r>
    </w:p>
    <w:p w14:paraId="48FDB741" w14:textId="77777777" w:rsidR="005A4697" w:rsidRPr="00E27D4E" w:rsidRDefault="005A4697" w:rsidP="00E27D4E">
      <w:pPr>
        <w:pStyle w:val="NormalWeb"/>
        <w:jc w:val="both"/>
        <w:rPr>
          <w:noProof/>
          <w:color w:val="000000" w:themeColor="text1"/>
          <w:sz w:val="22"/>
          <w:szCs w:val="22"/>
          <w:shd w:val="clear" w:color="auto" w:fill="FFFFFF"/>
        </w:rPr>
      </w:pPr>
      <w:r w:rsidRPr="00E27D4E">
        <w:rPr>
          <w:noProof/>
          <w:color w:val="000000" w:themeColor="text1"/>
          <w:sz w:val="22"/>
          <w:szCs w:val="22"/>
          <w:shd w:val="clear" w:color="auto" w:fill="FFFFFF"/>
        </w:rPr>
        <w:t xml:space="preserve">The map above shows the mean population size of the local governments in Niger state. The population sizes are in thousand. Borgu local government has a mean population size ranging from </w:t>
      </w:r>
      <w:bookmarkStart w:id="22" w:name="_Hlk181300234"/>
      <w:r w:rsidRPr="00E27D4E">
        <w:rPr>
          <w:noProof/>
          <w:color w:val="000000" w:themeColor="text1"/>
          <w:sz w:val="22"/>
          <w:szCs w:val="22"/>
          <w:shd w:val="clear" w:color="auto" w:fill="FFFFFF"/>
        </w:rPr>
        <w:t>305,000 to 438,000</w:t>
      </w:r>
      <w:bookmarkEnd w:id="22"/>
      <w:r w:rsidRPr="00E27D4E">
        <w:rPr>
          <w:noProof/>
          <w:color w:val="000000" w:themeColor="text1"/>
          <w:sz w:val="22"/>
          <w:szCs w:val="22"/>
          <w:shd w:val="clear" w:color="auto" w:fill="FFFFFF"/>
        </w:rPr>
        <w:t>. The mean population size of Borgu local government is very okay and it meets the criteria for setting up a green hydrogen plant as labour will be needed in carrying out operations.</w:t>
      </w:r>
    </w:p>
    <w:p w14:paraId="7201D376" w14:textId="5E490F34" w:rsidR="005A4697" w:rsidRPr="005A4697" w:rsidRDefault="005A4697" w:rsidP="00E27D4E">
      <w:pPr>
        <w:spacing w:line="240" w:lineRule="auto"/>
        <w:jc w:val="both"/>
        <w:rPr>
          <w:rFonts w:ascii="Times New Roman" w:hAnsi="Times New Roman" w:cs="Times New Roman"/>
          <w:b/>
          <w:bCs/>
          <w:color w:val="000000" w:themeColor="text1"/>
          <w:sz w:val="22"/>
          <w:szCs w:val="22"/>
        </w:rPr>
      </w:pPr>
      <w:r w:rsidRPr="005A4697">
        <w:rPr>
          <w:rFonts w:ascii="Times New Roman" w:hAnsi="Times New Roman" w:cs="Times New Roman"/>
          <w:b/>
          <w:bCs/>
          <w:color w:val="000000" w:themeColor="text1"/>
          <w:sz w:val="22"/>
          <w:szCs w:val="22"/>
        </w:rPr>
        <w:lastRenderedPageBreak/>
        <w:t>Conclusion</w:t>
      </w:r>
      <w:r w:rsidRPr="00E27D4E">
        <w:rPr>
          <w:rFonts w:ascii="Times New Roman" w:hAnsi="Times New Roman" w:cs="Times New Roman"/>
          <w:b/>
          <w:bCs/>
          <w:color w:val="000000" w:themeColor="text1"/>
          <w:sz w:val="22"/>
          <w:szCs w:val="22"/>
        </w:rPr>
        <w:t xml:space="preserve"> and Recommendations</w:t>
      </w:r>
    </w:p>
    <w:p w14:paraId="4B1A455C" w14:textId="77777777" w:rsidR="005A4697" w:rsidRPr="005A4697"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 study examined the suitability of green hydrogen development in Niger State by analyzing its production requirements, transportation considerations and spatial feasibility using GIS techniques. The findings revealed that the state possesses strong renewable energy potential, particularly hydro-based resources linked to abundant water bodies required for electrolysis. Through spatial mapping of proximity to water bodies, population density and road accessibility, Borgu Local Government Area emerged as the most suitable location for siting a green hydrogen facility because it combines adequate water availability, moderate population concentration and accessible transport networks.</w:t>
      </w:r>
    </w:p>
    <w:p w14:paraId="597361BB" w14:textId="19FE9E92" w:rsidR="005A4697" w:rsidRPr="00E27D4E" w:rsidRDefault="005A4697" w:rsidP="00E27D4E">
      <w:pPr>
        <w:spacing w:line="240" w:lineRule="auto"/>
        <w:jc w:val="both"/>
        <w:rPr>
          <w:rFonts w:ascii="Times New Roman" w:hAnsi="Times New Roman" w:cs="Times New Roman"/>
          <w:color w:val="000000" w:themeColor="text1"/>
          <w:sz w:val="22"/>
          <w:szCs w:val="22"/>
        </w:rPr>
      </w:pPr>
      <w:r w:rsidRPr="005A4697">
        <w:rPr>
          <w:rFonts w:ascii="Times New Roman" w:hAnsi="Times New Roman" w:cs="Times New Roman"/>
          <w:color w:val="000000" w:themeColor="text1"/>
          <w:sz w:val="22"/>
          <w:szCs w:val="22"/>
        </w:rPr>
        <w:t>The study recommends initiating pilot green hydrogen projects to demonstrate feasibility and attract investment, promoting international partnerships for funding and technology transfer, and creating monitoring frameworks to evaluate environmental and economic impacts. It also emphasizes public awareness and education programmes to improve acceptance of hydrogen energy. Implementing these measures would enable Niger State to harness its renewable resources effectively and advance a sustainable energy future.</w:t>
      </w:r>
    </w:p>
    <w:p w14:paraId="5DEDAEFC" w14:textId="77777777" w:rsidR="005A4697" w:rsidRPr="00E27D4E" w:rsidRDefault="005A4697" w:rsidP="00E27D4E">
      <w:pPr>
        <w:spacing w:line="240" w:lineRule="auto"/>
        <w:jc w:val="both"/>
        <w:rPr>
          <w:rFonts w:ascii="Times New Roman" w:hAnsi="Times New Roman" w:cs="Times New Roman"/>
          <w:color w:val="000000" w:themeColor="text1"/>
          <w:sz w:val="22"/>
          <w:szCs w:val="22"/>
        </w:rPr>
      </w:pPr>
    </w:p>
    <w:p w14:paraId="0F5E1AE9" w14:textId="283B10E0" w:rsidR="005A4697" w:rsidRPr="00E27D4E" w:rsidRDefault="005A4697" w:rsidP="00E27D4E">
      <w:pPr>
        <w:spacing w:line="240" w:lineRule="auto"/>
        <w:jc w:val="both"/>
        <w:rPr>
          <w:rFonts w:ascii="Times New Roman" w:hAnsi="Times New Roman" w:cs="Times New Roman"/>
          <w:color w:val="000000" w:themeColor="text1"/>
          <w:sz w:val="22"/>
          <w:szCs w:val="22"/>
        </w:rPr>
      </w:pPr>
      <w:r w:rsidRPr="00E27D4E">
        <w:rPr>
          <w:rFonts w:ascii="Times New Roman" w:hAnsi="Times New Roman" w:cs="Times New Roman"/>
          <w:color w:val="000000" w:themeColor="text1"/>
          <w:sz w:val="22"/>
          <w:szCs w:val="22"/>
        </w:rPr>
        <w:br w:type="page"/>
      </w:r>
    </w:p>
    <w:p w14:paraId="1B2C7B41" w14:textId="77777777" w:rsidR="00EE3FFA" w:rsidRPr="00EE3FFA" w:rsidRDefault="00EE3FFA" w:rsidP="00EE3FFA">
      <w:pPr>
        <w:spacing w:line="240" w:lineRule="auto"/>
        <w:ind w:left="720" w:hanging="720"/>
        <w:jc w:val="both"/>
        <w:rPr>
          <w:rFonts w:ascii="Times New Roman" w:hAnsi="Times New Roman" w:cs="Times New Roman"/>
          <w:b/>
          <w:bCs/>
          <w:color w:val="000000" w:themeColor="text1"/>
          <w:sz w:val="22"/>
          <w:szCs w:val="22"/>
        </w:rPr>
      </w:pPr>
      <w:r w:rsidRPr="00EE3FFA">
        <w:rPr>
          <w:rFonts w:ascii="Times New Roman" w:hAnsi="Times New Roman" w:cs="Times New Roman"/>
          <w:b/>
          <w:bCs/>
          <w:color w:val="000000" w:themeColor="text1"/>
          <w:sz w:val="22"/>
          <w:szCs w:val="22"/>
        </w:rPr>
        <w:lastRenderedPageBreak/>
        <w:t>References</w:t>
      </w:r>
    </w:p>
    <w:p w14:paraId="14813034"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Adebayo, A. S., &amp; Oloyede, S. (2023). </w:t>
      </w:r>
      <w:r w:rsidRPr="00EE3FFA">
        <w:rPr>
          <w:rFonts w:ascii="Times New Roman" w:hAnsi="Times New Roman" w:cs="Times New Roman"/>
          <w:i/>
          <w:iCs/>
          <w:color w:val="000000" w:themeColor="text1"/>
          <w:sz w:val="22"/>
          <w:szCs w:val="22"/>
        </w:rPr>
        <w:t>Renewable energy policies in Nigeria: An analysis of Africa’s green hydrogen potential</w:t>
      </w:r>
      <w:r w:rsidRPr="00EE3FFA">
        <w:rPr>
          <w:rFonts w:ascii="Times New Roman" w:hAnsi="Times New Roman" w:cs="Times New Roman"/>
          <w:color w:val="000000" w:themeColor="text1"/>
          <w:sz w:val="22"/>
          <w:szCs w:val="22"/>
        </w:rPr>
        <w:t xml:space="preserve"> (Issue November). World Energy Outlook Special Report. </w:t>
      </w:r>
      <w:hyperlink r:id="rId21" w:history="1">
        <w:r w:rsidRPr="00EE3FFA">
          <w:rPr>
            <w:rStyle w:val="Hyperlink"/>
            <w:rFonts w:ascii="Times New Roman" w:hAnsi="Times New Roman" w:cs="Times New Roman"/>
            <w:sz w:val="22"/>
            <w:szCs w:val="22"/>
          </w:rPr>
          <w:t>https://doi.org/10.178</w:t>
        </w:r>
      </w:hyperlink>
      <w:r w:rsidRPr="00EE3FFA">
        <w:rPr>
          <w:rFonts w:ascii="Times New Roman" w:hAnsi="Times New Roman" w:cs="Times New Roman"/>
          <w:color w:val="000000" w:themeColor="text1"/>
          <w:sz w:val="22"/>
          <w:szCs w:val="22"/>
        </w:rPr>
        <w:t>...</w:t>
      </w:r>
    </w:p>
    <w:p w14:paraId="3B22E839" w14:textId="7E7731E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Adeyemo, A., &amp; Eniola, O. (2020). </w:t>
      </w:r>
      <w:r w:rsidRPr="00EE3FFA">
        <w:rPr>
          <w:rFonts w:ascii="Times New Roman" w:hAnsi="Times New Roman" w:cs="Times New Roman"/>
          <w:i/>
          <w:iCs/>
          <w:color w:val="000000" w:themeColor="text1"/>
          <w:sz w:val="22"/>
          <w:szCs w:val="22"/>
        </w:rPr>
        <w:t>Renewable energy infrastructure integration for hydrogen production feasibility</w:t>
      </w:r>
      <w:r w:rsidRPr="00EE3FFA">
        <w:rPr>
          <w:rFonts w:ascii="Times New Roman" w:hAnsi="Times New Roman" w:cs="Times New Roman"/>
          <w:color w:val="000000" w:themeColor="text1"/>
          <w:sz w:val="22"/>
          <w:szCs w:val="22"/>
        </w:rPr>
        <w:t>.</w:t>
      </w:r>
    </w:p>
    <w:p w14:paraId="4533A86D" w14:textId="2FD79985"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Adeyemo, A., &amp; Eniola, O. (2022). </w:t>
      </w:r>
      <w:r w:rsidRPr="00EE3FFA">
        <w:rPr>
          <w:rFonts w:ascii="Times New Roman" w:hAnsi="Times New Roman" w:cs="Times New Roman"/>
          <w:i/>
          <w:iCs/>
          <w:color w:val="000000" w:themeColor="text1"/>
          <w:sz w:val="22"/>
          <w:szCs w:val="22"/>
        </w:rPr>
        <w:t>Biomass resources and electrolysis adaptation for hydrogen production in Niger State</w:t>
      </w:r>
      <w:r w:rsidRPr="00EE3FFA">
        <w:rPr>
          <w:rFonts w:ascii="Times New Roman" w:hAnsi="Times New Roman" w:cs="Times New Roman"/>
          <w:color w:val="000000" w:themeColor="text1"/>
          <w:sz w:val="22"/>
          <w:szCs w:val="22"/>
        </w:rPr>
        <w:t>.</w:t>
      </w:r>
    </w:p>
    <w:p w14:paraId="69D12FA4" w14:textId="7D2960F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Africa’s Green Hydrogen Potential. (2022). </w:t>
      </w:r>
      <w:r w:rsidRPr="00EE3FFA">
        <w:rPr>
          <w:rFonts w:ascii="Times New Roman" w:hAnsi="Times New Roman" w:cs="Times New Roman"/>
          <w:i/>
          <w:iCs/>
          <w:color w:val="000000" w:themeColor="text1"/>
          <w:sz w:val="22"/>
          <w:szCs w:val="22"/>
        </w:rPr>
        <w:t>Green hydrogen opportunities for Africa’s energy transition</w:t>
      </w:r>
      <w:r w:rsidRPr="00EE3FFA">
        <w:rPr>
          <w:rFonts w:ascii="Times New Roman" w:hAnsi="Times New Roman" w:cs="Times New Roman"/>
          <w:color w:val="000000" w:themeColor="text1"/>
          <w:sz w:val="22"/>
          <w:szCs w:val="22"/>
        </w:rPr>
        <w:t>.</w:t>
      </w:r>
    </w:p>
    <w:p w14:paraId="191DA2D0" w14:textId="65F451C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Ajayi, O., et al. (2021). </w:t>
      </w:r>
      <w:r w:rsidRPr="00EE3FFA">
        <w:rPr>
          <w:rFonts w:ascii="Times New Roman" w:hAnsi="Times New Roman" w:cs="Times New Roman"/>
          <w:i/>
          <w:iCs/>
          <w:color w:val="000000" w:themeColor="text1"/>
          <w:sz w:val="22"/>
          <w:szCs w:val="22"/>
        </w:rPr>
        <w:t>Green hydrogen adoption and sustainable development in Nigeria</w:t>
      </w:r>
      <w:r w:rsidRPr="00EE3FFA">
        <w:rPr>
          <w:rFonts w:ascii="Times New Roman" w:hAnsi="Times New Roman" w:cs="Times New Roman"/>
          <w:color w:val="000000" w:themeColor="text1"/>
          <w:sz w:val="22"/>
          <w:szCs w:val="22"/>
        </w:rPr>
        <w:t>.</w:t>
      </w:r>
    </w:p>
    <w:p w14:paraId="20FBBF2F" w14:textId="68F2279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Akinbode, A., &amp; </w:t>
      </w:r>
      <w:proofErr w:type="spellStart"/>
      <w:r w:rsidRPr="00EE3FFA">
        <w:rPr>
          <w:rFonts w:ascii="Times New Roman" w:hAnsi="Times New Roman" w:cs="Times New Roman"/>
          <w:color w:val="000000" w:themeColor="text1"/>
          <w:sz w:val="22"/>
          <w:szCs w:val="22"/>
        </w:rPr>
        <w:t>Makanjuo</w:t>
      </w:r>
      <w:proofErr w:type="spellEnd"/>
      <w:r w:rsidRPr="00EE3FFA">
        <w:rPr>
          <w:rFonts w:ascii="Times New Roman" w:hAnsi="Times New Roman" w:cs="Times New Roman"/>
          <w:color w:val="000000" w:themeColor="text1"/>
          <w:sz w:val="22"/>
          <w:szCs w:val="22"/>
        </w:rPr>
        <w:t xml:space="preserve">, A. (2020). </w:t>
      </w:r>
      <w:r w:rsidRPr="00EE3FFA">
        <w:rPr>
          <w:rFonts w:ascii="Times New Roman" w:hAnsi="Times New Roman" w:cs="Times New Roman"/>
          <w:i/>
          <w:iCs/>
          <w:color w:val="000000" w:themeColor="text1"/>
          <w:sz w:val="22"/>
          <w:szCs w:val="22"/>
        </w:rPr>
        <w:t>Renewable energy resources and hydrogen production potential in Nigeria</w:t>
      </w:r>
      <w:r w:rsidRPr="00EE3FFA">
        <w:rPr>
          <w:rFonts w:ascii="Times New Roman" w:hAnsi="Times New Roman" w:cs="Times New Roman"/>
          <w:color w:val="000000" w:themeColor="text1"/>
          <w:sz w:val="22"/>
          <w:szCs w:val="22"/>
        </w:rPr>
        <w:t xml:space="preserve">. </w:t>
      </w:r>
    </w:p>
    <w:p w14:paraId="74E23BB2" w14:textId="2CE5C61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Akinyele, D., &amp; Williams, A. (2022). </w:t>
      </w:r>
      <w:r w:rsidRPr="00EE3FFA">
        <w:rPr>
          <w:rFonts w:ascii="Times New Roman" w:hAnsi="Times New Roman" w:cs="Times New Roman"/>
          <w:i/>
          <w:iCs/>
          <w:color w:val="000000" w:themeColor="text1"/>
          <w:sz w:val="22"/>
          <w:szCs w:val="22"/>
        </w:rPr>
        <w:t>Barriers to green hydrogen development in Nigeria</w:t>
      </w:r>
      <w:r w:rsidRPr="00EE3FFA">
        <w:rPr>
          <w:rFonts w:ascii="Times New Roman" w:hAnsi="Times New Roman" w:cs="Times New Roman"/>
          <w:color w:val="000000" w:themeColor="text1"/>
          <w:sz w:val="22"/>
          <w:szCs w:val="22"/>
        </w:rPr>
        <w:t>.</w:t>
      </w:r>
    </w:p>
    <w:p w14:paraId="261922C3" w14:textId="05EC377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Bruce, S., et al. (2021). </w:t>
      </w:r>
      <w:r w:rsidRPr="00EE3FFA">
        <w:rPr>
          <w:rFonts w:ascii="Times New Roman" w:hAnsi="Times New Roman" w:cs="Times New Roman"/>
          <w:i/>
          <w:iCs/>
          <w:color w:val="000000" w:themeColor="text1"/>
          <w:sz w:val="22"/>
          <w:szCs w:val="22"/>
        </w:rPr>
        <w:t>Policy pathways for hydrogen economy development</w:t>
      </w:r>
      <w:r w:rsidRPr="00EE3FFA">
        <w:rPr>
          <w:rFonts w:ascii="Times New Roman" w:hAnsi="Times New Roman" w:cs="Times New Roman"/>
          <w:color w:val="000000" w:themeColor="text1"/>
          <w:sz w:val="22"/>
          <w:szCs w:val="22"/>
        </w:rPr>
        <w:t>.</w:t>
      </w:r>
    </w:p>
    <w:p w14:paraId="2D575980" w14:textId="1A99DFA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proofErr w:type="spellStart"/>
      <w:r w:rsidRPr="00EE3FFA">
        <w:rPr>
          <w:rFonts w:ascii="Times New Roman" w:hAnsi="Times New Roman" w:cs="Times New Roman"/>
          <w:color w:val="000000" w:themeColor="text1"/>
          <w:sz w:val="22"/>
          <w:szCs w:val="22"/>
        </w:rPr>
        <w:t>Chatzisymeon</w:t>
      </w:r>
      <w:proofErr w:type="spellEnd"/>
      <w:r w:rsidRPr="00EE3FFA">
        <w:rPr>
          <w:rFonts w:ascii="Times New Roman" w:hAnsi="Times New Roman" w:cs="Times New Roman"/>
          <w:color w:val="000000" w:themeColor="text1"/>
          <w:sz w:val="22"/>
          <w:szCs w:val="22"/>
        </w:rPr>
        <w:t xml:space="preserve">, E., &amp; </w:t>
      </w:r>
      <w:proofErr w:type="spellStart"/>
      <w:r w:rsidRPr="00EE3FFA">
        <w:rPr>
          <w:rFonts w:ascii="Times New Roman" w:hAnsi="Times New Roman" w:cs="Times New Roman"/>
          <w:color w:val="000000" w:themeColor="text1"/>
          <w:sz w:val="22"/>
          <w:szCs w:val="22"/>
        </w:rPr>
        <w:t>Aigbe</w:t>
      </w:r>
      <w:proofErr w:type="spellEnd"/>
      <w:r w:rsidRPr="00EE3FFA">
        <w:rPr>
          <w:rFonts w:ascii="Times New Roman" w:hAnsi="Times New Roman" w:cs="Times New Roman"/>
          <w:color w:val="000000" w:themeColor="text1"/>
          <w:sz w:val="22"/>
          <w:szCs w:val="22"/>
        </w:rPr>
        <w:t xml:space="preserve">, U. (2021). </w:t>
      </w:r>
      <w:r w:rsidRPr="00EE3FFA">
        <w:rPr>
          <w:rFonts w:ascii="Times New Roman" w:hAnsi="Times New Roman" w:cs="Times New Roman"/>
          <w:i/>
          <w:iCs/>
          <w:color w:val="000000" w:themeColor="text1"/>
          <w:sz w:val="22"/>
          <w:szCs w:val="22"/>
        </w:rPr>
        <w:t>Hydrogen storage and transportation technologies</w:t>
      </w:r>
      <w:r w:rsidRPr="00EE3FFA">
        <w:rPr>
          <w:rFonts w:ascii="Times New Roman" w:hAnsi="Times New Roman" w:cs="Times New Roman"/>
          <w:color w:val="000000" w:themeColor="text1"/>
          <w:sz w:val="22"/>
          <w:szCs w:val="22"/>
        </w:rPr>
        <w:t>.</w:t>
      </w:r>
    </w:p>
    <w:p w14:paraId="0B1141FE"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Deloitte. (2021). </w:t>
      </w:r>
      <w:r w:rsidRPr="00EE3FFA">
        <w:rPr>
          <w:rFonts w:ascii="Times New Roman" w:hAnsi="Times New Roman" w:cs="Times New Roman"/>
          <w:i/>
          <w:iCs/>
          <w:color w:val="000000" w:themeColor="text1"/>
          <w:sz w:val="22"/>
          <w:szCs w:val="22"/>
        </w:rPr>
        <w:t>Hydrogen: A future energy opportunity for Africa</w:t>
      </w:r>
      <w:r w:rsidRPr="00EE3FFA">
        <w:rPr>
          <w:rFonts w:ascii="Times New Roman" w:hAnsi="Times New Roman" w:cs="Times New Roman"/>
          <w:color w:val="000000" w:themeColor="text1"/>
          <w:sz w:val="22"/>
          <w:szCs w:val="22"/>
        </w:rPr>
        <w:t>. Deloitte Insights.</w:t>
      </w:r>
    </w:p>
    <w:p w14:paraId="301D737C" w14:textId="1131FA6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Deutsche Gesellschaft für </w:t>
      </w:r>
      <w:proofErr w:type="spellStart"/>
      <w:r w:rsidRPr="00EE3FFA">
        <w:rPr>
          <w:rFonts w:ascii="Times New Roman" w:hAnsi="Times New Roman" w:cs="Times New Roman"/>
          <w:color w:val="000000" w:themeColor="text1"/>
          <w:sz w:val="22"/>
          <w:szCs w:val="22"/>
        </w:rPr>
        <w:t>Internationale</w:t>
      </w:r>
      <w:proofErr w:type="spellEnd"/>
      <w:r w:rsidRPr="00EE3FFA">
        <w:rPr>
          <w:rFonts w:ascii="Times New Roman" w:hAnsi="Times New Roman" w:cs="Times New Roman"/>
          <w:color w:val="000000" w:themeColor="text1"/>
          <w:sz w:val="22"/>
          <w:szCs w:val="22"/>
        </w:rPr>
        <w:t xml:space="preserve"> Zusammenarbeit (GIZ). (2023). </w:t>
      </w:r>
      <w:r w:rsidRPr="00EE3FFA">
        <w:rPr>
          <w:rFonts w:ascii="Times New Roman" w:hAnsi="Times New Roman" w:cs="Times New Roman"/>
          <w:i/>
          <w:iCs/>
          <w:color w:val="000000" w:themeColor="text1"/>
          <w:sz w:val="22"/>
          <w:szCs w:val="22"/>
        </w:rPr>
        <w:t>Renewable energy hybrid mini-grid systems in Nigeria</w:t>
      </w:r>
      <w:r w:rsidRPr="00EE3FFA">
        <w:rPr>
          <w:rFonts w:ascii="Times New Roman" w:hAnsi="Times New Roman" w:cs="Times New Roman"/>
          <w:color w:val="000000" w:themeColor="text1"/>
          <w:sz w:val="22"/>
          <w:szCs w:val="22"/>
        </w:rPr>
        <w:t>.</w:t>
      </w:r>
    </w:p>
    <w:p w14:paraId="74E41716" w14:textId="6C5C81C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Dodo, M., et al. (2021). </w:t>
      </w:r>
      <w:r w:rsidRPr="00EE3FFA">
        <w:rPr>
          <w:rFonts w:ascii="Times New Roman" w:hAnsi="Times New Roman" w:cs="Times New Roman"/>
          <w:i/>
          <w:iCs/>
          <w:color w:val="000000" w:themeColor="text1"/>
          <w:sz w:val="22"/>
          <w:szCs w:val="22"/>
        </w:rPr>
        <w:t>Renewable energy utilization and emission reduction in Nigeria</w:t>
      </w:r>
      <w:r w:rsidRPr="00EE3FFA">
        <w:rPr>
          <w:rFonts w:ascii="Times New Roman" w:hAnsi="Times New Roman" w:cs="Times New Roman"/>
          <w:color w:val="000000" w:themeColor="text1"/>
          <w:sz w:val="22"/>
          <w:szCs w:val="22"/>
        </w:rPr>
        <w:t>.</w:t>
      </w:r>
    </w:p>
    <w:p w14:paraId="6D56AC4A" w14:textId="33EBF208"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Energy Transition Plan (ETP). (2022). </w:t>
      </w:r>
      <w:r w:rsidRPr="00EE3FFA">
        <w:rPr>
          <w:rFonts w:ascii="Times New Roman" w:hAnsi="Times New Roman" w:cs="Times New Roman"/>
          <w:i/>
          <w:iCs/>
          <w:color w:val="000000" w:themeColor="text1"/>
          <w:sz w:val="22"/>
          <w:szCs w:val="22"/>
        </w:rPr>
        <w:t>Nigeria’s pathway to carbon neutrality by 2060</w:t>
      </w:r>
      <w:r w:rsidRPr="00EE3FFA">
        <w:rPr>
          <w:rFonts w:ascii="Times New Roman" w:hAnsi="Times New Roman" w:cs="Times New Roman"/>
          <w:color w:val="000000" w:themeColor="text1"/>
          <w:sz w:val="22"/>
          <w:szCs w:val="22"/>
        </w:rPr>
        <w:t>.</w:t>
      </w:r>
    </w:p>
    <w:p w14:paraId="311C721E" w14:textId="7DB0FA0A"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Eriksen, S., et al. (2021). </w:t>
      </w:r>
      <w:r w:rsidRPr="00EE3FFA">
        <w:rPr>
          <w:rFonts w:ascii="Times New Roman" w:hAnsi="Times New Roman" w:cs="Times New Roman"/>
          <w:i/>
          <w:iCs/>
          <w:color w:val="000000" w:themeColor="text1"/>
          <w:sz w:val="22"/>
          <w:szCs w:val="22"/>
        </w:rPr>
        <w:t>Climate adaptation, resilience and development</w:t>
      </w:r>
      <w:r w:rsidRPr="00EE3FFA">
        <w:rPr>
          <w:rFonts w:ascii="Times New Roman" w:hAnsi="Times New Roman" w:cs="Times New Roman"/>
          <w:color w:val="000000" w:themeColor="text1"/>
          <w:sz w:val="22"/>
          <w:szCs w:val="22"/>
        </w:rPr>
        <w:t>.</w:t>
      </w:r>
    </w:p>
    <w:p w14:paraId="2B52BDA5" w14:textId="0975495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Fawzy, S., et al. (2020). </w:t>
      </w:r>
      <w:r w:rsidRPr="00EE3FFA">
        <w:rPr>
          <w:rFonts w:ascii="Times New Roman" w:hAnsi="Times New Roman" w:cs="Times New Roman"/>
          <w:i/>
          <w:iCs/>
          <w:color w:val="000000" w:themeColor="text1"/>
          <w:sz w:val="22"/>
          <w:szCs w:val="22"/>
        </w:rPr>
        <w:t>Climate change mitigation commitments in developing countries</w:t>
      </w:r>
      <w:r w:rsidRPr="00EE3FFA">
        <w:rPr>
          <w:rFonts w:ascii="Times New Roman" w:hAnsi="Times New Roman" w:cs="Times New Roman"/>
          <w:color w:val="000000" w:themeColor="text1"/>
          <w:sz w:val="22"/>
          <w:szCs w:val="22"/>
        </w:rPr>
        <w:t>.</w:t>
      </w:r>
    </w:p>
    <w:p w14:paraId="20422721" w14:textId="738C7F2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proofErr w:type="spellStart"/>
      <w:r w:rsidRPr="00EE3FFA">
        <w:rPr>
          <w:rFonts w:ascii="Times New Roman" w:hAnsi="Times New Roman" w:cs="Times New Roman"/>
          <w:color w:val="000000" w:themeColor="text1"/>
          <w:sz w:val="22"/>
          <w:szCs w:val="22"/>
        </w:rPr>
        <w:t>Grubler</w:t>
      </w:r>
      <w:proofErr w:type="spellEnd"/>
      <w:r w:rsidRPr="00EE3FFA">
        <w:rPr>
          <w:rFonts w:ascii="Times New Roman" w:hAnsi="Times New Roman" w:cs="Times New Roman"/>
          <w:color w:val="000000" w:themeColor="text1"/>
          <w:sz w:val="22"/>
          <w:szCs w:val="22"/>
        </w:rPr>
        <w:t xml:space="preserve">, A. (2012). </w:t>
      </w:r>
      <w:r w:rsidRPr="00EE3FFA">
        <w:rPr>
          <w:rFonts w:ascii="Times New Roman" w:hAnsi="Times New Roman" w:cs="Times New Roman"/>
          <w:i/>
          <w:iCs/>
          <w:color w:val="000000" w:themeColor="text1"/>
          <w:sz w:val="22"/>
          <w:szCs w:val="22"/>
        </w:rPr>
        <w:t>Energy transitions research and long-term technological change</w:t>
      </w:r>
      <w:r w:rsidRPr="00EE3FFA">
        <w:rPr>
          <w:rFonts w:ascii="Times New Roman" w:hAnsi="Times New Roman" w:cs="Times New Roman"/>
          <w:color w:val="000000" w:themeColor="text1"/>
          <w:sz w:val="22"/>
          <w:szCs w:val="22"/>
        </w:rPr>
        <w:t>.</w:t>
      </w:r>
    </w:p>
    <w:p w14:paraId="24E3DBB5" w14:textId="6FF7CDF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Hydrogen Council. (2022). </w:t>
      </w:r>
      <w:r w:rsidRPr="00EE3FFA">
        <w:rPr>
          <w:rFonts w:ascii="Times New Roman" w:hAnsi="Times New Roman" w:cs="Times New Roman"/>
          <w:i/>
          <w:iCs/>
          <w:color w:val="000000" w:themeColor="text1"/>
          <w:sz w:val="22"/>
          <w:szCs w:val="22"/>
        </w:rPr>
        <w:t>Global hydrogen demand and energy outlook</w:t>
      </w:r>
      <w:r w:rsidRPr="00EE3FFA">
        <w:rPr>
          <w:rFonts w:ascii="Times New Roman" w:hAnsi="Times New Roman" w:cs="Times New Roman"/>
          <w:color w:val="000000" w:themeColor="text1"/>
          <w:sz w:val="22"/>
          <w:szCs w:val="22"/>
        </w:rPr>
        <w:t>.</w:t>
      </w:r>
    </w:p>
    <w:p w14:paraId="54706381" w14:textId="10A671C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proofErr w:type="spellStart"/>
      <w:r w:rsidRPr="00EE3FFA">
        <w:rPr>
          <w:rFonts w:ascii="Times New Roman" w:hAnsi="Times New Roman" w:cs="Times New Roman"/>
          <w:color w:val="000000" w:themeColor="text1"/>
          <w:sz w:val="22"/>
          <w:szCs w:val="22"/>
        </w:rPr>
        <w:t>Igbinovia</w:t>
      </w:r>
      <w:proofErr w:type="spellEnd"/>
      <w:r w:rsidRPr="00EE3FFA">
        <w:rPr>
          <w:rFonts w:ascii="Times New Roman" w:hAnsi="Times New Roman" w:cs="Times New Roman"/>
          <w:color w:val="000000" w:themeColor="text1"/>
          <w:sz w:val="22"/>
          <w:szCs w:val="22"/>
        </w:rPr>
        <w:t xml:space="preserve">, S., &amp; </w:t>
      </w:r>
      <w:proofErr w:type="spellStart"/>
      <w:r w:rsidRPr="00EE3FFA">
        <w:rPr>
          <w:rFonts w:ascii="Times New Roman" w:hAnsi="Times New Roman" w:cs="Times New Roman"/>
          <w:color w:val="000000" w:themeColor="text1"/>
          <w:sz w:val="22"/>
          <w:szCs w:val="22"/>
        </w:rPr>
        <w:t>Orukpe</w:t>
      </w:r>
      <w:proofErr w:type="spellEnd"/>
      <w:r w:rsidRPr="00EE3FFA">
        <w:rPr>
          <w:rFonts w:ascii="Times New Roman" w:hAnsi="Times New Roman" w:cs="Times New Roman"/>
          <w:color w:val="000000" w:themeColor="text1"/>
          <w:sz w:val="22"/>
          <w:szCs w:val="22"/>
        </w:rPr>
        <w:t xml:space="preserve">, P. (2020). </w:t>
      </w:r>
      <w:r w:rsidRPr="00EE3FFA">
        <w:rPr>
          <w:rFonts w:ascii="Times New Roman" w:hAnsi="Times New Roman" w:cs="Times New Roman"/>
          <w:i/>
          <w:iCs/>
          <w:color w:val="000000" w:themeColor="text1"/>
          <w:sz w:val="22"/>
          <w:szCs w:val="22"/>
        </w:rPr>
        <w:t>Policy incentives and investment in hydrogen energy in Nigeria</w:t>
      </w:r>
      <w:r w:rsidRPr="00EE3FFA">
        <w:rPr>
          <w:rFonts w:ascii="Times New Roman" w:hAnsi="Times New Roman" w:cs="Times New Roman"/>
          <w:color w:val="000000" w:themeColor="text1"/>
          <w:sz w:val="22"/>
          <w:szCs w:val="22"/>
        </w:rPr>
        <w:t>.</w:t>
      </w:r>
    </w:p>
    <w:p w14:paraId="76A620E7"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Energy Agency. (2020). </w:t>
      </w:r>
      <w:r w:rsidRPr="00EE3FFA">
        <w:rPr>
          <w:rFonts w:ascii="Times New Roman" w:hAnsi="Times New Roman" w:cs="Times New Roman"/>
          <w:i/>
          <w:iCs/>
          <w:color w:val="000000" w:themeColor="text1"/>
          <w:sz w:val="22"/>
          <w:szCs w:val="22"/>
        </w:rPr>
        <w:t>Energy sector role in emission reduction</w:t>
      </w:r>
      <w:r w:rsidRPr="00EE3FFA">
        <w:rPr>
          <w:rFonts w:ascii="Times New Roman" w:hAnsi="Times New Roman" w:cs="Times New Roman"/>
          <w:color w:val="000000" w:themeColor="text1"/>
          <w:sz w:val="22"/>
          <w:szCs w:val="22"/>
        </w:rPr>
        <w:t>. IEA Publications.</w:t>
      </w:r>
    </w:p>
    <w:p w14:paraId="5E494456"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Energy Agency. (2021). </w:t>
      </w:r>
      <w:r w:rsidRPr="00EE3FFA">
        <w:rPr>
          <w:rFonts w:ascii="Times New Roman" w:hAnsi="Times New Roman" w:cs="Times New Roman"/>
          <w:i/>
          <w:iCs/>
          <w:color w:val="000000" w:themeColor="text1"/>
          <w:sz w:val="22"/>
          <w:szCs w:val="22"/>
        </w:rPr>
        <w:t>The future of hydrogen</w:t>
      </w:r>
      <w:r w:rsidRPr="00EE3FFA">
        <w:rPr>
          <w:rFonts w:ascii="Times New Roman" w:hAnsi="Times New Roman" w:cs="Times New Roman"/>
          <w:color w:val="000000" w:themeColor="text1"/>
          <w:sz w:val="22"/>
          <w:szCs w:val="22"/>
        </w:rPr>
        <w:t>. IEA Publications.</w:t>
      </w:r>
    </w:p>
    <w:p w14:paraId="3BCF925A"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International Renewable Energy Agency (IRENA). (2020). </w:t>
      </w:r>
      <w:r w:rsidRPr="00EE3FFA">
        <w:rPr>
          <w:rFonts w:ascii="Times New Roman" w:hAnsi="Times New Roman" w:cs="Times New Roman"/>
          <w:i/>
          <w:iCs/>
          <w:color w:val="000000" w:themeColor="text1"/>
          <w:sz w:val="22"/>
          <w:szCs w:val="22"/>
        </w:rPr>
        <w:t>Hydrogen: A renewable energy perspective</w:t>
      </w:r>
      <w:r w:rsidRPr="00EE3FFA">
        <w:rPr>
          <w:rFonts w:ascii="Times New Roman" w:hAnsi="Times New Roman" w:cs="Times New Roman"/>
          <w:color w:val="000000" w:themeColor="text1"/>
          <w:sz w:val="22"/>
          <w:szCs w:val="22"/>
        </w:rPr>
        <w:t>. IRENA.</w:t>
      </w:r>
    </w:p>
    <w:p w14:paraId="252E4AE2" w14:textId="5C6887EF"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Ishmam, M., et al. (2024). </w:t>
      </w:r>
      <w:r w:rsidRPr="00EE3FFA">
        <w:rPr>
          <w:rFonts w:ascii="Times New Roman" w:hAnsi="Times New Roman" w:cs="Times New Roman"/>
          <w:i/>
          <w:iCs/>
          <w:color w:val="000000" w:themeColor="text1"/>
          <w:sz w:val="22"/>
          <w:szCs w:val="22"/>
        </w:rPr>
        <w:t>Local hydrogen systems and resource optimization in Niger State</w:t>
      </w:r>
      <w:r w:rsidRPr="00EE3FFA">
        <w:rPr>
          <w:rFonts w:ascii="Times New Roman" w:hAnsi="Times New Roman" w:cs="Times New Roman"/>
          <w:color w:val="000000" w:themeColor="text1"/>
          <w:sz w:val="22"/>
          <w:szCs w:val="22"/>
        </w:rPr>
        <w:t>.</w:t>
      </w:r>
    </w:p>
    <w:p w14:paraId="7BFB7ED0" w14:textId="2876A4C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Michoud, B., &amp; Hafner, M. (2021). </w:t>
      </w:r>
      <w:r w:rsidRPr="00EE3FFA">
        <w:rPr>
          <w:rFonts w:ascii="Times New Roman" w:hAnsi="Times New Roman" w:cs="Times New Roman"/>
          <w:i/>
          <w:iCs/>
          <w:color w:val="000000" w:themeColor="text1"/>
          <w:sz w:val="22"/>
          <w:szCs w:val="22"/>
        </w:rPr>
        <w:t>Energy access challenges in sub-Saharan Africa</w:t>
      </w:r>
      <w:r w:rsidRPr="00EE3FFA">
        <w:rPr>
          <w:rFonts w:ascii="Times New Roman" w:hAnsi="Times New Roman" w:cs="Times New Roman"/>
          <w:color w:val="000000" w:themeColor="text1"/>
          <w:sz w:val="22"/>
          <w:szCs w:val="22"/>
        </w:rPr>
        <w:t>.</w:t>
      </w:r>
    </w:p>
    <w:p w14:paraId="7A3CF309" w14:textId="6A9D18E6"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Mohammed, S., &amp; Idris, A. (2021). </w:t>
      </w:r>
      <w:r w:rsidRPr="00EE3FFA">
        <w:rPr>
          <w:rFonts w:ascii="Times New Roman" w:hAnsi="Times New Roman" w:cs="Times New Roman"/>
          <w:i/>
          <w:iCs/>
          <w:color w:val="000000" w:themeColor="text1"/>
          <w:sz w:val="22"/>
          <w:szCs w:val="22"/>
        </w:rPr>
        <w:t>Solar energy potential assessment in Niger State, Nigeria</w:t>
      </w:r>
      <w:r w:rsidRPr="00EE3FFA">
        <w:rPr>
          <w:rFonts w:ascii="Times New Roman" w:hAnsi="Times New Roman" w:cs="Times New Roman"/>
          <w:color w:val="000000" w:themeColor="text1"/>
          <w:sz w:val="22"/>
          <w:szCs w:val="22"/>
        </w:rPr>
        <w:t>.</w:t>
      </w:r>
    </w:p>
    <w:p w14:paraId="0F449BAE" w14:textId="27D113E3"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proofErr w:type="spellStart"/>
      <w:r w:rsidRPr="00EE3FFA">
        <w:rPr>
          <w:rFonts w:ascii="Times New Roman" w:hAnsi="Times New Roman" w:cs="Times New Roman"/>
          <w:color w:val="000000" w:themeColor="text1"/>
          <w:sz w:val="22"/>
          <w:szCs w:val="22"/>
        </w:rPr>
        <w:t>Mourshed</w:t>
      </w:r>
      <w:proofErr w:type="spellEnd"/>
      <w:r w:rsidRPr="00EE3FFA">
        <w:rPr>
          <w:rFonts w:ascii="Times New Roman" w:hAnsi="Times New Roman" w:cs="Times New Roman"/>
          <w:color w:val="000000" w:themeColor="text1"/>
          <w:sz w:val="22"/>
          <w:szCs w:val="22"/>
        </w:rPr>
        <w:t xml:space="preserve">, M., &amp; Zhao, Y. (2021). </w:t>
      </w:r>
      <w:proofErr w:type="spellStart"/>
      <w:r w:rsidRPr="00EE3FFA">
        <w:rPr>
          <w:rFonts w:ascii="Times New Roman" w:hAnsi="Times New Roman" w:cs="Times New Roman"/>
          <w:i/>
          <w:iCs/>
          <w:color w:val="000000" w:themeColor="text1"/>
          <w:sz w:val="22"/>
          <w:szCs w:val="22"/>
        </w:rPr>
        <w:t>Electrolyzer</w:t>
      </w:r>
      <w:proofErr w:type="spellEnd"/>
      <w:r w:rsidRPr="00EE3FFA">
        <w:rPr>
          <w:rFonts w:ascii="Times New Roman" w:hAnsi="Times New Roman" w:cs="Times New Roman"/>
          <w:i/>
          <w:iCs/>
          <w:color w:val="000000" w:themeColor="text1"/>
          <w:sz w:val="22"/>
          <w:szCs w:val="22"/>
        </w:rPr>
        <w:t xml:space="preserve"> efficiency improvements and hydrogen viability</w:t>
      </w:r>
      <w:r w:rsidRPr="00EE3FFA">
        <w:rPr>
          <w:rFonts w:ascii="Times New Roman" w:hAnsi="Times New Roman" w:cs="Times New Roman"/>
          <w:color w:val="000000" w:themeColor="text1"/>
          <w:sz w:val="22"/>
          <w:szCs w:val="22"/>
        </w:rPr>
        <w:t>.</w:t>
      </w:r>
    </w:p>
    <w:p w14:paraId="56151BFB" w14:textId="36C166D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Nwafor, C., &amp; </w:t>
      </w:r>
      <w:proofErr w:type="spellStart"/>
      <w:r w:rsidRPr="00EE3FFA">
        <w:rPr>
          <w:rFonts w:ascii="Times New Roman" w:hAnsi="Times New Roman" w:cs="Times New Roman"/>
          <w:color w:val="000000" w:themeColor="text1"/>
          <w:sz w:val="22"/>
          <w:szCs w:val="22"/>
        </w:rPr>
        <w:t>Anyaeji</w:t>
      </w:r>
      <w:proofErr w:type="spellEnd"/>
      <w:r w:rsidRPr="00EE3FFA">
        <w:rPr>
          <w:rFonts w:ascii="Times New Roman" w:hAnsi="Times New Roman" w:cs="Times New Roman"/>
          <w:color w:val="000000" w:themeColor="text1"/>
          <w:sz w:val="22"/>
          <w:szCs w:val="22"/>
        </w:rPr>
        <w:t xml:space="preserve">, C. (2022). </w:t>
      </w:r>
      <w:r w:rsidRPr="00EE3FFA">
        <w:rPr>
          <w:rFonts w:ascii="Times New Roman" w:hAnsi="Times New Roman" w:cs="Times New Roman"/>
          <w:i/>
          <w:iCs/>
          <w:color w:val="000000" w:themeColor="text1"/>
          <w:sz w:val="22"/>
          <w:szCs w:val="22"/>
        </w:rPr>
        <w:t>Economic competitiveness of hydrogen energy in Nigeria</w:t>
      </w:r>
      <w:r w:rsidRPr="00EE3FFA">
        <w:rPr>
          <w:rFonts w:ascii="Times New Roman" w:hAnsi="Times New Roman" w:cs="Times New Roman"/>
          <w:color w:val="000000" w:themeColor="text1"/>
          <w:sz w:val="22"/>
          <w:szCs w:val="22"/>
        </w:rPr>
        <w:t>.</w:t>
      </w:r>
    </w:p>
    <w:p w14:paraId="02DF47C0" w14:textId="34942EF6"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Ojo, T., &amp; Eniola, O. (2022). </w:t>
      </w:r>
      <w:r w:rsidRPr="00EE3FFA">
        <w:rPr>
          <w:rFonts w:ascii="Times New Roman" w:hAnsi="Times New Roman" w:cs="Times New Roman"/>
          <w:i/>
          <w:iCs/>
          <w:color w:val="000000" w:themeColor="text1"/>
          <w:sz w:val="22"/>
          <w:szCs w:val="22"/>
        </w:rPr>
        <w:t>Environmental sustainability assessment of hydrogen production</w:t>
      </w:r>
      <w:r w:rsidRPr="00EE3FFA">
        <w:rPr>
          <w:rFonts w:ascii="Times New Roman" w:hAnsi="Times New Roman" w:cs="Times New Roman"/>
          <w:color w:val="000000" w:themeColor="text1"/>
          <w:sz w:val="22"/>
          <w:szCs w:val="22"/>
        </w:rPr>
        <w:t>.</w:t>
      </w:r>
    </w:p>
    <w:p w14:paraId="4AD042E0" w14:textId="33DA64D1"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Olawale, R., &amp; Ogundipe, K. (2023). </w:t>
      </w:r>
      <w:r w:rsidRPr="00EE3FFA">
        <w:rPr>
          <w:rFonts w:ascii="Times New Roman" w:hAnsi="Times New Roman" w:cs="Times New Roman"/>
          <w:i/>
          <w:iCs/>
          <w:color w:val="000000" w:themeColor="text1"/>
          <w:sz w:val="22"/>
          <w:szCs w:val="22"/>
        </w:rPr>
        <w:t>Life-cycle cost analysis of green hydrogen production</w:t>
      </w:r>
      <w:r w:rsidRPr="00EE3FFA">
        <w:rPr>
          <w:rFonts w:ascii="Times New Roman" w:hAnsi="Times New Roman" w:cs="Times New Roman"/>
          <w:color w:val="000000" w:themeColor="text1"/>
          <w:sz w:val="22"/>
          <w:szCs w:val="22"/>
        </w:rPr>
        <w:t>.</w:t>
      </w:r>
    </w:p>
    <w:p w14:paraId="32A27913" w14:textId="5C5A6A69"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lastRenderedPageBreak/>
        <w:t xml:space="preserve">Olubunmi, A., &amp; Akinluyi, T. (2021). </w:t>
      </w:r>
      <w:r w:rsidRPr="00EE3FFA">
        <w:rPr>
          <w:rFonts w:ascii="Times New Roman" w:hAnsi="Times New Roman" w:cs="Times New Roman"/>
          <w:i/>
          <w:iCs/>
          <w:color w:val="000000" w:themeColor="text1"/>
          <w:sz w:val="22"/>
          <w:szCs w:val="22"/>
        </w:rPr>
        <w:t>Electricity access challenges in Nigeria</w:t>
      </w:r>
      <w:r w:rsidRPr="00EE3FFA">
        <w:rPr>
          <w:rFonts w:ascii="Times New Roman" w:hAnsi="Times New Roman" w:cs="Times New Roman"/>
          <w:color w:val="000000" w:themeColor="text1"/>
          <w:sz w:val="22"/>
          <w:szCs w:val="22"/>
        </w:rPr>
        <w:t>.</w:t>
      </w:r>
    </w:p>
    <w:p w14:paraId="1E0B9563" w14:textId="13B118BC"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Olayiwola, S., &amp; Agboola, O. (2023). </w:t>
      </w:r>
      <w:r w:rsidRPr="00EE3FFA">
        <w:rPr>
          <w:rFonts w:ascii="Times New Roman" w:hAnsi="Times New Roman" w:cs="Times New Roman"/>
          <w:i/>
          <w:iCs/>
          <w:color w:val="000000" w:themeColor="text1"/>
          <w:sz w:val="22"/>
          <w:szCs w:val="22"/>
        </w:rPr>
        <w:t>Public acceptance of renewable energy technologies</w:t>
      </w:r>
      <w:r w:rsidRPr="00EE3FFA">
        <w:rPr>
          <w:rFonts w:ascii="Times New Roman" w:hAnsi="Times New Roman" w:cs="Times New Roman"/>
          <w:color w:val="000000" w:themeColor="text1"/>
          <w:sz w:val="22"/>
          <w:szCs w:val="22"/>
        </w:rPr>
        <w:t>.</w:t>
      </w:r>
    </w:p>
    <w:p w14:paraId="3D6EB561" w14:textId="77777777"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Smil, V. (2017). </w:t>
      </w:r>
      <w:r w:rsidRPr="00EE3FFA">
        <w:rPr>
          <w:rFonts w:ascii="Times New Roman" w:hAnsi="Times New Roman" w:cs="Times New Roman"/>
          <w:i/>
          <w:iCs/>
          <w:color w:val="000000" w:themeColor="text1"/>
          <w:sz w:val="22"/>
          <w:szCs w:val="22"/>
        </w:rPr>
        <w:t>Energy transitions: Global and historical perspectives</w:t>
      </w:r>
      <w:r w:rsidRPr="00EE3FFA">
        <w:rPr>
          <w:rFonts w:ascii="Times New Roman" w:hAnsi="Times New Roman" w:cs="Times New Roman"/>
          <w:color w:val="000000" w:themeColor="text1"/>
          <w:sz w:val="22"/>
          <w:szCs w:val="22"/>
        </w:rPr>
        <w:t>. MIT Press.</w:t>
      </w:r>
    </w:p>
    <w:p w14:paraId="5B312FD7" w14:textId="0C0EAEEE"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Suleiman, M., &amp; Ibraheem, H. (2023). </w:t>
      </w:r>
      <w:r w:rsidRPr="00EE3FFA">
        <w:rPr>
          <w:rFonts w:ascii="Times New Roman" w:hAnsi="Times New Roman" w:cs="Times New Roman"/>
          <w:i/>
          <w:iCs/>
          <w:color w:val="000000" w:themeColor="text1"/>
          <w:sz w:val="22"/>
          <w:szCs w:val="22"/>
        </w:rPr>
        <w:t>Environmental benefits of hydrogen energy adoption</w:t>
      </w:r>
      <w:r w:rsidRPr="00EE3FFA">
        <w:rPr>
          <w:rFonts w:ascii="Times New Roman" w:hAnsi="Times New Roman" w:cs="Times New Roman"/>
          <w:color w:val="000000" w:themeColor="text1"/>
          <w:sz w:val="22"/>
          <w:szCs w:val="22"/>
        </w:rPr>
        <w:t>.</w:t>
      </w:r>
    </w:p>
    <w:p w14:paraId="090530A3" w14:textId="2A5990A4"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Sustainable Energy for National Climate Change, Food Security and Employment Opportunities: Implications for Nigeria. (2022).</w:t>
      </w:r>
    </w:p>
    <w:p w14:paraId="2727956A" w14:textId="490EB58D" w:rsidR="00EE3FFA" w:rsidRPr="00EE3FFA" w:rsidRDefault="00EE3FFA" w:rsidP="00EE3FFA">
      <w:pPr>
        <w:spacing w:line="240" w:lineRule="auto"/>
        <w:ind w:left="720" w:hanging="720"/>
        <w:jc w:val="both"/>
        <w:rPr>
          <w:rFonts w:ascii="Times New Roman" w:hAnsi="Times New Roman" w:cs="Times New Roman"/>
          <w:color w:val="000000" w:themeColor="text1"/>
          <w:sz w:val="22"/>
          <w:szCs w:val="22"/>
        </w:rPr>
      </w:pPr>
      <w:proofErr w:type="spellStart"/>
      <w:r w:rsidRPr="00EE3FFA">
        <w:rPr>
          <w:rFonts w:ascii="Times New Roman" w:hAnsi="Times New Roman" w:cs="Times New Roman"/>
          <w:color w:val="000000" w:themeColor="text1"/>
          <w:sz w:val="22"/>
          <w:szCs w:val="22"/>
        </w:rPr>
        <w:t>Triollet</w:t>
      </w:r>
      <w:proofErr w:type="spellEnd"/>
      <w:r w:rsidRPr="00EE3FFA">
        <w:rPr>
          <w:rFonts w:ascii="Times New Roman" w:hAnsi="Times New Roman" w:cs="Times New Roman"/>
          <w:color w:val="000000" w:themeColor="text1"/>
          <w:sz w:val="22"/>
          <w:szCs w:val="22"/>
        </w:rPr>
        <w:t xml:space="preserve">, F., &amp; Alvarez, G. (2020). </w:t>
      </w:r>
      <w:r w:rsidRPr="00EE3FFA">
        <w:rPr>
          <w:rFonts w:ascii="Times New Roman" w:hAnsi="Times New Roman" w:cs="Times New Roman"/>
          <w:i/>
          <w:iCs/>
          <w:color w:val="000000" w:themeColor="text1"/>
          <w:sz w:val="22"/>
          <w:szCs w:val="22"/>
        </w:rPr>
        <w:t xml:space="preserve">Advances in hydrogen </w:t>
      </w:r>
      <w:proofErr w:type="spellStart"/>
      <w:r w:rsidRPr="00EE3FFA">
        <w:rPr>
          <w:rFonts w:ascii="Times New Roman" w:hAnsi="Times New Roman" w:cs="Times New Roman"/>
          <w:i/>
          <w:iCs/>
          <w:color w:val="000000" w:themeColor="text1"/>
          <w:sz w:val="22"/>
          <w:szCs w:val="22"/>
        </w:rPr>
        <w:t>electrolyzer</w:t>
      </w:r>
      <w:proofErr w:type="spellEnd"/>
      <w:r w:rsidRPr="00EE3FFA">
        <w:rPr>
          <w:rFonts w:ascii="Times New Roman" w:hAnsi="Times New Roman" w:cs="Times New Roman"/>
          <w:i/>
          <w:iCs/>
          <w:color w:val="000000" w:themeColor="text1"/>
          <w:sz w:val="22"/>
          <w:szCs w:val="22"/>
        </w:rPr>
        <w:t xml:space="preserve"> technologies</w:t>
      </w:r>
      <w:r w:rsidRPr="00EE3FFA">
        <w:rPr>
          <w:rFonts w:ascii="Times New Roman" w:hAnsi="Times New Roman" w:cs="Times New Roman"/>
          <w:color w:val="000000" w:themeColor="text1"/>
          <w:sz w:val="22"/>
          <w:szCs w:val="22"/>
        </w:rPr>
        <w:t>.</w:t>
      </w:r>
    </w:p>
    <w:p w14:paraId="7D031CA4" w14:textId="5457B11F" w:rsidR="005A4697" w:rsidRPr="00EE3FFA" w:rsidRDefault="00EE3FFA" w:rsidP="00EE3FFA">
      <w:pPr>
        <w:spacing w:line="240" w:lineRule="auto"/>
        <w:ind w:left="720" w:hanging="720"/>
        <w:jc w:val="both"/>
        <w:rPr>
          <w:rFonts w:ascii="Times New Roman" w:hAnsi="Times New Roman" w:cs="Times New Roman"/>
          <w:color w:val="000000" w:themeColor="text1"/>
          <w:sz w:val="22"/>
          <w:szCs w:val="22"/>
        </w:rPr>
      </w:pPr>
      <w:r w:rsidRPr="00EE3FFA">
        <w:rPr>
          <w:rFonts w:ascii="Times New Roman" w:hAnsi="Times New Roman" w:cs="Times New Roman"/>
          <w:color w:val="000000" w:themeColor="text1"/>
          <w:sz w:val="22"/>
          <w:szCs w:val="22"/>
        </w:rPr>
        <w:t xml:space="preserve">World Bank. (2021). </w:t>
      </w:r>
      <w:r w:rsidRPr="00EE3FFA">
        <w:rPr>
          <w:rFonts w:ascii="Times New Roman" w:hAnsi="Times New Roman" w:cs="Times New Roman"/>
          <w:i/>
          <w:iCs/>
          <w:color w:val="000000" w:themeColor="text1"/>
          <w:sz w:val="22"/>
          <w:szCs w:val="22"/>
        </w:rPr>
        <w:t>Nigeria energy access statistics</w:t>
      </w:r>
      <w:r w:rsidRPr="00EE3FFA">
        <w:rPr>
          <w:rFonts w:ascii="Times New Roman" w:hAnsi="Times New Roman" w:cs="Times New Roman"/>
          <w:color w:val="000000" w:themeColor="text1"/>
          <w:sz w:val="22"/>
          <w:szCs w:val="22"/>
        </w:rPr>
        <w:t>. World Bank Data.</w:t>
      </w:r>
    </w:p>
    <w:sectPr w:rsidR="005A4697" w:rsidRPr="00EE3FFA" w:rsidSect="005A4697">
      <w:footerReference w:type="default" r:id="rId2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DE477" w14:textId="77777777" w:rsidR="0039285A" w:rsidRDefault="0039285A" w:rsidP="00E27D4E">
      <w:pPr>
        <w:spacing w:after="0" w:line="240" w:lineRule="auto"/>
      </w:pPr>
      <w:r>
        <w:separator/>
      </w:r>
    </w:p>
  </w:endnote>
  <w:endnote w:type="continuationSeparator" w:id="0">
    <w:p w14:paraId="563380A8" w14:textId="77777777" w:rsidR="0039285A" w:rsidRDefault="0039285A" w:rsidP="00E2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399516"/>
      <w:docPartObj>
        <w:docPartGallery w:val="Page Numbers (Bottom of Page)"/>
        <w:docPartUnique/>
      </w:docPartObj>
    </w:sdtPr>
    <w:sdtEndPr>
      <w:rPr>
        <w:noProof/>
      </w:rPr>
    </w:sdtEndPr>
    <w:sdtContent>
      <w:p w14:paraId="0A8CFCC9" w14:textId="2947353F" w:rsidR="00E27D4E" w:rsidRDefault="00E27D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98CC56" w14:textId="77777777" w:rsidR="00E27D4E" w:rsidRDefault="00E27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266B2" w14:textId="77777777" w:rsidR="0039285A" w:rsidRDefault="0039285A" w:rsidP="00E27D4E">
      <w:pPr>
        <w:spacing w:after="0" w:line="240" w:lineRule="auto"/>
      </w:pPr>
      <w:r>
        <w:separator/>
      </w:r>
    </w:p>
  </w:footnote>
  <w:footnote w:type="continuationSeparator" w:id="0">
    <w:p w14:paraId="1B7283F1" w14:textId="77777777" w:rsidR="0039285A" w:rsidRDefault="0039285A" w:rsidP="00E27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7F36"/>
    <w:multiLevelType w:val="hybridMultilevel"/>
    <w:tmpl w:val="036A70A4"/>
    <w:lvl w:ilvl="0" w:tplc="4CB05F1A">
      <w:start w:val="1"/>
      <w:numFmt w:val="lowerLetter"/>
      <w:lvlText w:val="%1."/>
      <w:lvlJc w:val="left"/>
      <w:pPr>
        <w:ind w:left="810" w:hanging="360"/>
      </w:pPr>
      <w:rPr>
        <w:rFonts w:eastAsiaTheme="majorEastAsia" w:hint="default"/>
        <w:b/>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1" w15:restartNumberingAfterBreak="0">
    <w:nsid w:val="08292BE2"/>
    <w:multiLevelType w:val="hybridMultilevel"/>
    <w:tmpl w:val="F3A0DFB4"/>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97E4649"/>
    <w:multiLevelType w:val="multilevel"/>
    <w:tmpl w:val="77EAEC5E"/>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720" w:hanging="360"/>
      </w:pPr>
      <w:rPr>
        <w:rFonts w:eastAsiaTheme="majorEastAsia" w:hint="default"/>
        <w:b/>
      </w:rPr>
    </w:lvl>
    <w:lvl w:ilvl="2">
      <w:start w:val="1"/>
      <w:numFmt w:val="decimal"/>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A5566F"/>
    <w:multiLevelType w:val="multilevel"/>
    <w:tmpl w:val="2DD217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2E25F9"/>
    <w:multiLevelType w:val="hybridMultilevel"/>
    <w:tmpl w:val="88EA20E4"/>
    <w:lvl w:ilvl="0" w:tplc="2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5" w15:restartNumberingAfterBreak="0">
    <w:nsid w:val="16EF7412"/>
    <w:multiLevelType w:val="hybridMultilevel"/>
    <w:tmpl w:val="14B83646"/>
    <w:lvl w:ilvl="0" w:tplc="20000017">
      <w:start w:val="1"/>
      <w:numFmt w:val="lowerLetter"/>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6" w15:restartNumberingAfterBreak="0">
    <w:nsid w:val="206455A0"/>
    <w:multiLevelType w:val="hybridMultilevel"/>
    <w:tmpl w:val="606C76B2"/>
    <w:lvl w:ilvl="0" w:tplc="7276854E">
      <w:start w:val="1"/>
      <w:numFmt w:val="lowerLetter"/>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28CC569A"/>
    <w:multiLevelType w:val="hybridMultilevel"/>
    <w:tmpl w:val="A746B086"/>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2B4A63AC"/>
    <w:multiLevelType w:val="hybridMultilevel"/>
    <w:tmpl w:val="0A76C50A"/>
    <w:lvl w:ilvl="0" w:tplc="D1B6EACA">
      <w:start w:val="1"/>
      <w:numFmt w:val="lowerLetter"/>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9" w15:restartNumberingAfterBreak="0">
    <w:nsid w:val="2C237F2A"/>
    <w:multiLevelType w:val="hybridMultilevel"/>
    <w:tmpl w:val="D290672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DF6590"/>
    <w:multiLevelType w:val="hybridMultilevel"/>
    <w:tmpl w:val="2174BECC"/>
    <w:lvl w:ilvl="0" w:tplc="F636289A">
      <w:start w:val="1"/>
      <w:numFmt w:val="lowerLetter"/>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1" w15:restartNumberingAfterBreak="0">
    <w:nsid w:val="3D8007A5"/>
    <w:multiLevelType w:val="hybridMultilevel"/>
    <w:tmpl w:val="74D0DEC2"/>
    <w:lvl w:ilvl="0" w:tplc="5D44873C">
      <w:start w:val="1"/>
      <w:numFmt w:val="lowerLetter"/>
      <w:lvlText w:val="%1."/>
      <w:lvlJc w:val="left"/>
      <w:pPr>
        <w:ind w:left="630" w:hanging="360"/>
      </w:pPr>
      <w:rPr>
        <w:rFonts w:eastAsiaTheme="majorEastAsia" w:hint="default"/>
        <w:b/>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12" w15:restartNumberingAfterBreak="0">
    <w:nsid w:val="406056D6"/>
    <w:multiLevelType w:val="hybridMultilevel"/>
    <w:tmpl w:val="94A89300"/>
    <w:lvl w:ilvl="0" w:tplc="6A5229CA">
      <w:start w:val="1"/>
      <w:numFmt w:val="lowerLetter"/>
      <w:lvlText w:val="%1."/>
      <w:lvlJc w:val="left"/>
      <w:pPr>
        <w:ind w:left="1080" w:hanging="360"/>
      </w:pPr>
      <w:rPr>
        <w:rFonts w:eastAsiaTheme="majorEastAsia"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41453D87"/>
    <w:multiLevelType w:val="hybridMultilevel"/>
    <w:tmpl w:val="95264D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19D5672"/>
    <w:multiLevelType w:val="hybridMultilevel"/>
    <w:tmpl w:val="5FCED46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B517ECF"/>
    <w:multiLevelType w:val="hybridMultilevel"/>
    <w:tmpl w:val="E940D98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68B3631E"/>
    <w:multiLevelType w:val="hybridMultilevel"/>
    <w:tmpl w:val="75387C4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A132932"/>
    <w:multiLevelType w:val="hybridMultilevel"/>
    <w:tmpl w:val="787A654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6AC25D27"/>
    <w:multiLevelType w:val="multilevel"/>
    <w:tmpl w:val="F4EE020A"/>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90484E"/>
    <w:multiLevelType w:val="hybridMultilevel"/>
    <w:tmpl w:val="1400CB6A"/>
    <w:lvl w:ilvl="0" w:tplc="2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20" w15:restartNumberingAfterBreak="0">
    <w:nsid w:val="7D5B58DB"/>
    <w:multiLevelType w:val="hybridMultilevel"/>
    <w:tmpl w:val="79146F5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40205245">
    <w:abstractNumId w:val="19"/>
  </w:num>
  <w:num w:numId="2" w16cid:durableId="1058019307">
    <w:abstractNumId w:val="16"/>
  </w:num>
  <w:num w:numId="3" w16cid:durableId="490413549">
    <w:abstractNumId w:val="4"/>
  </w:num>
  <w:num w:numId="4" w16cid:durableId="700520974">
    <w:abstractNumId w:val="3"/>
  </w:num>
  <w:num w:numId="5" w16cid:durableId="138503870">
    <w:abstractNumId w:val="18"/>
  </w:num>
  <w:num w:numId="6" w16cid:durableId="1235896527">
    <w:abstractNumId w:val="2"/>
  </w:num>
  <w:num w:numId="7" w16cid:durableId="1798529515">
    <w:abstractNumId w:val="15"/>
  </w:num>
  <w:num w:numId="8" w16cid:durableId="1237938991">
    <w:abstractNumId w:val="17"/>
  </w:num>
  <w:num w:numId="9" w16cid:durableId="1997805214">
    <w:abstractNumId w:val="20"/>
  </w:num>
  <w:num w:numId="10" w16cid:durableId="2001157518">
    <w:abstractNumId w:val="13"/>
  </w:num>
  <w:num w:numId="11" w16cid:durableId="541866906">
    <w:abstractNumId w:val="7"/>
  </w:num>
  <w:num w:numId="12" w16cid:durableId="1746142401">
    <w:abstractNumId w:val="14"/>
  </w:num>
  <w:num w:numId="13" w16cid:durableId="2135440814">
    <w:abstractNumId w:val="9"/>
  </w:num>
  <w:num w:numId="14" w16cid:durableId="392387887">
    <w:abstractNumId w:val="10"/>
  </w:num>
  <w:num w:numId="15" w16cid:durableId="447507926">
    <w:abstractNumId w:val="8"/>
  </w:num>
  <w:num w:numId="16" w16cid:durableId="2004895052">
    <w:abstractNumId w:val="1"/>
  </w:num>
  <w:num w:numId="17" w16cid:durableId="350452403">
    <w:abstractNumId w:val="11"/>
  </w:num>
  <w:num w:numId="18" w16cid:durableId="1077433591">
    <w:abstractNumId w:val="0"/>
  </w:num>
  <w:num w:numId="19" w16cid:durableId="478232686">
    <w:abstractNumId w:val="12"/>
  </w:num>
  <w:num w:numId="20" w16cid:durableId="756295279">
    <w:abstractNumId w:val="6"/>
  </w:num>
  <w:num w:numId="21" w16cid:durableId="1390230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55"/>
    <w:rsid w:val="001477E7"/>
    <w:rsid w:val="0021632D"/>
    <w:rsid w:val="002F07BC"/>
    <w:rsid w:val="00352855"/>
    <w:rsid w:val="003921B4"/>
    <w:rsid w:val="0039285A"/>
    <w:rsid w:val="00473597"/>
    <w:rsid w:val="004C5EC0"/>
    <w:rsid w:val="005A4697"/>
    <w:rsid w:val="00642CDD"/>
    <w:rsid w:val="007556CB"/>
    <w:rsid w:val="00872451"/>
    <w:rsid w:val="00930289"/>
    <w:rsid w:val="00994A2C"/>
    <w:rsid w:val="009D08EF"/>
    <w:rsid w:val="00A507E4"/>
    <w:rsid w:val="00A71379"/>
    <w:rsid w:val="00B25182"/>
    <w:rsid w:val="00E27D4E"/>
    <w:rsid w:val="00E70F39"/>
    <w:rsid w:val="00EE3FFA"/>
    <w:rsid w:val="00FC1A84"/>
    <w:rsid w:val="00FF4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D89F"/>
  <w15:chartTrackingRefBased/>
  <w15:docId w15:val="{42F174B8-FDB6-4A68-9E2C-CAE85A8EB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8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28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28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28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28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2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8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28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28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28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28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2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2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2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2855"/>
    <w:rPr>
      <w:rFonts w:eastAsiaTheme="majorEastAsia" w:cstheme="majorBidi"/>
      <w:color w:val="272727" w:themeColor="text1" w:themeTint="D8"/>
    </w:rPr>
  </w:style>
  <w:style w:type="paragraph" w:styleId="Title">
    <w:name w:val="Title"/>
    <w:basedOn w:val="Normal"/>
    <w:next w:val="Normal"/>
    <w:link w:val="TitleChar"/>
    <w:uiPriority w:val="10"/>
    <w:qFormat/>
    <w:rsid w:val="00352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855"/>
    <w:pPr>
      <w:spacing w:before="160"/>
      <w:jc w:val="center"/>
    </w:pPr>
    <w:rPr>
      <w:i/>
      <w:iCs/>
      <w:color w:val="404040" w:themeColor="text1" w:themeTint="BF"/>
    </w:rPr>
  </w:style>
  <w:style w:type="character" w:customStyle="1" w:styleId="QuoteChar">
    <w:name w:val="Quote Char"/>
    <w:basedOn w:val="DefaultParagraphFont"/>
    <w:link w:val="Quote"/>
    <w:uiPriority w:val="29"/>
    <w:rsid w:val="00352855"/>
    <w:rPr>
      <w:i/>
      <w:iCs/>
      <w:color w:val="404040" w:themeColor="text1" w:themeTint="BF"/>
    </w:rPr>
  </w:style>
  <w:style w:type="paragraph" w:styleId="ListParagraph">
    <w:name w:val="List Paragraph"/>
    <w:basedOn w:val="Normal"/>
    <w:uiPriority w:val="34"/>
    <w:qFormat/>
    <w:rsid w:val="00352855"/>
    <w:pPr>
      <w:ind w:left="720"/>
      <w:contextualSpacing/>
    </w:pPr>
  </w:style>
  <w:style w:type="character" w:styleId="IntenseEmphasis">
    <w:name w:val="Intense Emphasis"/>
    <w:basedOn w:val="DefaultParagraphFont"/>
    <w:uiPriority w:val="21"/>
    <w:qFormat/>
    <w:rsid w:val="00352855"/>
    <w:rPr>
      <w:i/>
      <w:iCs/>
      <w:color w:val="2F5496" w:themeColor="accent1" w:themeShade="BF"/>
    </w:rPr>
  </w:style>
  <w:style w:type="paragraph" w:styleId="IntenseQuote">
    <w:name w:val="Intense Quote"/>
    <w:basedOn w:val="Normal"/>
    <w:next w:val="Normal"/>
    <w:link w:val="IntenseQuoteChar"/>
    <w:uiPriority w:val="30"/>
    <w:qFormat/>
    <w:rsid w:val="003528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2855"/>
    <w:rPr>
      <w:i/>
      <w:iCs/>
      <w:color w:val="2F5496" w:themeColor="accent1" w:themeShade="BF"/>
    </w:rPr>
  </w:style>
  <w:style w:type="character" w:styleId="IntenseReference">
    <w:name w:val="Intense Reference"/>
    <w:basedOn w:val="DefaultParagraphFont"/>
    <w:uiPriority w:val="32"/>
    <w:qFormat/>
    <w:rsid w:val="00352855"/>
    <w:rPr>
      <w:b/>
      <w:bCs/>
      <w:smallCaps/>
      <w:color w:val="2F5496" w:themeColor="accent1" w:themeShade="BF"/>
      <w:spacing w:val="5"/>
    </w:rPr>
  </w:style>
  <w:style w:type="table" w:styleId="TableGrid">
    <w:name w:val="Table Grid"/>
    <w:basedOn w:val="TableNormal"/>
    <w:rsid w:val="005A4697"/>
    <w:pPr>
      <w:widowControl w:val="0"/>
      <w:spacing w:after="0" w:line="240" w:lineRule="auto"/>
      <w:jc w:val="both"/>
    </w:pPr>
    <w:rPr>
      <w:rFonts w:eastAsia="DengXi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4697"/>
    <w:rPr>
      <w:color w:val="0563C1" w:themeColor="hyperlink"/>
      <w:u w:val="single"/>
    </w:rPr>
  </w:style>
  <w:style w:type="paragraph" w:styleId="NormalWeb">
    <w:name w:val="Normal (Web)"/>
    <w:basedOn w:val="Normal"/>
    <w:uiPriority w:val="99"/>
    <w:unhideWhenUsed/>
    <w:rsid w:val="005A469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A4697"/>
    <w:rPr>
      <w:b/>
      <w:bCs/>
    </w:rPr>
  </w:style>
  <w:style w:type="paragraph" w:styleId="Header">
    <w:name w:val="header"/>
    <w:basedOn w:val="Normal"/>
    <w:link w:val="HeaderChar"/>
    <w:uiPriority w:val="99"/>
    <w:unhideWhenUsed/>
    <w:rsid w:val="00E27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D4E"/>
  </w:style>
  <w:style w:type="paragraph" w:styleId="Footer">
    <w:name w:val="footer"/>
    <w:basedOn w:val="Normal"/>
    <w:link w:val="FooterChar"/>
    <w:uiPriority w:val="99"/>
    <w:unhideWhenUsed/>
    <w:rsid w:val="00E27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D4E"/>
  </w:style>
  <w:style w:type="character" w:styleId="UnresolvedMention">
    <w:name w:val="Unresolved Mention"/>
    <w:basedOn w:val="DefaultParagraphFont"/>
    <w:uiPriority w:val="99"/>
    <w:semiHidden/>
    <w:unhideWhenUsed/>
    <w:rsid w:val="00EE3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stainenergyres.springeropen.com/articles/10.1186/s40807-024-00107-1" TargetMode="Externa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doi.org/10.178" TargetMode="External"/><Relationship Id="rId7" Type="http://schemas.openxmlformats.org/officeDocument/2006/relationships/hyperlink" Target="https://sustainenergyres.springeropen.com/articles/10.1186/s40807-024-00107-1" TargetMode="Externa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sustainenergyres.springeropen.com/articles/10.1186/s40807-024-00107-1" TargetMode="Externa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LULC Chart</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NG"/>
        </a:p>
      </c:txPr>
    </c:title>
    <c:autoTitleDeleted val="0"/>
    <c:plotArea>
      <c:layout/>
      <c:barChart>
        <c:barDir val="col"/>
        <c:grouping val="clustered"/>
        <c:varyColors val="0"/>
        <c:ser>
          <c:idx val="0"/>
          <c:order val="0"/>
          <c:tx>
            <c:strRef>
              <c:f>[Book1]Sheet1!$D$1</c:f>
              <c:strCache>
                <c:ptCount val="1"/>
              </c:strCache>
            </c:strRef>
          </c:tx>
          <c:spPr>
            <a:solidFill>
              <a:schemeClr val="accent1"/>
            </a:solidFill>
            <a:ln>
              <a:noFill/>
            </a:ln>
            <a:effectLst/>
          </c:spPr>
          <c:invertIfNegative val="0"/>
          <c:cat>
            <c:strRef>
              <c:f>[Book1]Sheet1!$C$2:$C$7</c:f>
              <c:strCache>
                <c:ptCount val="6"/>
                <c:pt idx="0">
                  <c:v>Water body</c:v>
                </c:pt>
                <c:pt idx="1">
                  <c:v>Vegetation</c:v>
                </c:pt>
                <c:pt idx="2">
                  <c:v>Crop land</c:v>
                </c:pt>
                <c:pt idx="3">
                  <c:v>Built up area</c:v>
                </c:pt>
                <c:pt idx="4">
                  <c:v>Bare surface</c:v>
                </c:pt>
                <c:pt idx="5">
                  <c:v>Total</c:v>
                </c:pt>
              </c:strCache>
            </c:strRef>
          </c:cat>
          <c:val>
            <c:numRef>
              <c:f>[Book1]Sheet1!$D$2:$D$7</c:f>
              <c:numCache>
                <c:formatCode>General</c:formatCode>
                <c:ptCount val="6"/>
              </c:numCache>
            </c:numRef>
          </c:val>
          <c:extLst>
            <c:ext xmlns:c16="http://schemas.microsoft.com/office/drawing/2014/chart" uri="{C3380CC4-5D6E-409C-BE32-E72D297353CC}">
              <c16:uniqueId val="{00000000-E3D8-4504-8751-269B374BD54A}"/>
            </c:ext>
          </c:extLst>
        </c:ser>
        <c:ser>
          <c:idx val="1"/>
          <c:order val="1"/>
          <c:tx>
            <c:strRef>
              <c:f>[Book1]Sheet1!$E$1</c:f>
              <c:strCache>
                <c:ptCount val="1"/>
                <c:pt idx="0">
                  <c:v>Area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[Book1]Sheet1!$C$2:$C$7</c:f>
              <c:strCache>
                <c:ptCount val="6"/>
                <c:pt idx="0">
                  <c:v>Water body</c:v>
                </c:pt>
                <c:pt idx="1">
                  <c:v>Vegetation</c:v>
                </c:pt>
                <c:pt idx="2">
                  <c:v>Crop land</c:v>
                </c:pt>
                <c:pt idx="3">
                  <c:v>Built up area</c:v>
                </c:pt>
                <c:pt idx="4">
                  <c:v>Bare surface</c:v>
                </c:pt>
                <c:pt idx="5">
                  <c:v>Total</c:v>
                </c:pt>
              </c:strCache>
            </c:strRef>
          </c:cat>
          <c:val>
            <c:numRef>
              <c:f>[Book1]Sheet1!$E$2:$E$7</c:f>
              <c:numCache>
                <c:formatCode>0.00%</c:formatCode>
                <c:ptCount val="6"/>
                <c:pt idx="0">
                  <c:v>2.40584431980101E-2</c:v>
                </c:pt>
                <c:pt idx="1">
                  <c:v>9.9866807463558693E-2</c:v>
                </c:pt>
                <c:pt idx="2">
                  <c:v>0.21622900414906199</c:v>
                </c:pt>
                <c:pt idx="3">
                  <c:v>1.08822593106135E-2</c:v>
                </c:pt>
                <c:pt idx="4">
                  <c:v>0.64896348587875596</c:v>
                </c:pt>
                <c:pt idx="5">
                  <c:v>1</c:v>
                </c:pt>
              </c:numCache>
            </c:numRef>
          </c:val>
          <c:extLst>
            <c:ext xmlns:c16="http://schemas.microsoft.com/office/drawing/2014/chart" uri="{C3380CC4-5D6E-409C-BE32-E72D297353CC}">
              <c16:uniqueId val="{00000001-E3D8-4504-8751-269B374BD54A}"/>
            </c:ext>
          </c:extLst>
        </c:ser>
        <c:dLbls>
          <c:showLegendKey val="0"/>
          <c:showVal val="0"/>
          <c:showCatName val="0"/>
          <c:showSerName val="0"/>
          <c:showPercent val="0"/>
          <c:showBubbleSize val="0"/>
        </c:dLbls>
        <c:gapWidth val="246"/>
        <c:overlap val="-28"/>
        <c:axId val="280376384"/>
        <c:axId val="280376776"/>
      </c:barChart>
      <c:catAx>
        <c:axId val="28037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80376776"/>
        <c:crosses val="autoZero"/>
        <c:auto val="1"/>
        <c:lblAlgn val="ctr"/>
        <c:lblOffset val="100"/>
        <c:noMultiLvlLbl val="0"/>
      </c:catAx>
      <c:valAx>
        <c:axId val="280376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803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extLst>
      <c:ext uri="{0b15fc19-7d7d-44ad-8c2d-2c3a37ce22c3}">
        <chartProps xmlns="https://web.wps.cn/et/2018/main" chartId="{aadf14d6-71af-4573-8c9c-7dee6e2f754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Borku curve</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NG"/>
        </a:p>
      </c:txPr>
    </c:title>
    <c:autoTitleDeleted val="0"/>
    <c:plotArea>
      <c:layout/>
      <c:barChart>
        <c:barDir val="col"/>
        <c:grouping val="clustered"/>
        <c:varyColors val="0"/>
        <c:ser>
          <c:idx val="0"/>
          <c:order val="0"/>
          <c:tx>
            <c:strRef>
              <c:f>[Book2]Sheet1!$D$2</c:f>
              <c:strCache>
                <c:ptCount val="1"/>
                <c:pt idx="0">
                  <c:v>Area (Sqkm)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[Book2]Sheet1!$C$3:$C$8</c:f>
              <c:strCache>
                <c:ptCount val="6"/>
                <c:pt idx="0">
                  <c:v>Water body</c:v>
                </c:pt>
                <c:pt idx="1">
                  <c:v>Vegetation</c:v>
                </c:pt>
                <c:pt idx="2">
                  <c:v>Crop land</c:v>
                </c:pt>
                <c:pt idx="3">
                  <c:v>Built up area</c:v>
                </c:pt>
                <c:pt idx="4">
                  <c:v>Bare surface</c:v>
                </c:pt>
                <c:pt idx="5">
                  <c:v>Total</c:v>
                </c:pt>
              </c:strCache>
            </c:strRef>
          </c:cat>
          <c:val>
            <c:numRef>
              <c:f>[Book2]Sheet1!$D$3:$D$8</c:f>
              <c:numCache>
                <c:formatCode>General</c:formatCode>
                <c:ptCount val="6"/>
                <c:pt idx="0">
                  <c:v>355.07</c:v>
                </c:pt>
                <c:pt idx="1">
                  <c:v>1577.78</c:v>
                </c:pt>
                <c:pt idx="2">
                  <c:v>589.62</c:v>
                </c:pt>
                <c:pt idx="3">
                  <c:v>38.49</c:v>
                </c:pt>
                <c:pt idx="4">
                  <c:v>8684.91</c:v>
                </c:pt>
                <c:pt idx="5">
                  <c:v>11245.87</c:v>
                </c:pt>
              </c:numCache>
            </c:numRef>
          </c:val>
          <c:extLst>
            <c:ext xmlns:c16="http://schemas.microsoft.com/office/drawing/2014/chart" uri="{C3380CC4-5D6E-409C-BE32-E72D297353CC}">
              <c16:uniqueId val="{00000000-44B8-4BC9-8F64-FB11F285C845}"/>
            </c:ext>
          </c:extLst>
        </c:ser>
        <c:dLbls>
          <c:showLegendKey val="0"/>
          <c:showVal val="1"/>
          <c:showCatName val="0"/>
          <c:showSerName val="0"/>
          <c:showPercent val="0"/>
          <c:showBubbleSize val="0"/>
        </c:dLbls>
        <c:gapWidth val="246"/>
        <c:overlap val="-28"/>
        <c:axId val="285236864"/>
        <c:axId val="285237256"/>
      </c:barChart>
      <c:catAx>
        <c:axId val="285236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85237256"/>
        <c:crosses val="autoZero"/>
        <c:auto val="1"/>
        <c:lblAlgn val="ctr"/>
        <c:lblOffset val="100"/>
        <c:noMultiLvlLbl val="0"/>
      </c:catAx>
      <c:valAx>
        <c:axId val="28523725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852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extLst>
      <c:ext uri="{0b15fc19-7d7d-44ad-8c2d-2c3a37ce22c3}">
        <chartProps xmlns="https://web.wps.cn/et/2018/main" chartId="{05d5b124-7dbb-4fd7-a115-9fcc65a5e28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US"/>
              <a:t>Chart in percentage</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NG"/>
        </a:p>
      </c:txPr>
    </c:title>
    <c:autoTitleDeleted val="0"/>
    <c:plotArea>
      <c:layout/>
      <c:barChart>
        <c:barDir val="col"/>
        <c:grouping val="clustered"/>
        <c:varyColors val="0"/>
        <c:ser>
          <c:idx val="0"/>
          <c:order val="0"/>
          <c:tx>
            <c:strRef>
              <c:f>[Book2]Sheet2!$E$3</c:f>
              <c:strCache>
                <c:ptCount val="1"/>
              </c:strCache>
            </c:strRef>
          </c:tx>
          <c:spPr>
            <a:solidFill>
              <a:schemeClr val="accent1"/>
            </a:solidFill>
            <a:ln>
              <a:noFill/>
            </a:ln>
            <a:effectLst/>
          </c:spPr>
          <c:invertIfNegative val="0"/>
          <c:cat>
            <c:strRef>
              <c:f>[Book2]Sheet2!$D$4:$D$9</c:f>
              <c:strCache>
                <c:ptCount val="6"/>
                <c:pt idx="0">
                  <c:v>Water body</c:v>
                </c:pt>
                <c:pt idx="1">
                  <c:v>Vegetation</c:v>
                </c:pt>
                <c:pt idx="2">
                  <c:v>Crop land</c:v>
                </c:pt>
                <c:pt idx="3">
                  <c:v>Built up area</c:v>
                </c:pt>
                <c:pt idx="4">
                  <c:v>Bare surface</c:v>
                </c:pt>
                <c:pt idx="5">
                  <c:v>Total</c:v>
                </c:pt>
              </c:strCache>
            </c:strRef>
          </c:cat>
          <c:val>
            <c:numRef>
              <c:f>[Book2]Sheet2!$E$4:$E$9</c:f>
              <c:numCache>
                <c:formatCode>General</c:formatCode>
                <c:ptCount val="6"/>
              </c:numCache>
            </c:numRef>
          </c:val>
          <c:extLst>
            <c:ext xmlns:c16="http://schemas.microsoft.com/office/drawing/2014/chart" uri="{C3380CC4-5D6E-409C-BE32-E72D297353CC}">
              <c16:uniqueId val="{00000000-5AF2-450C-AFA0-D515143929B8}"/>
            </c:ext>
          </c:extLst>
        </c:ser>
        <c:ser>
          <c:idx val="1"/>
          <c:order val="1"/>
          <c:tx>
            <c:strRef>
              <c:f>[Book2]Sheet2!$F$3</c:f>
              <c:strCache>
                <c:ptCount val="1"/>
                <c:pt idx="0">
                  <c:v>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[Book2]Sheet2!$D$4:$D$9</c:f>
              <c:strCache>
                <c:ptCount val="6"/>
                <c:pt idx="0">
                  <c:v>Water body</c:v>
                </c:pt>
                <c:pt idx="1">
                  <c:v>Vegetation</c:v>
                </c:pt>
                <c:pt idx="2">
                  <c:v>Crop land</c:v>
                </c:pt>
                <c:pt idx="3">
                  <c:v>Built up area</c:v>
                </c:pt>
                <c:pt idx="4">
                  <c:v>Bare surface</c:v>
                </c:pt>
                <c:pt idx="5">
                  <c:v>Total</c:v>
                </c:pt>
              </c:strCache>
            </c:strRef>
          </c:cat>
          <c:val>
            <c:numRef>
              <c:f>[Book2]Sheet2!$F$4:$F$9</c:f>
              <c:numCache>
                <c:formatCode>0.00%</c:formatCode>
                <c:ptCount val="6"/>
                <c:pt idx="0">
                  <c:v>3.15733687122473E-2</c:v>
                </c:pt>
                <c:pt idx="1">
                  <c:v>0.140298616292025</c:v>
                </c:pt>
                <c:pt idx="2">
                  <c:v>5.2429914270750097E-2</c:v>
                </c:pt>
                <c:pt idx="3">
                  <c:v>3.4225898040791901E-3</c:v>
                </c:pt>
                <c:pt idx="4">
                  <c:v>0.77227551092089797</c:v>
                </c:pt>
                <c:pt idx="5">
                  <c:v>1</c:v>
                </c:pt>
              </c:numCache>
            </c:numRef>
          </c:val>
          <c:extLst>
            <c:ext xmlns:c16="http://schemas.microsoft.com/office/drawing/2014/chart" uri="{C3380CC4-5D6E-409C-BE32-E72D297353CC}">
              <c16:uniqueId val="{00000001-5AF2-450C-AFA0-D515143929B8}"/>
            </c:ext>
          </c:extLst>
        </c:ser>
        <c:dLbls>
          <c:showLegendKey val="0"/>
          <c:showVal val="0"/>
          <c:showCatName val="0"/>
          <c:showSerName val="0"/>
          <c:showPercent val="0"/>
          <c:showBubbleSize val="0"/>
        </c:dLbls>
        <c:gapWidth val="246"/>
        <c:overlap val="-28"/>
        <c:axId val="285238040"/>
        <c:axId val="201361280"/>
      </c:barChart>
      <c:catAx>
        <c:axId val="285238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01361280"/>
        <c:crosses val="autoZero"/>
        <c:auto val="1"/>
        <c:lblAlgn val="ctr"/>
        <c:lblOffset val="100"/>
        <c:noMultiLvlLbl val="0"/>
      </c:catAx>
      <c:valAx>
        <c:axId val="2013612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crossAx val="28523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NG"/>
        </a:p>
      </c:txPr>
    </c:legend>
    <c:plotVisOnly val="1"/>
    <c:dispBlanksAs val="gap"/>
    <c:showDLblsOverMax val="0"/>
    <c:extLst>
      <c:ext uri="{0b15fc19-7d7d-44ad-8c2d-2c3a37ce22c3}">
        <chartProps xmlns="https://web.wps.cn/et/2018/main" chartId="{7173b73e-f4b0-455d-8383-adec277d3e3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7673</Words>
  <Characters>43740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APEX ICT CONZULT</dc:creator>
  <cp:keywords/>
  <dc:description/>
  <cp:lastModifiedBy>shehu i. musa</cp:lastModifiedBy>
  <cp:revision>7</cp:revision>
  <dcterms:created xsi:type="dcterms:W3CDTF">2026-02-15T23:12:00Z</dcterms:created>
  <dcterms:modified xsi:type="dcterms:W3CDTF">2026-02-23T09:29:00Z</dcterms:modified>
</cp:coreProperties>
</file>