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9DE3" w14:textId="4AF983F3" w:rsidR="00C47B05" w:rsidRPr="00E00D77" w:rsidRDefault="00C47B05" w:rsidP="00E00D77">
      <w:pPr>
        <w:pStyle w:val="NoSpacing"/>
        <w:jc w:val="center"/>
        <w:rPr>
          <w:rFonts w:ascii="Times New Roman" w:hAnsi="Times New Roman" w:cs="Times New Roman"/>
          <w:sz w:val="28"/>
          <w:szCs w:val="28"/>
        </w:rPr>
      </w:pPr>
      <w:r w:rsidRPr="00E00D77">
        <w:rPr>
          <w:rFonts w:ascii="Times New Roman" w:hAnsi="Times New Roman" w:cs="Times New Roman"/>
          <w:sz w:val="28"/>
          <w:szCs w:val="28"/>
        </w:rPr>
        <w:t>Teaching Beyond Isolation: Lived Experiences, Resilience, and Adaptation of Teachers in Geographically Isolated Areas</w:t>
      </w:r>
    </w:p>
    <w:p w14:paraId="04EDA9DC" w14:textId="65F114AB" w:rsidR="00C47B05" w:rsidRPr="00E00D77" w:rsidRDefault="00C47B05" w:rsidP="00E00D77">
      <w:pPr>
        <w:pStyle w:val="NoSpacing"/>
        <w:jc w:val="center"/>
        <w:rPr>
          <w:rFonts w:ascii="Times New Roman" w:eastAsia="MS Mincho" w:hAnsi="Times New Roman" w:cs="Times New Roman"/>
          <w:b/>
          <w:bCs/>
          <w:vertAlign w:val="superscript"/>
        </w:rPr>
      </w:pPr>
      <w:proofErr w:type="spellStart"/>
      <w:r w:rsidRPr="00E00D77">
        <w:rPr>
          <w:rFonts w:ascii="Times New Roman" w:eastAsia="MS Mincho" w:hAnsi="Times New Roman" w:cs="Times New Roman"/>
          <w:b/>
          <w:bCs/>
        </w:rPr>
        <w:t/>
      </w:r>
      <w:proofErr w:type="spellEnd"/>
      <w:r w:rsidRPr="00E00D77">
        <w:rPr>
          <w:rFonts w:ascii="Times New Roman" w:eastAsia="MS Mincho" w:hAnsi="Times New Roman" w:cs="Times New Roman"/>
          <w:b/>
          <w:bCs/>
        </w:rPr>
        <w:t xml:space="preserve"/>
      </w:r>
      <w:r w:rsidR="00D96292" w:rsidRPr="00D96292">
        <w:rPr>
          <w:rFonts w:ascii="Times New Roman" w:eastAsia="MS Mincho" w:hAnsi="Times New Roman" w:cs="Times New Roman"/>
          <w:b/>
          <w:bCs/>
          <w:vertAlign w:val="superscript"/>
        </w:rPr>
        <w:t/>
      </w:r>
      <w:r w:rsidRPr="00E00D77">
        <w:rPr>
          <w:rFonts w:ascii="Times New Roman" w:eastAsia="MS Mincho" w:hAnsi="Times New Roman" w:cs="Times New Roman"/>
          <w:b/>
          <w:bCs/>
        </w:rPr>
        <w:t/>
      </w:r>
      <w:r w:rsidR="00D96292" w:rsidRPr="00D96292">
        <w:rPr>
          <w:rFonts w:ascii="Times New Roman" w:eastAsia="MS Mincho" w:hAnsi="Times New Roman" w:cs="Times New Roman"/>
          <w:b/>
          <w:bCs/>
          <w:vertAlign w:val="superscript"/>
        </w:rPr>
        <w:t/>
      </w:r>
    </w:p>
    <w:p w14:paraId="332D4E41" w14:textId="77777777" w:rsidR="00C47B05" w:rsidRPr="00E00D77" w:rsidRDefault="00C47B05" w:rsidP="00E00D77">
      <w:pPr>
        <w:pStyle w:val="NoSpacing"/>
        <w:jc w:val="center"/>
        <w:rPr>
          <w:rFonts w:ascii="Times New Roman" w:eastAsia="MS Mincho" w:hAnsi="Times New Roman" w:cs="Times New Roman"/>
        </w:rPr>
      </w:pPr>
    </w:p>
    <w:p w14:paraId="3494EBD0" w14:textId="6CB2CC7E" w:rsidR="00C47B05" w:rsidRPr="00E00D77" w:rsidRDefault="00D96292" w:rsidP="00E00D77">
      <w:pPr>
        <w:pStyle w:val="NoSpacing"/>
        <w:jc w:val="center"/>
        <w:rPr>
          <w:rFonts w:ascii="Times New Roman" w:eastAsia="MS Mincho" w:hAnsi="Times New Roman" w:cs="Times New Roman"/>
        </w:rPr>
      </w:pPr>
      <w:r w:rsidRPr="00D96292">
        <w:rPr>
          <w:rFonts w:ascii="Times New Roman" w:eastAsia="MS Mincho" w:hAnsi="Times New Roman" w:cs="Times New Roman"/>
          <w:vertAlign w:val="superscript"/>
        </w:rPr>
        <w:t/>
      </w:r>
      <w:r w:rsidR="00C47B05" w:rsidRPr="00E00D77">
        <w:rPr>
          <w:rFonts w:ascii="Times New Roman" w:eastAsia="MS Mincho" w:hAnsi="Times New Roman" w:cs="Times New Roman"/>
        </w:rPr>
        <w:t/>
      </w:r>
    </w:p>
    <w:p w14:paraId="50275A49" w14:textId="225BFEF4" w:rsidR="00C47B05" w:rsidRPr="00E00D77" w:rsidRDefault="00D96292" w:rsidP="00E00D77">
      <w:pPr>
        <w:pStyle w:val="NoSpacing"/>
        <w:jc w:val="center"/>
        <w:rPr>
          <w:rFonts w:ascii="Times New Roman" w:eastAsia="MS Mincho" w:hAnsi="Times New Roman" w:cs="Times New Roman"/>
        </w:rPr>
      </w:pPr>
      <w:r w:rsidRPr="00D96292">
        <w:rPr>
          <w:rFonts w:ascii="Times New Roman" w:eastAsia="MS Mincho" w:hAnsi="Times New Roman" w:cs="Times New Roman"/>
          <w:vertAlign w:val="superscript"/>
        </w:rPr>
        <w:t/>
      </w:r>
      <w:r w:rsidR="00C47B05" w:rsidRPr="00E00D77">
        <w:rPr>
          <w:rFonts w:ascii="Times New Roman" w:eastAsia="MS Mincho" w:hAnsi="Times New Roman" w:cs="Times New Roman"/>
        </w:rPr>
        <w:t xml:space="preserve"/>
      </w:r>
      <w:proofErr w:type="gramStart"/>
      <w:r w:rsidR="00C47B05" w:rsidRPr="00E00D77">
        <w:rPr>
          <w:rFonts w:ascii="Times New Roman" w:eastAsia="MS Mincho" w:hAnsi="Times New Roman" w:cs="Times New Roman"/>
        </w:rPr>
        <w:t/>
      </w:r>
      <w:proofErr w:type="gramEnd"/>
      <w:r w:rsidR="00C47B05" w:rsidRPr="00E00D77">
        <w:rPr>
          <w:rFonts w:ascii="Times New Roman" w:eastAsia="MS Mincho" w:hAnsi="Times New Roman" w:cs="Times New Roman"/>
        </w:rPr>
        <w:t xml:space="preserve"/>
      </w:r>
      <w:proofErr w:type="spellStart"/>
      <w:r w:rsidR="00C47B05" w:rsidRPr="00E00D77">
        <w:rPr>
          <w:rFonts w:ascii="Times New Roman" w:eastAsia="MS Mincho" w:hAnsi="Times New Roman" w:cs="Times New Roman"/>
        </w:rPr>
        <w:t/>
      </w:r>
      <w:proofErr w:type="spellEnd"/>
      <w:r w:rsidR="00C47B05" w:rsidRPr="00E00D77">
        <w:rPr>
          <w:rFonts w:ascii="Times New Roman" w:eastAsia="MS Mincho" w:hAnsi="Times New Roman" w:cs="Times New Roman"/>
        </w:rPr>
        <w:t xml:space="preserve"/>
      </w:r>
    </w:p>
    <w:p w14:paraId="10BF868D" w14:textId="186088F8" w:rsidR="00C47B05" w:rsidRPr="00E00D77" w:rsidRDefault="00C47B05" w:rsidP="00E00D77">
      <w:pPr>
        <w:pStyle w:val="NoSpacing"/>
        <w:jc w:val="center"/>
        <w:rPr>
          <w:rFonts w:ascii="Times New Roman" w:eastAsia="MS Mincho" w:hAnsi="Times New Roman" w:cs="Times New Roman"/>
        </w:rPr>
      </w:pPr>
      <w:hyperlink r:id="rId5" w:history="1">
        <w:r w:rsidRPr="00E00D77">
          <w:rPr>
            <w:rStyle w:val="Hyperlink"/>
            <w:rFonts w:ascii="Times New Roman" w:eastAsia="MS Mincho" w:hAnsi="Times New Roman" w:cs="Times New Roman"/>
            <w:color w:val="auto"/>
          </w:rPr>
          <w:t/>
        </w:r>
      </w:hyperlink>
      <w:r w:rsidRPr="00E00D77">
        <w:rPr>
          <w:rFonts w:ascii="Times New Roman" w:eastAsia="MS Mincho" w:hAnsi="Times New Roman" w:cs="Times New Roman"/>
        </w:rPr>
        <w:t xml:space="preserve"/>
      </w:r>
      <w:hyperlink r:id="rId6" w:history="1">
        <w:r w:rsidRPr="00E00D77">
          <w:rPr>
            <w:rStyle w:val="Hyperlink"/>
            <w:rFonts w:ascii="Times New Roman" w:eastAsia="MS Mincho" w:hAnsi="Times New Roman" w:cs="Times New Roman"/>
            <w:color w:val="auto"/>
          </w:rPr>
          <w:t/>
        </w:r>
      </w:hyperlink>
    </w:p>
    <w:p w14:paraId="1E999582" w14:textId="77777777" w:rsidR="00C47B05" w:rsidRPr="00E00D77" w:rsidRDefault="00C47B05" w:rsidP="00E00D77">
      <w:pPr>
        <w:pStyle w:val="NoSpacing"/>
        <w:rPr>
          <w:rFonts w:ascii="Times New Roman" w:eastAsia="MS Mincho" w:hAnsi="Times New Roman" w:cs="Times New Roman"/>
        </w:rPr>
      </w:pPr>
    </w:p>
    <w:p w14:paraId="61790FE7" w14:textId="77777777" w:rsidR="00C47B05" w:rsidRPr="00E00D77" w:rsidRDefault="00C47B05" w:rsidP="00E00D77">
      <w:pPr>
        <w:pStyle w:val="NoSpacing"/>
        <w:rPr>
          <w:rFonts w:ascii="Times New Roman" w:hAnsi="Times New Roman" w:cs="Times New Roman"/>
        </w:rPr>
      </w:pPr>
    </w:p>
    <w:p w14:paraId="21A1D599" w14:textId="0C02428A" w:rsidR="00C47B05" w:rsidRDefault="00C47B05" w:rsidP="00E00D77">
      <w:pPr>
        <w:pStyle w:val="NoSpacing"/>
        <w:rPr>
          <w:rFonts w:ascii="Times New Roman" w:hAnsi="Times New Roman" w:cs="Times New Roman"/>
          <w:b/>
          <w:bCs/>
          <w:sz w:val="28"/>
          <w:szCs w:val="28"/>
        </w:rPr>
      </w:pPr>
      <w:r w:rsidRPr="00E00D77">
        <w:rPr>
          <w:rFonts w:ascii="Times New Roman" w:hAnsi="Times New Roman" w:cs="Times New Roman"/>
          <w:b/>
          <w:bCs/>
          <w:sz w:val="28"/>
          <w:szCs w:val="28"/>
        </w:rPr>
        <w:t>A</w:t>
      </w:r>
      <w:r w:rsidR="00576C7F" w:rsidRPr="00E00D77">
        <w:rPr>
          <w:rFonts w:ascii="Times New Roman" w:hAnsi="Times New Roman" w:cs="Times New Roman"/>
          <w:b/>
          <w:bCs/>
          <w:sz w:val="28"/>
          <w:szCs w:val="28"/>
        </w:rPr>
        <w:t xml:space="preserve">BSTRACT </w:t>
      </w:r>
    </w:p>
    <w:p w14:paraId="050098A9" w14:textId="0AF4292D" w:rsidR="007A0D26" w:rsidRPr="007A0D26" w:rsidRDefault="007A0D26" w:rsidP="007A0D26">
      <w:pPr>
        <w:pStyle w:val="NoSpacing"/>
        <w:jc w:val="both"/>
        <w:rPr>
          <w:rFonts w:ascii="Times New Roman" w:hAnsi="Times New Roman"/>
        </w:rPr>
      </w:pPr>
      <w:r w:rsidRPr="007A0D26">
        <w:rPr>
          <w:rFonts w:ascii="Times New Roman" w:hAnsi="Times New Roman"/>
        </w:rPr>
        <w:t>Teaching in geographically isolated areas presents unique professional, instructional, and emotional challenges that influence teachers’ resilience, adaptation, and well-being. This study explored the lived experiences of teachers assigned to Del Pilar Community School–</w:t>
      </w:r>
      <w:proofErr w:type="spellStart"/>
      <w:r w:rsidRPr="007A0D26">
        <w:rPr>
          <w:rFonts w:ascii="Times New Roman" w:hAnsi="Times New Roman"/>
        </w:rPr>
        <w:t>Kapihan</w:t>
      </w:r>
      <w:proofErr w:type="spellEnd"/>
      <w:r w:rsidRPr="007A0D26">
        <w:rPr>
          <w:rFonts w:ascii="Times New Roman" w:hAnsi="Times New Roman"/>
        </w:rPr>
        <w:t xml:space="preserve"> Extension Classes in Sitio </w:t>
      </w:r>
      <w:proofErr w:type="spellStart"/>
      <w:r w:rsidRPr="007A0D26">
        <w:rPr>
          <w:rFonts w:ascii="Times New Roman" w:hAnsi="Times New Roman"/>
        </w:rPr>
        <w:t>Kapihan</w:t>
      </w:r>
      <w:proofErr w:type="spellEnd"/>
      <w:r w:rsidRPr="007A0D26">
        <w:rPr>
          <w:rFonts w:ascii="Times New Roman" w:hAnsi="Times New Roman"/>
        </w:rPr>
        <w:t xml:space="preserve">, Socorro, Surigao del Norte. Using a qualitative hermeneutic phenomenological design, data were gathered through in-depth interviews and narrative inquiry with 18 teachers and 1 school administrator, selected through complete enumeration. Braun and Clarke’s thematic analysis revealed three major themes influencing resilience and burnout: Institutional Neglect and Structural Disadvantage, Workload Intensification and Role Expansion, and Institutional Isolation and Limited Professional Support. Findings further showed that </w:t>
      </w:r>
      <w:proofErr w:type="gramStart"/>
      <w:r w:rsidRPr="007A0D26">
        <w:rPr>
          <w:rFonts w:ascii="Times New Roman" w:hAnsi="Times New Roman"/>
        </w:rPr>
        <w:t>teachers'</w:t>
      </w:r>
      <w:proofErr w:type="gramEnd"/>
      <w:r w:rsidRPr="007A0D26">
        <w:rPr>
          <w:rFonts w:ascii="Times New Roman" w:hAnsi="Times New Roman"/>
        </w:rPr>
        <w:t xml:space="preserve"> lived experiences shaped instructional practices through Learner-Centered Adaptation and Empathy, Experience-Driven Flexibility and Instructional Judgment, and Resourcefulness and Geo-Cultural Contextualization. In managing instruction, teachers demonstrated Contextualized Resource Utilization, Curriculum Prioritization, and Adaptive Multi-Grade Pedagogical Strategies. Despite limited infrastructure, inadequate resources, and restricted professional support, teachers sustained educational delivery through resilience, creativity, and strong commitment to learners. The study concludes that while individual adaptability enables teachers to overcome contextual barriers, sustainable educational improvement in geographically isolated areas requires stronger institutional support, targeted professional development, improved infrastructure, and responsive policy interventions to promote teacher well-being and educational equity.</w:t>
      </w:r>
    </w:p>
    <w:p w14:paraId="6E9FCE53" w14:textId="77777777" w:rsidR="007A0D26" w:rsidRPr="007A0D26" w:rsidRDefault="007A0D26" w:rsidP="007A0D26">
      <w:pPr>
        <w:pStyle w:val="NoSpacing"/>
        <w:jc w:val="both"/>
        <w:rPr>
          <w:rFonts w:ascii="Times New Roman" w:hAnsi="Times New Roman"/>
          <w:b/>
          <w:bCs/>
        </w:rPr>
      </w:pPr>
    </w:p>
    <w:p w14:paraId="02ED42B2" w14:textId="093FC61C" w:rsidR="007A0D26" w:rsidRPr="007A0D26" w:rsidRDefault="007A0D26" w:rsidP="007A0D26">
      <w:pPr>
        <w:pStyle w:val="NoSpacing"/>
        <w:jc w:val="both"/>
        <w:rPr>
          <w:rFonts w:ascii="Times New Roman" w:hAnsi="Times New Roman"/>
        </w:rPr>
      </w:pPr>
      <w:r w:rsidRPr="007A0D26">
        <w:rPr>
          <w:rFonts w:ascii="Times New Roman" w:hAnsi="Times New Roman"/>
          <w:b/>
          <w:bCs/>
        </w:rPr>
        <w:t>Keywords:</w:t>
      </w:r>
      <w:r w:rsidRPr="007A0D26">
        <w:rPr>
          <w:rFonts w:ascii="Times New Roman" w:hAnsi="Times New Roman"/>
        </w:rPr>
        <w:t xml:space="preserve"> geographically isolated areas, teacher resilience, instructional adaptation, phenomenology, multigrade teaching, educational equity, rural education</w:t>
      </w:r>
    </w:p>
    <w:p w14:paraId="1ADC7F05" w14:textId="77777777" w:rsidR="007A0D26" w:rsidRPr="00E00D77" w:rsidRDefault="007A0D26" w:rsidP="00E00D77">
      <w:pPr>
        <w:pStyle w:val="NoSpacing"/>
        <w:rPr>
          <w:rFonts w:ascii="Times New Roman" w:hAnsi="Times New Roman" w:cs="Times New Roman"/>
          <w:b/>
          <w:bCs/>
          <w:sz w:val="28"/>
          <w:szCs w:val="28"/>
        </w:rPr>
      </w:pPr>
    </w:p>
    <w:p w14:paraId="0CB11BAC" w14:textId="6213DBFC" w:rsidR="00576C7F" w:rsidRPr="00E00D77" w:rsidRDefault="00576C7F" w:rsidP="00E00D77">
      <w:pPr>
        <w:pStyle w:val="NoSpacing"/>
        <w:rPr>
          <w:rFonts w:ascii="Times New Roman" w:hAnsi="Times New Roman" w:cs="Times New Roman"/>
          <w:b/>
          <w:bCs/>
          <w:sz w:val="28"/>
          <w:szCs w:val="28"/>
        </w:rPr>
      </w:pPr>
      <w:r w:rsidRPr="00E00D77">
        <w:rPr>
          <w:rFonts w:ascii="Times New Roman" w:hAnsi="Times New Roman" w:cs="Times New Roman"/>
          <w:b/>
          <w:bCs/>
          <w:sz w:val="28"/>
          <w:szCs w:val="28"/>
        </w:rPr>
        <w:t>INTRODUCTION</w:t>
      </w:r>
    </w:p>
    <w:p w14:paraId="3E593F28" w14:textId="66FA9214" w:rsidR="00576C7F" w:rsidRPr="00E00D77" w:rsidRDefault="00576C7F" w:rsidP="00E00D77">
      <w:pPr>
        <w:pStyle w:val="NoSpacing"/>
        <w:jc w:val="both"/>
        <w:rPr>
          <w:rFonts w:ascii="Times New Roman" w:hAnsi="Times New Roman" w:cs="Times New Roman"/>
        </w:rPr>
      </w:pPr>
      <w:r w:rsidRPr="00E00D77">
        <w:rPr>
          <w:rFonts w:ascii="Times New Roman" w:hAnsi="Times New Roman" w:cs="Times New Roman"/>
        </w:rPr>
        <w:t>Teaching in geographically isolated areas remains one of the most challenging yet essential dimensions of educational service delivery, as teachers are often required to perform their professional responsibilities under conditions marked by limited infrastructure, scarce instructional resources, difficult terrain, and restricted access to support services. Studies have shown that educators assigned to remote communities frequently encounter professional, social, and environmental constraints that affect both instructional effectiveness and personal well-being, while also serving as critical agents of educational access and inclusion (UNESCO, 2024; Azano &amp; Stewart, 2024). Despite these adversities, teachers continue to demonstrate commitment to their learners through innovative practices, contextualized instruction, and sustained engagement with local communities (Halsey, 2020).</w:t>
      </w:r>
    </w:p>
    <w:p w14:paraId="17340AB1" w14:textId="0E421348" w:rsidR="00576C7F" w:rsidRPr="00E00D77" w:rsidRDefault="00576C7F" w:rsidP="00E00D77">
      <w:pPr>
        <w:pStyle w:val="NoSpacing"/>
        <w:jc w:val="both"/>
        <w:rPr>
          <w:rFonts w:ascii="Times New Roman" w:hAnsi="Times New Roman" w:cs="Times New Roman"/>
        </w:rPr>
      </w:pPr>
      <w:r w:rsidRPr="00E00D77">
        <w:rPr>
          <w:rFonts w:ascii="Times New Roman" w:hAnsi="Times New Roman" w:cs="Times New Roman"/>
        </w:rPr>
        <w:t xml:space="preserve">In the Philippine context, geographically isolated and disadvantaged areas (GIDA) continue to face persistent educational inequalities associated with inadequate facilities, limited </w:t>
      </w:r>
      <w:r w:rsidRPr="00E00D77">
        <w:rPr>
          <w:rFonts w:ascii="Times New Roman" w:hAnsi="Times New Roman" w:cs="Times New Roman"/>
        </w:rPr>
        <w:lastRenderedPageBreak/>
        <w:t>connectivity, shortages of learning materials, and challenges in teacher deployment and retention (Department of Education [DepEd], 2022; SEAMEO INNOTECH, 2022). These conditions place teachers at the forefront of addressing educational disruptions while navigating complex instructional demands that extend beyond conventional classroom responsibilities. Research indicates that educators in remote schools often assume multiple roles as facilitators, mentors, counselors, and community partners to ensure continuity of learning despite resource constraints and institutional limitations (Barley &amp; Beesley, 2021; UNESCO, 2024).</w:t>
      </w:r>
    </w:p>
    <w:p w14:paraId="67B8F4F3" w14:textId="7B4CA0E9" w:rsidR="00576C7F" w:rsidRPr="00E00D77" w:rsidRDefault="00576C7F" w:rsidP="00E00D77">
      <w:pPr>
        <w:pStyle w:val="NoSpacing"/>
        <w:jc w:val="both"/>
        <w:rPr>
          <w:rFonts w:ascii="Times New Roman" w:hAnsi="Times New Roman" w:cs="Times New Roman"/>
        </w:rPr>
      </w:pPr>
      <w:r w:rsidRPr="00E00D77">
        <w:rPr>
          <w:rFonts w:ascii="Times New Roman" w:hAnsi="Times New Roman" w:cs="Times New Roman"/>
        </w:rPr>
        <w:t xml:space="preserve">The experiences of teachers in geographically isolated settings are characterized not only by challenges but also by resilience and adaptation. Resilience enables educators to sustain motivation, maintain instructional quality, and respond constructively to adversity, while adaptation reflects their capacity to modify teaching strategies, use available resources creatively, and develop context-responsive approaches to </w:t>
      </w:r>
      <w:r w:rsidR="007A0D26">
        <w:rPr>
          <w:rFonts w:ascii="Times New Roman" w:hAnsi="Times New Roman" w:cs="Times New Roman"/>
        </w:rPr>
        <w:t>delivering</w:t>
      </w:r>
      <w:r w:rsidRPr="00E00D77">
        <w:rPr>
          <w:rFonts w:ascii="Times New Roman" w:hAnsi="Times New Roman" w:cs="Times New Roman"/>
        </w:rPr>
        <w:t xml:space="preserve"> learning (Gu &amp; Day, 2022; Mansfield et al., 2023). Such adaptive capacities are particularly evident in remote schools where teachers continuously negotiate the demands of scarcity, isolation, and educational accountability while remaining committed to learner development and educational equity (Halsey, 2020; Azano &amp; Stewart, 2024).</w:t>
      </w:r>
    </w:p>
    <w:p w14:paraId="4A432DD5" w14:textId="1A06FF24" w:rsidR="00576C7F" w:rsidRPr="00E00D77" w:rsidRDefault="00576C7F" w:rsidP="00E00D77">
      <w:pPr>
        <w:pStyle w:val="NoSpacing"/>
        <w:jc w:val="both"/>
        <w:rPr>
          <w:rFonts w:ascii="Times New Roman" w:hAnsi="Times New Roman" w:cs="Times New Roman"/>
        </w:rPr>
      </w:pPr>
      <w:r w:rsidRPr="00E00D77">
        <w:rPr>
          <w:rFonts w:ascii="Times New Roman" w:hAnsi="Times New Roman" w:cs="Times New Roman"/>
        </w:rPr>
        <w:t>Against this backdrop, the present study explores the lived experiences, resilience, and adaptation of teachers assigned to Del Pilar Community School–</w:t>
      </w:r>
      <w:proofErr w:type="spellStart"/>
      <w:r w:rsidRPr="00E00D77">
        <w:rPr>
          <w:rFonts w:ascii="Times New Roman" w:hAnsi="Times New Roman" w:cs="Times New Roman"/>
        </w:rPr>
        <w:t>Kapihan</w:t>
      </w:r>
      <w:proofErr w:type="spellEnd"/>
      <w:r w:rsidRPr="00E00D77">
        <w:rPr>
          <w:rFonts w:ascii="Times New Roman" w:hAnsi="Times New Roman" w:cs="Times New Roman"/>
        </w:rPr>
        <w:t xml:space="preserve"> Extension Classes in Sitio </w:t>
      </w:r>
      <w:proofErr w:type="spellStart"/>
      <w:r w:rsidRPr="00E00D77">
        <w:rPr>
          <w:rFonts w:ascii="Times New Roman" w:hAnsi="Times New Roman" w:cs="Times New Roman"/>
        </w:rPr>
        <w:t>Kapihan</w:t>
      </w:r>
      <w:proofErr w:type="spellEnd"/>
      <w:r w:rsidRPr="00E00D77">
        <w:rPr>
          <w:rFonts w:ascii="Times New Roman" w:hAnsi="Times New Roman" w:cs="Times New Roman"/>
        </w:rPr>
        <w:t>, Socorro, Surigao del Norte. Specifically, it seeks to understand how teachers experience and interpret the realities of teaching in a geographically isolated environment, the challenges they encounter, and the coping and instructional strategies they employ to sustain learning. By foregrounding teachers’ narratives, the study contributes to a deeper understanding of educational practice in remote communities and provides evidence that may inform policies, support mechanisms, and intervention programs aimed at strengthening teacher well-being and improving educational delivery in geographically isolated areas.</w:t>
      </w:r>
    </w:p>
    <w:p w14:paraId="0CBDA2A6" w14:textId="77777777" w:rsidR="007A0D26" w:rsidRDefault="007A0D26" w:rsidP="00E00D77">
      <w:pPr>
        <w:pStyle w:val="NoSpacing"/>
        <w:jc w:val="both"/>
        <w:rPr>
          <w:rFonts w:ascii="Times New Roman" w:hAnsi="Times New Roman" w:cs="Times New Roman"/>
          <w:b/>
          <w:bCs/>
        </w:rPr>
      </w:pPr>
    </w:p>
    <w:p w14:paraId="79D05139" w14:textId="167B216A" w:rsidR="00881F97" w:rsidRPr="00E00D77" w:rsidRDefault="00881F97" w:rsidP="00E00D77">
      <w:pPr>
        <w:pStyle w:val="NoSpacing"/>
        <w:jc w:val="both"/>
        <w:rPr>
          <w:rFonts w:ascii="Times New Roman" w:hAnsi="Times New Roman" w:cs="Times New Roman"/>
          <w:b/>
          <w:bCs/>
        </w:rPr>
      </w:pPr>
      <w:r w:rsidRPr="00E00D77">
        <w:rPr>
          <w:rFonts w:ascii="Times New Roman" w:hAnsi="Times New Roman" w:cs="Times New Roman"/>
          <w:b/>
          <w:bCs/>
        </w:rPr>
        <w:t>Statement of the Problem</w:t>
      </w:r>
    </w:p>
    <w:p w14:paraId="7CF751E2" w14:textId="7BDD526A" w:rsidR="00881F97" w:rsidRPr="00E00D77" w:rsidRDefault="00881F97" w:rsidP="00E00D77">
      <w:pPr>
        <w:pStyle w:val="NoSpacing"/>
        <w:jc w:val="both"/>
        <w:rPr>
          <w:rFonts w:ascii="Times New Roman" w:hAnsi="Times New Roman" w:cs="Times New Roman"/>
        </w:rPr>
      </w:pPr>
      <w:r w:rsidRPr="00E00D77">
        <w:rPr>
          <w:rFonts w:ascii="Times New Roman" w:hAnsi="Times New Roman" w:cs="Times New Roman"/>
        </w:rPr>
        <w:t>Specifically, this study aimed to address the following research questions:</w:t>
      </w:r>
    </w:p>
    <w:p w14:paraId="0FB2F433" w14:textId="09B11D18" w:rsidR="00881F97" w:rsidRPr="00E00D77" w:rsidRDefault="00881F97" w:rsidP="00E00D77">
      <w:pPr>
        <w:pStyle w:val="NoSpacing"/>
        <w:jc w:val="both"/>
        <w:rPr>
          <w:rFonts w:ascii="Times New Roman" w:hAnsi="Times New Roman" w:cs="Times New Roman"/>
        </w:rPr>
      </w:pPr>
      <w:r w:rsidRPr="00E00D77">
        <w:rPr>
          <w:rFonts w:ascii="Times New Roman" w:hAnsi="Times New Roman" w:cs="Times New Roman"/>
        </w:rPr>
        <w:t xml:space="preserve">1. How do contextual factors influence teacher resilience and burnout? </w:t>
      </w:r>
    </w:p>
    <w:p w14:paraId="0F03AE89" w14:textId="0BABAA49" w:rsidR="00881F97" w:rsidRPr="00E00D77" w:rsidRDefault="00881F97" w:rsidP="00E00D77">
      <w:pPr>
        <w:pStyle w:val="NoSpacing"/>
        <w:jc w:val="both"/>
        <w:rPr>
          <w:rFonts w:ascii="Times New Roman" w:hAnsi="Times New Roman" w:cs="Times New Roman"/>
        </w:rPr>
      </w:pPr>
      <w:r w:rsidRPr="00E00D77">
        <w:rPr>
          <w:rFonts w:ascii="Times New Roman" w:hAnsi="Times New Roman" w:cs="Times New Roman"/>
        </w:rPr>
        <w:t xml:space="preserve">2. How do teachers lived experiences inform instructional practices? </w:t>
      </w:r>
    </w:p>
    <w:p w14:paraId="1B4B899A" w14:textId="085637C0" w:rsidR="00881F97" w:rsidRPr="00E00D77" w:rsidRDefault="00881F97" w:rsidP="00E00D77">
      <w:pPr>
        <w:pStyle w:val="NoSpacing"/>
        <w:jc w:val="both"/>
        <w:rPr>
          <w:rFonts w:ascii="Times New Roman" w:hAnsi="Times New Roman" w:cs="Times New Roman"/>
        </w:rPr>
      </w:pPr>
      <w:r w:rsidRPr="00E00D77">
        <w:rPr>
          <w:rFonts w:ascii="Times New Roman" w:hAnsi="Times New Roman" w:cs="Times New Roman"/>
        </w:rPr>
        <w:t xml:space="preserve">3. How do teachers in geographically isolated areas manage instructional practices? </w:t>
      </w:r>
    </w:p>
    <w:p w14:paraId="6972439B" w14:textId="77777777" w:rsidR="005A07CF" w:rsidRDefault="005A07CF" w:rsidP="00E00D77">
      <w:pPr>
        <w:pStyle w:val="NoSpacing"/>
        <w:jc w:val="both"/>
        <w:rPr>
          <w:rFonts w:ascii="Times New Roman" w:hAnsi="Times New Roman" w:cs="Times New Roman"/>
          <w:b/>
          <w:bCs/>
        </w:rPr>
      </w:pPr>
    </w:p>
    <w:p w14:paraId="4E870EC4" w14:textId="5A96E23E" w:rsidR="00881F97" w:rsidRPr="00E00D77" w:rsidRDefault="00881F97" w:rsidP="00E00D77">
      <w:pPr>
        <w:pStyle w:val="NoSpacing"/>
        <w:jc w:val="both"/>
        <w:rPr>
          <w:rFonts w:ascii="Times New Roman" w:hAnsi="Times New Roman" w:cs="Times New Roman"/>
          <w:b/>
          <w:bCs/>
        </w:rPr>
      </w:pPr>
      <w:r w:rsidRPr="00E00D77">
        <w:rPr>
          <w:rFonts w:ascii="Times New Roman" w:hAnsi="Times New Roman" w:cs="Times New Roman"/>
          <w:b/>
          <w:bCs/>
        </w:rPr>
        <w:t xml:space="preserve">Literature Review </w:t>
      </w:r>
    </w:p>
    <w:p w14:paraId="76F5B911" w14:textId="7836213D" w:rsidR="00F80207" w:rsidRPr="00E00D77" w:rsidRDefault="00F80207" w:rsidP="005A07CF">
      <w:pPr>
        <w:pStyle w:val="NoSpacing"/>
        <w:ind w:firstLine="720"/>
        <w:jc w:val="both"/>
        <w:rPr>
          <w:rFonts w:ascii="Times New Roman" w:hAnsi="Times New Roman" w:cs="Times New Roman"/>
        </w:rPr>
      </w:pPr>
      <w:r w:rsidRPr="00E00D77">
        <w:rPr>
          <w:rFonts w:ascii="Times New Roman" w:hAnsi="Times New Roman" w:cs="Times New Roman"/>
        </w:rPr>
        <w:t xml:space="preserve">Teachers assigned to geographically isolated and disadvantaged areas (GIDA) operate within educational environments characterized by limited infrastructure, inadequate instructional resources, and restricted access to professional support systems. Recent studies have shown that geographic remoteness continues to influence the quality of educational delivery by creating barriers to teacher effectiveness, learner engagement, and institutional sustainability. According to UNESCO (2024), schools in remote communities frequently experience shortages of qualified teachers, insufficient learning materials, and limited opportunities for professional development, all of which affect instructional quality and educational equity. Similarly, the Organization for Economic Co-operation and Development (2023) reported that teachers in underserved regions often encounter heavier workloads and greater professional demands than their counterparts in urban schools. Research by Roberts and Fuqua (2022) further emphasized that rural educators often take on multiple responsibilities beyond teaching, including </w:t>
      </w:r>
      <w:r w:rsidR="005A07CF">
        <w:rPr>
          <w:rFonts w:ascii="Times New Roman" w:hAnsi="Times New Roman" w:cs="Times New Roman"/>
        </w:rPr>
        <w:t>coordinating community efforts and supporting</w:t>
      </w:r>
      <w:r w:rsidRPr="00E00D77">
        <w:rPr>
          <w:rFonts w:ascii="Times New Roman" w:hAnsi="Times New Roman" w:cs="Times New Roman"/>
        </w:rPr>
        <w:t xml:space="preserve"> learner welfare. Likewise, White and Kline (2021) found that geographic isolation contributes to professional marginalization and reduces opportunities for collaboration and mentoring, increasing the complexity of teachers’ work in remote settings.</w:t>
      </w:r>
    </w:p>
    <w:p w14:paraId="29586FFA" w14:textId="77777777" w:rsidR="005A07CF" w:rsidRDefault="005A07CF" w:rsidP="005A07CF">
      <w:pPr>
        <w:pStyle w:val="NoSpacing"/>
        <w:ind w:firstLine="720"/>
        <w:jc w:val="both"/>
        <w:rPr>
          <w:rFonts w:ascii="Times New Roman" w:hAnsi="Times New Roman" w:cs="Times New Roman"/>
        </w:rPr>
      </w:pPr>
    </w:p>
    <w:p w14:paraId="1601AF1E" w14:textId="791803D8" w:rsidR="00881F97" w:rsidRPr="00E00D77" w:rsidRDefault="00F80207" w:rsidP="005A07CF">
      <w:pPr>
        <w:pStyle w:val="NoSpacing"/>
        <w:ind w:firstLine="720"/>
        <w:jc w:val="both"/>
        <w:rPr>
          <w:rFonts w:ascii="Times New Roman" w:hAnsi="Times New Roman" w:cs="Times New Roman"/>
        </w:rPr>
      </w:pPr>
      <w:r w:rsidRPr="00E00D77">
        <w:rPr>
          <w:rFonts w:ascii="Times New Roman" w:hAnsi="Times New Roman" w:cs="Times New Roman"/>
        </w:rPr>
        <w:t xml:space="preserve">Despite these challenges, contemporary literature highlights the remarkable resilience and adaptability demonstrated by teachers working in isolated communities. Kim and Asbury (2023) observed that resilient educators sustain instructional effectiveness through flexibility, innovation, and strong commitment to learners despite resource limitations. In a study on teacher adaptation in remote schools, McLeod and Dulsky (2024) found that educators frequently develop context-responsive teaching strategies, improvising instructional materials and modifying pedagogical approaches to meet local realities. Similarly, Beltman and Mansfield (2022) reported that social support, professional purpose, and adaptive coping mechanisms significantly strengthen teachers’ resilience in challenging environments. Recent evidence from rural education studies also indicates that community engagement and localized instructional practices enhance teachers’ capacity to navigate adversity while maintaining learner participation and achievement (Walker &amp; </w:t>
      </w:r>
      <w:proofErr w:type="spellStart"/>
      <w:r w:rsidRPr="00E00D77">
        <w:rPr>
          <w:rFonts w:ascii="Times New Roman" w:hAnsi="Times New Roman" w:cs="Times New Roman"/>
        </w:rPr>
        <w:t>Tondeur</w:t>
      </w:r>
      <w:proofErr w:type="spellEnd"/>
      <w:r w:rsidRPr="00E00D77">
        <w:rPr>
          <w:rFonts w:ascii="Times New Roman" w:hAnsi="Times New Roman" w:cs="Times New Roman"/>
        </w:rPr>
        <w:t>, 2023). Collectively, these studies suggest that while geographic isolation poses significant professional and personal challenges, teachers’ resilience and adaptive practices play a critical role in sustaining educational access and promoting continuity of learning in marginalized communities.</w:t>
      </w:r>
    </w:p>
    <w:p w14:paraId="4240EF39" w14:textId="77777777" w:rsidR="00E00D77" w:rsidRDefault="00E00D77" w:rsidP="00E00D77">
      <w:pPr>
        <w:pStyle w:val="NoSpacing"/>
        <w:rPr>
          <w:rFonts w:ascii="Times New Roman" w:hAnsi="Times New Roman" w:cs="Times New Roman"/>
          <w:b/>
          <w:bCs/>
          <w:sz w:val="28"/>
          <w:szCs w:val="28"/>
        </w:rPr>
      </w:pPr>
    </w:p>
    <w:p w14:paraId="0F01646A" w14:textId="4A733EE7" w:rsidR="00576C7F" w:rsidRPr="00E00D77" w:rsidRDefault="00576C7F" w:rsidP="00E00D77">
      <w:pPr>
        <w:pStyle w:val="NoSpacing"/>
        <w:rPr>
          <w:rFonts w:ascii="Times New Roman" w:hAnsi="Times New Roman" w:cs="Times New Roman"/>
          <w:b/>
          <w:bCs/>
          <w:sz w:val="28"/>
          <w:szCs w:val="28"/>
        </w:rPr>
      </w:pPr>
      <w:r w:rsidRPr="00E00D77">
        <w:rPr>
          <w:rFonts w:ascii="Times New Roman" w:hAnsi="Times New Roman" w:cs="Times New Roman"/>
          <w:b/>
          <w:bCs/>
          <w:sz w:val="28"/>
          <w:szCs w:val="28"/>
        </w:rPr>
        <w:t xml:space="preserve">METHODOLOGY </w:t>
      </w:r>
    </w:p>
    <w:p w14:paraId="10A2089B" w14:textId="16BA3ADB" w:rsidR="00881F97" w:rsidRPr="00E00D77" w:rsidRDefault="00147540" w:rsidP="007A0D26">
      <w:pPr>
        <w:pStyle w:val="NoSpacing"/>
        <w:ind w:firstLine="720"/>
        <w:jc w:val="both"/>
        <w:rPr>
          <w:rFonts w:ascii="Times New Roman" w:hAnsi="Times New Roman" w:cs="Times New Roman"/>
        </w:rPr>
      </w:pPr>
      <w:r w:rsidRPr="00E00D77">
        <w:rPr>
          <w:rFonts w:ascii="Times New Roman" w:hAnsi="Times New Roman" w:cs="Times New Roman"/>
        </w:rPr>
        <w:t>This study employed a qualitative hermeneutic phenomenological research design to explore and interpret the lived experiences of teachers assigned to geographically isolated areas, particularly at Del Pilar Community School–</w:t>
      </w:r>
      <w:proofErr w:type="spellStart"/>
      <w:r w:rsidRPr="00E00D77">
        <w:rPr>
          <w:rFonts w:ascii="Times New Roman" w:hAnsi="Times New Roman" w:cs="Times New Roman"/>
        </w:rPr>
        <w:t>Kapihan</w:t>
      </w:r>
      <w:proofErr w:type="spellEnd"/>
      <w:r w:rsidRPr="00E00D77">
        <w:rPr>
          <w:rFonts w:ascii="Times New Roman" w:hAnsi="Times New Roman" w:cs="Times New Roman"/>
        </w:rPr>
        <w:t xml:space="preserve"> Extension Classes in Sitio </w:t>
      </w:r>
      <w:proofErr w:type="spellStart"/>
      <w:r w:rsidRPr="00E00D77">
        <w:rPr>
          <w:rFonts w:ascii="Times New Roman" w:hAnsi="Times New Roman" w:cs="Times New Roman"/>
        </w:rPr>
        <w:t>Kapihan</w:t>
      </w:r>
      <w:proofErr w:type="spellEnd"/>
      <w:r w:rsidRPr="00E00D77">
        <w:rPr>
          <w:rFonts w:ascii="Times New Roman" w:hAnsi="Times New Roman" w:cs="Times New Roman"/>
        </w:rPr>
        <w:t>, Socorro, Surigao del Norte. Guided by the phenomenological perspective of Smith, Flowers, and Larkin (2021), the study sought to understand how teachers make meaning of their experiences while teaching in a remote setting characterized by temporary learning spaces, limited instructional resources, lack of electricity and internet connectivity, large and multigrade classes, and challenging environmental conditions. Through in-depth interviews and narrative inquiry, the study examined the emotional, psychological, and professional realities of teachers, focusing on their challenges, coping mechanisms, resilience, instructional adaptations, and experiences of burnout. Del Pilar Community School–</w:t>
      </w:r>
      <w:proofErr w:type="spellStart"/>
      <w:r w:rsidRPr="00E00D77">
        <w:rPr>
          <w:rFonts w:ascii="Times New Roman" w:hAnsi="Times New Roman" w:cs="Times New Roman"/>
        </w:rPr>
        <w:t>Kapihan</w:t>
      </w:r>
      <w:proofErr w:type="spellEnd"/>
      <w:r w:rsidRPr="00E00D77">
        <w:rPr>
          <w:rFonts w:ascii="Times New Roman" w:hAnsi="Times New Roman" w:cs="Times New Roman"/>
        </w:rPr>
        <w:t xml:space="preserve"> Extension Classes served as the research locale because it represents a geographically isolated and disadvantaged educational setting where temporary schooling arrangements, resource scarcity, restrictive land-use policies, and socio-political uncertainties converge, providing a rich context for understanding how teachers sustain instruction, professional commitment, and learner support amid conditions of isolation and adversity.</w:t>
      </w:r>
    </w:p>
    <w:p w14:paraId="6295C567" w14:textId="77777777" w:rsidR="00E00D77" w:rsidRDefault="00E00D77" w:rsidP="00E00D77">
      <w:pPr>
        <w:pStyle w:val="NoSpacing"/>
        <w:jc w:val="both"/>
        <w:rPr>
          <w:rFonts w:ascii="Times New Roman" w:hAnsi="Times New Roman" w:cs="Times New Roman"/>
          <w:b/>
          <w:bCs/>
        </w:rPr>
      </w:pPr>
    </w:p>
    <w:p w14:paraId="67FA7CA1" w14:textId="232C1BBE" w:rsidR="00A20F69" w:rsidRPr="00E00D77" w:rsidRDefault="00A20F69" w:rsidP="00E00D77">
      <w:pPr>
        <w:pStyle w:val="NoSpacing"/>
        <w:jc w:val="both"/>
        <w:rPr>
          <w:rFonts w:ascii="Times New Roman" w:hAnsi="Times New Roman" w:cs="Times New Roman"/>
          <w:b/>
          <w:bCs/>
        </w:rPr>
      </w:pPr>
      <w:r w:rsidRPr="00E00D77">
        <w:rPr>
          <w:rFonts w:ascii="Times New Roman" w:hAnsi="Times New Roman" w:cs="Times New Roman"/>
          <w:b/>
          <w:bCs/>
        </w:rPr>
        <w:t xml:space="preserve">Research </w:t>
      </w:r>
      <w:r w:rsidR="005D50D1">
        <w:rPr>
          <w:rFonts w:ascii="Times New Roman" w:hAnsi="Times New Roman" w:cs="Times New Roman"/>
          <w:b/>
          <w:bCs/>
        </w:rPr>
        <w:t>Participants</w:t>
      </w:r>
    </w:p>
    <w:p w14:paraId="3D5492F3" w14:textId="7F6BE866" w:rsidR="00A20F69" w:rsidRPr="00E00D77" w:rsidRDefault="00A20F69" w:rsidP="007A0D26">
      <w:pPr>
        <w:pStyle w:val="NoSpacing"/>
        <w:ind w:firstLine="720"/>
        <w:jc w:val="both"/>
        <w:rPr>
          <w:rFonts w:ascii="Times New Roman" w:hAnsi="Times New Roman" w:cs="Times New Roman"/>
        </w:rPr>
      </w:pPr>
      <w:r w:rsidRPr="00E00D77">
        <w:rPr>
          <w:rFonts w:ascii="Times New Roman" w:hAnsi="Times New Roman" w:cs="Times New Roman"/>
        </w:rPr>
        <w:t>The study involved eighteen (18) teachers and one (1) school administrator from Del Pilar Community School–</w:t>
      </w:r>
      <w:proofErr w:type="spellStart"/>
      <w:r w:rsidRPr="00E00D77">
        <w:rPr>
          <w:rFonts w:ascii="Times New Roman" w:hAnsi="Times New Roman" w:cs="Times New Roman"/>
        </w:rPr>
        <w:t>Kapihan</w:t>
      </w:r>
      <w:proofErr w:type="spellEnd"/>
      <w:r w:rsidRPr="00E00D77">
        <w:rPr>
          <w:rFonts w:ascii="Times New Roman" w:hAnsi="Times New Roman" w:cs="Times New Roman"/>
        </w:rPr>
        <w:t xml:space="preserve"> Extension Classes who served as </w:t>
      </w:r>
      <w:r w:rsidR="005D50D1">
        <w:rPr>
          <w:rFonts w:ascii="Times New Roman" w:hAnsi="Times New Roman" w:cs="Times New Roman"/>
        </w:rPr>
        <w:t>participants</w:t>
      </w:r>
      <w:r w:rsidRPr="00E00D77">
        <w:rPr>
          <w:rFonts w:ascii="Times New Roman" w:hAnsi="Times New Roman" w:cs="Times New Roman"/>
        </w:rPr>
        <w:t xml:space="preserve"> due to their direct engagement in teaching and school management within a geographically isolated setting. A complete enumeration sampling technique was employed to include all eligible participants, ensuring comprehensive representation of experiences, perspectives, and challenges associated with teaching in Sitio </w:t>
      </w:r>
      <w:proofErr w:type="spellStart"/>
      <w:r w:rsidRPr="00E00D77">
        <w:rPr>
          <w:rFonts w:ascii="Times New Roman" w:hAnsi="Times New Roman" w:cs="Times New Roman"/>
        </w:rPr>
        <w:t>Kapihan</w:t>
      </w:r>
      <w:proofErr w:type="spellEnd"/>
      <w:r w:rsidRPr="00E00D77">
        <w:rPr>
          <w:rFonts w:ascii="Times New Roman" w:hAnsi="Times New Roman" w:cs="Times New Roman"/>
        </w:rPr>
        <w:t xml:space="preserve">. This approach is appropriate for small populations and enables a holistic understanding of </w:t>
      </w:r>
      <w:proofErr w:type="gramStart"/>
      <w:r w:rsidRPr="00E00D77">
        <w:rPr>
          <w:rFonts w:ascii="Times New Roman" w:hAnsi="Times New Roman" w:cs="Times New Roman"/>
        </w:rPr>
        <w:t>educators'</w:t>
      </w:r>
      <w:proofErr w:type="gramEnd"/>
      <w:r w:rsidRPr="00E00D77">
        <w:rPr>
          <w:rFonts w:ascii="Times New Roman" w:hAnsi="Times New Roman" w:cs="Times New Roman"/>
        </w:rPr>
        <w:t xml:space="preserve"> lived experiences, resilience, and adaptive practices in geographically isolated areas (Creswell &amp; Poth, 2021).</w:t>
      </w:r>
    </w:p>
    <w:p w14:paraId="1296E555" w14:textId="77777777" w:rsidR="001C1DEB" w:rsidRDefault="001C1DEB" w:rsidP="007A0D26">
      <w:pPr>
        <w:pStyle w:val="NoSpacing"/>
        <w:jc w:val="center"/>
        <w:rPr>
          <w:rFonts w:ascii="Times New Roman" w:hAnsi="Times New Roman" w:cs="Times New Roman"/>
        </w:rPr>
      </w:pPr>
    </w:p>
    <w:p w14:paraId="14AE0FCB" w14:textId="77777777" w:rsidR="001C1DEB" w:rsidRDefault="001C1DEB" w:rsidP="007A0D26">
      <w:pPr>
        <w:pStyle w:val="NoSpacing"/>
        <w:jc w:val="center"/>
        <w:rPr>
          <w:rFonts w:ascii="Times New Roman" w:hAnsi="Times New Roman" w:cs="Times New Roman"/>
        </w:rPr>
      </w:pPr>
    </w:p>
    <w:p w14:paraId="51412D6B" w14:textId="77777777" w:rsidR="001C1DEB" w:rsidRDefault="001C1DEB" w:rsidP="007A0D26">
      <w:pPr>
        <w:pStyle w:val="NoSpacing"/>
        <w:jc w:val="center"/>
        <w:rPr>
          <w:rFonts w:ascii="Times New Roman" w:hAnsi="Times New Roman" w:cs="Times New Roman"/>
        </w:rPr>
      </w:pPr>
    </w:p>
    <w:p w14:paraId="3D12F5B8" w14:textId="77777777" w:rsidR="001C1DEB" w:rsidRDefault="001C1DEB" w:rsidP="007A0D26">
      <w:pPr>
        <w:pStyle w:val="NoSpacing"/>
        <w:jc w:val="center"/>
        <w:rPr>
          <w:rFonts w:ascii="Times New Roman" w:hAnsi="Times New Roman" w:cs="Times New Roman"/>
        </w:rPr>
      </w:pPr>
    </w:p>
    <w:p w14:paraId="3587F0EC" w14:textId="77777777" w:rsidR="001C1DEB" w:rsidRDefault="001C1DEB" w:rsidP="007A0D26">
      <w:pPr>
        <w:pStyle w:val="NoSpacing"/>
        <w:jc w:val="center"/>
        <w:rPr>
          <w:rFonts w:ascii="Times New Roman" w:hAnsi="Times New Roman" w:cs="Times New Roman"/>
        </w:rPr>
      </w:pPr>
    </w:p>
    <w:p w14:paraId="14F36426" w14:textId="77777777" w:rsidR="001C1DEB" w:rsidRDefault="001C1DEB" w:rsidP="007A0D26">
      <w:pPr>
        <w:pStyle w:val="NoSpacing"/>
        <w:jc w:val="center"/>
        <w:rPr>
          <w:rFonts w:ascii="Times New Roman" w:hAnsi="Times New Roman" w:cs="Times New Roman"/>
        </w:rPr>
      </w:pPr>
    </w:p>
    <w:p w14:paraId="4B3F5ABC" w14:textId="3B3254FE" w:rsidR="00A20F69" w:rsidRPr="00E00D77" w:rsidRDefault="00A20F69" w:rsidP="001C1DEB">
      <w:pPr>
        <w:pStyle w:val="NoSpacing"/>
        <w:jc w:val="center"/>
        <w:rPr>
          <w:rFonts w:ascii="Times New Roman" w:hAnsi="Times New Roman" w:cs="Times New Roman"/>
          <w:bCs/>
        </w:rPr>
      </w:pPr>
      <w:r w:rsidRPr="00E00D77">
        <w:rPr>
          <w:rFonts w:ascii="Times New Roman" w:hAnsi="Times New Roman" w:cs="Times New Roman"/>
        </w:rPr>
        <w:lastRenderedPageBreak/>
        <w:t xml:space="preserve">Table </w:t>
      </w:r>
      <w:r w:rsidRPr="00E00D77">
        <w:rPr>
          <w:rFonts w:ascii="Times New Roman" w:hAnsi="Times New Roman" w:cs="Times New Roman"/>
        </w:rPr>
        <w:fldChar w:fldCharType="begin"/>
      </w:r>
      <w:r w:rsidRPr="00E00D77">
        <w:rPr>
          <w:rFonts w:ascii="Times New Roman" w:hAnsi="Times New Roman" w:cs="Times New Roman"/>
        </w:rPr>
        <w:instrText xml:space="preserve"> SEQ Table \* ARABIC \s 1 </w:instrText>
      </w:r>
      <w:r w:rsidRPr="00E00D77">
        <w:rPr>
          <w:rFonts w:ascii="Times New Roman" w:hAnsi="Times New Roman" w:cs="Times New Roman"/>
        </w:rPr>
        <w:fldChar w:fldCharType="separate"/>
      </w:r>
      <w:r w:rsidR="005D50D1">
        <w:rPr>
          <w:rFonts w:ascii="Times New Roman" w:hAnsi="Times New Roman" w:cs="Times New Roman"/>
          <w:noProof/>
        </w:rPr>
        <w:t>1</w:t>
      </w:r>
      <w:r w:rsidRPr="00E00D77">
        <w:rPr>
          <w:rFonts w:ascii="Times New Roman" w:hAnsi="Times New Roman" w:cs="Times New Roman"/>
        </w:rPr>
        <w:fldChar w:fldCharType="end"/>
      </w:r>
      <w:r w:rsidRPr="00E00D77">
        <w:rPr>
          <w:rFonts w:ascii="Times New Roman" w:hAnsi="Times New Roman" w:cs="Times New Roman"/>
        </w:rPr>
        <w:t xml:space="preserve">.  Profile of the </w:t>
      </w:r>
      <w:r w:rsidR="005D50D1">
        <w:rPr>
          <w:rFonts w:ascii="Times New Roman" w:hAnsi="Times New Roman" w:cs="Times New Roman"/>
        </w:rPr>
        <w:t>Research Participants</w:t>
      </w:r>
    </w:p>
    <w:tbl>
      <w:tblPr>
        <w:tblStyle w:val="ListTable6Colorful"/>
        <w:tblW w:w="5000" w:type="pct"/>
        <w:tblBorders>
          <w:top w:val="single" w:sz="4" w:space="0" w:color="auto"/>
          <w:bottom w:val="single" w:sz="4" w:space="0" w:color="auto"/>
        </w:tblBorders>
        <w:tblLook w:val="04A0" w:firstRow="1" w:lastRow="0" w:firstColumn="1" w:lastColumn="0" w:noHBand="0" w:noVBand="1"/>
      </w:tblPr>
      <w:tblGrid>
        <w:gridCol w:w="1524"/>
        <w:gridCol w:w="1312"/>
        <w:gridCol w:w="682"/>
        <w:gridCol w:w="1033"/>
        <w:gridCol w:w="1087"/>
        <w:gridCol w:w="1312"/>
        <w:gridCol w:w="2076"/>
      </w:tblGrid>
      <w:tr w:rsidR="001C1DEB" w:rsidRPr="00EA3473" w14:paraId="1DA4C165" w14:textId="77777777" w:rsidTr="001C1D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pct"/>
            <w:gridSpan w:val="2"/>
            <w:tcBorders>
              <w:top w:val="single" w:sz="4" w:space="0" w:color="auto"/>
              <w:bottom w:val="nil"/>
            </w:tcBorders>
            <w:vAlign w:val="center"/>
          </w:tcPr>
          <w:p w14:paraId="61A6C8C1" w14:textId="77777777" w:rsidR="001C1DEB" w:rsidRPr="00EA3473" w:rsidRDefault="001C1DEB" w:rsidP="00AC314C">
            <w:pPr>
              <w:spacing w:before="0" w:line="240" w:lineRule="auto"/>
              <w:ind w:firstLine="0"/>
              <w:jc w:val="center"/>
              <w:rPr>
                <w:rFonts w:ascii="Arial" w:hAnsi="Arial" w:cs="Arial"/>
                <w:lang w:val="en-PH"/>
              </w:rPr>
            </w:pPr>
            <w:r>
              <w:rPr>
                <w:rFonts w:ascii="Arial" w:hAnsi="Arial" w:cs="Arial"/>
                <w:lang w:val="en-PH"/>
              </w:rPr>
              <w:t>Participants</w:t>
            </w:r>
            <w:r w:rsidRPr="00EA3473">
              <w:rPr>
                <w:rFonts w:ascii="Arial" w:hAnsi="Arial" w:cs="Arial"/>
                <w:lang w:val="en-PH"/>
              </w:rPr>
              <w:t xml:space="preserve"> Code</w:t>
            </w:r>
          </w:p>
        </w:tc>
        <w:tc>
          <w:tcPr>
            <w:tcW w:w="378" w:type="pct"/>
            <w:vMerge w:val="restart"/>
            <w:tcBorders>
              <w:top w:val="single" w:sz="4" w:space="0" w:color="auto"/>
              <w:bottom w:val="nil"/>
            </w:tcBorders>
            <w:vAlign w:val="center"/>
          </w:tcPr>
          <w:p w14:paraId="56706CC1" w14:textId="77777777" w:rsidR="001C1DEB" w:rsidRPr="00EA3473" w:rsidRDefault="001C1DEB" w:rsidP="00AC314C">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Age</w:t>
            </w:r>
          </w:p>
        </w:tc>
        <w:tc>
          <w:tcPr>
            <w:tcW w:w="572" w:type="pct"/>
            <w:vMerge w:val="restart"/>
            <w:tcBorders>
              <w:top w:val="single" w:sz="4" w:space="0" w:color="auto"/>
              <w:bottom w:val="nil"/>
            </w:tcBorders>
            <w:vAlign w:val="center"/>
          </w:tcPr>
          <w:p w14:paraId="3208FD62" w14:textId="77777777" w:rsidR="001C1DEB" w:rsidRPr="00EA3473" w:rsidRDefault="001C1DEB" w:rsidP="00AC314C">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Sex</w:t>
            </w:r>
          </w:p>
        </w:tc>
        <w:tc>
          <w:tcPr>
            <w:tcW w:w="602" w:type="pct"/>
            <w:vMerge w:val="restart"/>
            <w:tcBorders>
              <w:top w:val="single" w:sz="4" w:space="0" w:color="auto"/>
              <w:bottom w:val="nil"/>
            </w:tcBorders>
            <w:vAlign w:val="center"/>
          </w:tcPr>
          <w:p w14:paraId="1DED6734" w14:textId="77777777" w:rsidR="001C1DEB" w:rsidRPr="00EA3473" w:rsidRDefault="001C1DEB" w:rsidP="00AC314C">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Length of Service (Years)</w:t>
            </w:r>
          </w:p>
        </w:tc>
        <w:tc>
          <w:tcPr>
            <w:tcW w:w="727" w:type="pct"/>
            <w:vMerge w:val="restart"/>
            <w:tcBorders>
              <w:top w:val="single" w:sz="4" w:space="0" w:color="auto"/>
              <w:bottom w:val="nil"/>
            </w:tcBorders>
            <w:vAlign w:val="center"/>
          </w:tcPr>
          <w:p w14:paraId="379CFE1F" w14:textId="77777777" w:rsidR="001C1DEB" w:rsidRPr="00EA3473" w:rsidRDefault="001C1DEB" w:rsidP="00AC314C">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Teaching Position</w:t>
            </w:r>
          </w:p>
        </w:tc>
        <w:tc>
          <w:tcPr>
            <w:tcW w:w="1150" w:type="pct"/>
            <w:vMerge w:val="restart"/>
            <w:tcBorders>
              <w:top w:val="single" w:sz="4" w:space="0" w:color="auto"/>
              <w:bottom w:val="nil"/>
            </w:tcBorders>
            <w:vAlign w:val="center"/>
          </w:tcPr>
          <w:p w14:paraId="1CCDC900" w14:textId="77777777" w:rsidR="001C1DEB" w:rsidRPr="00EA3473" w:rsidRDefault="001C1DEB" w:rsidP="00AC314C">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Years Teaching at Current School</w:t>
            </w:r>
          </w:p>
        </w:tc>
      </w:tr>
      <w:tr w:rsidR="001C1DEB" w:rsidRPr="00EA3473" w14:paraId="31651BEA" w14:textId="77777777" w:rsidTr="001C1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tcBorders>
              <w:top w:val="nil"/>
              <w:bottom w:val="single" w:sz="4" w:space="0" w:color="auto"/>
            </w:tcBorders>
            <w:shd w:val="clear" w:color="auto" w:fill="auto"/>
            <w:vAlign w:val="center"/>
          </w:tcPr>
          <w:p w14:paraId="549C029A" w14:textId="77777777" w:rsidR="001C1DEB" w:rsidRPr="00EA3473" w:rsidRDefault="001C1DEB" w:rsidP="00AC314C">
            <w:pPr>
              <w:spacing w:before="0" w:line="240" w:lineRule="auto"/>
              <w:ind w:firstLine="0"/>
              <w:jc w:val="center"/>
              <w:rPr>
                <w:rFonts w:ascii="Arial" w:hAnsi="Arial" w:cs="Arial"/>
                <w:lang w:val="en-PH"/>
              </w:rPr>
            </w:pPr>
            <w:r w:rsidRPr="00EA3473">
              <w:rPr>
                <w:rFonts w:ascii="Arial" w:hAnsi="Arial" w:cs="Arial"/>
                <w:lang w:val="en-PH"/>
              </w:rPr>
              <w:t>Admin</w:t>
            </w:r>
          </w:p>
        </w:tc>
        <w:tc>
          <w:tcPr>
            <w:tcW w:w="727" w:type="pct"/>
            <w:tcBorders>
              <w:top w:val="nil"/>
              <w:bottom w:val="single" w:sz="4" w:space="0" w:color="auto"/>
            </w:tcBorders>
            <w:shd w:val="clear" w:color="auto" w:fill="auto"/>
            <w:vAlign w:val="center"/>
          </w:tcPr>
          <w:p w14:paraId="001CAFA8"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n-PH"/>
              </w:rPr>
            </w:pPr>
            <w:r w:rsidRPr="00EA3473">
              <w:rPr>
                <w:rFonts w:ascii="Arial" w:hAnsi="Arial" w:cs="Arial"/>
                <w:b/>
                <w:bCs/>
                <w:lang w:val="en-PH"/>
              </w:rPr>
              <w:t>Teachers</w:t>
            </w:r>
          </w:p>
        </w:tc>
        <w:tc>
          <w:tcPr>
            <w:tcW w:w="378" w:type="pct"/>
            <w:vMerge/>
            <w:tcBorders>
              <w:top w:val="nil"/>
              <w:bottom w:val="single" w:sz="4" w:space="0" w:color="auto"/>
            </w:tcBorders>
            <w:shd w:val="clear" w:color="auto" w:fill="auto"/>
            <w:vAlign w:val="center"/>
          </w:tcPr>
          <w:p w14:paraId="678B6E1C"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p>
        </w:tc>
        <w:tc>
          <w:tcPr>
            <w:tcW w:w="572" w:type="pct"/>
            <w:vMerge/>
            <w:tcBorders>
              <w:top w:val="nil"/>
              <w:bottom w:val="single" w:sz="4" w:space="0" w:color="auto"/>
            </w:tcBorders>
            <w:shd w:val="clear" w:color="auto" w:fill="auto"/>
            <w:vAlign w:val="center"/>
          </w:tcPr>
          <w:p w14:paraId="6B0C1D36"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p>
        </w:tc>
        <w:tc>
          <w:tcPr>
            <w:tcW w:w="602" w:type="pct"/>
            <w:vMerge/>
            <w:tcBorders>
              <w:top w:val="nil"/>
              <w:bottom w:val="single" w:sz="4" w:space="0" w:color="auto"/>
            </w:tcBorders>
            <w:shd w:val="clear" w:color="auto" w:fill="auto"/>
            <w:vAlign w:val="center"/>
          </w:tcPr>
          <w:p w14:paraId="4AC97E34"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p>
        </w:tc>
        <w:tc>
          <w:tcPr>
            <w:tcW w:w="727" w:type="pct"/>
            <w:vMerge/>
            <w:tcBorders>
              <w:top w:val="nil"/>
              <w:bottom w:val="single" w:sz="4" w:space="0" w:color="auto"/>
            </w:tcBorders>
            <w:shd w:val="clear" w:color="auto" w:fill="auto"/>
            <w:vAlign w:val="center"/>
          </w:tcPr>
          <w:p w14:paraId="2EFB65C9"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p>
        </w:tc>
        <w:tc>
          <w:tcPr>
            <w:tcW w:w="1150" w:type="pct"/>
            <w:vMerge/>
            <w:tcBorders>
              <w:top w:val="nil"/>
              <w:bottom w:val="single" w:sz="4" w:space="0" w:color="auto"/>
            </w:tcBorders>
            <w:shd w:val="clear" w:color="auto" w:fill="auto"/>
            <w:vAlign w:val="center"/>
          </w:tcPr>
          <w:p w14:paraId="7D7CA223"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p>
        </w:tc>
      </w:tr>
      <w:tr w:rsidR="001C1DEB" w:rsidRPr="00EA3473" w14:paraId="03EC4D0F" w14:textId="77777777" w:rsidTr="001C1DEB">
        <w:tc>
          <w:tcPr>
            <w:cnfStyle w:val="001000000000" w:firstRow="0" w:lastRow="0" w:firstColumn="1" w:lastColumn="0" w:oddVBand="0" w:evenVBand="0" w:oddHBand="0" w:evenHBand="0" w:firstRowFirstColumn="0" w:firstRowLastColumn="0" w:lastRowFirstColumn="0" w:lastRowLastColumn="0"/>
            <w:tcW w:w="844" w:type="pct"/>
            <w:tcBorders>
              <w:top w:val="single" w:sz="4" w:space="0" w:color="auto"/>
            </w:tcBorders>
            <w:vAlign w:val="center"/>
          </w:tcPr>
          <w:p w14:paraId="0EECBBF3" w14:textId="77777777" w:rsidR="001C1DEB" w:rsidRPr="001F769E" w:rsidRDefault="001C1DEB" w:rsidP="00AC314C">
            <w:pPr>
              <w:spacing w:before="0" w:line="240" w:lineRule="auto"/>
              <w:ind w:firstLine="0"/>
              <w:jc w:val="center"/>
              <w:rPr>
                <w:rFonts w:ascii="Arial" w:hAnsi="Arial" w:cs="Arial"/>
                <w:b w:val="0"/>
                <w:bCs w:val="0"/>
                <w:lang w:val="en-PH"/>
              </w:rPr>
            </w:pPr>
            <w:r w:rsidRPr="001F769E">
              <w:rPr>
                <w:rFonts w:ascii="Arial" w:hAnsi="Arial" w:cs="Arial"/>
                <w:b w:val="0"/>
                <w:bCs w:val="0"/>
                <w:lang w:val="en-PH"/>
              </w:rPr>
              <w:t>1</w:t>
            </w:r>
          </w:p>
        </w:tc>
        <w:tc>
          <w:tcPr>
            <w:tcW w:w="727" w:type="pct"/>
            <w:tcBorders>
              <w:top w:val="single" w:sz="4" w:space="0" w:color="auto"/>
            </w:tcBorders>
            <w:vAlign w:val="center"/>
          </w:tcPr>
          <w:p w14:paraId="2AF307E2"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p>
        </w:tc>
        <w:tc>
          <w:tcPr>
            <w:tcW w:w="378" w:type="pct"/>
            <w:tcBorders>
              <w:top w:val="single" w:sz="4" w:space="0" w:color="auto"/>
            </w:tcBorders>
            <w:vAlign w:val="center"/>
            <w:hideMark/>
          </w:tcPr>
          <w:p w14:paraId="48824231"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36</w:t>
            </w:r>
          </w:p>
        </w:tc>
        <w:tc>
          <w:tcPr>
            <w:tcW w:w="572" w:type="pct"/>
            <w:tcBorders>
              <w:top w:val="single" w:sz="4" w:space="0" w:color="auto"/>
            </w:tcBorders>
            <w:vAlign w:val="center"/>
            <w:hideMark/>
          </w:tcPr>
          <w:p w14:paraId="48322A84"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Male</w:t>
            </w:r>
          </w:p>
        </w:tc>
        <w:tc>
          <w:tcPr>
            <w:tcW w:w="602" w:type="pct"/>
            <w:tcBorders>
              <w:top w:val="single" w:sz="4" w:space="0" w:color="auto"/>
            </w:tcBorders>
            <w:vAlign w:val="center"/>
            <w:hideMark/>
          </w:tcPr>
          <w:p w14:paraId="4795E631"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13</w:t>
            </w:r>
          </w:p>
        </w:tc>
        <w:tc>
          <w:tcPr>
            <w:tcW w:w="727" w:type="pct"/>
            <w:tcBorders>
              <w:top w:val="single" w:sz="4" w:space="0" w:color="auto"/>
            </w:tcBorders>
            <w:vAlign w:val="center"/>
            <w:hideMark/>
          </w:tcPr>
          <w:p w14:paraId="5CACB047"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P-I</w:t>
            </w:r>
          </w:p>
        </w:tc>
        <w:tc>
          <w:tcPr>
            <w:tcW w:w="1150" w:type="pct"/>
            <w:tcBorders>
              <w:top w:val="single" w:sz="4" w:space="0" w:color="auto"/>
            </w:tcBorders>
            <w:vAlign w:val="center"/>
            <w:hideMark/>
          </w:tcPr>
          <w:p w14:paraId="67F382C2"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7AA84AEA" w14:textId="77777777" w:rsidTr="001C1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shd w:val="clear" w:color="auto" w:fill="auto"/>
            <w:vAlign w:val="center"/>
          </w:tcPr>
          <w:p w14:paraId="1B54E03D" w14:textId="77777777" w:rsidR="001C1DEB" w:rsidRPr="00EA3473" w:rsidRDefault="001C1DEB" w:rsidP="00AC314C">
            <w:pPr>
              <w:spacing w:before="0" w:line="240" w:lineRule="auto"/>
              <w:ind w:firstLine="0"/>
              <w:jc w:val="center"/>
              <w:rPr>
                <w:rFonts w:ascii="Arial" w:hAnsi="Arial" w:cs="Arial"/>
                <w:lang w:val="en-PH"/>
              </w:rPr>
            </w:pPr>
          </w:p>
        </w:tc>
        <w:tc>
          <w:tcPr>
            <w:tcW w:w="727" w:type="pct"/>
            <w:shd w:val="clear" w:color="auto" w:fill="auto"/>
            <w:vAlign w:val="center"/>
          </w:tcPr>
          <w:p w14:paraId="222B48F2"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rPr>
              <w:t>1</w:t>
            </w:r>
          </w:p>
        </w:tc>
        <w:tc>
          <w:tcPr>
            <w:tcW w:w="378" w:type="pct"/>
            <w:shd w:val="clear" w:color="auto" w:fill="auto"/>
            <w:vAlign w:val="center"/>
            <w:hideMark/>
          </w:tcPr>
          <w:p w14:paraId="719A3C02"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28</w:t>
            </w:r>
          </w:p>
        </w:tc>
        <w:tc>
          <w:tcPr>
            <w:tcW w:w="572" w:type="pct"/>
            <w:shd w:val="clear" w:color="auto" w:fill="auto"/>
            <w:vAlign w:val="center"/>
            <w:hideMark/>
          </w:tcPr>
          <w:p w14:paraId="44FD1F99"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shd w:val="clear" w:color="auto" w:fill="auto"/>
            <w:vAlign w:val="center"/>
            <w:hideMark/>
          </w:tcPr>
          <w:p w14:paraId="3DB208A0"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5</w:t>
            </w:r>
          </w:p>
        </w:tc>
        <w:tc>
          <w:tcPr>
            <w:tcW w:w="727" w:type="pct"/>
            <w:shd w:val="clear" w:color="auto" w:fill="auto"/>
            <w:vAlign w:val="center"/>
            <w:hideMark/>
          </w:tcPr>
          <w:p w14:paraId="7201A602"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T-III</w:t>
            </w:r>
          </w:p>
        </w:tc>
        <w:tc>
          <w:tcPr>
            <w:tcW w:w="1150" w:type="pct"/>
            <w:shd w:val="clear" w:color="auto" w:fill="auto"/>
            <w:vAlign w:val="center"/>
            <w:hideMark/>
          </w:tcPr>
          <w:p w14:paraId="444A8A4B"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2B04DF4B" w14:textId="77777777" w:rsidTr="001C1DEB">
        <w:tc>
          <w:tcPr>
            <w:cnfStyle w:val="001000000000" w:firstRow="0" w:lastRow="0" w:firstColumn="1" w:lastColumn="0" w:oddVBand="0" w:evenVBand="0" w:oddHBand="0" w:evenHBand="0" w:firstRowFirstColumn="0" w:firstRowLastColumn="0" w:lastRowFirstColumn="0" w:lastRowLastColumn="0"/>
            <w:tcW w:w="844" w:type="pct"/>
            <w:vAlign w:val="center"/>
          </w:tcPr>
          <w:p w14:paraId="254EF3E3" w14:textId="77777777" w:rsidR="001C1DEB" w:rsidRPr="00EA3473" w:rsidRDefault="001C1DEB" w:rsidP="00AC314C">
            <w:pPr>
              <w:spacing w:before="0" w:line="240" w:lineRule="auto"/>
              <w:ind w:firstLine="0"/>
              <w:jc w:val="center"/>
              <w:rPr>
                <w:rFonts w:ascii="Arial" w:hAnsi="Arial" w:cs="Arial"/>
                <w:lang w:val="en-PH"/>
              </w:rPr>
            </w:pPr>
          </w:p>
        </w:tc>
        <w:tc>
          <w:tcPr>
            <w:tcW w:w="727" w:type="pct"/>
            <w:vAlign w:val="center"/>
          </w:tcPr>
          <w:p w14:paraId="60EF0F20"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rPr>
              <w:t>2</w:t>
            </w:r>
          </w:p>
        </w:tc>
        <w:tc>
          <w:tcPr>
            <w:tcW w:w="378" w:type="pct"/>
            <w:vAlign w:val="center"/>
            <w:hideMark/>
          </w:tcPr>
          <w:p w14:paraId="4E24194A"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36</w:t>
            </w:r>
          </w:p>
        </w:tc>
        <w:tc>
          <w:tcPr>
            <w:tcW w:w="572" w:type="pct"/>
            <w:vAlign w:val="center"/>
            <w:hideMark/>
          </w:tcPr>
          <w:p w14:paraId="59EAFD7A"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vAlign w:val="center"/>
            <w:hideMark/>
          </w:tcPr>
          <w:p w14:paraId="270B2A1B"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9</w:t>
            </w:r>
          </w:p>
        </w:tc>
        <w:tc>
          <w:tcPr>
            <w:tcW w:w="727" w:type="pct"/>
            <w:vAlign w:val="center"/>
            <w:hideMark/>
          </w:tcPr>
          <w:p w14:paraId="725B2027"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T-I</w:t>
            </w:r>
          </w:p>
        </w:tc>
        <w:tc>
          <w:tcPr>
            <w:tcW w:w="1150" w:type="pct"/>
            <w:vAlign w:val="center"/>
            <w:hideMark/>
          </w:tcPr>
          <w:p w14:paraId="2CED69E9"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2850298E" w14:textId="77777777" w:rsidTr="001C1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shd w:val="clear" w:color="auto" w:fill="auto"/>
            <w:vAlign w:val="center"/>
          </w:tcPr>
          <w:p w14:paraId="74F71D4E" w14:textId="77777777" w:rsidR="001C1DEB" w:rsidRPr="00EA3473" w:rsidRDefault="001C1DEB" w:rsidP="00AC314C">
            <w:pPr>
              <w:spacing w:before="0" w:line="240" w:lineRule="auto"/>
              <w:ind w:firstLine="0"/>
              <w:jc w:val="center"/>
              <w:rPr>
                <w:rFonts w:ascii="Arial" w:hAnsi="Arial" w:cs="Arial"/>
                <w:lang w:val="en-PH"/>
              </w:rPr>
            </w:pPr>
          </w:p>
        </w:tc>
        <w:tc>
          <w:tcPr>
            <w:tcW w:w="727" w:type="pct"/>
            <w:shd w:val="clear" w:color="auto" w:fill="auto"/>
            <w:vAlign w:val="center"/>
          </w:tcPr>
          <w:p w14:paraId="472C2A1A"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rPr>
              <w:t>3</w:t>
            </w:r>
          </w:p>
        </w:tc>
        <w:tc>
          <w:tcPr>
            <w:tcW w:w="378" w:type="pct"/>
            <w:shd w:val="clear" w:color="auto" w:fill="auto"/>
            <w:vAlign w:val="center"/>
            <w:hideMark/>
          </w:tcPr>
          <w:p w14:paraId="04580F86"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35</w:t>
            </w:r>
          </w:p>
        </w:tc>
        <w:tc>
          <w:tcPr>
            <w:tcW w:w="572" w:type="pct"/>
            <w:shd w:val="clear" w:color="auto" w:fill="auto"/>
            <w:vAlign w:val="center"/>
            <w:hideMark/>
          </w:tcPr>
          <w:p w14:paraId="4158469F"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shd w:val="clear" w:color="auto" w:fill="auto"/>
            <w:vAlign w:val="center"/>
            <w:hideMark/>
          </w:tcPr>
          <w:p w14:paraId="729A0B6A"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8</w:t>
            </w:r>
          </w:p>
        </w:tc>
        <w:tc>
          <w:tcPr>
            <w:tcW w:w="727" w:type="pct"/>
            <w:shd w:val="clear" w:color="auto" w:fill="auto"/>
            <w:vAlign w:val="center"/>
            <w:hideMark/>
          </w:tcPr>
          <w:p w14:paraId="1AB4D08E"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T-I</w:t>
            </w:r>
          </w:p>
        </w:tc>
        <w:tc>
          <w:tcPr>
            <w:tcW w:w="1150" w:type="pct"/>
            <w:shd w:val="clear" w:color="auto" w:fill="auto"/>
            <w:vAlign w:val="center"/>
            <w:hideMark/>
          </w:tcPr>
          <w:p w14:paraId="25B1928E"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61FFEAB2" w14:textId="77777777" w:rsidTr="001C1DEB">
        <w:tc>
          <w:tcPr>
            <w:cnfStyle w:val="001000000000" w:firstRow="0" w:lastRow="0" w:firstColumn="1" w:lastColumn="0" w:oddVBand="0" w:evenVBand="0" w:oddHBand="0" w:evenHBand="0" w:firstRowFirstColumn="0" w:firstRowLastColumn="0" w:lastRowFirstColumn="0" w:lastRowLastColumn="0"/>
            <w:tcW w:w="844" w:type="pct"/>
            <w:vAlign w:val="center"/>
          </w:tcPr>
          <w:p w14:paraId="2656E981" w14:textId="77777777" w:rsidR="001C1DEB" w:rsidRPr="00EA3473" w:rsidRDefault="001C1DEB" w:rsidP="00AC314C">
            <w:pPr>
              <w:spacing w:before="0" w:line="240" w:lineRule="auto"/>
              <w:ind w:firstLine="0"/>
              <w:jc w:val="center"/>
              <w:rPr>
                <w:rFonts w:ascii="Arial" w:hAnsi="Arial" w:cs="Arial"/>
                <w:lang w:val="en-PH"/>
              </w:rPr>
            </w:pPr>
          </w:p>
        </w:tc>
        <w:tc>
          <w:tcPr>
            <w:tcW w:w="727" w:type="pct"/>
            <w:vAlign w:val="center"/>
          </w:tcPr>
          <w:p w14:paraId="6F48C730"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rPr>
              <w:t>4</w:t>
            </w:r>
          </w:p>
        </w:tc>
        <w:tc>
          <w:tcPr>
            <w:tcW w:w="378" w:type="pct"/>
            <w:vAlign w:val="center"/>
            <w:hideMark/>
          </w:tcPr>
          <w:p w14:paraId="560E67A9"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29</w:t>
            </w:r>
          </w:p>
        </w:tc>
        <w:tc>
          <w:tcPr>
            <w:tcW w:w="572" w:type="pct"/>
            <w:vAlign w:val="center"/>
            <w:hideMark/>
          </w:tcPr>
          <w:p w14:paraId="01AB958A"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vAlign w:val="center"/>
            <w:hideMark/>
          </w:tcPr>
          <w:p w14:paraId="2E948C20"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8</w:t>
            </w:r>
          </w:p>
        </w:tc>
        <w:tc>
          <w:tcPr>
            <w:tcW w:w="727" w:type="pct"/>
            <w:vAlign w:val="center"/>
            <w:hideMark/>
          </w:tcPr>
          <w:p w14:paraId="13D07BED"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T-II</w:t>
            </w:r>
          </w:p>
        </w:tc>
        <w:tc>
          <w:tcPr>
            <w:tcW w:w="1150" w:type="pct"/>
            <w:vAlign w:val="center"/>
            <w:hideMark/>
          </w:tcPr>
          <w:p w14:paraId="402EE47A"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0372D525" w14:textId="77777777" w:rsidTr="001C1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shd w:val="clear" w:color="auto" w:fill="auto"/>
            <w:vAlign w:val="center"/>
          </w:tcPr>
          <w:p w14:paraId="31DB885B" w14:textId="77777777" w:rsidR="001C1DEB" w:rsidRPr="00EA3473" w:rsidRDefault="001C1DEB" w:rsidP="00AC314C">
            <w:pPr>
              <w:spacing w:before="0" w:line="240" w:lineRule="auto"/>
              <w:ind w:firstLine="0"/>
              <w:jc w:val="center"/>
              <w:rPr>
                <w:rFonts w:ascii="Arial" w:hAnsi="Arial" w:cs="Arial"/>
                <w:lang w:val="en-PH"/>
              </w:rPr>
            </w:pPr>
          </w:p>
        </w:tc>
        <w:tc>
          <w:tcPr>
            <w:tcW w:w="727" w:type="pct"/>
            <w:shd w:val="clear" w:color="auto" w:fill="auto"/>
            <w:vAlign w:val="center"/>
          </w:tcPr>
          <w:p w14:paraId="4E0ACECB"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rPr>
              <w:t>5</w:t>
            </w:r>
          </w:p>
        </w:tc>
        <w:tc>
          <w:tcPr>
            <w:tcW w:w="378" w:type="pct"/>
            <w:shd w:val="clear" w:color="auto" w:fill="auto"/>
            <w:vAlign w:val="center"/>
            <w:hideMark/>
          </w:tcPr>
          <w:p w14:paraId="0FAC2362"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33</w:t>
            </w:r>
          </w:p>
        </w:tc>
        <w:tc>
          <w:tcPr>
            <w:tcW w:w="572" w:type="pct"/>
            <w:shd w:val="clear" w:color="auto" w:fill="auto"/>
            <w:vAlign w:val="center"/>
            <w:hideMark/>
          </w:tcPr>
          <w:p w14:paraId="59D60DB6"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shd w:val="clear" w:color="auto" w:fill="auto"/>
            <w:vAlign w:val="center"/>
            <w:hideMark/>
          </w:tcPr>
          <w:p w14:paraId="03D8F848"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8</w:t>
            </w:r>
          </w:p>
        </w:tc>
        <w:tc>
          <w:tcPr>
            <w:tcW w:w="727" w:type="pct"/>
            <w:shd w:val="clear" w:color="auto" w:fill="auto"/>
            <w:vAlign w:val="center"/>
            <w:hideMark/>
          </w:tcPr>
          <w:p w14:paraId="35B98A9E"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T-I</w:t>
            </w:r>
          </w:p>
        </w:tc>
        <w:tc>
          <w:tcPr>
            <w:tcW w:w="1150" w:type="pct"/>
            <w:shd w:val="clear" w:color="auto" w:fill="auto"/>
            <w:vAlign w:val="center"/>
            <w:hideMark/>
          </w:tcPr>
          <w:p w14:paraId="2A07AC89"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327E5475" w14:textId="77777777" w:rsidTr="001C1DEB">
        <w:tc>
          <w:tcPr>
            <w:cnfStyle w:val="001000000000" w:firstRow="0" w:lastRow="0" w:firstColumn="1" w:lastColumn="0" w:oddVBand="0" w:evenVBand="0" w:oddHBand="0" w:evenHBand="0" w:firstRowFirstColumn="0" w:firstRowLastColumn="0" w:lastRowFirstColumn="0" w:lastRowLastColumn="0"/>
            <w:tcW w:w="844" w:type="pct"/>
            <w:vAlign w:val="center"/>
          </w:tcPr>
          <w:p w14:paraId="6767A9F5" w14:textId="77777777" w:rsidR="001C1DEB" w:rsidRPr="00EA3473" w:rsidRDefault="001C1DEB" w:rsidP="00AC314C">
            <w:pPr>
              <w:spacing w:before="0" w:line="240" w:lineRule="auto"/>
              <w:ind w:firstLine="0"/>
              <w:jc w:val="center"/>
              <w:rPr>
                <w:rFonts w:ascii="Arial" w:hAnsi="Arial" w:cs="Arial"/>
                <w:lang w:val="en-PH"/>
              </w:rPr>
            </w:pPr>
          </w:p>
        </w:tc>
        <w:tc>
          <w:tcPr>
            <w:tcW w:w="727" w:type="pct"/>
            <w:vAlign w:val="center"/>
          </w:tcPr>
          <w:p w14:paraId="0EEFFAB7"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rPr>
              <w:t>6</w:t>
            </w:r>
          </w:p>
        </w:tc>
        <w:tc>
          <w:tcPr>
            <w:tcW w:w="378" w:type="pct"/>
            <w:vAlign w:val="center"/>
            <w:hideMark/>
          </w:tcPr>
          <w:p w14:paraId="277208BC"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28</w:t>
            </w:r>
          </w:p>
        </w:tc>
        <w:tc>
          <w:tcPr>
            <w:tcW w:w="572" w:type="pct"/>
            <w:vAlign w:val="center"/>
            <w:hideMark/>
          </w:tcPr>
          <w:p w14:paraId="5CC5EE5C"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vAlign w:val="center"/>
            <w:hideMark/>
          </w:tcPr>
          <w:p w14:paraId="30562600"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5</w:t>
            </w:r>
          </w:p>
        </w:tc>
        <w:tc>
          <w:tcPr>
            <w:tcW w:w="727" w:type="pct"/>
            <w:vAlign w:val="center"/>
            <w:hideMark/>
          </w:tcPr>
          <w:p w14:paraId="73FC9B06"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T-III</w:t>
            </w:r>
          </w:p>
        </w:tc>
        <w:tc>
          <w:tcPr>
            <w:tcW w:w="1150" w:type="pct"/>
            <w:vAlign w:val="center"/>
            <w:hideMark/>
          </w:tcPr>
          <w:p w14:paraId="3CD42AE4"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044DA8C6" w14:textId="77777777" w:rsidTr="001C1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shd w:val="clear" w:color="auto" w:fill="auto"/>
            <w:vAlign w:val="center"/>
          </w:tcPr>
          <w:p w14:paraId="337AC800" w14:textId="77777777" w:rsidR="001C1DEB" w:rsidRPr="00EA3473" w:rsidRDefault="001C1DEB" w:rsidP="00AC314C">
            <w:pPr>
              <w:spacing w:before="0" w:line="240" w:lineRule="auto"/>
              <w:ind w:firstLine="0"/>
              <w:jc w:val="center"/>
              <w:rPr>
                <w:rFonts w:ascii="Arial" w:hAnsi="Arial" w:cs="Arial"/>
                <w:lang w:val="en-PH"/>
              </w:rPr>
            </w:pPr>
          </w:p>
        </w:tc>
        <w:tc>
          <w:tcPr>
            <w:tcW w:w="727" w:type="pct"/>
            <w:shd w:val="clear" w:color="auto" w:fill="auto"/>
            <w:vAlign w:val="center"/>
          </w:tcPr>
          <w:p w14:paraId="08576405"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rPr>
              <w:t>7</w:t>
            </w:r>
          </w:p>
        </w:tc>
        <w:tc>
          <w:tcPr>
            <w:tcW w:w="378" w:type="pct"/>
            <w:shd w:val="clear" w:color="auto" w:fill="auto"/>
            <w:vAlign w:val="center"/>
            <w:hideMark/>
          </w:tcPr>
          <w:p w14:paraId="1BA4DA40"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46</w:t>
            </w:r>
          </w:p>
        </w:tc>
        <w:tc>
          <w:tcPr>
            <w:tcW w:w="572" w:type="pct"/>
            <w:shd w:val="clear" w:color="auto" w:fill="auto"/>
            <w:vAlign w:val="center"/>
            <w:hideMark/>
          </w:tcPr>
          <w:p w14:paraId="1E559933"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shd w:val="clear" w:color="auto" w:fill="auto"/>
            <w:vAlign w:val="center"/>
            <w:hideMark/>
          </w:tcPr>
          <w:p w14:paraId="54E30C19"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7</w:t>
            </w:r>
          </w:p>
        </w:tc>
        <w:tc>
          <w:tcPr>
            <w:tcW w:w="727" w:type="pct"/>
            <w:shd w:val="clear" w:color="auto" w:fill="auto"/>
            <w:vAlign w:val="center"/>
            <w:hideMark/>
          </w:tcPr>
          <w:p w14:paraId="2553FB5E"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T-III</w:t>
            </w:r>
          </w:p>
        </w:tc>
        <w:tc>
          <w:tcPr>
            <w:tcW w:w="1150" w:type="pct"/>
            <w:shd w:val="clear" w:color="auto" w:fill="auto"/>
            <w:vAlign w:val="center"/>
            <w:hideMark/>
          </w:tcPr>
          <w:p w14:paraId="21DF0849"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28EEAA2A" w14:textId="77777777" w:rsidTr="001C1DEB">
        <w:tc>
          <w:tcPr>
            <w:cnfStyle w:val="001000000000" w:firstRow="0" w:lastRow="0" w:firstColumn="1" w:lastColumn="0" w:oddVBand="0" w:evenVBand="0" w:oddHBand="0" w:evenHBand="0" w:firstRowFirstColumn="0" w:firstRowLastColumn="0" w:lastRowFirstColumn="0" w:lastRowLastColumn="0"/>
            <w:tcW w:w="844" w:type="pct"/>
            <w:vAlign w:val="center"/>
          </w:tcPr>
          <w:p w14:paraId="325055A6" w14:textId="77777777" w:rsidR="001C1DEB" w:rsidRPr="00EA3473" w:rsidRDefault="001C1DEB" w:rsidP="00AC314C">
            <w:pPr>
              <w:spacing w:before="0" w:line="240" w:lineRule="auto"/>
              <w:ind w:firstLine="0"/>
              <w:jc w:val="center"/>
              <w:rPr>
                <w:rFonts w:ascii="Arial" w:hAnsi="Arial" w:cs="Arial"/>
                <w:lang w:val="en-PH"/>
              </w:rPr>
            </w:pPr>
          </w:p>
        </w:tc>
        <w:tc>
          <w:tcPr>
            <w:tcW w:w="727" w:type="pct"/>
            <w:vAlign w:val="center"/>
          </w:tcPr>
          <w:p w14:paraId="4EF2911A"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rPr>
              <w:t>8</w:t>
            </w:r>
          </w:p>
        </w:tc>
        <w:tc>
          <w:tcPr>
            <w:tcW w:w="378" w:type="pct"/>
            <w:vAlign w:val="center"/>
            <w:hideMark/>
          </w:tcPr>
          <w:p w14:paraId="4AB57D71"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42</w:t>
            </w:r>
          </w:p>
        </w:tc>
        <w:tc>
          <w:tcPr>
            <w:tcW w:w="572" w:type="pct"/>
            <w:vAlign w:val="center"/>
            <w:hideMark/>
          </w:tcPr>
          <w:p w14:paraId="2F9A4094"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vAlign w:val="center"/>
            <w:hideMark/>
          </w:tcPr>
          <w:p w14:paraId="4BAC3027"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6</w:t>
            </w:r>
          </w:p>
        </w:tc>
        <w:tc>
          <w:tcPr>
            <w:tcW w:w="727" w:type="pct"/>
            <w:vAlign w:val="center"/>
            <w:hideMark/>
          </w:tcPr>
          <w:p w14:paraId="27C01F76"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T-I</w:t>
            </w:r>
          </w:p>
        </w:tc>
        <w:tc>
          <w:tcPr>
            <w:tcW w:w="1150" w:type="pct"/>
            <w:vAlign w:val="center"/>
            <w:hideMark/>
          </w:tcPr>
          <w:p w14:paraId="1083BCCC"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75175172" w14:textId="77777777" w:rsidTr="001C1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shd w:val="clear" w:color="auto" w:fill="auto"/>
            <w:vAlign w:val="center"/>
          </w:tcPr>
          <w:p w14:paraId="6702CEBE" w14:textId="77777777" w:rsidR="001C1DEB" w:rsidRPr="00EA3473" w:rsidRDefault="001C1DEB" w:rsidP="00AC314C">
            <w:pPr>
              <w:spacing w:before="0" w:line="240" w:lineRule="auto"/>
              <w:ind w:firstLine="0"/>
              <w:jc w:val="center"/>
              <w:rPr>
                <w:rFonts w:ascii="Arial" w:hAnsi="Arial" w:cs="Arial"/>
                <w:lang w:val="en-PH"/>
              </w:rPr>
            </w:pPr>
          </w:p>
        </w:tc>
        <w:tc>
          <w:tcPr>
            <w:tcW w:w="727" w:type="pct"/>
            <w:shd w:val="clear" w:color="auto" w:fill="auto"/>
            <w:vAlign w:val="center"/>
          </w:tcPr>
          <w:p w14:paraId="71C245C8"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rPr>
              <w:t>9</w:t>
            </w:r>
          </w:p>
        </w:tc>
        <w:tc>
          <w:tcPr>
            <w:tcW w:w="378" w:type="pct"/>
            <w:shd w:val="clear" w:color="auto" w:fill="auto"/>
            <w:vAlign w:val="center"/>
            <w:hideMark/>
          </w:tcPr>
          <w:p w14:paraId="44FC060A"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30</w:t>
            </w:r>
          </w:p>
        </w:tc>
        <w:tc>
          <w:tcPr>
            <w:tcW w:w="572" w:type="pct"/>
            <w:shd w:val="clear" w:color="auto" w:fill="auto"/>
            <w:vAlign w:val="center"/>
            <w:hideMark/>
          </w:tcPr>
          <w:p w14:paraId="13807531"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Male</w:t>
            </w:r>
          </w:p>
        </w:tc>
        <w:tc>
          <w:tcPr>
            <w:tcW w:w="602" w:type="pct"/>
            <w:shd w:val="clear" w:color="auto" w:fill="auto"/>
            <w:vAlign w:val="center"/>
            <w:hideMark/>
          </w:tcPr>
          <w:p w14:paraId="421C9E2F"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6</w:t>
            </w:r>
          </w:p>
        </w:tc>
        <w:tc>
          <w:tcPr>
            <w:tcW w:w="727" w:type="pct"/>
            <w:shd w:val="clear" w:color="auto" w:fill="auto"/>
            <w:vAlign w:val="center"/>
            <w:hideMark/>
          </w:tcPr>
          <w:p w14:paraId="5EED528E"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T-I</w:t>
            </w:r>
          </w:p>
        </w:tc>
        <w:tc>
          <w:tcPr>
            <w:tcW w:w="1150" w:type="pct"/>
            <w:shd w:val="clear" w:color="auto" w:fill="auto"/>
            <w:vAlign w:val="center"/>
            <w:hideMark/>
          </w:tcPr>
          <w:p w14:paraId="5184F77D"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6CE3C87C" w14:textId="77777777" w:rsidTr="001C1DEB">
        <w:tc>
          <w:tcPr>
            <w:cnfStyle w:val="001000000000" w:firstRow="0" w:lastRow="0" w:firstColumn="1" w:lastColumn="0" w:oddVBand="0" w:evenVBand="0" w:oddHBand="0" w:evenHBand="0" w:firstRowFirstColumn="0" w:firstRowLastColumn="0" w:lastRowFirstColumn="0" w:lastRowLastColumn="0"/>
            <w:tcW w:w="844" w:type="pct"/>
            <w:vAlign w:val="center"/>
          </w:tcPr>
          <w:p w14:paraId="1A9C76DB" w14:textId="77777777" w:rsidR="001C1DEB" w:rsidRPr="00EA3473" w:rsidRDefault="001C1DEB" w:rsidP="00AC314C">
            <w:pPr>
              <w:spacing w:before="0" w:line="240" w:lineRule="auto"/>
              <w:ind w:firstLine="0"/>
              <w:jc w:val="center"/>
              <w:rPr>
                <w:rFonts w:ascii="Arial" w:hAnsi="Arial" w:cs="Arial"/>
                <w:lang w:val="en-PH"/>
              </w:rPr>
            </w:pPr>
          </w:p>
        </w:tc>
        <w:tc>
          <w:tcPr>
            <w:tcW w:w="727" w:type="pct"/>
            <w:vAlign w:val="center"/>
          </w:tcPr>
          <w:p w14:paraId="7F886D85"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rPr>
              <w:t>10</w:t>
            </w:r>
          </w:p>
        </w:tc>
        <w:tc>
          <w:tcPr>
            <w:tcW w:w="378" w:type="pct"/>
            <w:vAlign w:val="center"/>
            <w:hideMark/>
          </w:tcPr>
          <w:p w14:paraId="2FDE8FD6"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38</w:t>
            </w:r>
          </w:p>
        </w:tc>
        <w:tc>
          <w:tcPr>
            <w:tcW w:w="572" w:type="pct"/>
            <w:vAlign w:val="center"/>
            <w:hideMark/>
          </w:tcPr>
          <w:p w14:paraId="0840DCC9"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vAlign w:val="center"/>
            <w:hideMark/>
          </w:tcPr>
          <w:p w14:paraId="3B62CEE8"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8</w:t>
            </w:r>
          </w:p>
        </w:tc>
        <w:tc>
          <w:tcPr>
            <w:tcW w:w="727" w:type="pct"/>
            <w:vAlign w:val="center"/>
            <w:hideMark/>
          </w:tcPr>
          <w:p w14:paraId="58A8637C"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T-II</w:t>
            </w:r>
          </w:p>
        </w:tc>
        <w:tc>
          <w:tcPr>
            <w:tcW w:w="1150" w:type="pct"/>
            <w:vAlign w:val="center"/>
            <w:hideMark/>
          </w:tcPr>
          <w:p w14:paraId="4EFD77A5"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7B64EC66" w14:textId="77777777" w:rsidTr="001C1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shd w:val="clear" w:color="auto" w:fill="auto"/>
            <w:vAlign w:val="center"/>
          </w:tcPr>
          <w:p w14:paraId="798F2B30" w14:textId="77777777" w:rsidR="001C1DEB" w:rsidRPr="00EA3473" w:rsidRDefault="001C1DEB" w:rsidP="00AC314C">
            <w:pPr>
              <w:spacing w:before="0" w:line="240" w:lineRule="auto"/>
              <w:ind w:firstLine="0"/>
              <w:jc w:val="center"/>
              <w:rPr>
                <w:rFonts w:ascii="Arial" w:hAnsi="Arial" w:cs="Arial"/>
                <w:lang w:val="en-PH"/>
              </w:rPr>
            </w:pPr>
          </w:p>
        </w:tc>
        <w:tc>
          <w:tcPr>
            <w:tcW w:w="727" w:type="pct"/>
            <w:shd w:val="clear" w:color="auto" w:fill="auto"/>
            <w:vAlign w:val="center"/>
          </w:tcPr>
          <w:p w14:paraId="0478D13E"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rPr>
              <w:t>11</w:t>
            </w:r>
          </w:p>
        </w:tc>
        <w:tc>
          <w:tcPr>
            <w:tcW w:w="378" w:type="pct"/>
            <w:shd w:val="clear" w:color="auto" w:fill="auto"/>
            <w:vAlign w:val="center"/>
            <w:hideMark/>
          </w:tcPr>
          <w:p w14:paraId="29FFF44B"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36</w:t>
            </w:r>
          </w:p>
        </w:tc>
        <w:tc>
          <w:tcPr>
            <w:tcW w:w="572" w:type="pct"/>
            <w:shd w:val="clear" w:color="auto" w:fill="auto"/>
            <w:vAlign w:val="center"/>
            <w:hideMark/>
          </w:tcPr>
          <w:p w14:paraId="5B4BA0A2"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Male</w:t>
            </w:r>
          </w:p>
        </w:tc>
        <w:tc>
          <w:tcPr>
            <w:tcW w:w="602" w:type="pct"/>
            <w:shd w:val="clear" w:color="auto" w:fill="auto"/>
            <w:vAlign w:val="center"/>
            <w:hideMark/>
          </w:tcPr>
          <w:p w14:paraId="7F5E5A50"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7</w:t>
            </w:r>
          </w:p>
        </w:tc>
        <w:tc>
          <w:tcPr>
            <w:tcW w:w="727" w:type="pct"/>
            <w:shd w:val="clear" w:color="auto" w:fill="auto"/>
            <w:vAlign w:val="center"/>
            <w:hideMark/>
          </w:tcPr>
          <w:p w14:paraId="61BBABBE"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T-II</w:t>
            </w:r>
          </w:p>
        </w:tc>
        <w:tc>
          <w:tcPr>
            <w:tcW w:w="1150" w:type="pct"/>
            <w:shd w:val="clear" w:color="auto" w:fill="auto"/>
            <w:vAlign w:val="center"/>
            <w:hideMark/>
          </w:tcPr>
          <w:p w14:paraId="77B87B73"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25227C71" w14:textId="77777777" w:rsidTr="001C1DEB">
        <w:tc>
          <w:tcPr>
            <w:cnfStyle w:val="001000000000" w:firstRow="0" w:lastRow="0" w:firstColumn="1" w:lastColumn="0" w:oddVBand="0" w:evenVBand="0" w:oddHBand="0" w:evenHBand="0" w:firstRowFirstColumn="0" w:firstRowLastColumn="0" w:lastRowFirstColumn="0" w:lastRowLastColumn="0"/>
            <w:tcW w:w="844" w:type="pct"/>
            <w:vAlign w:val="center"/>
          </w:tcPr>
          <w:p w14:paraId="69CE0E8C" w14:textId="77777777" w:rsidR="001C1DEB" w:rsidRPr="00EA3473" w:rsidRDefault="001C1DEB" w:rsidP="00AC314C">
            <w:pPr>
              <w:spacing w:before="0" w:line="240" w:lineRule="auto"/>
              <w:ind w:firstLine="0"/>
              <w:jc w:val="center"/>
              <w:rPr>
                <w:rFonts w:ascii="Arial" w:hAnsi="Arial" w:cs="Arial"/>
                <w:lang w:val="en-PH"/>
              </w:rPr>
            </w:pPr>
          </w:p>
        </w:tc>
        <w:tc>
          <w:tcPr>
            <w:tcW w:w="727" w:type="pct"/>
            <w:vAlign w:val="center"/>
          </w:tcPr>
          <w:p w14:paraId="2110F6B0"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rPr>
              <w:t>12</w:t>
            </w:r>
          </w:p>
        </w:tc>
        <w:tc>
          <w:tcPr>
            <w:tcW w:w="378" w:type="pct"/>
            <w:vAlign w:val="center"/>
            <w:hideMark/>
          </w:tcPr>
          <w:p w14:paraId="22D49202"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30</w:t>
            </w:r>
          </w:p>
        </w:tc>
        <w:tc>
          <w:tcPr>
            <w:tcW w:w="572" w:type="pct"/>
            <w:vAlign w:val="center"/>
            <w:hideMark/>
          </w:tcPr>
          <w:p w14:paraId="4FF228EC"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Male</w:t>
            </w:r>
          </w:p>
        </w:tc>
        <w:tc>
          <w:tcPr>
            <w:tcW w:w="602" w:type="pct"/>
            <w:vAlign w:val="center"/>
            <w:hideMark/>
          </w:tcPr>
          <w:p w14:paraId="1818C98B"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6</w:t>
            </w:r>
          </w:p>
        </w:tc>
        <w:tc>
          <w:tcPr>
            <w:tcW w:w="727" w:type="pct"/>
            <w:vAlign w:val="center"/>
            <w:hideMark/>
          </w:tcPr>
          <w:p w14:paraId="09F88AE1"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T-I</w:t>
            </w:r>
          </w:p>
        </w:tc>
        <w:tc>
          <w:tcPr>
            <w:tcW w:w="1150" w:type="pct"/>
            <w:vAlign w:val="center"/>
            <w:hideMark/>
          </w:tcPr>
          <w:p w14:paraId="1EF481C1"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57E16A88" w14:textId="77777777" w:rsidTr="001C1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shd w:val="clear" w:color="auto" w:fill="auto"/>
            <w:vAlign w:val="center"/>
          </w:tcPr>
          <w:p w14:paraId="370CBEC9" w14:textId="77777777" w:rsidR="001C1DEB" w:rsidRPr="00EA3473" w:rsidRDefault="001C1DEB" w:rsidP="00AC314C">
            <w:pPr>
              <w:spacing w:before="0" w:line="240" w:lineRule="auto"/>
              <w:ind w:firstLine="0"/>
              <w:jc w:val="center"/>
              <w:rPr>
                <w:rFonts w:ascii="Arial" w:hAnsi="Arial" w:cs="Arial"/>
                <w:lang w:val="en-PH"/>
              </w:rPr>
            </w:pPr>
          </w:p>
        </w:tc>
        <w:tc>
          <w:tcPr>
            <w:tcW w:w="727" w:type="pct"/>
            <w:shd w:val="clear" w:color="auto" w:fill="auto"/>
            <w:vAlign w:val="center"/>
          </w:tcPr>
          <w:p w14:paraId="7F0006A6"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rPr>
              <w:t>13</w:t>
            </w:r>
          </w:p>
        </w:tc>
        <w:tc>
          <w:tcPr>
            <w:tcW w:w="378" w:type="pct"/>
            <w:shd w:val="clear" w:color="auto" w:fill="auto"/>
            <w:vAlign w:val="center"/>
            <w:hideMark/>
          </w:tcPr>
          <w:p w14:paraId="3F0C0225"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35</w:t>
            </w:r>
          </w:p>
        </w:tc>
        <w:tc>
          <w:tcPr>
            <w:tcW w:w="572" w:type="pct"/>
            <w:shd w:val="clear" w:color="auto" w:fill="auto"/>
            <w:vAlign w:val="center"/>
            <w:hideMark/>
          </w:tcPr>
          <w:p w14:paraId="4ABB1863"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Male</w:t>
            </w:r>
          </w:p>
        </w:tc>
        <w:tc>
          <w:tcPr>
            <w:tcW w:w="602" w:type="pct"/>
            <w:shd w:val="clear" w:color="auto" w:fill="auto"/>
            <w:vAlign w:val="center"/>
            <w:hideMark/>
          </w:tcPr>
          <w:p w14:paraId="06A36ABB"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9</w:t>
            </w:r>
          </w:p>
        </w:tc>
        <w:tc>
          <w:tcPr>
            <w:tcW w:w="727" w:type="pct"/>
            <w:shd w:val="clear" w:color="auto" w:fill="auto"/>
            <w:vAlign w:val="center"/>
            <w:hideMark/>
          </w:tcPr>
          <w:p w14:paraId="46423677"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T-III</w:t>
            </w:r>
          </w:p>
        </w:tc>
        <w:tc>
          <w:tcPr>
            <w:tcW w:w="1150" w:type="pct"/>
            <w:shd w:val="clear" w:color="auto" w:fill="auto"/>
            <w:vAlign w:val="center"/>
            <w:hideMark/>
          </w:tcPr>
          <w:p w14:paraId="75304559"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2229943C" w14:textId="77777777" w:rsidTr="001C1DEB">
        <w:tc>
          <w:tcPr>
            <w:cnfStyle w:val="001000000000" w:firstRow="0" w:lastRow="0" w:firstColumn="1" w:lastColumn="0" w:oddVBand="0" w:evenVBand="0" w:oddHBand="0" w:evenHBand="0" w:firstRowFirstColumn="0" w:firstRowLastColumn="0" w:lastRowFirstColumn="0" w:lastRowLastColumn="0"/>
            <w:tcW w:w="844" w:type="pct"/>
            <w:vAlign w:val="center"/>
          </w:tcPr>
          <w:p w14:paraId="7DC0BF57" w14:textId="77777777" w:rsidR="001C1DEB" w:rsidRPr="00EA3473" w:rsidRDefault="001C1DEB" w:rsidP="00AC314C">
            <w:pPr>
              <w:spacing w:before="0" w:line="240" w:lineRule="auto"/>
              <w:ind w:firstLine="0"/>
              <w:jc w:val="center"/>
              <w:rPr>
                <w:rFonts w:ascii="Arial" w:hAnsi="Arial" w:cs="Arial"/>
                <w:lang w:val="en-PH"/>
              </w:rPr>
            </w:pPr>
          </w:p>
        </w:tc>
        <w:tc>
          <w:tcPr>
            <w:tcW w:w="727" w:type="pct"/>
            <w:vAlign w:val="center"/>
          </w:tcPr>
          <w:p w14:paraId="667967EF"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rPr>
              <w:t>14</w:t>
            </w:r>
          </w:p>
        </w:tc>
        <w:tc>
          <w:tcPr>
            <w:tcW w:w="378" w:type="pct"/>
            <w:vAlign w:val="center"/>
            <w:hideMark/>
          </w:tcPr>
          <w:p w14:paraId="5A953B6D"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44</w:t>
            </w:r>
          </w:p>
        </w:tc>
        <w:tc>
          <w:tcPr>
            <w:tcW w:w="572" w:type="pct"/>
            <w:vAlign w:val="center"/>
            <w:hideMark/>
          </w:tcPr>
          <w:p w14:paraId="2A15AB40"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vAlign w:val="center"/>
            <w:hideMark/>
          </w:tcPr>
          <w:p w14:paraId="1C578A3F"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7</w:t>
            </w:r>
          </w:p>
        </w:tc>
        <w:tc>
          <w:tcPr>
            <w:tcW w:w="727" w:type="pct"/>
            <w:vAlign w:val="center"/>
            <w:hideMark/>
          </w:tcPr>
          <w:p w14:paraId="655F5E1D"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T-I</w:t>
            </w:r>
          </w:p>
        </w:tc>
        <w:tc>
          <w:tcPr>
            <w:tcW w:w="1150" w:type="pct"/>
            <w:vAlign w:val="center"/>
            <w:hideMark/>
          </w:tcPr>
          <w:p w14:paraId="16AA6677"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2D4EA501" w14:textId="77777777" w:rsidTr="001C1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shd w:val="clear" w:color="auto" w:fill="auto"/>
            <w:vAlign w:val="center"/>
          </w:tcPr>
          <w:p w14:paraId="302893B2" w14:textId="77777777" w:rsidR="001C1DEB" w:rsidRPr="00EA3473" w:rsidRDefault="001C1DEB" w:rsidP="00AC314C">
            <w:pPr>
              <w:spacing w:before="0" w:line="240" w:lineRule="auto"/>
              <w:ind w:firstLine="0"/>
              <w:jc w:val="center"/>
              <w:rPr>
                <w:rFonts w:ascii="Arial" w:hAnsi="Arial" w:cs="Arial"/>
                <w:lang w:val="en-PH"/>
              </w:rPr>
            </w:pPr>
          </w:p>
        </w:tc>
        <w:tc>
          <w:tcPr>
            <w:tcW w:w="727" w:type="pct"/>
            <w:shd w:val="clear" w:color="auto" w:fill="auto"/>
            <w:vAlign w:val="center"/>
          </w:tcPr>
          <w:p w14:paraId="1FB6DB99"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rPr>
              <w:t>15</w:t>
            </w:r>
          </w:p>
        </w:tc>
        <w:tc>
          <w:tcPr>
            <w:tcW w:w="378" w:type="pct"/>
            <w:shd w:val="clear" w:color="auto" w:fill="auto"/>
            <w:vAlign w:val="center"/>
            <w:hideMark/>
          </w:tcPr>
          <w:p w14:paraId="45133E72"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29</w:t>
            </w:r>
          </w:p>
        </w:tc>
        <w:tc>
          <w:tcPr>
            <w:tcW w:w="572" w:type="pct"/>
            <w:shd w:val="clear" w:color="auto" w:fill="auto"/>
            <w:vAlign w:val="center"/>
            <w:hideMark/>
          </w:tcPr>
          <w:p w14:paraId="0E4F684B"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shd w:val="clear" w:color="auto" w:fill="auto"/>
            <w:vAlign w:val="center"/>
            <w:hideMark/>
          </w:tcPr>
          <w:p w14:paraId="1760C6A9"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1</w:t>
            </w:r>
          </w:p>
        </w:tc>
        <w:tc>
          <w:tcPr>
            <w:tcW w:w="727" w:type="pct"/>
            <w:shd w:val="clear" w:color="auto" w:fill="auto"/>
            <w:vAlign w:val="center"/>
            <w:hideMark/>
          </w:tcPr>
          <w:p w14:paraId="76B20AD2"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T-I</w:t>
            </w:r>
          </w:p>
        </w:tc>
        <w:tc>
          <w:tcPr>
            <w:tcW w:w="1150" w:type="pct"/>
            <w:shd w:val="clear" w:color="auto" w:fill="auto"/>
            <w:vAlign w:val="center"/>
            <w:hideMark/>
          </w:tcPr>
          <w:p w14:paraId="27561ACB"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3A9A2BE6" w14:textId="77777777" w:rsidTr="001C1DEB">
        <w:tc>
          <w:tcPr>
            <w:cnfStyle w:val="001000000000" w:firstRow="0" w:lastRow="0" w:firstColumn="1" w:lastColumn="0" w:oddVBand="0" w:evenVBand="0" w:oddHBand="0" w:evenHBand="0" w:firstRowFirstColumn="0" w:firstRowLastColumn="0" w:lastRowFirstColumn="0" w:lastRowLastColumn="0"/>
            <w:tcW w:w="844" w:type="pct"/>
            <w:vAlign w:val="center"/>
          </w:tcPr>
          <w:p w14:paraId="3D1CE73D" w14:textId="77777777" w:rsidR="001C1DEB" w:rsidRPr="00EA3473" w:rsidRDefault="001C1DEB" w:rsidP="00AC314C">
            <w:pPr>
              <w:spacing w:before="0" w:line="240" w:lineRule="auto"/>
              <w:ind w:firstLine="0"/>
              <w:jc w:val="center"/>
              <w:rPr>
                <w:rFonts w:ascii="Arial" w:hAnsi="Arial" w:cs="Arial"/>
                <w:lang w:val="en-PH"/>
              </w:rPr>
            </w:pPr>
          </w:p>
        </w:tc>
        <w:tc>
          <w:tcPr>
            <w:tcW w:w="727" w:type="pct"/>
            <w:vAlign w:val="center"/>
          </w:tcPr>
          <w:p w14:paraId="18DFDAC4"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rPr>
              <w:t>16</w:t>
            </w:r>
          </w:p>
        </w:tc>
        <w:tc>
          <w:tcPr>
            <w:tcW w:w="378" w:type="pct"/>
            <w:vAlign w:val="center"/>
            <w:hideMark/>
          </w:tcPr>
          <w:p w14:paraId="5ED84F3E"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28</w:t>
            </w:r>
          </w:p>
        </w:tc>
        <w:tc>
          <w:tcPr>
            <w:tcW w:w="572" w:type="pct"/>
            <w:vAlign w:val="center"/>
            <w:hideMark/>
          </w:tcPr>
          <w:p w14:paraId="2B64E6A6"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vAlign w:val="center"/>
            <w:hideMark/>
          </w:tcPr>
          <w:p w14:paraId="58F14213"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w:t>
            </w:r>
          </w:p>
        </w:tc>
        <w:tc>
          <w:tcPr>
            <w:tcW w:w="727" w:type="pct"/>
            <w:vAlign w:val="center"/>
            <w:hideMark/>
          </w:tcPr>
          <w:p w14:paraId="3A80AF97"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T-I</w:t>
            </w:r>
          </w:p>
        </w:tc>
        <w:tc>
          <w:tcPr>
            <w:tcW w:w="1150" w:type="pct"/>
            <w:vAlign w:val="center"/>
            <w:hideMark/>
          </w:tcPr>
          <w:p w14:paraId="75DD01C7"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0582394C" w14:textId="77777777" w:rsidTr="001C1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shd w:val="clear" w:color="auto" w:fill="auto"/>
            <w:vAlign w:val="center"/>
          </w:tcPr>
          <w:p w14:paraId="4792F317" w14:textId="77777777" w:rsidR="001C1DEB" w:rsidRPr="00EA3473" w:rsidRDefault="001C1DEB" w:rsidP="00AC314C">
            <w:pPr>
              <w:spacing w:before="0" w:line="240" w:lineRule="auto"/>
              <w:ind w:firstLine="0"/>
              <w:jc w:val="center"/>
              <w:rPr>
                <w:rFonts w:ascii="Arial" w:hAnsi="Arial" w:cs="Arial"/>
                <w:lang w:val="en-PH"/>
              </w:rPr>
            </w:pPr>
          </w:p>
        </w:tc>
        <w:tc>
          <w:tcPr>
            <w:tcW w:w="727" w:type="pct"/>
            <w:shd w:val="clear" w:color="auto" w:fill="auto"/>
            <w:vAlign w:val="center"/>
          </w:tcPr>
          <w:p w14:paraId="6B849FB5"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rPr>
              <w:t>17</w:t>
            </w:r>
          </w:p>
        </w:tc>
        <w:tc>
          <w:tcPr>
            <w:tcW w:w="378" w:type="pct"/>
            <w:shd w:val="clear" w:color="auto" w:fill="auto"/>
            <w:vAlign w:val="center"/>
            <w:hideMark/>
          </w:tcPr>
          <w:p w14:paraId="59EFC13D"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28</w:t>
            </w:r>
          </w:p>
        </w:tc>
        <w:tc>
          <w:tcPr>
            <w:tcW w:w="572" w:type="pct"/>
            <w:shd w:val="clear" w:color="auto" w:fill="auto"/>
            <w:vAlign w:val="center"/>
            <w:hideMark/>
          </w:tcPr>
          <w:p w14:paraId="5DD51CF2"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shd w:val="clear" w:color="auto" w:fill="auto"/>
            <w:vAlign w:val="center"/>
            <w:hideMark/>
          </w:tcPr>
          <w:p w14:paraId="53C45D4F"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4</w:t>
            </w:r>
          </w:p>
        </w:tc>
        <w:tc>
          <w:tcPr>
            <w:tcW w:w="727" w:type="pct"/>
            <w:shd w:val="clear" w:color="auto" w:fill="auto"/>
            <w:vAlign w:val="center"/>
            <w:hideMark/>
          </w:tcPr>
          <w:p w14:paraId="2F3C8108"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T-III</w:t>
            </w:r>
          </w:p>
        </w:tc>
        <w:tc>
          <w:tcPr>
            <w:tcW w:w="1150" w:type="pct"/>
            <w:shd w:val="clear" w:color="auto" w:fill="auto"/>
            <w:vAlign w:val="center"/>
            <w:hideMark/>
          </w:tcPr>
          <w:p w14:paraId="3F2EE7DF"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0404BF6B" w14:textId="77777777" w:rsidTr="001C1DEB">
        <w:tc>
          <w:tcPr>
            <w:cnfStyle w:val="001000000000" w:firstRow="0" w:lastRow="0" w:firstColumn="1" w:lastColumn="0" w:oddVBand="0" w:evenVBand="0" w:oddHBand="0" w:evenHBand="0" w:firstRowFirstColumn="0" w:firstRowLastColumn="0" w:lastRowFirstColumn="0" w:lastRowLastColumn="0"/>
            <w:tcW w:w="844" w:type="pct"/>
            <w:tcBorders>
              <w:bottom w:val="single" w:sz="4" w:space="0" w:color="auto"/>
            </w:tcBorders>
            <w:vAlign w:val="center"/>
          </w:tcPr>
          <w:p w14:paraId="6FDCBF92" w14:textId="77777777" w:rsidR="001C1DEB" w:rsidRPr="00EA3473" w:rsidRDefault="001C1DEB" w:rsidP="00AC314C">
            <w:pPr>
              <w:spacing w:before="0" w:line="240" w:lineRule="auto"/>
              <w:ind w:firstLine="0"/>
              <w:jc w:val="center"/>
              <w:rPr>
                <w:rFonts w:ascii="Arial" w:hAnsi="Arial" w:cs="Arial"/>
                <w:lang w:val="en-PH"/>
              </w:rPr>
            </w:pPr>
          </w:p>
        </w:tc>
        <w:tc>
          <w:tcPr>
            <w:tcW w:w="727" w:type="pct"/>
            <w:tcBorders>
              <w:bottom w:val="single" w:sz="4" w:space="0" w:color="auto"/>
            </w:tcBorders>
            <w:vAlign w:val="center"/>
          </w:tcPr>
          <w:p w14:paraId="02AE2F44"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rPr>
              <w:t>18</w:t>
            </w:r>
          </w:p>
        </w:tc>
        <w:tc>
          <w:tcPr>
            <w:tcW w:w="378" w:type="pct"/>
            <w:tcBorders>
              <w:bottom w:val="single" w:sz="4" w:space="0" w:color="auto"/>
            </w:tcBorders>
            <w:vAlign w:val="center"/>
            <w:hideMark/>
          </w:tcPr>
          <w:p w14:paraId="6F57F47B"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33</w:t>
            </w:r>
          </w:p>
        </w:tc>
        <w:tc>
          <w:tcPr>
            <w:tcW w:w="572" w:type="pct"/>
            <w:tcBorders>
              <w:bottom w:val="single" w:sz="4" w:space="0" w:color="auto"/>
            </w:tcBorders>
            <w:vAlign w:val="center"/>
            <w:hideMark/>
          </w:tcPr>
          <w:p w14:paraId="1C4AF60B"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Female</w:t>
            </w:r>
          </w:p>
        </w:tc>
        <w:tc>
          <w:tcPr>
            <w:tcW w:w="602" w:type="pct"/>
            <w:tcBorders>
              <w:bottom w:val="single" w:sz="4" w:space="0" w:color="auto"/>
            </w:tcBorders>
            <w:vAlign w:val="center"/>
            <w:hideMark/>
          </w:tcPr>
          <w:p w14:paraId="02CDC902"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6</w:t>
            </w:r>
          </w:p>
        </w:tc>
        <w:tc>
          <w:tcPr>
            <w:tcW w:w="727" w:type="pct"/>
            <w:tcBorders>
              <w:bottom w:val="single" w:sz="4" w:space="0" w:color="auto"/>
            </w:tcBorders>
            <w:vAlign w:val="center"/>
            <w:hideMark/>
          </w:tcPr>
          <w:p w14:paraId="2BA5105E"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T-I</w:t>
            </w:r>
          </w:p>
        </w:tc>
        <w:tc>
          <w:tcPr>
            <w:tcW w:w="1150" w:type="pct"/>
            <w:tcBorders>
              <w:bottom w:val="single" w:sz="4" w:space="0" w:color="auto"/>
            </w:tcBorders>
            <w:vAlign w:val="center"/>
            <w:hideMark/>
          </w:tcPr>
          <w:p w14:paraId="7671BA4B" w14:textId="77777777" w:rsidR="001C1DEB" w:rsidRPr="00EA3473" w:rsidRDefault="001C1DEB" w:rsidP="00AC314C">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lang w:val="en-PH"/>
              </w:rPr>
            </w:pPr>
            <w:r w:rsidRPr="00EA3473">
              <w:rPr>
                <w:rFonts w:ascii="Arial" w:hAnsi="Arial" w:cs="Arial"/>
                <w:lang w:val="en-PH"/>
              </w:rPr>
              <w:t>1 Year</w:t>
            </w:r>
          </w:p>
        </w:tc>
      </w:tr>
      <w:tr w:rsidR="001C1DEB" w:rsidRPr="00EA3473" w14:paraId="7D7CD7EF" w14:textId="77777777" w:rsidTr="001C1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pct"/>
            <w:tcBorders>
              <w:top w:val="single" w:sz="4" w:space="0" w:color="auto"/>
              <w:bottom w:val="single" w:sz="4" w:space="0" w:color="auto"/>
            </w:tcBorders>
            <w:shd w:val="clear" w:color="auto" w:fill="auto"/>
            <w:vAlign w:val="center"/>
          </w:tcPr>
          <w:p w14:paraId="45301C33" w14:textId="77777777" w:rsidR="001C1DEB" w:rsidRPr="00EA3473" w:rsidRDefault="001C1DEB" w:rsidP="00AC314C">
            <w:pPr>
              <w:spacing w:before="0" w:line="240" w:lineRule="auto"/>
              <w:ind w:firstLine="0"/>
              <w:jc w:val="center"/>
              <w:rPr>
                <w:rFonts w:ascii="Arial" w:hAnsi="Arial" w:cs="Arial"/>
                <w:lang w:val="en-PH"/>
              </w:rPr>
            </w:pPr>
            <w:r>
              <w:rPr>
                <w:rFonts w:ascii="Arial" w:hAnsi="Arial" w:cs="Arial"/>
                <w:lang w:val="en-PH"/>
              </w:rPr>
              <w:t>Total</w:t>
            </w:r>
          </w:p>
        </w:tc>
        <w:tc>
          <w:tcPr>
            <w:tcW w:w="727" w:type="pct"/>
            <w:tcBorders>
              <w:top w:val="single" w:sz="4" w:space="0" w:color="auto"/>
              <w:bottom w:val="single" w:sz="4" w:space="0" w:color="auto"/>
            </w:tcBorders>
            <w:shd w:val="clear" w:color="auto" w:fill="auto"/>
            <w:vAlign w:val="center"/>
          </w:tcPr>
          <w:p w14:paraId="61B6B06F"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EA3473">
              <w:rPr>
                <w:rFonts w:ascii="Arial" w:hAnsi="Arial" w:cs="Arial"/>
                <w:b/>
                <w:bCs/>
              </w:rPr>
              <w:t>19</w:t>
            </w:r>
          </w:p>
        </w:tc>
        <w:tc>
          <w:tcPr>
            <w:tcW w:w="378" w:type="pct"/>
            <w:tcBorders>
              <w:top w:val="single" w:sz="4" w:space="0" w:color="auto"/>
              <w:bottom w:val="single" w:sz="4" w:space="0" w:color="auto"/>
            </w:tcBorders>
            <w:shd w:val="clear" w:color="auto" w:fill="auto"/>
            <w:vAlign w:val="center"/>
          </w:tcPr>
          <w:p w14:paraId="389B7F58"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p>
        </w:tc>
        <w:tc>
          <w:tcPr>
            <w:tcW w:w="572" w:type="pct"/>
            <w:tcBorders>
              <w:top w:val="single" w:sz="4" w:space="0" w:color="auto"/>
              <w:bottom w:val="single" w:sz="4" w:space="0" w:color="auto"/>
            </w:tcBorders>
            <w:shd w:val="clear" w:color="auto" w:fill="auto"/>
            <w:vAlign w:val="center"/>
          </w:tcPr>
          <w:p w14:paraId="407137D3"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p>
        </w:tc>
        <w:tc>
          <w:tcPr>
            <w:tcW w:w="602" w:type="pct"/>
            <w:tcBorders>
              <w:top w:val="single" w:sz="4" w:space="0" w:color="auto"/>
              <w:bottom w:val="single" w:sz="4" w:space="0" w:color="auto"/>
            </w:tcBorders>
            <w:shd w:val="clear" w:color="auto" w:fill="auto"/>
            <w:vAlign w:val="center"/>
          </w:tcPr>
          <w:p w14:paraId="52775FDC"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p>
        </w:tc>
        <w:tc>
          <w:tcPr>
            <w:tcW w:w="727" w:type="pct"/>
            <w:tcBorders>
              <w:top w:val="single" w:sz="4" w:space="0" w:color="auto"/>
              <w:bottom w:val="single" w:sz="4" w:space="0" w:color="auto"/>
            </w:tcBorders>
            <w:shd w:val="clear" w:color="auto" w:fill="auto"/>
            <w:vAlign w:val="center"/>
          </w:tcPr>
          <w:p w14:paraId="48A55C54"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p>
        </w:tc>
        <w:tc>
          <w:tcPr>
            <w:tcW w:w="1150" w:type="pct"/>
            <w:tcBorders>
              <w:top w:val="single" w:sz="4" w:space="0" w:color="auto"/>
              <w:bottom w:val="single" w:sz="4" w:space="0" w:color="auto"/>
            </w:tcBorders>
            <w:shd w:val="clear" w:color="auto" w:fill="auto"/>
            <w:vAlign w:val="center"/>
          </w:tcPr>
          <w:p w14:paraId="0AD3E174" w14:textId="77777777" w:rsidR="001C1DEB" w:rsidRPr="00EA3473" w:rsidRDefault="001C1DEB" w:rsidP="00AC314C">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s="Arial"/>
                <w:lang w:val="en-PH"/>
              </w:rPr>
            </w:pPr>
          </w:p>
        </w:tc>
      </w:tr>
    </w:tbl>
    <w:p w14:paraId="517E646F" w14:textId="77777777" w:rsidR="00147540" w:rsidRPr="00E00D77" w:rsidRDefault="00147540" w:rsidP="00E00D77">
      <w:pPr>
        <w:pStyle w:val="NoSpacing"/>
        <w:rPr>
          <w:rFonts w:ascii="Times New Roman" w:hAnsi="Times New Roman" w:cs="Times New Roman"/>
        </w:rPr>
      </w:pPr>
    </w:p>
    <w:p w14:paraId="4AC32600" w14:textId="3420FD41" w:rsidR="00576C7F" w:rsidRPr="00E00D77" w:rsidRDefault="00576C7F" w:rsidP="00E00D77">
      <w:pPr>
        <w:pStyle w:val="NoSpacing"/>
        <w:rPr>
          <w:rFonts w:ascii="Times New Roman" w:hAnsi="Times New Roman" w:cs="Times New Roman"/>
          <w:b/>
          <w:bCs/>
        </w:rPr>
      </w:pPr>
      <w:r w:rsidRPr="00E00D77">
        <w:rPr>
          <w:rFonts w:ascii="Times New Roman" w:hAnsi="Times New Roman" w:cs="Times New Roman"/>
          <w:b/>
          <w:bCs/>
        </w:rPr>
        <w:t xml:space="preserve">RESULTS AND DISCUSSION </w:t>
      </w:r>
    </w:p>
    <w:p w14:paraId="6034F447" w14:textId="77777777" w:rsidR="005A07CF" w:rsidRDefault="005A07CF" w:rsidP="00E00D77">
      <w:pPr>
        <w:pStyle w:val="NoSpacing"/>
        <w:rPr>
          <w:rFonts w:ascii="Times New Roman" w:hAnsi="Times New Roman" w:cs="Times New Roman"/>
          <w:b/>
          <w:bCs/>
        </w:rPr>
      </w:pPr>
    </w:p>
    <w:p w14:paraId="19155D2C" w14:textId="2FF835CE" w:rsidR="00FC4D9E" w:rsidRPr="00E00D77" w:rsidRDefault="00FC4D9E" w:rsidP="00E00D77">
      <w:pPr>
        <w:pStyle w:val="NoSpacing"/>
        <w:rPr>
          <w:rStyle w:val="Strong"/>
          <w:rFonts w:ascii="Times New Roman" w:hAnsi="Times New Roman" w:cs="Times New Roman"/>
          <w:b w:val="0"/>
          <w:bCs w:val="0"/>
        </w:rPr>
      </w:pPr>
      <w:r w:rsidRPr="00E00D77">
        <w:rPr>
          <w:rFonts w:ascii="Times New Roman" w:hAnsi="Times New Roman" w:cs="Times New Roman"/>
          <w:b/>
          <w:bCs/>
        </w:rPr>
        <w:t>A. Contextual Factors Influencing Teachers’ Resilience and Burnout</w:t>
      </w:r>
      <w:r w:rsidRPr="00E00D77">
        <w:rPr>
          <w:rFonts w:ascii="Times New Roman" w:hAnsi="Times New Roman" w:cs="Times New Roman"/>
        </w:rPr>
        <w:t xml:space="preserve"> </w:t>
      </w:r>
    </w:p>
    <w:p w14:paraId="63A41488" w14:textId="2327B09D" w:rsidR="00FC4D9E" w:rsidRPr="00E00D77" w:rsidRDefault="00FC4D9E" w:rsidP="005A07CF">
      <w:pPr>
        <w:pStyle w:val="NoSpacing"/>
        <w:ind w:firstLine="720"/>
        <w:jc w:val="both"/>
        <w:rPr>
          <w:rStyle w:val="Strong"/>
          <w:rFonts w:ascii="Times New Roman" w:hAnsi="Times New Roman" w:cs="Times New Roman"/>
          <w:b w:val="0"/>
          <w:bCs w:val="0"/>
        </w:rPr>
      </w:pPr>
      <w:r w:rsidRPr="00E00D77">
        <w:rPr>
          <w:rFonts w:ascii="Times New Roman" w:hAnsi="Times New Roman" w:cs="Times New Roman"/>
        </w:rPr>
        <w:t xml:space="preserve">Table 2 presents the contextual factors influencing teachers’ resilience and burnout. It highlights various environmental, personal, and organizational elements that shape teacher’s ability to cope with challenges and maintain their well-being amidst demanding teaching conditions. </w:t>
      </w:r>
    </w:p>
    <w:p w14:paraId="3C5EBA14" w14:textId="77777777" w:rsidR="00FC4D9E" w:rsidRPr="00E00D77" w:rsidRDefault="00FC4D9E" w:rsidP="00E00D77">
      <w:pPr>
        <w:pStyle w:val="NoSpacing"/>
        <w:rPr>
          <w:rFonts w:ascii="Times New Roman" w:hAnsi="Times New Roman" w:cs="Times New Roman"/>
          <w:b/>
          <w:bCs/>
        </w:rPr>
      </w:pPr>
    </w:p>
    <w:p w14:paraId="5D2FCB5F" w14:textId="609ABCE8" w:rsidR="00FC4D9E" w:rsidRPr="00E00D77" w:rsidRDefault="00FC4D9E" w:rsidP="00E00D77">
      <w:pPr>
        <w:pStyle w:val="NoSpacing"/>
        <w:rPr>
          <w:rFonts w:ascii="Times New Roman" w:hAnsi="Times New Roman" w:cs="Times New Roman"/>
          <w:b/>
          <w:bCs/>
        </w:rPr>
      </w:pPr>
      <w:r w:rsidRPr="00E00D77">
        <w:rPr>
          <w:rFonts w:ascii="Times New Roman" w:hAnsi="Times New Roman" w:cs="Times New Roman"/>
          <w:b/>
          <w:bCs/>
        </w:rPr>
        <w:t>Table 2. Emerging Themes on Contextual Factors Affecting Teachers’ Resilience &amp; Burnout</w:t>
      </w:r>
    </w:p>
    <w:tbl>
      <w:tblPr>
        <w:tblStyle w:val="ListTable6Colorful"/>
        <w:tblW w:w="8505" w:type="dxa"/>
        <w:tblLook w:val="04A0" w:firstRow="1" w:lastRow="0" w:firstColumn="1" w:lastColumn="0" w:noHBand="0" w:noVBand="1"/>
      </w:tblPr>
      <w:tblGrid>
        <w:gridCol w:w="4395"/>
        <w:gridCol w:w="4110"/>
      </w:tblGrid>
      <w:tr w:rsidR="00FC4D9E" w:rsidRPr="005A07CF" w14:paraId="680B8E15" w14:textId="77777777" w:rsidTr="00CC3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hideMark/>
          </w:tcPr>
          <w:p w14:paraId="0D99F114" w14:textId="77777777" w:rsidR="00FC4D9E" w:rsidRPr="005A07CF" w:rsidRDefault="00FC4D9E" w:rsidP="00E00D77">
            <w:pPr>
              <w:pStyle w:val="NoSpacing"/>
              <w:rPr>
                <w:sz w:val="24"/>
                <w:szCs w:val="24"/>
              </w:rPr>
            </w:pPr>
            <w:r w:rsidRPr="005A07CF">
              <w:rPr>
                <w:sz w:val="24"/>
                <w:szCs w:val="24"/>
              </w:rPr>
              <w:t>Themes</w:t>
            </w:r>
          </w:p>
        </w:tc>
        <w:tc>
          <w:tcPr>
            <w:tcW w:w="4110" w:type="dxa"/>
          </w:tcPr>
          <w:p w14:paraId="65C23F84" w14:textId="77777777" w:rsidR="00FC4D9E" w:rsidRPr="005A07CF" w:rsidRDefault="00FC4D9E" w:rsidP="00E00D77">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5A07CF">
              <w:rPr>
                <w:sz w:val="24"/>
                <w:szCs w:val="24"/>
              </w:rPr>
              <w:t>Sub Themes</w:t>
            </w:r>
          </w:p>
        </w:tc>
      </w:tr>
      <w:tr w:rsidR="00FC4D9E" w:rsidRPr="005A07CF" w14:paraId="6E6D44B5" w14:textId="77777777" w:rsidTr="00CC3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val="restart"/>
            <w:shd w:val="clear" w:color="auto" w:fill="auto"/>
            <w:hideMark/>
          </w:tcPr>
          <w:p w14:paraId="1E56A162" w14:textId="77777777" w:rsidR="00FC4D9E" w:rsidRPr="005A07CF" w:rsidRDefault="00FC4D9E" w:rsidP="00E00D77">
            <w:pPr>
              <w:pStyle w:val="NoSpacing"/>
              <w:rPr>
                <w:b w:val="0"/>
                <w:bCs w:val="0"/>
                <w:sz w:val="24"/>
                <w:szCs w:val="24"/>
              </w:rPr>
            </w:pPr>
            <w:r w:rsidRPr="005A07CF">
              <w:rPr>
                <w:b w:val="0"/>
                <w:bCs w:val="0"/>
                <w:sz w:val="24"/>
                <w:szCs w:val="24"/>
              </w:rPr>
              <w:t>Institutional Neglect and Structural Disadvantage</w:t>
            </w:r>
          </w:p>
        </w:tc>
        <w:tc>
          <w:tcPr>
            <w:tcW w:w="4110" w:type="dxa"/>
            <w:shd w:val="clear" w:color="auto" w:fill="auto"/>
          </w:tcPr>
          <w:p w14:paraId="7C79F9B3" w14:textId="77777777" w:rsidR="00FC4D9E" w:rsidRPr="005A07CF" w:rsidRDefault="00FC4D9E" w:rsidP="00E00D77">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5A07CF">
              <w:rPr>
                <w:sz w:val="24"/>
                <w:szCs w:val="24"/>
              </w:rPr>
              <w:t>Lack of infrastructure</w:t>
            </w:r>
          </w:p>
        </w:tc>
      </w:tr>
      <w:tr w:rsidR="00FC4D9E" w:rsidRPr="005A07CF" w14:paraId="105EE32C" w14:textId="77777777" w:rsidTr="00CC3143">
        <w:tc>
          <w:tcPr>
            <w:cnfStyle w:val="001000000000" w:firstRow="0" w:lastRow="0" w:firstColumn="1" w:lastColumn="0" w:oddVBand="0" w:evenVBand="0" w:oddHBand="0" w:evenHBand="0" w:firstRowFirstColumn="0" w:firstRowLastColumn="0" w:lastRowFirstColumn="0" w:lastRowLastColumn="0"/>
            <w:tcW w:w="4395" w:type="dxa"/>
            <w:vMerge/>
            <w:hideMark/>
          </w:tcPr>
          <w:p w14:paraId="70F1B72E" w14:textId="77777777" w:rsidR="00FC4D9E" w:rsidRPr="005A07CF" w:rsidRDefault="00FC4D9E" w:rsidP="00E00D77">
            <w:pPr>
              <w:pStyle w:val="NoSpacing"/>
              <w:rPr>
                <w:b w:val="0"/>
                <w:bCs w:val="0"/>
                <w:sz w:val="24"/>
                <w:szCs w:val="24"/>
              </w:rPr>
            </w:pPr>
          </w:p>
        </w:tc>
        <w:tc>
          <w:tcPr>
            <w:tcW w:w="4110" w:type="dxa"/>
          </w:tcPr>
          <w:p w14:paraId="040D616A" w14:textId="77777777" w:rsidR="00FC4D9E" w:rsidRPr="005A07CF" w:rsidRDefault="00FC4D9E" w:rsidP="00E00D77">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5A07CF">
              <w:rPr>
                <w:sz w:val="24"/>
                <w:szCs w:val="24"/>
              </w:rPr>
              <w:t>Absence of permanence</w:t>
            </w:r>
          </w:p>
        </w:tc>
      </w:tr>
      <w:tr w:rsidR="00FC4D9E" w:rsidRPr="005A07CF" w14:paraId="39D7AA23" w14:textId="77777777" w:rsidTr="00CC3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val="restart"/>
            <w:shd w:val="clear" w:color="auto" w:fill="auto"/>
            <w:hideMark/>
          </w:tcPr>
          <w:p w14:paraId="233DC349" w14:textId="77777777" w:rsidR="00FC4D9E" w:rsidRPr="005A07CF" w:rsidRDefault="00FC4D9E" w:rsidP="00E00D77">
            <w:pPr>
              <w:pStyle w:val="NoSpacing"/>
              <w:rPr>
                <w:b w:val="0"/>
                <w:bCs w:val="0"/>
                <w:sz w:val="24"/>
                <w:szCs w:val="24"/>
              </w:rPr>
            </w:pPr>
          </w:p>
          <w:p w14:paraId="1379991F" w14:textId="77777777" w:rsidR="00FC4D9E" w:rsidRPr="005A07CF" w:rsidRDefault="00FC4D9E" w:rsidP="00E00D77">
            <w:pPr>
              <w:pStyle w:val="NoSpacing"/>
              <w:rPr>
                <w:b w:val="0"/>
                <w:bCs w:val="0"/>
                <w:sz w:val="24"/>
                <w:szCs w:val="24"/>
              </w:rPr>
            </w:pPr>
            <w:r w:rsidRPr="005A07CF">
              <w:rPr>
                <w:b w:val="0"/>
                <w:bCs w:val="0"/>
                <w:sz w:val="24"/>
                <w:szCs w:val="24"/>
              </w:rPr>
              <w:t>Workload Intensification and Role Expansion</w:t>
            </w:r>
          </w:p>
        </w:tc>
        <w:tc>
          <w:tcPr>
            <w:tcW w:w="4110" w:type="dxa"/>
            <w:shd w:val="clear" w:color="auto" w:fill="auto"/>
          </w:tcPr>
          <w:p w14:paraId="3AF3E652" w14:textId="77777777" w:rsidR="00FC4D9E" w:rsidRPr="005A07CF" w:rsidRDefault="00FC4D9E" w:rsidP="00E00D77">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5A07CF">
              <w:rPr>
                <w:sz w:val="24"/>
                <w:szCs w:val="24"/>
              </w:rPr>
              <w:t>Feeling overlooked</w:t>
            </w:r>
          </w:p>
        </w:tc>
      </w:tr>
      <w:tr w:rsidR="00FC4D9E" w:rsidRPr="005A07CF" w14:paraId="240D2778" w14:textId="77777777" w:rsidTr="00CC3143">
        <w:tc>
          <w:tcPr>
            <w:cnfStyle w:val="001000000000" w:firstRow="0" w:lastRow="0" w:firstColumn="1" w:lastColumn="0" w:oddVBand="0" w:evenVBand="0" w:oddHBand="0" w:evenHBand="0" w:firstRowFirstColumn="0" w:firstRowLastColumn="0" w:lastRowFirstColumn="0" w:lastRowLastColumn="0"/>
            <w:tcW w:w="4395" w:type="dxa"/>
            <w:vMerge/>
            <w:hideMark/>
          </w:tcPr>
          <w:p w14:paraId="21A6CC18" w14:textId="77777777" w:rsidR="00FC4D9E" w:rsidRPr="005A07CF" w:rsidRDefault="00FC4D9E" w:rsidP="00E00D77">
            <w:pPr>
              <w:pStyle w:val="NoSpacing"/>
              <w:rPr>
                <w:b w:val="0"/>
                <w:bCs w:val="0"/>
                <w:sz w:val="24"/>
                <w:szCs w:val="24"/>
              </w:rPr>
            </w:pPr>
          </w:p>
        </w:tc>
        <w:tc>
          <w:tcPr>
            <w:tcW w:w="4110" w:type="dxa"/>
          </w:tcPr>
          <w:p w14:paraId="16F08438" w14:textId="77777777" w:rsidR="00FC4D9E" w:rsidRPr="005A07CF" w:rsidRDefault="00FC4D9E" w:rsidP="00E00D77">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5A07CF">
              <w:rPr>
                <w:sz w:val="24"/>
                <w:szCs w:val="24"/>
              </w:rPr>
              <w:t>Role overload</w:t>
            </w:r>
          </w:p>
        </w:tc>
      </w:tr>
      <w:tr w:rsidR="00FC4D9E" w:rsidRPr="005A07CF" w14:paraId="12C02187" w14:textId="77777777" w:rsidTr="00CC3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shd w:val="clear" w:color="auto" w:fill="auto"/>
            <w:hideMark/>
          </w:tcPr>
          <w:p w14:paraId="27AFF93E" w14:textId="77777777" w:rsidR="00FC4D9E" w:rsidRPr="005A07CF" w:rsidRDefault="00FC4D9E" w:rsidP="00E00D77">
            <w:pPr>
              <w:pStyle w:val="NoSpacing"/>
              <w:rPr>
                <w:b w:val="0"/>
                <w:bCs w:val="0"/>
                <w:sz w:val="24"/>
                <w:szCs w:val="24"/>
              </w:rPr>
            </w:pPr>
          </w:p>
        </w:tc>
        <w:tc>
          <w:tcPr>
            <w:tcW w:w="4110" w:type="dxa"/>
            <w:shd w:val="clear" w:color="auto" w:fill="auto"/>
          </w:tcPr>
          <w:p w14:paraId="24F9806A" w14:textId="77777777" w:rsidR="00FC4D9E" w:rsidRPr="005A07CF" w:rsidRDefault="00FC4D9E" w:rsidP="00E00D77">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5A07CF">
              <w:rPr>
                <w:sz w:val="24"/>
                <w:szCs w:val="24"/>
              </w:rPr>
              <w:t>Staffing shortage</w:t>
            </w:r>
          </w:p>
        </w:tc>
      </w:tr>
      <w:tr w:rsidR="00FC4D9E" w:rsidRPr="005A07CF" w14:paraId="2FB6C8D3" w14:textId="77777777" w:rsidTr="00CC3143">
        <w:tc>
          <w:tcPr>
            <w:cnfStyle w:val="001000000000" w:firstRow="0" w:lastRow="0" w:firstColumn="1" w:lastColumn="0" w:oddVBand="0" w:evenVBand="0" w:oddHBand="0" w:evenHBand="0" w:firstRowFirstColumn="0" w:firstRowLastColumn="0" w:lastRowFirstColumn="0" w:lastRowLastColumn="0"/>
            <w:tcW w:w="4395" w:type="dxa"/>
            <w:vMerge/>
            <w:hideMark/>
          </w:tcPr>
          <w:p w14:paraId="6FD2E24D" w14:textId="77777777" w:rsidR="00FC4D9E" w:rsidRPr="005A07CF" w:rsidRDefault="00FC4D9E" w:rsidP="00E00D77">
            <w:pPr>
              <w:pStyle w:val="NoSpacing"/>
              <w:rPr>
                <w:b w:val="0"/>
                <w:bCs w:val="0"/>
                <w:sz w:val="24"/>
                <w:szCs w:val="24"/>
              </w:rPr>
            </w:pPr>
          </w:p>
        </w:tc>
        <w:tc>
          <w:tcPr>
            <w:tcW w:w="4110" w:type="dxa"/>
          </w:tcPr>
          <w:p w14:paraId="08408EE6" w14:textId="77777777" w:rsidR="00FC4D9E" w:rsidRPr="005A07CF" w:rsidRDefault="00FC4D9E" w:rsidP="00E00D77">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5A07CF">
              <w:rPr>
                <w:sz w:val="24"/>
                <w:szCs w:val="24"/>
              </w:rPr>
              <w:t>Limited manpower</w:t>
            </w:r>
          </w:p>
        </w:tc>
      </w:tr>
      <w:tr w:rsidR="00FC4D9E" w:rsidRPr="005A07CF" w14:paraId="5C25D5D8" w14:textId="77777777" w:rsidTr="00CC3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vMerge w:val="restart"/>
            <w:shd w:val="clear" w:color="auto" w:fill="auto"/>
            <w:hideMark/>
          </w:tcPr>
          <w:p w14:paraId="12431422" w14:textId="77777777" w:rsidR="00FC4D9E" w:rsidRPr="005A07CF" w:rsidRDefault="00FC4D9E" w:rsidP="00E00D77">
            <w:pPr>
              <w:pStyle w:val="NoSpacing"/>
              <w:rPr>
                <w:b w:val="0"/>
                <w:bCs w:val="0"/>
                <w:sz w:val="24"/>
                <w:szCs w:val="24"/>
              </w:rPr>
            </w:pPr>
            <w:r w:rsidRPr="005A07CF">
              <w:rPr>
                <w:b w:val="0"/>
                <w:bCs w:val="0"/>
                <w:sz w:val="24"/>
                <w:szCs w:val="24"/>
              </w:rPr>
              <w:t>Institutional Isolation and Limited Professional Support</w:t>
            </w:r>
          </w:p>
        </w:tc>
        <w:tc>
          <w:tcPr>
            <w:tcW w:w="4110" w:type="dxa"/>
            <w:shd w:val="clear" w:color="auto" w:fill="auto"/>
          </w:tcPr>
          <w:p w14:paraId="326808C9" w14:textId="77777777" w:rsidR="00FC4D9E" w:rsidRPr="005A07CF" w:rsidRDefault="00FC4D9E" w:rsidP="00E00D77">
            <w:pPr>
              <w:pStyle w:val="NoSpacing"/>
              <w:cnfStyle w:val="000000100000" w:firstRow="0" w:lastRow="0" w:firstColumn="0" w:lastColumn="0" w:oddVBand="0" w:evenVBand="0" w:oddHBand="1" w:evenHBand="0" w:firstRowFirstColumn="0" w:firstRowLastColumn="0" w:lastRowFirstColumn="0" w:lastRowLastColumn="0"/>
              <w:rPr>
                <w:sz w:val="24"/>
                <w:szCs w:val="24"/>
              </w:rPr>
            </w:pPr>
            <w:r w:rsidRPr="005A07CF">
              <w:rPr>
                <w:sz w:val="24"/>
                <w:szCs w:val="24"/>
              </w:rPr>
              <w:t>Weak administrative support</w:t>
            </w:r>
          </w:p>
        </w:tc>
      </w:tr>
      <w:tr w:rsidR="00FC4D9E" w:rsidRPr="005A07CF" w14:paraId="7B187216" w14:textId="77777777" w:rsidTr="00CC3143">
        <w:tc>
          <w:tcPr>
            <w:cnfStyle w:val="001000000000" w:firstRow="0" w:lastRow="0" w:firstColumn="1" w:lastColumn="0" w:oddVBand="0" w:evenVBand="0" w:oddHBand="0" w:evenHBand="0" w:firstRowFirstColumn="0" w:firstRowLastColumn="0" w:lastRowFirstColumn="0" w:lastRowLastColumn="0"/>
            <w:tcW w:w="4395" w:type="dxa"/>
            <w:vMerge/>
            <w:hideMark/>
          </w:tcPr>
          <w:p w14:paraId="32899C9B" w14:textId="77777777" w:rsidR="00FC4D9E" w:rsidRPr="005A07CF" w:rsidRDefault="00FC4D9E" w:rsidP="00E00D77">
            <w:pPr>
              <w:pStyle w:val="NoSpacing"/>
              <w:rPr>
                <w:b w:val="0"/>
                <w:bCs w:val="0"/>
                <w:sz w:val="24"/>
                <w:szCs w:val="24"/>
              </w:rPr>
            </w:pPr>
          </w:p>
        </w:tc>
        <w:tc>
          <w:tcPr>
            <w:tcW w:w="4110" w:type="dxa"/>
          </w:tcPr>
          <w:p w14:paraId="6449B7AE" w14:textId="77777777" w:rsidR="00FC4D9E" w:rsidRPr="005A07CF" w:rsidRDefault="00FC4D9E" w:rsidP="00E00D77">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5A07CF">
              <w:rPr>
                <w:sz w:val="24"/>
                <w:szCs w:val="24"/>
              </w:rPr>
              <w:t>Lack of monitoring</w:t>
            </w:r>
          </w:p>
        </w:tc>
      </w:tr>
    </w:tbl>
    <w:p w14:paraId="78ABAE4C" w14:textId="73DDBB10" w:rsidR="00FC4D9E" w:rsidRPr="00E00D77" w:rsidRDefault="00FC4D9E" w:rsidP="00E00D77">
      <w:pPr>
        <w:pStyle w:val="NoSpacing"/>
        <w:rPr>
          <w:rFonts w:ascii="Times New Roman" w:hAnsi="Times New Roman" w:cs="Times New Roman"/>
          <w:b/>
          <w:bCs/>
        </w:rPr>
      </w:pPr>
    </w:p>
    <w:p w14:paraId="0E65E36B" w14:textId="77777777" w:rsidR="00E00D77" w:rsidRPr="00E00D77" w:rsidRDefault="00E00D77" w:rsidP="00E00D77">
      <w:pPr>
        <w:pStyle w:val="NoSpacing"/>
        <w:rPr>
          <w:rFonts w:ascii="Times New Roman" w:hAnsi="Times New Roman" w:cs="Times New Roman"/>
        </w:rPr>
      </w:pPr>
      <w:r w:rsidRPr="00E00D77">
        <w:rPr>
          <w:rStyle w:val="Strong"/>
          <w:rFonts w:ascii="Times New Roman" w:hAnsi="Times New Roman" w:cs="Times New Roman"/>
          <w:bCs w:val="0"/>
        </w:rPr>
        <w:t>Theme 1: Institutional Neglect and Structural Disadvantage</w:t>
      </w:r>
    </w:p>
    <w:p w14:paraId="75D23A2A" w14:textId="77777777" w:rsidR="00E00D77" w:rsidRDefault="00E00D77" w:rsidP="005A07CF">
      <w:pPr>
        <w:pStyle w:val="NoSpacing"/>
        <w:ind w:firstLine="720"/>
        <w:jc w:val="both"/>
        <w:rPr>
          <w:rFonts w:ascii="Times New Roman" w:hAnsi="Times New Roman" w:cs="Times New Roman"/>
        </w:rPr>
      </w:pPr>
      <w:r w:rsidRPr="00E00D77">
        <w:rPr>
          <w:rFonts w:ascii="Times New Roman" w:hAnsi="Times New Roman" w:cs="Times New Roman"/>
        </w:rPr>
        <w:t>Teachers consistently reveal institutional neglect as a foundational condition shaping both resilience and burnout. During Phase 1 of Braun and Clarke’s thematic analysis, participants repeatedly described the absence of permanent school buildings, insufficient instructional materials, and the lack of institutional investment in their learning environment. Statements such as participant 2 stated,</w:t>
      </w:r>
    </w:p>
    <w:p w14:paraId="6F4F672F" w14:textId="77777777" w:rsidR="001C1DEB" w:rsidRPr="00E00D77" w:rsidRDefault="001C1DEB" w:rsidP="005A07CF">
      <w:pPr>
        <w:pStyle w:val="NoSpacing"/>
        <w:ind w:firstLine="720"/>
        <w:jc w:val="both"/>
        <w:rPr>
          <w:rFonts w:ascii="Times New Roman" w:hAnsi="Times New Roman" w:cs="Times New Roman"/>
        </w:rPr>
      </w:pPr>
    </w:p>
    <w:p w14:paraId="473636E1" w14:textId="57B774E6" w:rsidR="00E00D77" w:rsidRPr="00E00D77" w:rsidRDefault="00E00D77" w:rsidP="007A0D26">
      <w:pPr>
        <w:pStyle w:val="NoSpacing"/>
        <w:jc w:val="right"/>
        <w:rPr>
          <w:rFonts w:ascii="Times New Roman" w:hAnsi="Times New Roman" w:cs="Times New Roman"/>
        </w:rPr>
      </w:pPr>
      <w:r w:rsidRPr="00E00D77">
        <w:rPr>
          <w:rFonts w:ascii="Times New Roman" w:hAnsi="Times New Roman" w:cs="Times New Roman"/>
          <w:i/>
          <w:iCs/>
        </w:rPr>
        <w:lastRenderedPageBreak/>
        <w:t xml:space="preserve"> “</w:t>
      </w:r>
      <w:proofErr w:type="spellStart"/>
      <w:r w:rsidRPr="00E00D77">
        <w:rPr>
          <w:rFonts w:ascii="Times New Roman" w:hAnsi="Times New Roman" w:cs="Times New Roman"/>
          <w:i/>
          <w:iCs/>
        </w:rPr>
        <w:t>Walay</w:t>
      </w:r>
      <w:proofErr w:type="spellEnd"/>
      <w:r w:rsidRPr="00E00D77">
        <w:rPr>
          <w:rFonts w:ascii="Times New Roman" w:hAnsi="Times New Roman" w:cs="Times New Roman"/>
          <w:i/>
          <w:iCs/>
        </w:rPr>
        <w:t xml:space="preserve"> </w:t>
      </w:r>
      <w:proofErr w:type="spellStart"/>
      <w:r w:rsidRPr="00E00D77">
        <w:rPr>
          <w:rFonts w:ascii="Times New Roman" w:hAnsi="Times New Roman" w:cs="Times New Roman"/>
          <w:i/>
          <w:iCs/>
        </w:rPr>
        <w:t>klarong</w:t>
      </w:r>
      <w:proofErr w:type="spellEnd"/>
      <w:r w:rsidRPr="00E00D77">
        <w:rPr>
          <w:rFonts w:ascii="Times New Roman" w:hAnsi="Times New Roman" w:cs="Times New Roman"/>
          <w:i/>
          <w:iCs/>
        </w:rPr>
        <w:t xml:space="preserve"> building ug </w:t>
      </w:r>
      <w:proofErr w:type="spellStart"/>
      <w:r w:rsidRPr="00E00D77">
        <w:rPr>
          <w:rFonts w:ascii="Times New Roman" w:hAnsi="Times New Roman" w:cs="Times New Roman"/>
          <w:i/>
          <w:iCs/>
        </w:rPr>
        <w:t>kulang</w:t>
      </w:r>
      <w:proofErr w:type="spellEnd"/>
      <w:r w:rsidRPr="00E00D77">
        <w:rPr>
          <w:rFonts w:ascii="Times New Roman" w:hAnsi="Times New Roman" w:cs="Times New Roman"/>
          <w:i/>
          <w:iCs/>
        </w:rPr>
        <w:t xml:space="preserve"> </w:t>
      </w:r>
      <w:proofErr w:type="spellStart"/>
      <w:r w:rsidRPr="00E00D77">
        <w:rPr>
          <w:rFonts w:ascii="Times New Roman" w:hAnsi="Times New Roman" w:cs="Times New Roman"/>
          <w:i/>
          <w:iCs/>
        </w:rPr>
        <w:t>kaayo</w:t>
      </w:r>
      <w:proofErr w:type="spellEnd"/>
      <w:r w:rsidRPr="00E00D77">
        <w:rPr>
          <w:rFonts w:ascii="Times New Roman" w:hAnsi="Times New Roman" w:cs="Times New Roman"/>
          <w:i/>
          <w:iCs/>
        </w:rPr>
        <w:t xml:space="preserve"> ang materials”</w:t>
      </w:r>
      <w:r w:rsidRPr="00E00D77">
        <w:rPr>
          <w:rFonts w:ascii="Times New Roman" w:hAnsi="Times New Roman" w:cs="Times New Roman"/>
        </w:rPr>
        <w:t xml:space="preserve"> (There is no proper school building and there is a severe lack of materials) </w:t>
      </w:r>
    </w:p>
    <w:p w14:paraId="1CAC01D4" w14:textId="69B173E1" w:rsidR="00E00D77" w:rsidRPr="00E00D77" w:rsidRDefault="005A07CF" w:rsidP="007A0D26">
      <w:pPr>
        <w:pStyle w:val="NoSpacing"/>
        <w:jc w:val="right"/>
        <w:rPr>
          <w:rFonts w:ascii="Times New Roman" w:hAnsi="Times New Roman" w:cs="Times New Roman"/>
        </w:rPr>
      </w:pPr>
      <w:r>
        <w:rPr>
          <w:rFonts w:ascii="Times New Roman" w:hAnsi="Times New Roman" w:cs="Times New Roman"/>
        </w:rPr>
        <w:t>And</w:t>
      </w:r>
      <w:r w:rsidR="00E00D77" w:rsidRPr="00E00D77">
        <w:rPr>
          <w:rFonts w:ascii="Times New Roman" w:hAnsi="Times New Roman" w:cs="Times New Roman"/>
        </w:rPr>
        <w:t xml:space="preserve"> participant 4 also stated,</w:t>
      </w:r>
    </w:p>
    <w:p w14:paraId="0DCEF317" w14:textId="77777777" w:rsidR="00E00D77" w:rsidRDefault="00E00D77" w:rsidP="00E00D77">
      <w:pPr>
        <w:pStyle w:val="NoSpacing"/>
        <w:jc w:val="right"/>
        <w:rPr>
          <w:rFonts w:ascii="Times New Roman" w:hAnsi="Times New Roman" w:cs="Times New Roman"/>
        </w:rPr>
      </w:pPr>
      <w:r w:rsidRPr="00E00D77">
        <w:rPr>
          <w:rFonts w:ascii="Times New Roman" w:hAnsi="Times New Roman" w:cs="Times New Roman"/>
        </w:rPr>
        <w:t xml:space="preserve"> </w:t>
      </w:r>
      <w:r w:rsidRPr="00E00D77">
        <w:rPr>
          <w:rFonts w:ascii="Times New Roman" w:hAnsi="Times New Roman" w:cs="Times New Roman"/>
          <w:i/>
          <w:iCs/>
        </w:rPr>
        <w:t xml:space="preserve">“Temporary </w:t>
      </w:r>
      <w:proofErr w:type="spellStart"/>
      <w:r w:rsidRPr="00E00D77">
        <w:rPr>
          <w:rFonts w:ascii="Times New Roman" w:hAnsi="Times New Roman" w:cs="Times New Roman"/>
          <w:i/>
          <w:iCs/>
        </w:rPr>
        <w:t>ra</w:t>
      </w:r>
      <w:proofErr w:type="spellEnd"/>
      <w:r w:rsidRPr="00E00D77">
        <w:rPr>
          <w:rFonts w:ascii="Times New Roman" w:hAnsi="Times New Roman" w:cs="Times New Roman"/>
          <w:i/>
          <w:iCs/>
        </w:rPr>
        <w:t xml:space="preserve"> </w:t>
      </w:r>
      <w:proofErr w:type="spellStart"/>
      <w:r w:rsidRPr="00E00D77">
        <w:rPr>
          <w:rFonts w:ascii="Times New Roman" w:hAnsi="Times New Roman" w:cs="Times New Roman"/>
          <w:i/>
          <w:iCs/>
        </w:rPr>
        <w:t>gyud</w:t>
      </w:r>
      <w:proofErr w:type="spellEnd"/>
      <w:r w:rsidRPr="00E00D77">
        <w:rPr>
          <w:rFonts w:ascii="Times New Roman" w:hAnsi="Times New Roman" w:cs="Times New Roman"/>
          <w:i/>
          <w:iCs/>
        </w:rPr>
        <w:t xml:space="preserve"> among classrooms” </w:t>
      </w:r>
      <w:r w:rsidRPr="00E00D77">
        <w:rPr>
          <w:rFonts w:ascii="Times New Roman" w:hAnsi="Times New Roman" w:cs="Times New Roman"/>
        </w:rPr>
        <w:t>(Our classrooms are purely temporary).</w:t>
      </w:r>
    </w:p>
    <w:p w14:paraId="7CB0D473" w14:textId="77777777" w:rsidR="005A07CF" w:rsidRDefault="005A07CF" w:rsidP="005A07CF">
      <w:pPr>
        <w:pStyle w:val="NoSpacing"/>
        <w:jc w:val="both"/>
        <w:rPr>
          <w:rFonts w:ascii="Times New Roman" w:hAnsi="Times New Roman" w:cs="Times New Roman"/>
        </w:rPr>
      </w:pPr>
    </w:p>
    <w:p w14:paraId="74E029FD" w14:textId="1169F096" w:rsidR="005A07CF" w:rsidRDefault="005A07CF" w:rsidP="005A07CF">
      <w:pPr>
        <w:pStyle w:val="NoSpacing"/>
        <w:ind w:firstLine="720"/>
        <w:jc w:val="both"/>
        <w:rPr>
          <w:rFonts w:ascii="Times New Roman" w:hAnsi="Times New Roman" w:cs="Times New Roman"/>
        </w:rPr>
      </w:pPr>
      <w:r w:rsidRPr="005A07CF">
        <w:rPr>
          <w:rFonts w:ascii="Times New Roman" w:hAnsi="Times New Roman" w:cs="Times New Roman"/>
        </w:rPr>
        <w:t xml:space="preserve">Reflecting a shared perception of institutional invisibility. This perceived neglect intensifies emotional strain, as teachers feel </w:t>
      </w:r>
      <w:r>
        <w:rPr>
          <w:rFonts w:ascii="Times New Roman" w:hAnsi="Times New Roman" w:cs="Times New Roman"/>
        </w:rPr>
        <w:t>that their sacrifices in high-risk,</w:t>
      </w:r>
      <w:r w:rsidRPr="005A07CF">
        <w:rPr>
          <w:rFonts w:ascii="Times New Roman" w:hAnsi="Times New Roman" w:cs="Times New Roman"/>
        </w:rPr>
        <w:t xml:space="preserve"> high-need contexts are undervalued. Earthman (2020) emphasized that poor school facilities undermine teacher morale and contribute to emotional exhaustion, particularly in rural schools where alternatives are limited. </w:t>
      </w:r>
    </w:p>
    <w:p w14:paraId="26F1A3EF" w14:textId="77777777" w:rsidR="005A07CF" w:rsidRDefault="005A07CF" w:rsidP="005A07CF">
      <w:pPr>
        <w:pStyle w:val="NoSpacing"/>
        <w:jc w:val="both"/>
        <w:rPr>
          <w:rFonts w:ascii="Times New Roman" w:hAnsi="Times New Roman" w:cs="Times New Roman"/>
        </w:rPr>
      </w:pPr>
    </w:p>
    <w:p w14:paraId="50163464" w14:textId="77777777" w:rsidR="005A07CF" w:rsidRPr="005A07CF" w:rsidRDefault="005A07CF" w:rsidP="005A07CF">
      <w:pPr>
        <w:pStyle w:val="NoSpacing"/>
        <w:jc w:val="both"/>
        <w:rPr>
          <w:rFonts w:ascii="Times New Roman" w:hAnsi="Times New Roman" w:cs="Times New Roman"/>
          <w:b/>
          <w:bCs/>
        </w:rPr>
      </w:pPr>
      <w:r w:rsidRPr="005A07CF">
        <w:rPr>
          <w:rFonts w:ascii="Times New Roman" w:hAnsi="Times New Roman" w:cs="Times New Roman"/>
          <w:b/>
          <w:bCs/>
        </w:rPr>
        <w:t>Theme 2: Workload Intensification and Role Expansion</w:t>
      </w:r>
    </w:p>
    <w:p w14:paraId="7EE4BAD7" w14:textId="70B7E9D7" w:rsidR="005A07CF" w:rsidRPr="005A07CF" w:rsidRDefault="005A07CF" w:rsidP="005A07CF">
      <w:pPr>
        <w:pStyle w:val="NoSpacing"/>
        <w:ind w:firstLine="720"/>
        <w:jc w:val="both"/>
        <w:rPr>
          <w:rFonts w:ascii="Times New Roman" w:hAnsi="Times New Roman" w:cs="Times New Roman"/>
        </w:rPr>
      </w:pPr>
      <w:r w:rsidRPr="005A07CF">
        <w:rPr>
          <w:rFonts w:ascii="Times New Roman" w:hAnsi="Times New Roman" w:cs="Times New Roman"/>
        </w:rPr>
        <w:t xml:space="preserve">Another dominant institutional condition influencing resilience and burnout is </w:t>
      </w:r>
      <w:r>
        <w:rPr>
          <w:rFonts w:ascii="Times New Roman" w:hAnsi="Times New Roman" w:cs="Times New Roman"/>
        </w:rPr>
        <w:t xml:space="preserve">the intensification of workload </w:t>
      </w:r>
      <w:r w:rsidRPr="005A07CF">
        <w:rPr>
          <w:rFonts w:ascii="Times New Roman" w:hAnsi="Times New Roman" w:cs="Times New Roman"/>
        </w:rPr>
        <w:t>resulting from staffing shortages and role expansion. Teachers repeatedly described performing multiple roles beyond classroom instruction. Participant 9 stated,</w:t>
      </w:r>
    </w:p>
    <w:p w14:paraId="02021C77" w14:textId="77777777" w:rsidR="005A07CF" w:rsidRDefault="005A07CF" w:rsidP="005A07CF">
      <w:pPr>
        <w:pStyle w:val="NoSpacing"/>
        <w:jc w:val="right"/>
        <w:rPr>
          <w:rFonts w:ascii="Times New Roman" w:hAnsi="Times New Roman" w:cs="Times New Roman"/>
        </w:rPr>
      </w:pPr>
    </w:p>
    <w:p w14:paraId="726B30B9" w14:textId="340C868E" w:rsidR="005A07CF" w:rsidRPr="005A07CF" w:rsidRDefault="005A07CF" w:rsidP="007A0D26">
      <w:pPr>
        <w:pStyle w:val="NoSpacing"/>
        <w:jc w:val="right"/>
        <w:rPr>
          <w:rFonts w:ascii="Times New Roman" w:hAnsi="Times New Roman" w:cs="Times New Roman"/>
        </w:rPr>
      </w:pPr>
      <w:r w:rsidRPr="005A07CF">
        <w:rPr>
          <w:rFonts w:ascii="Times New Roman" w:hAnsi="Times New Roman" w:cs="Times New Roman"/>
        </w:rPr>
        <w:t xml:space="preserve">“Ikaw </w:t>
      </w:r>
      <w:proofErr w:type="spellStart"/>
      <w:r w:rsidRPr="005A07CF">
        <w:rPr>
          <w:rFonts w:ascii="Times New Roman" w:hAnsi="Times New Roman" w:cs="Times New Roman"/>
        </w:rPr>
        <w:t>na</w:t>
      </w:r>
      <w:proofErr w:type="spellEnd"/>
      <w:r w:rsidRPr="005A07CF">
        <w:rPr>
          <w:rFonts w:ascii="Times New Roman" w:hAnsi="Times New Roman" w:cs="Times New Roman"/>
        </w:rPr>
        <w:t xml:space="preserve"> teacher, </w:t>
      </w:r>
      <w:proofErr w:type="spellStart"/>
      <w:r w:rsidRPr="005A07CF">
        <w:rPr>
          <w:rFonts w:ascii="Times New Roman" w:hAnsi="Times New Roman" w:cs="Times New Roman"/>
        </w:rPr>
        <w:t>ikaw</w:t>
      </w:r>
      <w:proofErr w:type="spellEnd"/>
      <w:r w:rsidRPr="005A07CF">
        <w:rPr>
          <w:rFonts w:ascii="Times New Roman" w:hAnsi="Times New Roman" w:cs="Times New Roman"/>
        </w:rPr>
        <w:t xml:space="preserve"> pa guidance, </w:t>
      </w:r>
      <w:proofErr w:type="spellStart"/>
      <w:r w:rsidRPr="005A07CF">
        <w:rPr>
          <w:rFonts w:ascii="Times New Roman" w:hAnsi="Times New Roman" w:cs="Times New Roman"/>
        </w:rPr>
        <w:t>ikaw</w:t>
      </w:r>
      <w:proofErr w:type="spellEnd"/>
      <w:r w:rsidRPr="005A07CF">
        <w:rPr>
          <w:rFonts w:ascii="Times New Roman" w:hAnsi="Times New Roman" w:cs="Times New Roman"/>
        </w:rPr>
        <w:t xml:space="preserve"> pa clerk” (You are already the teacher, yet you also serve as the guidance counselor and the clerk) </w:t>
      </w:r>
    </w:p>
    <w:p w14:paraId="4CC5952A" w14:textId="07A52D03" w:rsidR="005A07CF" w:rsidRPr="005A07CF" w:rsidRDefault="007A0D26" w:rsidP="007A0D26">
      <w:pPr>
        <w:pStyle w:val="NoSpacing"/>
        <w:jc w:val="right"/>
        <w:rPr>
          <w:rFonts w:ascii="Times New Roman" w:hAnsi="Times New Roman" w:cs="Times New Roman"/>
        </w:rPr>
      </w:pPr>
      <w:r>
        <w:rPr>
          <w:rFonts w:ascii="Times New Roman" w:hAnsi="Times New Roman" w:cs="Times New Roman"/>
        </w:rPr>
        <w:t>And</w:t>
      </w:r>
      <w:r w:rsidR="005A07CF" w:rsidRPr="005A07CF">
        <w:rPr>
          <w:rFonts w:ascii="Times New Roman" w:hAnsi="Times New Roman" w:cs="Times New Roman"/>
        </w:rPr>
        <w:t xml:space="preserve"> participant 10 added,</w:t>
      </w:r>
    </w:p>
    <w:p w14:paraId="52F84CEA" w14:textId="77777777" w:rsidR="005A07CF" w:rsidRPr="005A07CF" w:rsidRDefault="005A07CF" w:rsidP="005A07CF">
      <w:pPr>
        <w:pStyle w:val="NoSpacing"/>
        <w:jc w:val="right"/>
        <w:rPr>
          <w:rFonts w:ascii="Times New Roman" w:hAnsi="Times New Roman" w:cs="Times New Roman"/>
        </w:rPr>
      </w:pPr>
      <w:r w:rsidRPr="005A07CF">
        <w:rPr>
          <w:rFonts w:ascii="Times New Roman" w:hAnsi="Times New Roman" w:cs="Times New Roman"/>
        </w:rPr>
        <w:t xml:space="preserve"> “Multi-grade among </w:t>
      </w:r>
      <w:proofErr w:type="spellStart"/>
      <w:r w:rsidRPr="005A07CF">
        <w:rPr>
          <w:rFonts w:ascii="Times New Roman" w:hAnsi="Times New Roman" w:cs="Times New Roman"/>
        </w:rPr>
        <w:t>klase</w:t>
      </w:r>
      <w:proofErr w:type="spellEnd"/>
      <w:r w:rsidRPr="005A07CF">
        <w:rPr>
          <w:rFonts w:ascii="Times New Roman" w:hAnsi="Times New Roman" w:cs="Times New Roman"/>
        </w:rPr>
        <w:t xml:space="preserve">, </w:t>
      </w:r>
      <w:proofErr w:type="spellStart"/>
      <w:r w:rsidRPr="005A07CF">
        <w:rPr>
          <w:rFonts w:ascii="Times New Roman" w:hAnsi="Times New Roman" w:cs="Times New Roman"/>
        </w:rPr>
        <w:t>lisod</w:t>
      </w:r>
      <w:proofErr w:type="spellEnd"/>
      <w:r w:rsidRPr="005A07CF">
        <w:rPr>
          <w:rFonts w:ascii="Times New Roman" w:hAnsi="Times New Roman" w:cs="Times New Roman"/>
        </w:rPr>
        <w:t xml:space="preserve"> </w:t>
      </w:r>
      <w:proofErr w:type="spellStart"/>
      <w:r w:rsidRPr="005A07CF">
        <w:rPr>
          <w:rFonts w:ascii="Times New Roman" w:hAnsi="Times New Roman" w:cs="Times New Roman"/>
        </w:rPr>
        <w:t>kaayo</w:t>
      </w:r>
      <w:proofErr w:type="spellEnd"/>
      <w:r w:rsidRPr="005A07CF">
        <w:rPr>
          <w:rFonts w:ascii="Times New Roman" w:hAnsi="Times New Roman" w:cs="Times New Roman"/>
        </w:rPr>
        <w:t xml:space="preserve"> </w:t>
      </w:r>
      <w:proofErr w:type="spellStart"/>
      <w:r w:rsidRPr="005A07CF">
        <w:rPr>
          <w:rFonts w:ascii="Times New Roman" w:hAnsi="Times New Roman" w:cs="Times New Roman"/>
        </w:rPr>
        <w:t>i</w:t>
      </w:r>
      <w:proofErr w:type="spellEnd"/>
      <w:r w:rsidRPr="005A07CF">
        <w:rPr>
          <w:rFonts w:ascii="Times New Roman" w:hAnsi="Times New Roman" w:cs="Times New Roman"/>
        </w:rPr>
        <w:t>-manage” (Our class is multi-grade, and it is very difficult to manage).</w:t>
      </w:r>
    </w:p>
    <w:p w14:paraId="1AAB92FD" w14:textId="77777777" w:rsidR="005A07CF" w:rsidRPr="005A07CF" w:rsidRDefault="005A07CF" w:rsidP="005A07CF">
      <w:pPr>
        <w:pStyle w:val="NoSpacing"/>
        <w:jc w:val="both"/>
        <w:rPr>
          <w:rFonts w:ascii="Times New Roman" w:hAnsi="Times New Roman" w:cs="Times New Roman"/>
        </w:rPr>
      </w:pPr>
    </w:p>
    <w:p w14:paraId="4A7F0FAC" w14:textId="00EC1627" w:rsidR="005A07CF" w:rsidRDefault="005A07CF" w:rsidP="005A07CF">
      <w:pPr>
        <w:pStyle w:val="NoSpacing"/>
        <w:ind w:firstLine="720"/>
        <w:jc w:val="both"/>
        <w:rPr>
          <w:rFonts w:ascii="Times New Roman" w:hAnsi="Times New Roman" w:cs="Times New Roman"/>
        </w:rPr>
      </w:pPr>
      <w:r w:rsidRPr="005A07CF">
        <w:rPr>
          <w:rFonts w:ascii="Times New Roman" w:hAnsi="Times New Roman" w:cs="Times New Roman"/>
        </w:rPr>
        <w:t xml:space="preserve">These statements were coded as role overload, staffing shortage, and multi-grade complexity, which cohered into this theme during Phase 3 of analysis. </w:t>
      </w:r>
      <w:r>
        <w:rPr>
          <w:rFonts w:ascii="Times New Roman" w:hAnsi="Times New Roman" w:cs="Times New Roman"/>
        </w:rPr>
        <w:t xml:space="preserve"> </w:t>
      </w:r>
      <w:r w:rsidRPr="005A07CF">
        <w:rPr>
          <w:rFonts w:ascii="Times New Roman" w:hAnsi="Times New Roman" w:cs="Times New Roman"/>
        </w:rPr>
        <w:t xml:space="preserve">The lack of institutional manpower forces teachers to absorb responsibilities that would otherwise be distributed among specialized personnel. This intensification extends instructional hours, increases emotional labor, and reduces time for rest and reflection. Borman and Dowling (2020) identified excessive workload as a primary predictor of teacher burnout, particularly in geographically isolated schools where staffing support is limited. </w:t>
      </w:r>
    </w:p>
    <w:p w14:paraId="532B6D3D" w14:textId="77777777" w:rsidR="005A07CF" w:rsidRDefault="005A07CF" w:rsidP="005A07CF">
      <w:pPr>
        <w:pStyle w:val="NoSpacing"/>
        <w:jc w:val="both"/>
        <w:rPr>
          <w:rFonts w:ascii="Times New Roman" w:hAnsi="Times New Roman" w:cs="Times New Roman"/>
        </w:rPr>
      </w:pPr>
    </w:p>
    <w:p w14:paraId="6754942C" w14:textId="77777777" w:rsidR="005A07CF" w:rsidRPr="005A07CF" w:rsidRDefault="005A07CF" w:rsidP="005A07CF">
      <w:pPr>
        <w:pStyle w:val="NoSpacing"/>
        <w:jc w:val="both"/>
        <w:rPr>
          <w:rFonts w:ascii="Times New Roman" w:hAnsi="Times New Roman" w:cs="Times New Roman"/>
          <w:b/>
          <w:bCs/>
        </w:rPr>
      </w:pPr>
      <w:r w:rsidRPr="005A07CF">
        <w:rPr>
          <w:rFonts w:ascii="Times New Roman" w:hAnsi="Times New Roman" w:cs="Times New Roman"/>
          <w:b/>
          <w:bCs/>
        </w:rPr>
        <w:t>Theme 3: Institutional Isolation and Limited Professional Support</w:t>
      </w:r>
    </w:p>
    <w:p w14:paraId="32C54EED" w14:textId="77777777" w:rsidR="005A07CF" w:rsidRPr="005A07CF" w:rsidRDefault="005A07CF" w:rsidP="005A07CF">
      <w:pPr>
        <w:pStyle w:val="NoSpacing"/>
        <w:ind w:firstLine="720"/>
        <w:jc w:val="both"/>
        <w:rPr>
          <w:rFonts w:ascii="Times New Roman" w:hAnsi="Times New Roman" w:cs="Times New Roman"/>
        </w:rPr>
      </w:pPr>
      <w:r w:rsidRPr="005A07CF">
        <w:rPr>
          <w:rFonts w:ascii="Times New Roman" w:hAnsi="Times New Roman" w:cs="Times New Roman"/>
        </w:rPr>
        <w:t>Institutional isolation and weak professional support emerged as a critical condition shaping both resilience and burnout. Teachers frequently reported limited engagement from supervisors, lack of mentoring, and exclusion from professional development activities. Statements such as,</w:t>
      </w:r>
    </w:p>
    <w:p w14:paraId="60FA27EA" w14:textId="1BCB54DE" w:rsidR="005A07CF" w:rsidRPr="005A07CF" w:rsidRDefault="005A07CF" w:rsidP="007A0D26">
      <w:pPr>
        <w:pStyle w:val="NoSpacing"/>
        <w:jc w:val="right"/>
        <w:rPr>
          <w:rFonts w:ascii="Times New Roman" w:hAnsi="Times New Roman" w:cs="Times New Roman"/>
        </w:rPr>
      </w:pPr>
      <w:r w:rsidRPr="005A07CF">
        <w:rPr>
          <w:rFonts w:ascii="Times New Roman" w:hAnsi="Times New Roman" w:cs="Times New Roman"/>
        </w:rPr>
        <w:t>“</w:t>
      </w:r>
      <w:proofErr w:type="spellStart"/>
      <w:r w:rsidRPr="005A07CF">
        <w:rPr>
          <w:rFonts w:ascii="Times New Roman" w:hAnsi="Times New Roman" w:cs="Times New Roman"/>
        </w:rPr>
        <w:t>Walay</w:t>
      </w:r>
      <w:proofErr w:type="spellEnd"/>
      <w:r w:rsidRPr="005A07CF">
        <w:rPr>
          <w:rFonts w:ascii="Times New Roman" w:hAnsi="Times New Roman" w:cs="Times New Roman"/>
        </w:rPr>
        <w:t xml:space="preserve"> </w:t>
      </w:r>
      <w:proofErr w:type="spellStart"/>
      <w:r w:rsidRPr="005A07CF">
        <w:rPr>
          <w:rFonts w:ascii="Times New Roman" w:hAnsi="Times New Roman" w:cs="Times New Roman"/>
        </w:rPr>
        <w:t>klarong</w:t>
      </w:r>
      <w:proofErr w:type="spellEnd"/>
      <w:r w:rsidRPr="005A07CF">
        <w:rPr>
          <w:rFonts w:ascii="Times New Roman" w:hAnsi="Times New Roman" w:cs="Times New Roman"/>
        </w:rPr>
        <w:t xml:space="preserve"> support system </w:t>
      </w:r>
      <w:proofErr w:type="spellStart"/>
      <w:r w:rsidRPr="005A07CF">
        <w:rPr>
          <w:rFonts w:ascii="Times New Roman" w:hAnsi="Times New Roman" w:cs="Times New Roman"/>
        </w:rPr>
        <w:t>gikan</w:t>
      </w:r>
      <w:proofErr w:type="spellEnd"/>
      <w:r w:rsidRPr="005A07CF">
        <w:rPr>
          <w:rFonts w:ascii="Times New Roman" w:hAnsi="Times New Roman" w:cs="Times New Roman"/>
        </w:rPr>
        <w:t xml:space="preserve"> </w:t>
      </w:r>
      <w:proofErr w:type="spellStart"/>
      <w:r w:rsidRPr="005A07CF">
        <w:rPr>
          <w:rFonts w:ascii="Times New Roman" w:hAnsi="Times New Roman" w:cs="Times New Roman"/>
        </w:rPr>
        <w:t>sa</w:t>
      </w:r>
      <w:proofErr w:type="spellEnd"/>
      <w:r w:rsidRPr="005A07CF">
        <w:rPr>
          <w:rFonts w:ascii="Times New Roman" w:hAnsi="Times New Roman" w:cs="Times New Roman"/>
        </w:rPr>
        <w:t xml:space="preserve"> </w:t>
      </w:r>
      <w:proofErr w:type="spellStart"/>
      <w:r w:rsidRPr="005A07CF">
        <w:rPr>
          <w:rFonts w:ascii="Times New Roman" w:hAnsi="Times New Roman" w:cs="Times New Roman"/>
        </w:rPr>
        <w:t>opisina</w:t>
      </w:r>
      <w:proofErr w:type="spellEnd"/>
      <w:r w:rsidRPr="005A07CF">
        <w:rPr>
          <w:rFonts w:ascii="Times New Roman" w:hAnsi="Times New Roman" w:cs="Times New Roman"/>
        </w:rPr>
        <w:t xml:space="preserve"> (P12)” (There is no clear support system from the office), </w:t>
      </w:r>
    </w:p>
    <w:p w14:paraId="77DA14A5" w14:textId="77777777" w:rsidR="005A07CF" w:rsidRPr="005A07CF" w:rsidRDefault="005A07CF" w:rsidP="005A07CF">
      <w:pPr>
        <w:pStyle w:val="NoSpacing"/>
        <w:jc w:val="right"/>
        <w:rPr>
          <w:rFonts w:ascii="Times New Roman" w:hAnsi="Times New Roman" w:cs="Times New Roman"/>
        </w:rPr>
      </w:pPr>
      <w:r w:rsidRPr="005A07CF">
        <w:rPr>
          <w:rFonts w:ascii="Times New Roman" w:hAnsi="Times New Roman" w:cs="Times New Roman"/>
        </w:rPr>
        <w:t>“</w:t>
      </w:r>
      <w:proofErr w:type="spellStart"/>
      <w:r w:rsidRPr="005A07CF">
        <w:rPr>
          <w:rFonts w:ascii="Times New Roman" w:hAnsi="Times New Roman" w:cs="Times New Roman"/>
        </w:rPr>
        <w:t>Panagsa</w:t>
      </w:r>
      <w:proofErr w:type="spellEnd"/>
      <w:r w:rsidRPr="005A07CF">
        <w:rPr>
          <w:rFonts w:ascii="Times New Roman" w:hAnsi="Times New Roman" w:cs="Times New Roman"/>
        </w:rPr>
        <w:t xml:space="preserve"> </w:t>
      </w:r>
      <w:proofErr w:type="spellStart"/>
      <w:r w:rsidRPr="005A07CF">
        <w:rPr>
          <w:rFonts w:ascii="Times New Roman" w:hAnsi="Times New Roman" w:cs="Times New Roman"/>
        </w:rPr>
        <w:t>ra</w:t>
      </w:r>
      <w:proofErr w:type="spellEnd"/>
      <w:r w:rsidRPr="005A07CF">
        <w:rPr>
          <w:rFonts w:ascii="Times New Roman" w:hAnsi="Times New Roman" w:cs="Times New Roman"/>
        </w:rPr>
        <w:t xml:space="preserve"> mi ma-visit </w:t>
      </w:r>
      <w:proofErr w:type="spellStart"/>
      <w:r w:rsidRPr="005A07CF">
        <w:rPr>
          <w:rFonts w:ascii="Times New Roman" w:hAnsi="Times New Roman" w:cs="Times New Roman"/>
        </w:rPr>
        <w:t>sa</w:t>
      </w:r>
      <w:proofErr w:type="spellEnd"/>
      <w:r w:rsidRPr="005A07CF">
        <w:rPr>
          <w:rFonts w:ascii="Times New Roman" w:hAnsi="Times New Roman" w:cs="Times New Roman"/>
        </w:rPr>
        <w:t xml:space="preserve"> supervisors (P1)” (Supervisors rarely visit us), </w:t>
      </w:r>
    </w:p>
    <w:p w14:paraId="0456F994" w14:textId="77777777" w:rsidR="005A07CF" w:rsidRPr="005A07CF" w:rsidRDefault="005A07CF" w:rsidP="005A07CF">
      <w:pPr>
        <w:pStyle w:val="NoSpacing"/>
        <w:jc w:val="right"/>
        <w:rPr>
          <w:rFonts w:ascii="Times New Roman" w:hAnsi="Times New Roman" w:cs="Times New Roman"/>
        </w:rPr>
      </w:pPr>
    </w:p>
    <w:p w14:paraId="68F5E2A4" w14:textId="17B14B28" w:rsidR="005A07CF" w:rsidRPr="00E00D77" w:rsidRDefault="005A07CF" w:rsidP="005A07CF">
      <w:pPr>
        <w:pStyle w:val="NoSpacing"/>
        <w:jc w:val="right"/>
        <w:rPr>
          <w:rFonts w:ascii="Times New Roman" w:hAnsi="Times New Roman" w:cs="Times New Roman"/>
        </w:rPr>
      </w:pPr>
      <w:r w:rsidRPr="005A07CF">
        <w:rPr>
          <w:rFonts w:ascii="Times New Roman" w:hAnsi="Times New Roman" w:cs="Times New Roman"/>
        </w:rPr>
        <w:t xml:space="preserve">“Wala pa </w:t>
      </w:r>
      <w:proofErr w:type="spellStart"/>
      <w:r w:rsidRPr="005A07CF">
        <w:rPr>
          <w:rFonts w:ascii="Times New Roman" w:hAnsi="Times New Roman" w:cs="Times New Roman"/>
        </w:rPr>
        <w:t>gyud</w:t>
      </w:r>
      <w:proofErr w:type="spellEnd"/>
      <w:r w:rsidRPr="005A07CF">
        <w:rPr>
          <w:rFonts w:ascii="Times New Roman" w:hAnsi="Times New Roman" w:cs="Times New Roman"/>
        </w:rPr>
        <w:t xml:space="preserve"> ko </w:t>
      </w:r>
      <w:proofErr w:type="spellStart"/>
      <w:r w:rsidRPr="005A07CF">
        <w:rPr>
          <w:rFonts w:ascii="Times New Roman" w:hAnsi="Times New Roman" w:cs="Times New Roman"/>
        </w:rPr>
        <w:t>katisting</w:t>
      </w:r>
      <w:proofErr w:type="spellEnd"/>
      <w:r w:rsidRPr="005A07CF">
        <w:rPr>
          <w:rFonts w:ascii="Times New Roman" w:hAnsi="Times New Roman" w:cs="Times New Roman"/>
        </w:rPr>
        <w:t xml:space="preserve"> </w:t>
      </w:r>
      <w:proofErr w:type="spellStart"/>
      <w:r w:rsidRPr="005A07CF">
        <w:rPr>
          <w:rFonts w:ascii="Times New Roman" w:hAnsi="Times New Roman" w:cs="Times New Roman"/>
        </w:rPr>
        <w:t>og</w:t>
      </w:r>
      <w:proofErr w:type="spellEnd"/>
      <w:r w:rsidRPr="005A07CF">
        <w:rPr>
          <w:rFonts w:ascii="Times New Roman" w:hAnsi="Times New Roman" w:cs="Times New Roman"/>
        </w:rPr>
        <w:t xml:space="preserve"> training </w:t>
      </w:r>
      <w:proofErr w:type="spellStart"/>
      <w:r w:rsidRPr="005A07CF">
        <w:rPr>
          <w:rFonts w:ascii="Times New Roman" w:hAnsi="Times New Roman" w:cs="Times New Roman"/>
        </w:rPr>
        <w:t>sukad</w:t>
      </w:r>
      <w:proofErr w:type="spellEnd"/>
      <w:r w:rsidRPr="005A07CF">
        <w:rPr>
          <w:rFonts w:ascii="Times New Roman" w:hAnsi="Times New Roman" w:cs="Times New Roman"/>
        </w:rPr>
        <w:t xml:space="preserve"> </w:t>
      </w:r>
      <w:proofErr w:type="spellStart"/>
      <w:r w:rsidRPr="005A07CF">
        <w:rPr>
          <w:rFonts w:ascii="Times New Roman" w:hAnsi="Times New Roman" w:cs="Times New Roman"/>
        </w:rPr>
        <w:t>na</w:t>
      </w:r>
      <w:proofErr w:type="spellEnd"/>
      <w:r w:rsidRPr="005A07CF">
        <w:rPr>
          <w:rFonts w:ascii="Times New Roman" w:hAnsi="Times New Roman" w:cs="Times New Roman"/>
        </w:rPr>
        <w:t xml:space="preserve">-assign ko </w:t>
      </w:r>
      <w:proofErr w:type="spellStart"/>
      <w:r w:rsidRPr="005A07CF">
        <w:rPr>
          <w:rFonts w:ascii="Times New Roman" w:hAnsi="Times New Roman" w:cs="Times New Roman"/>
        </w:rPr>
        <w:t>diri</w:t>
      </w:r>
      <w:proofErr w:type="spellEnd"/>
      <w:r w:rsidRPr="005A07CF">
        <w:rPr>
          <w:rFonts w:ascii="Times New Roman" w:hAnsi="Times New Roman" w:cs="Times New Roman"/>
        </w:rPr>
        <w:t xml:space="preserve"> (P4)” (I have never experienced any training since I was assigned here). </w:t>
      </w:r>
    </w:p>
    <w:p w14:paraId="13D59D86" w14:textId="77777777" w:rsidR="00FC4D9E" w:rsidRPr="00E00D77" w:rsidRDefault="00FC4D9E" w:rsidP="005A07CF">
      <w:pPr>
        <w:pStyle w:val="NoSpacing"/>
        <w:jc w:val="right"/>
        <w:rPr>
          <w:rFonts w:ascii="Times New Roman" w:hAnsi="Times New Roman" w:cs="Times New Roman"/>
          <w:b/>
          <w:bCs/>
        </w:rPr>
      </w:pPr>
    </w:p>
    <w:p w14:paraId="08E3A654" w14:textId="01084F51" w:rsidR="005A07CF" w:rsidRDefault="005A07CF" w:rsidP="005A07CF">
      <w:pPr>
        <w:pStyle w:val="NoSpacing"/>
        <w:ind w:firstLine="720"/>
        <w:jc w:val="both"/>
        <w:rPr>
          <w:rFonts w:ascii="Times New Roman" w:hAnsi="Times New Roman" w:cs="Times New Roman"/>
        </w:rPr>
      </w:pPr>
      <w:r>
        <w:rPr>
          <w:rFonts w:ascii="Times New Roman" w:hAnsi="Times New Roman" w:cs="Times New Roman"/>
        </w:rPr>
        <w:t>Institutional</w:t>
      </w:r>
      <w:r w:rsidRPr="005A07CF">
        <w:rPr>
          <w:rFonts w:ascii="Times New Roman" w:hAnsi="Times New Roman" w:cs="Times New Roman"/>
        </w:rPr>
        <w:t xml:space="preserve"> isolation individualizes resilience. Teachers rely on </w:t>
      </w:r>
      <w:r>
        <w:rPr>
          <w:rFonts w:ascii="Times New Roman" w:hAnsi="Times New Roman" w:cs="Times New Roman"/>
        </w:rPr>
        <w:t xml:space="preserve">intrinsic motivation rather than systemic reinforcement, thereby increasing their </w:t>
      </w:r>
      <w:r w:rsidRPr="005A07CF">
        <w:rPr>
          <w:rFonts w:ascii="Times New Roman" w:hAnsi="Times New Roman" w:cs="Times New Roman"/>
        </w:rPr>
        <w:t>susceptibility to burnout. While commitment sustains their presence, the lack of professional affirmation, learning opportunities, and administrative engagement erodes long-term well-being.</w:t>
      </w:r>
    </w:p>
    <w:p w14:paraId="1F08305D" w14:textId="77777777" w:rsidR="005A07CF" w:rsidRDefault="005A07CF" w:rsidP="00E00D77">
      <w:pPr>
        <w:pStyle w:val="NoSpacing"/>
        <w:jc w:val="both"/>
        <w:rPr>
          <w:rFonts w:ascii="Times New Roman" w:hAnsi="Times New Roman" w:cs="Times New Roman"/>
        </w:rPr>
      </w:pPr>
    </w:p>
    <w:p w14:paraId="688AA236" w14:textId="77777777" w:rsidR="001C1DEB" w:rsidRDefault="001C1DEB" w:rsidP="001C1DEB">
      <w:pPr>
        <w:pStyle w:val="NoSpacing"/>
        <w:jc w:val="both"/>
        <w:rPr>
          <w:rFonts w:ascii="Times New Roman" w:hAnsi="Times New Roman" w:cs="Times New Roman"/>
          <w:b/>
          <w:bCs/>
        </w:rPr>
      </w:pPr>
    </w:p>
    <w:p w14:paraId="5F905883" w14:textId="77777777" w:rsidR="001C1DEB" w:rsidRDefault="001C1DEB" w:rsidP="001C1DEB">
      <w:pPr>
        <w:pStyle w:val="NoSpacing"/>
        <w:jc w:val="both"/>
        <w:rPr>
          <w:rFonts w:ascii="Times New Roman" w:hAnsi="Times New Roman" w:cs="Times New Roman"/>
          <w:b/>
          <w:bCs/>
        </w:rPr>
      </w:pPr>
    </w:p>
    <w:p w14:paraId="1F2E4F2B" w14:textId="297DF0EC" w:rsidR="001C1DEB" w:rsidRDefault="006F2A1D" w:rsidP="001C1DEB">
      <w:pPr>
        <w:pStyle w:val="NoSpacing"/>
        <w:jc w:val="both"/>
        <w:rPr>
          <w:rFonts w:ascii="Times New Roman" w:hAnsi="Times New Roman" w:cs="Times New Roman"/>
          <w:b/>
          <w:bCs/>
        </w:rPr>
      </w:pPr>
      <w:r>
        <w:rPr>
          <w:rFonts w:ascii="Times New Roman" w:hAnsi="Times New Roman" w:cs="Times New Roman"/>
          <w:b/>
          <w:bCs/>
        </w:rPr>
        <w:lastRenderedPageBreak/>
        <w:t xml:space="preserve">B. </w:t>
      </w:r>
      <w:r w:rsidR="005A07CF" w:rsidRPr="005A07CF">
        <w:rPr>
          <w:rFonts w:ascii="Times New Roman" w:hAnsi="Times New Roman" w:cs="Times New Roman"/>
          <w:b/>
          <w:bCs/>
        </w:rPr>
        <w:t>Lived Experiences in Forming Instructional Practices</w:t>
      </w:r>
    </w:p>
    <w:p w14:paraId="216E8E4C" w14:textId="44EEFB5F" w:rsidR="005A07CF" w:rsidRPr="001C1DEB" w:rsidRDefault="005A07CF" w:rsidP="001C1DEB">
      <w:pPr>
        <w:pStyle w:val="NoSpacing"/>
        <w:ind w:firstLine="720"/>
        <w:jc w:val="both"/>
        <w:rPr>
          <w:rFonts w:ascii="Times New Roman" w:hAnsi="Times New Roman" w:cs="Times New Roman"/>
          <w:b/>
          <w:bCs/>
        </w:rPr>
      </w:pPr>
      <w:r w:rsidRPr="005A07CF">
        <w:rPr>
          <w:rFonts w:ascii="Times New Roman" w:hAnsi="Times New Roman" w:cs="Times New Roman"/>
        </w:rPr>
        <w:t xml:space="preserve">Table </w:t>
      </w:r>
      <w:r>
        <w:rPr>
          <w:rFonts w:ascii="Times New Roman" w:hAnsi="Times New Roman" w:cs="Times New Roman"/>
        </w:rPr>
        <w:t>3</w:t>
      </w:r>
      <w:r w:rsidRPr="005A07CF">
        <w:rPr>
          <w:rFonts w:ascii="Times New Roman" w:hAnsi="Times New Roman" w:cs="Times New Roman"/>
        </w:rPr>
        <w:t xml:space="preserve"> presents the lived experiences of teachers and </w:t>
      </w:r>
      <w:r>
        <w:rPr>
          <w:rFonts w:ascii="Times New Roman" w:hAnsi="Times New Roman" w:cs="Times New Roman"/>
        </w:rPr>
        <w:t>how these experiences shape their instructional practices, as analyzed using</w:t>
      </w:r>
      <w:r w:rsidRPr="005A07CF">
        <w:rPr>
          <w:rFonts w:ascii="Times New Roman" w:hAnsi="Times New Roman" w:cs="Times New Roman"/>
        </w:rPr>
        <w:t xml:space="preserve"> Braun and Clarke’s reflexive thematic analysis. </w:t>
      </w:r>
    </w:p>
    <w:p w14:paraId="6DC35A0B" w14:textId="77777777" w:rsidR="005A07CF" w:rsidRDefault="005A07CF" w:rsidP="00E00D77">
      <w:pPr>
        <w:pStyle w:val="NoSpacing"/>
        <w:jc w:val="both"/>
        <w:rPr>
          <w:rFonts w:ascii="Times New Roman" w:hAnsi="Times New Roman" w:cs="Times New Roman"/>
        </w:rPr>
      </w:pPr>
    </w:p>
    <w:p w14:paraId="0A259E06" w14:textId="2D8FC338" w:rsidR="005A07CF" w:rsidRPr="005A07CF" w:rsidRDefault="005A07CF" w:rsidP="005A07CF">
      <w:pPr>
        <w:spacing w:before="0" w:line="240" w:lineRule="auto"/>
        <w:ind w:firstLine="0"/>
        <w:jc w:val="left"/>
        <w:rPr>
          <w:rFonts w:ascii="Times New Roman" w:hAnsi="Times New Roman"/>
          <w:lang w:val="en-PH" w:eastAsia="en-PH"/>
        </w:rPr>
      </w:pPr>
      <w:r w:rsidRPr="005A07CF">
        <w:rPr>
          <w:rFonts w:ascii="Times New Roman" w:hAnsi="Times New Roman"/>
          <w:b/>
          <w:bCs/>
          <w:lang w:val="en-PH" w:eastAsia="en-PH"/>
        </w:rPr>
        <w:t xml:space="preserve">Table </w:t>
      </w:r>
      <w:r w:rsidR="006F2A1D">
        <w:rPr>
          <w:rFonts w:ascii="Times New Roman" w:hAnsi="Times New Roman"/>
          <w:b/>
          <w:bCs/>
          <w:lang w:val="en-PH" w:eastAsia="en-PH"/>
        </w:rPr>
        <w:t>3</w:t>
      </w:r>
      <w:r w:rsidRPr="005A07CF">
        <w:rPr>
          <w:rFonts w:ascii="Times New Roman" w:hAnsi="Times New Roman"/>
          <w:b/>
          <w:bCs/>
          <w:lang w:val="en-PH" w:eastAsia="en-PH"/>
        </w:rPr>
        <w:t>. Teachers’ Lived Experiences in forming Instructional Practices</w:t>
      </w:r>
    </w:p>
    <w:tbl>
      <w:tblPr>
        <w:tblStyle w:val="ListTable6Colorful"/>
        <w:tblW w:w="8505" w:type="dxa"/>
        <w:tblLook w:val="04A0" w:firstRow="1" w:lastRow="0" w:firstColumn="1" w:lastColumn="0" w:noHBand="0" w:noVBand="1"/>
      </w:tblPr>
      <w:tblGrid>
        <w:gridCol w:w="3686"/>
        <w:gridCol w:w="4819"/>
      </w:tblGrid>
      <w:tr w:rsidR="005A07CF" w:rsidRPr="005A07CF" w14:paraId="2D81AF3E" w14:textId="77777777" w:rsidTr="00CC3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hideMark/>
          </w:tcPr>
          <w:p w14:paraId="602BF251" w14:textId="77777777" w:rsidR="005A07CF" w:rsidRPr="005A07CF" w:rsidRDefault="005A07CF" w:rsidP="00CC3143">
            <w:pPr>
              <w:spacing w:before="0" w:line="240" w:lineRule="auto"/>
              <w:ind w:firstLine="0"/>
              <w:jc w:val="center"/>
              <w:rPr>
                <w:rFonts w:ascii="Times New Roman" w:hAnsi="Times New Roman"/>
                <w:b w:val="0"/>
                <w:bCs w:val="0"/>
                <w:sz w:val="22"/>
                <w:szCs w:val="22"/>
                <w:lang w:val="en-PH"/>
              </w:rPr>
            </w:pPr>
            <w:r w:rsidRPr="005A07CF">
              <w:rPr>
                <w:rFonts w:ascii="Times New Roman" w:hAnsi="Times New Roman"/>
                <w:sz w:val="22"/>
                <w:szCs w:val="22"/>
                <w:lang w:val="en-PH"/>
              </w:rPr>
              <w:t xml:space="preserve">Themes </w:t>
            </w:r>
          </w:p>
        </w:tc>
        <w:tc>
          <w:tcPr>
            <w:tcW w:w="4819" w:type="dxa"/>
          </w:tcPr>
          <w:p w14:paraId="10FBF8BA" w14:textId="77777777" w:rsidR="005A07CF" w:rsidRPr="005A07CF" w:rsidRDefault="005A07CF" w:rsidP="00CC3143">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lang w:val="en-PH"/>
              </w:rPr>
            </w:pPr>
            <w:r w:rsidRPr="005A07CF">
              <w:rPr>
                <w:rFonts w:ascii="Times New Roman" w:hAnsi="Times New Roman"/>
                <w:sz w:val="22"/>
                <w:szCs w:val="22"/>
                <w:lang w:val="en-PH"/>
              </w:rPr>
              <w:t>Sub Themes</w:t>
            </w:r>
          </w:p>
        </w:tc>
      </w:tr>
      <w:tr w:rsidR="005A07CF" w:rsidRPr="005A07CF" w14:paraId="5C8AC1E0" w14:textId="77777777" w:rsidTr="00CC314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vMerge w:val="restart"/>
            <w:shd w:val="clear" w:color="auto" w:fill="auto"/>
            <w:hideMark/>
          </w:tcPr>
          <w:p w14:paraId="4546DF2C" w14:textId="77777777" w:rsidR="005A07CF" w:rsidRPr="006F2A1D" w:rsidRDefault="005A07CF" w:rsidP="005A07CF">
            <w:pPr>
              <w:spacing w:before="0" w:line="240" w:lineRule="auto"/>
              <w:ind w:firstLine="0"/>
              <w:rPr>
                <w:rFonts w:ascii="Times New Roman" w:hAnsi="Times New Roman"/>
                <w:b w:val="0"/>
                <w:bCs w:val="0"/>
                <w:sz w:val="22"/>
                <w:szCs w:val="22"/>
                <w:lang w:val="en-PH"/>
              </w:rPr>
            </w:pPr>
          </w:p>
          <w:p w14:paraId="4AEC7E30" w14:textId="77777777" w:rsidR="005A07CF" w:rsidRPr="006F2A1D" w:rsidRDefault="005A07CF" w:rsidP="00CC3143">
            <w:pPr>
              <w:spacing w:before="0" w:line="240" w:lineRule="auto"/>
              <w:ind w:firstLine="0"/>
              <w:jc w:val="center"/>
              <w:rPr>
                <w:rFonts w:ascii="Times New Roman" w:hAnsi="Times New Roman"/>
                <w:b w:val="0"/>
                <w:bCs w:val="0"/>
                <w:sz w:val="22"/>
                <w:szCs w:val="22"/>
                <w:lang w:val="en-PH"/>
              </w:rPr>
            </w:pPr>
            <w:r w:rsidRPr="006F2A1D">
              <w:rPr>
                <w:rFonts w:ascii="Times New Roman" w:hAnsi="Times New Roman"/>
                <w:b w:val="0"/>
                <w:bCs w:val="0"/>
                <w:sz w:val="22"/>
                <w:szCs w:val="22"/>
                <w:lang w:val="en-PH"/>
              </w:rPr>
              <w:t>Learner-Centered Adaptation and Empathy</w:t>
            </w:r>
          </w:p>
        </w:tc>
        <w:tc>
          <w:tcPr>
            <w:tcW w:w="4819" w:type="dxa"/>
            <w:shd w:val="clear" w:color="auto" w:fill="auto"/>
          </w:tcPr>
          <w:p w14:paraId="6DB1E428" w14:textId="77777777" w:rsidR="005A07CF" w:rsidRPr="006F2A1D" w:rsidRDefault="005A07CF" w:rsidP="00CC3143">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PH"/>
              </w:rPr>
            </w:pPr>
            <w:r w:rsidRPr="006F2A1D">
              <w:rPr>
                <w:rFonts w:ascii="Times New Roman" w:hAnsi="Times New Roman"/>
                <w:sz w:val="22"/>
                <w:szCs w:val="22"/>
                <w:lang w:val="en-PH"/>
              </w:rPr>
              <w:t>Empathy toward learners</w:t>
            </w:r>
          </w:p>
        </w:tc>
      </w:tr>
      <w:tr w:rsidR="005A07CF" w:rsidRPr="005A07CF" w14:paraId="10F48F6F" w14:textId="77777777" w:rsidTr="00CC3143">
        <w:trPr>
          <w:trHeight w:val="275"/>
        </w:trPr>
        <w:tc>
          <w:tcPr>
            <w:cnfStyle w:val="001000000000" w:firstRow="0" w:lastRow="0" w:firstColumn="1" w:lastColumn="0" w:oddVBand="0" w:evenVBand="0" w:oddHBand="0" w:evenHBand="0" w:firstRowFirstColumn="0" w:firstRowLastColumn="0" w:lastRowFirstColumn="0" w:lastRowLastColumn="0"/>
            <w:tcW w:w="3686" w:type="dxa"/>
            <w:vMerge/>
            <w:hideMark/>
          </w:tcPr>
          <w:p w14:paraId="523C8537" w14:textId="77777777" w:rsidR="005A07CF" w:rsidRPr="006F2A1D" w:rsidRDefault="005A07CF" w:rsidP="00CC3143">
            <w:pPr>
              <w:spacing w:before="0" w:line="240" w:lineRule="auto"/>
              <w:ind w:firstLine="0"/>
              <w:jc w:val="center"/>
              <w:rPr>
                <w:rFonts w:ascii="Times New Roman" w:hAnsi="Times New Roman"/>
                <w:b w:val="0"/>
                <w:bCs w:val="0"/>
                <w:sz w:val="22"/>
                <w:szCs w:val="22"/>
                <w:lang w:val="en-PH"/>
              </w:rPr>
            </w:pPr>
          </w:p>
        </w:tc>
        <w:tc>
          <w:tcPr>
            <w:tcW w:w="4819" w:type="dxa"/>
          </w:tcPr>
          <w:p w14:paraId="76CF7CD3" w14:textId="77777777" w:rsidR="005A07CF" w:rsidRPr="006F2A1D" w:rsidRDefault="005A07CF" w:rsidP="00CC3143">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PH"/>
              </w:rPr>
            </w:pPr>
            <w:r w:rsidRPr="006F2A1D">
              <w:rPr>
                <w:rFonts w:ascii="Times New Roman" w:hAnsi="Times New Roman"/>
                <w:sz w:val="22"/>
                <w:szCs w:val="22"/>
                <w:lang w:val="en-PH"/>
              </w:rPr>
              <w:t>Compassionate teaching stance</w:t>
            </w:r>
          </w:p>
        </w:tc>
      </w:tr>
      <w:tr w:rsidR="005A07CF" w:rsidRPr="005A07CF" w14:paraId="430A4FA4" w14:textId="77777777" w:rsidTr="00CC314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vMerge w:val="restart"/>
            <w:shd w:val="clear" w:color="auto" w:fill="auto"/>
            <w:hideMark/>
          </w:tcPr>
          <w:p w14:paraId="112F54A4" w14:textId="77777777" w:rsidR="005A07CF" w:rsidRPr="006F2A1D" w:rsidRDefault="005A07CF" w:rsidP="005A07CF">
            <w:pPr>
              <w:spacing w:before="0" w:line="240" w:lineRule="auto"/>
              <w:ind w:firstLine="0"/>
              <w:rPr>
                <w:rFonts w:ascii="Times New Roman" w:hAnsi="Times New Roman"/>
                <w:b w:val="0"/>
                <w:bCs w:val="0"/>
                <w:sz w:val="22"/>
                <w:szCs w:val="22"/>
                <w:lang w:val="en-PH"/>
              </w:rPr>
            </w:pPr>
          </w:p>
          <w:p w14:paraId="5FCEDDB6" w14:textId="77777777" w:rsidR="005A07CF" w:rsidRPr="006F2A1D" w:rsidRDefault="005A07CF" w:rsidP="00CC3143">
            <w:pPr>
              <w:spacing w:before="0" w:line="240" w:lineRule="auto"/>
              <w:ind w:firstLine="0"/>
              <w:jc w:val="center"/>
              <w:rPr>
                <w:rFonts w:ascii="Times New Roman" w:hAnsi="Times New Roman"/>
                <w:b w:val="0"/>
                <w:bCs w:val="0"/>
                <w:sz w:val="22"/>
                <w:szCs w:val="22"/>
                <w:lang w:val="en-PH"/>
              </w:rPr>
            </w:pPr>
            <w:r w:rsidRPr="006F2A1D">
              <w:rPr>
                <w:rFonts w:ascii="Times New Roman" w:hAnsi="Times New Roman"/>
                <w:b w:val="0"/>
                <w:bCs w:val="0"/>
                <w:sz w:val="22"/>
                <w:szCs w:val="22"/>
                <w:lang w:val="en-PH"/>
              </w:rPr>
              <w:t>Experience-Driven Flexibility and Instructional Judgment</w:t>
            </w:r>
          </w:p>
        </w:tc>
        <w:tc>
          <w:tcPr>
            <w:tcW w:w="4819" w:type="dxa"/>
            <w:shd w:val="clear" w:color="auto" w:fill="auto"/>
          </w:tcPr>
          <w:p w14:paraId="1E1C698F" w14:textId="77777777" w:rsidR="005A07CF" w:rsidRPr="006F2A1D" w:rsidRDefault="005A07CF" w:rsidP="00CC3143">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PH"/>
              </w:rPr>
            </w:pPr>
            <w:r w:rsidRPr="006F2A1D">
              <w:rPr>
                <w:rFonts w:ascii="Times New Roman" w:hAnsi="Times New Roman"/>
                <w:sz w:val="22"/>
                <w:szCs w:val="22"/>
                <w:lang w:val="en-PH"/>
              </w:rPr>
              <w:t>Experience-driven adjustment</w:t>
            </w:r>
          </w:p>
        </w:tc>
      </w:tr>
      <w:tr w:rsidR="005A07CF" w:rsidRPr="005A07CF" w14:paraId="69E74CAB" w14:textId="77777777" w:rsidTr="00CC3143">
        <w:trPr>
          <w:trHeight w:val="275"/>
        </w:trPr>
        <w:tc>
          <w:tcPr>
            <w:cnfStyle w:val="001000000000" w:firstRow="0" w:lastRow="0" w:firstColumn="1" w:lastColumn="0" w:oddVBand="0" w:evenVBand="0" w:oddHBand="0" w:evenHBand="0" w:firstRowFirstColumn="0" w:firstRowLastColumn="0" w:lastRowFirstColumn="0" w:lastRowLastColumn="0"/>
            <w:tcW w:w="3686" w:type="dxa"/>
            <w:vMerge/>
            <w:hideMark/>
          </w:tcPr>
          <w:p w14:paraId="7D9E255C" w14:textId="77777777" w:rsidR="005A07CF" w:rsidRPr="006F2A1D" w:rsidRDefault="005A07CF" w:rsidP="00CC3143">
            <w:pPr>
              <w:spacing w:before="0" w:line="240" w:lineRule="auto"/>
              <w:ind w:firstLine="0"/>
              <w:jc w:val="center"/>
              <w:rPr>
                <w:rFonts w:ascii="Times New Roman" w:hAnsi="Times New Roman"/>
                <w:b w:val="0"/>
                <w:bCs w:val="0"/>
                <w:sz w:val="22"/>
                <w:szCs w:val="22"/>
                <w:lang w:val="en-PH"/>
              </w:rPr>
            </w:pPr>
          </w:p>
        </w:tc>
        <w:tc>
          <w:tcPr>
            <w:tcW w:w="4819" w:type="dxa"/>
          </w:tcPr>
          <w:p w14:paraId="370C3202" w14:textId="77777777" w:rsidR="005A07CF" w:rsidRPr="006F2A1D" w:rsidRDefault="005A07CF" w:rsidP="00CC3143">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PH"/>
              </w:rPr>
            </w:pPr>
            <w:r w:rsidRPr="006F2A1D">
              <w:rPr>
                <w:rFonts w:ascii="Times New Roman" w:hAnsi="Times New Roman"/>
                <w:sz w:val="22"/>
                <w:szCs w:val="22"/>
                <w:lang w:val="en-PH"/>
              </w:rPr>
              <w:t>Instructional discernment</w:t>
            </w:r>
          </w:p>
        </w:tc>
      </w:tr>
      <w:tr w:rsidR="005A07CF" w:rsidRPr="005A07CF" w14:paraId="26A5CBE4" w14:textId="77777777" w:rsidTr="00CC314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686" w:type="dxa"/>
            <w:vMerge w:val="restart"/>
            <w:shd w:val="clear" w:color="auto" w:fill="auto"/>
            <w:hideMark/>
          </w:tcPr>
          <w:p w14:paraId="69752312" w14:textId="77777777" w:rsidR="005A07CF" w:rsidRPr="006F2A1D" w:rsidRDefault="005A07CF" w:rsidP="00CC3143">
            <w:pPr>
              <w:spacing w:before="0" w:line="240" w:lineRule="auto"/>
              <w:ind w:firstLine="0"/>
              <w:jc w:val="center"/>
              <w:rPr>
                <w:rFonts w:ascii="Times New Roman" w:hAnsi="Times New Roman"/>
                <w:b w:val="0"/>
                <w:bCs w:val="0"/>
                <w:sz w:val="22"/>
                <w:szCs w:val="22"/>
                <w:lang w:val="en-PH"/>
              </w:rPr>
            </w:pPr>
            <w:r w:rsidRPr="006F2A1D">
              <w:rPr>
                <w:rFonts w:ascii="Times New Roman" w:hAnsi="Times New Roman"/>
                <w:b w:val="0"/>
                <w:bCs w:val="0"/>
                <w:sz w:val="22"/>
                <w:szCs w:val="22"/>
                <w:lang w:val="en-PH"/>
              </w:rPr>
              <w:t>Resourcefulness and Geo-Cultural Contextualization</w:t>
            </w:r>
          </w:p>
        </w:tc>
        <w:tc>
          <w:tcPr>
            <w:tcW w:w="4819" w:type="dxa"/>
            <w:shd w:val="clear" w:color="auto" w:fill="auto"/>
          </w:tcPr>
          <w:p w14:paraId="4DCF5968" w14:textId="77777777" w:rsidR="005A07CF" w:rsidRPr="006F2A1D" w:rsidRDefault="005A07CF" w:rsidP="00CC3143">
            <w:pPr>
              <w:spacing w:before="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lang w:val="en-PH"/>
              </w:rPr>
            </w:pPr>
            <w:r w:rsidRPr="006F2A1D">
              <w:rPr>
                <w:rFonts w:ascii="Times New Roman" w:hAnsi="Times New Roman"/>
                <w:sz w:val="22"/>
                <w:szCs w:val="22"/>
                <w:lang w:val="en-PH"/>
              </w:rPr>
              <w:t>Geo-cultural awareness</w:t>
            </w:r>
          </w:p>
        </w:tc>
      </w:tr>
      <w:tr w:rsidR="005A07CF" w:rsidRPr="005A07CF" w14:paraId="5BFDAE5F" w14:textId="77777777" w:rsidTr="00CC3143">
        <w:trPr>
          <w:trHeight w:val="275"/>
        </w:trPr>
        <w:tc>
          <w:tcPr>
            <w:cnfStyle w:val="001000000000" w:firstRow="0" w:lastRow="0" w:firstColumn="1" w:lastColumn="0" w:oddVBand="0" w:evenVBand="0" w:oddHBand="0" w:evenHBand="0" w:firstRowFirstColumn="0" w:firstRowLastColumn="0" w:lastRowFirstColumn="0" w:lastRowLastColumn="0"/>
            <w:tcW w:w="3686" w:type="dxa"/>
            <w:vMerge/>
            <w:hideMark/>
          </w:tcPr>
          <w:p w14:paraId="418BACE4" w14:textId="77777777" w:rsidR="005A07CF" w:rsidRPr="006F2A1D" w:rsidRDefault="005A07CF" w:rsidP="00CC3143">
            <w:pPr>
              <w:spacing w:before="0" w:line="240" w:lineRule="auto"/>
              <w:ind w:firstLine="0"/>
              <w:jc w:val="center"/>
              <w:rPr>
                <w:rFonts w:ascii="Times New Roman" w:hAnsi="Times New Roman"/>
                <w:b w:val="0"/>
                <w:bCs w:val="0"/>
                <w:sz w:val="22"/>
                <w:szCs w:val="22"/>
                <w:lang w:val="en-PH"/>
              </w:rPr>
            </w:pPr>
          </w:p>
        </w:tc>
        <w:tc>
          <w:tcPr>
            <w:tcW w:w="4819" w:type="dxa"/>
          </w:tcPr>
          <w:p w14:paraId="2674701C" w14:textId="77777777" w:rsidR="005A07CF" w:rsidRPr="006F2A1D" w:rsidRDefault="005A07CF" w:rsidP="00CC3143">
            <w:pPr>
              <w:spacing w:before="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PH"/>
              </w:rPr>
            </w:pPr>
            <w:r w:rsidRPr="006F2A1D">
              <w:rPr>
                <w:rFonts w:ascii="Times New Roman" w:hAnsi="Times New Roman"/>
                <w:sz w:val="22"/>
                <w:szCs w:val="22"/>
                <w:lang w:val="en-PH"/>
              </w:rPr>
              <w:t>Localized content</w:t>
            </w:r>
          </w:p>
        </w:tc>
      </w:tr>
    </w:tbl>
    <w:p w14:paraId="25DC5373" w14:textId="77777777" w:rsidR="005A07CF" w:rsidRDefault="005A07CF" w:rsidP="00E00D77">
      <w:pPr>
        <w:pStyle w:val="NoSpacing"/>
        <w:jc w:val="both"/>
        <w:rPr>
          <w:rFonts w:ascii="Times New Roman" w:hAnsi="Times New Roman" w:cs="Times New Roman"/>
        </w:rPr>
      </w:pPr>
    </w:p>
    <w:p w14:paraId="428EFCDE" w14:textId="77777777" w:rsidR="005A07CF" w:rsidRPr="005A07CF" w:rsidRDefault="005A07CF" w:rsidP="005A07CF">
      <w:pPr>
        <w:pStyle w:val="NoSpacing"/>
        <w:rPr>
          <w:rFonts w:ascii="Times New Roman" w:hAnsi="Times New Roman" w:cs="Times New Roman"/>
          <w:b/>
          <w:bCs/>
        </w:rPr>
      </w:pPr>
      <w:r w:rsidRPr="005A07CF">
        <w:rPr>
          <w:rFonts w:ascii="Times New Roman" w:hAnsi="Times New Roman" w:cs="Times New Roman"/>
          <w:b/>
          <w:bCs/>
        </w:rPr>
        <w:t>Theme 1: Learner-Centered Adaptation and Empathy</w:t>
      </w:r>
    </w:p>
    <w:p w14:paraId="0287AF70" w14:textId="05985D1B" w:rsidR="005A07CF" w:rsidRPr="005A07CF" w:rsidRDefault="005A07CF" w:rsidP="005A07CF">
      <w:pPr>
        <w:pStyle w:val="NoSpacing"/>
        <w:ind w:firstLine="720"/>
        <w:rPr>
          <w:rFonts w:ascii="Times New Roman" w:hAnsi="Times New Roman" w:cs="Times New Roman"/>
        </w:rPr>
      </w:pPr>
      <w:r w:rsidRPr="005A07CF">
        <w:rPr>
          <w:rFonts w:ascii="Times New Roman" w:hAnsi="Times New Roman" w:cs="Times New Roman"/>
        </w:rPr>
        <w:t xml:space="preserve">Teachers lived experiences of hardship, deprivation, and struggle profoundly inform a learner-centered pedagogy grounded in empathy. Participants consistently articulated that their own experiences of difficulty enabled them to better understand learners who face similar socio-economic constraints. Statements such as, </w:t>
      </w:r>
    </w:p>
    <w:p w14:paraId="2A62068C" w14:textId="77777777" w:rsidR="005A07CF" w:rsidRPr="007A0D26" w:rsidRDefault="005A07CF" w:rsidP="005A07CF">
      <w:pPr>
        <w:pStyle w:val="NoSpacing"/>
        <w:jc w:val="right"/>
        <w:rPr>
          <w:rFonts w:ascii="Times New Roman" w:hAnsi="Times New Roman" w:cs="Times New Roman"/>
          <w:i/>
          <w:iCs/>
        </w:rPr>
      </w:pPr>
      <w:r w:rsidRPr="007A0D26">
        <w:rPr>
          <w:rFonts w:ascii="Times New Roman" w:hAnsi="Times New Roman" w:cs="Times New Roman"/>
          <w:i/>
          <w:iCs/>
        </w:rPr>
        <w:t xml:space="preserve">“Mas </w:t>
      </w:r>
      <w:proofErr w:type="spellStart"/>
      <w:r w:rsidRPr="007A0D26">
        <w:rPr>
          <w:rFonts w:ascii="Times New Roman" w:hAnsi="Times New Roman" w:cs="Times New Roman"/>
          <w:i/>
          <w:iCs/>
        </w:rPr>
        <w:t>nakasabot</w:t>
      </w:r>
      <w:proofErr w:type="spellEnd"/>
      <w:r w:rsidRPr="007A0D26">
        <w:rPr>
          <w:rFonts w:ascii="Times New Roman" w:hAnsi="Times New Roman" w:cs="Times New Roman"/>
          <w:i/>
          <w:iCs/>
        </w:rPr>
        <w:t xml:space="preserve"> ko </w:t>
      </w:r>
      <w:proofErr w:type="spellStart"/>
      <w:r w:rsidRPr="007A0D26">
        <w:rPr>
          <w:rFonts w:ascii="Times New Roman" w:hAnsi="Times New Roman" w:cs="Times New Roman"/>
          <w:i/>
          <w:iCs/>
        </w:rPr>
        <w:t>sa</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panginahanglan</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sa</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mga</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estudyante</w:t>
      </w:r>
      <w:proofErr w:type="spellEnd"/>
      <w:r w:rsidRPr="007A0D26">
        <w:rPr>
          <w:rFonts w:ascii="Times New Roman" w:hAnsi="Times New Roman" w:cs="Times New Roman"/>
          <w:i/>
          <w:iCs/>
        </w:rPr>
        <w:t xml:space="preserve"> (P3)” (I better understand the needs of the students) and </w:t>
      </w:r>
    </w:p>
    <w:p w14:paraId="0DA1FECF" w14:textId="77777777" w:rsidR="005A07CF" w:rsidRPr="007A0D26" w:rsidRDefault="005A07CF" w:rsidP="005A07CF">
      <w:pPr>
        <w:pStyle w:val="NoSpacing"/>
        <w:jc w:val="right"/>
        <w:rPr>
          <w:rFonts w:ascii="Times New Roman" w:hAnsi="Times New Roman" w:cs="Times New Roman"/>
          <w:i/>
          <w:iCs/>
        </w:rPr>
      </w:pPr>
      <w:r w:rsidRPr="007A0D26">
        <w:rPr>
          <w:rFonts w:ascii="Times New Roman" w:hAnsi="Times New Roman" w:cs="Times New Roman"/>
          <w:i/>
          <w:iCs/>
        </w:rPr>
        <w:t>“</w:t>
      </w:r>
      <w:proofErr w:type="spellStart"/>
      <w:r w:rsidRPr="007A0D26">
        <w:rPr>
          <w:rFonts w:ascii="Times New Roman" w:hAnsi="Times New Roman" w:cs="Times New Roman"/>
          <w:i/>
          <w:iCs/>
        </w:rPr>
        <w:t>Masabtan</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nako</w:t>
      </w:r>
      <w:proofErr w:type="spellEnd"/>
      <w:r w:rsidRPr="007A0D26">
        <w:rPr>
          <w:rFonts w:ascii="Times New Roman" w:hAnsi="Times New Roman" w:cs="Times New Roman"/>
          <w:i/>
          <w:iCs/>
        </w:rPr>
        <w:t xml:space="preserve"> ang bata kay </w:t>
      </w:r>
      <w:proofErr w:type="spellStart"/>
      <w:r w:rsidRPr="007A0D26">
        <w:rPr>
          <w:rFonts w:ascii="Times New Roman" w:hAnsi="Times New Roman" w:cs="Times New Roman"/>
          <w:i/>
          <w:iCs/>
        </w:rPr>
        <w:t>nakaagi</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pud</w:t>
      </w:r>
      <w:proofErr w:type="spellEnd"/>
      <w:r w:rsidRPr="007A0D26">
        <w:rPr>
          <w:rFonts w:ascii="Times New Roman" w:hAnsi="Times New Roman" w:cs="Times New Roman"/>
          <w:i/>
          <w:iCs/>
        </w:rPr>
        <w:t xml:space="preserve"> ko ana (P4)” (I can understand the child because I have gone through the same experience) reflect how personal adversity becomes a source of pedagogical insight.</w:t>
      </w:r>
    </w:p>
    <w:p w14:paraId="1AB8FC6E" w14:textId="77777777" w:rsidR="005A07CF" w:rsidRPr="007A0D26" w:rsidRDefault="005A07CF" w:rsidP="005A07CF">
      <w:pPr>
        <w:pStyle w:val="NoSpacing"/>
        <w:rPr>
          <w:rFonts w:ascii="Times New Roman" w:hAnsi="Times New Roman" w:cs="Times New Roman"/>
          <w:i/>
          <w:iCs/>
        </w:rPr>
      </w:pPr>
    </w:p>
    <w:p w14:paraId="45B8C866" w14:textId="2174350E" w:rsidR="005A07CF" w:rsidRPr="005A07CF" w:rsidRDefault="005A07CF" w:rsidP="006F2A1D">
      <w:pPr>
        <w:pStyle w:val="NoSpacing"/>
        <w:ind w:firstLine="720"/>
        <w:jc w:val="both"/>
        <w:rPr>
          <w:rFonts w:ascii="Times New Roman" w:hAnsi="Times New Roman" w:cs="Times New Roman"/>
        </w:rPr>
      </w:pPr>
      <w:r w:rsidRPr="005A07CF">
        <w:rPr>
          <w:rFonts w:ascii="Times New Roman" w:hAnsi="Times New Roman" w:cs="Times New Roman"/>
        </w:rPr>
        <w:t xml:space="preserve">Relatively, empathy was not merely coded as an emotional disposition but interpreted as an instructional orientation. Teachers consciously adjusted lesson pacing, expectations, and assessment practices to accommodate learners’ realities. This aligns with </w:t>
      </w:r>
      <w:proofErr w:type="spellStart"/>
      <w:r w:rsidRPr="005A07CF">
        <w:rPr>
          <w:rFonts w:ascii="Times New Roman" w:hAnsi="Times New Roman" w:cs="Times New Roman"/>
        </w:rPr>
        <w:t>Noddings</w:t>
      </w:r>
      <w:proofErr w:type="spellEnd"/>
      <w:r w:rsidRPr="005A07CF">
        <w:rPr>
          <w:rFonts w:ascii="Times New Roman" w:hAnsi="Times New Roman" w:cs="Times New Roman"/>
        </w:rPr>
        <w:t>’ (2020) ethic of care, which posits that effective teaching</w:t>
      </w:r>
      <w:r w:rsidR="006F2A1D">
        <w:rPr>
          <w:rFonts w:ascii="Times New Roman" w:hAnsi="Times New Roman" w:cs="Times New Roman"/>
        </w:rPr>
        <w:t xml:space="preserve">, particularly in marginalized contexts, </w:t>
      </w:r>
      <w:r w:rsidRPr="005A07CF">
        <w:rPr>
          <w:rFonts w:ascii="Times New Roman" w:hAnsi="Times New Roman" w:cs="Times New Roman"/>
        </w:rPr>
        <w:t>emerges from relational attentiveness rather than technical compliance. Teachers’ empathy transforms classrooms into emotionally safe spaces where learners’ struggles are acknowledged rather than penalized.</w:t>
      </w:r>
    </w:p>
    <w:p w14:paraId="5D7D562E" w14:textId="77777777" w:rsidR="006F2A1D" w:rsidRDefault="006F2A1D" w:rsidP="006F2A1D">
      <w:pPr>
        <w:pStyle w:val="NoSpacing"/>
        <w:jc w:val="both"/>
        <w:rPr>
          <w:rFonts w:ascii="Times New Roman" w:hAnsi="Times New Roman" w:cs="Times New Roman"/>
        </w:rPr>
      </w:pPr>
    </w:p>
    <w:p w14:paraId="0466F6E6" w14:textId="2F72ADAB" w:rsidR="005A07CF" w:rsidRPr="006F2A1D" w:rsidRDefault="005A07CF" w:rsidP="006F2A1D">
      <w:pPr>
        <w:pStyle w:val="NoSpacing"/>
        <w:jc w:val="both"/>
        <w:rPr>
          <w:rFonts w:ascii="Times New Roman" w:hAnsi="Times New Roman" w:cs="Times New Roman"/>
          <w:b/>
          <w:bCs/>
        </w:rPr>
      </w:pPr>
      <w:r w:rsidRPr="006F2A1D">
        <w:rPr>
          <w:rFonts w:ascii="Times New Roman" w:hAnsi="Times New Roman" w:cs="Times New Roman"/>
          <w:b/>
          <w:bCs/>
        </w:rPr>
        <w:t>Theme 2: Experience-Driven Flexibility and Instructional Judgment</w:t>
      </w:r>
    </w:p>
    <w:p w14:paraId="7D1A97DD" w14:textId="77777777" w:rsidR="005A07CF" w:rsidRPr="005A07CF" w:rsidRDefault="005A07CF" w:rsidP="006F2A1D">
      <w:pPr>
        <w:pStyle w:val="NoSpacing"/>
        <w:ind w:firstLine="720"/>
        <w:jc w:val="both"/>
        <w:rPr>
          <w:rFonts w:ascii="Times New Roman" w:hAnsi="Times New Roman" w:cs="Times New Roman"/>
        </w:rPr>
      </w:pPr>
      <w:r w:rsidRPr="005A07CF">
        <w:rPr>
          <w:rFonts w:ascii="Times New Roman" w:hAnsi="Times New Roman" w:cs="Times New Roman"/>
        </w:rPr>
        <w:t>Teachers’ narratives reveal that instructional flexibility is deeply rooted in lived experience rather than formal pedagogical training alone. Participants emphasized their ability to discern which strategies are effective in their context, as reflected in statements such as,</w:t>
      </w:r>
    </w:p>
    <w:p w14:paraId="5642F281" w14:textId="62839A52" w:rsidR="005A07CF" w:rsidRPr="006F2A1D" w:rsidRDefault="005A07CF" w:rsidP="007A0D26">
      <w:pPr>
        <w:pStyle w:val="NoSpacing"/>
        <w:jc w:val="right"/>
        <w:rPr>
          <w:rFonts w:ascii="Times New Roman" w:hAnsi="Times New Roman" w:cs="Times New Roman"/>
          <w:i/>
          <w:iCs/>
        </w:rPr>
      </w:pPr>
      <w:r w:rsidRPr="005A07CF">
        <w:rPr>
          <w:rFonts w:ascii="Times New Roman" w:hAnsi="Times New Roman" w:cs="Times New Roman"/>
        </w:rPr>
        <w:t xml:space="preserve"> </w:t>
      </w:r>
      <w:r w:rsidRPr="006F2A1D">
        <w:rPr>
          <w:rFonts w:ascii="Times New Roman" w:hAnsi="Times New Roman" w:cs="Times New Roman"/>
          <w:i/>
          <w:iCs/>
        </w:rPr>
        <w:t>“</w:t>
      </w:r>
      <w:proofErr w:type="spellStart"/>
      <w:r w:rsidRPr="006F2A1D">
        <w:rPr>
          <w:rFonts w:ascii="Times New Roman" w:hAnsi="Times New Roman" w:cs="Times New Roman"/>
          <w:i/>
          <w:iCs/>
        </w:rPr>
        <w:t>Kabalo</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nako</w:t>
      </w:r>
      <w:proofErr w:type="spellEnd"/>
      <w:r w:rsidRPr="006F2A1D">
        <w:rPr>
          <w:rFonts w:ascii="Times New Roman" w:hAnsi="Times New Roman" w:cs="Times New Roman"/>
          <w:i/>
          <w:iCs/>
        </w:rPr>
        <w:t xml:space="preserve"> unsay </w:t>
      </w:r>
      <w:proofErr w:type="spellStart"/>
      <w:r w:rsidRPr="006F2A1D">
        <w:rPr>
          <w:rFonts w:ascii="Times New Roman" w:hAnsi="Times New Roman" w:cs="Times New Roman"/>
          <w:i/>
          <w:iCs/>
        </w:rPr>
        <w:t>epektibo</w:t>
      </w:r>
      <w:proofErr w:type="spellEnd"/>
      <w:r w:rsidRPr="006F2A1D">
        <w:rPr>
          <w:rFonts w:ascii="Times New Roman" w:hAnsi="Times New Roman" w:cs="Times New Roman"/>
          <w:i/>
          <w:iCs/>
        </w:rPr>
        <w:t xml:space="preserve"> ug unsay </w:t>
      </w:r>
      <w:proofErr w:type="spellStart"/>
      <w:r w:rsidRPr="006F2A1D">
        <w:rPr>
          <w:rFonts w:ascii="Times New Roman" w:hAnsi="Times New Roman" w:cs="Times New Roman"/>
          <w:i/>
          <w:iCs/>
        </w:rPr>
        <w:t>dili</w:t>
      </w:r>
      <w:proofErr w:type="spellEnd"/>
      <w:r w:rsidRPr="006F2A1D">
        <w:rPr>
          <w:rFonts w:ascii="Times New Roman" w:hAnsi="Times New Roman" w:cs="Times New Roman"/>
          <w:i/>
          <w:iCs/>
        </w:rPr>
        <w:t xml:space="preserve"> (P1)” (I already know what is effective and what is not) and </w:t>
      </w:r>
    </w:p>
    <w:p w14:paraId="615E30E7" w14:textId="77777777" w:rsidR="005A07CF" w:rsidRPr="006F2A1D" w:rsidRDefault="005A07CF" w:rsidP="006F2A1D">
      <w:pPr>
        <w:pStyle w:val="NoSpacing"/>
        <w:jc w:val="right"/>
        <w:rPr>
          <w:rFonts w:ascii="Times New Roman" w:hAnsi="Times New Roman" w:cs="Times New Roman"/>
          <w:i/>
          <w:iCs/>
        </w:rPr>
      </w:pPr>
      <w:r w:rsidRPr="006F2A1D">
        <w:rPr>
          <w:rFonts w:ascii="Times New Roman" w:hAnsi="Times New Roman" w:cs="Times New Roman"/>
          <w:i/>
          <w:iCs/>
        </w:rPr>
        <w:t xml:space="preserve">“Dali </w:t>
      </w:r>
      <w:proofErr w:type="spellStart"/>
      <w:r w:rsidRPr="006F2A1D">
        <w:rPr>
          <w:rFonts w:ascii="Times New Roman" w:hAnsi="Times New Roman" w:cs="Times New Roman"/>
          <w:i/>
          <w:iCs/>
        </w:rPr>
        <w:t>nako</w:t>
      </w:r>
      <w:proofErr w:type="spellEnd"/>
      <w:r w:rsidRPr="006F2A1D">
        <w:rPr>
          <w:rFonts w:ascii="Times New Roman" w:hAnsi="Times New Roman" w:cs="Times New Roman"/>
          <w:i/>
          <w:iCs/>
        </w:rPr>
        <w:t xml:space="preserve"> ma-adjust ang </w:t>
      </w:r>
      <w:proofErr w:type="spellStart"/>
      <w:r w:rsidRPr="006F2A1D">
        <w:rPr>
          <w:rFonts w:ascii="Times New Roman" w:hAnsi="Times New Roman" w:cs="Times New Roman"/>
          <w:i/>
          <w:iCs/>
        </w:rPr>
        <w:t>leksyon</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depende</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sa</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sitwasyon</w:t>
      </w:r>
      <w:proofErr w:type="spellEnd"/>
      <w:r w:rsidRPr="006F2A1D">
        <w:rPr>
          <w:rFonts w:ascii="Times New Roman" w:hAnsi="Times New Roman" w:cs="Times New Roman"/>
          <w:i/>
          <w:iCs/>
        </w:rPr>
        <w:t xml:space="preserve"> (P4)” (I can easily adjust the lesson depending on the situation). </w:t>
      </w:r>
    </w:p>
    <w:p w14:paraId="758707AC" w14:textId="77777777" w:rsidR="005A07CF" w:rsidRPr="006F2A1D" w:rsidRDefault="005A07CF" w:rsidP="006F2A1D">
      <w:pPr>
        <w:pStyle w:val="NoSpacing"/>
        <w:jc w:val="right"/>
        <w:rPr>
          <w:rFonts w:ascii="Times New Roman" w:hAnsi="Times New Roman" w:cs="Times New Roman"/>
          <w:i/>
          <w:iCs/>
        </w:rPr>
      </w:pPr>
    </w:p>
    <w:p w14:paraId="583E580E" w14:textId="77777777" w:rsidR="005A07CF" w:rsidRPr="005A07CF" w:rsidRDefault="005A07CF" w:rsidP="006F2A1D">
      <w:pPr>
        <w:pStyle w:val="NoSpacing"/>
        <w:ind w:firstLine="720"/>
        <w:jc w:val="both"/>
        <w:rPr>
          <w:rFonts w:ascii="Times New Roman" w:hAnsi="Times New Roman" w:cs="Times New Roman"/>
        </w:rPr>
      </w:pPr>
      <w:r w:rsidRPr="005A07CF">
        <w:rPr>
          <w:rFonts w:ascii="Times New Roman" w:hAnsi="Times New Roman" w:cs="Times New Roman"/>
        </w:rPr>
        <w:t>These accounts were coded as reflective judgment and instructional adaptability, forming a coherent pattern of experience-driven teaching.</w:t>
      </w:r>
    </w:p>
    <w:p w14:paraId="6AC4F39D" w14:textId="77777777" w:rsidR="005A07CF" w:rsidRPr="005A07CF" w:rsidRDefault="005A07CF" w:rsidP="006F2A1D">
      <w:pPr>
        <w:pStyle w:val="NoSpacing"/>
        <w:jc w:val="both"/>
        <w:rPr>
          <w:rFonts w:ascii="Times New Roman" w:hAnsi="Times New Roman" w:cs="Times New Roman"/>
        </w:rPr>
      </w:pPr>
      <w:r w:rsidRPr="005A07CF">
        <w:rPr>
          <w:rFonts w:ascii="Times New Roman" w:hAnsi="Times New Roman" w:cs="Times New Roman"/>
        </w:rPr>
        <w:t>Interpretively, teachers’ flexibility functions as a form of tacit knowledge developed through sustained engagement with contextual constraints. Rather than rigidly following lesson guides, teachers exercise professional judgment shaped by repeated encounters with learner diversity, limited resources, and fluctuating attendance. Darling-Hammond et al. (2021) argue that such adaptive expertise is central to effective teaching in under-resourced environments, where standardized approaches often fail to account for contextual complexity.</w:t>
      </w:r>
    </w:p>
    <w:p w14:paraId="7CD81751" w14:textId="77777777" w:rsidR="006F2A1D" w:rsidRDefault="006F2A1D" w:rsidP="006F2A1D">
      <w:pPr>
        <w:pStyle w:val="NoSpacing"/>
        <w:jc w:val="both"/>
        <w:rPr>
          <w:rFonts w:ascii="Times New Roman" w:hAnsi="Times New Roman" w:cs="Times New Roman"/>
        </w:rPr>
      </w:pPr>
    </w:p>
    <w:p w14:paraId="6B9CF56C" w14:textId="2C60137B" w:rsidR="005A07CF" w:rsidRPr="006F2A1D" w:rsidRDefault="005A07CF" w:rsidP="006F2A1D">
      <w:pPr>
        <w:pStyle w:val="NoSpacing"/>
        <w:jc w:val="both"/>
        <w:rPr>
          <w:rFonts w:ascii="Times New Roman" w:hAnsi="Times New Roman" w:cs="Times New Roman"/>
          <w:b/>
          <w:bCs/>
        </w:rPr>
      </w:pPr>
      <w:r w:rsidRPr="006F2A1D">
        <w:rPr>
          <w:rFonts w:ascii="Times New Roman" w:hAnsi="Times New Roman" w:cs="Times New Roman"/>
          <w:b/>
          <w:bCs/>
        </w:rPr>
        <w:t>Theme 3: Resourcefulness and Geo-Cultural Contextualization</w:t>
      </w:r>
    </w:p>
    <w:p w14:paraId="7F80117D" w14:textId="77777777" w:rsidR="005A07CF" w:rsidRPr="005A07CF" w:rsidRDefault="005A07CF" w:rsidP="006F2A1D">
      <w:pPr>
        <w:pStyle w:val="NoSpacing"/>
        <w:jc w:val="both"/>
        <w:rPr>
          <w:rFonts w:ascii="Times New Roman" w:hAnsi="Times New Roman" w:cs="Times New Roman"/>
        </w:rPr>
      </w:pPr>
      <w:r w:rsidRPr="005A07CF">
        <w:rPr>
          <w:rFonts w:ascii="Times New Roman" w:hAnsi="Times New Roman" w:cs="Times New Roman"/>
        </w:rPr>
        <w:t xml:space="preserve">Teachers’ familiarity with the local culture, geography, and community life significantly informs instructional content and delivery. Participants described deliberately integrating local stories, practices, and examples into lessons, as reflected in </w:t>
      </w:r>
    </w:p>
    <w:p w14:paraId="7B39E9F0" w14:textId="77777777" w:rsidR="007A0D26" w:rsidRDefault="007A0D26" w:rsidP="007A0D26">
      <w:pPr>
        <w:pStyle w:val="NoSpacing"/>
        <w:jc w:val="right"/>
        <w:rPr>
          <w:rFonts w:ascii="Times New Roman" w:hAnsi="Times New Roman" w:cs="Times New Roman"/>
          <w:i/>
          <w:iCs/>
        </w:rPr>
      </w:pPr>
    </w:p>
    <w:p w14:paraId="013A2FCA" w14:textId="166D53F0" w:rsidR="005A07CF" w:rsidRPr="006F2A1D" w:rsidRDefault="005A07CF" w:rsidP="007A0D26">
      <w:pPr>
        <w:pStyle w:val="NoSpacing"/>
        <w:jc w:val="right"/>
        <w:rPr>
          <w:rFonts w:ascii="Times New Roman" w:hAnsi="Times New Roman" w:cs="Times New Roman"/>
          <w:i/>
          <w:iCs/>
        </w:rPr>
      </w:pPr>
      <w:r w:rsidRPr="006F2A1D">
        <w:rPr>
          <w:rFonts w:ascii="Times New Roman" w:hAnsi="Times New Roman" w:cs="Times New Roman"/>
          <w:i/>
          <w:iCs/>
        </w:rPr>
        <w:t>“</w:t>
      </w:r>
      <w:proofErr w:type="spellStart"/>
      <w:r w:rsidRPr="006F2A1D">
        <w:rPr>
          <w:rFonts w:ascii="Times New Roman" w:hAnsi="Times New Roman" w:cs="Times New Roman"/>
          <w:i/>
          <w:iCs/>
        </w:rPr>
        <w:t>Gipili</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nako</w:t>
      </w:r>
      <w:proofErr w:type="spellEnd"/>
      <w:r w:rsidRPr="006F2A1D">
        <w:rPr>
          <w:rFonts w:ascii="Times New Roman" w:hAnsi="Times New Roman" w:cs="Times New Roman"/>
          <w:i/>
          <w:iCs/>
        </w:rPr>
        <w:t xml:space="preserve"> ang </w:t>
      </w:r>
      <w:proofErr w:type="spellStart"/>
      <w:r w:rsidRPr="006F2A1D">
        <w:rPr>
          <w:rFonts w:ascii="Times New Roman" w:hAnsi="Times New Roman" w:cs="Times New Roman"/>
          <w:i/>
          <w:iCs/>
        </w:rPr>
        <w:t>lokal</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nga</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mga</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istorya</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aron</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masabtan</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sa</w:t>
      </w:r>
      <w:proofErr w:type="spellEnd"/>
      <w:r w:rsidRPr="006F2A1D">
        <w:rPr>
          <w:rFonts w:ascii="Times New Roman" w:hAnsi="Times New Roman" w:cs="Times New Roman"/>
          <w:i/>
          <w:iCs/>
        </w:rPr>
        <w:t xml:space="preserve"> bata (P3)” (I chose local stories so that the children can understand </w:t>
      </w:r>
      <w:proofErr w:type="gramStart"/>
      <w:r w:rsidRPr="006F2A1D">
        <w:rPr>
          <w:rFonts w:ascii="Times New Roman" w:hAnsi="Times New Roman" w:cs="Times New Roman"/>
          <w:i/>
          <w:iCs/>
        </w:rPr>
        <w:t>better)and</w:t>
      </w:r>
      <w:proofErr w:type="gramEnd"/>
      <w:r w:rsidRPr="006F2A1D">
        <w:rPr>
          <w:rFonts w:ascii="Times New Roman" w:hAnsi="Times New Roman" w:cs="Times New Roman"/>
          <w:i/>
          <w:iCs/>
        </w:rPr>
        <w:t xml:space="preserve"> </w:t>
      </w:r>
    </w:p>
    <w:p w14:paraId="3047FDC6" w14:textId="77777777" w:rsidR="005A07CF" w:rsidRPr="005A07CF" w:rsidRDefault="005A07CF" w:rsidP="006F2A1D">
      <w:pPr>
        <w:pStyle w:val="NoSpacing"/>
        <w:jc w:val="right"/>
        <w:rPr>
          <w:rFonts w:ascii="Times New Roman" w:hAnsi="Times New Roman" w:cs="Times New Roman"/>
        </w:rPr>
      </w:pPr>
      <w:r w:rsidRPr="006F2A1D">
        <w:rPr>
          <w:rFonts w:ascii="Times New Roman" w:hAnsi="Times New Roman" w:cs="Times New Roman"/>
          <w:i/>
          <w:iCs/>
        </w:rPr>
        <w:t>“</w:t>
      </w:r>
      <w:proofErr w:type="spellStart"/>
      <w:r w:rsidRPr="006F2A1D">
        <w:rPr>
          <w:rFonts w:ascii="Times New Roman" w:hAnsi="Times New Roman" w:cs="Times New Roman"/>
          <w:i/>
          <w:iCs/>
        </w:rPr>
        <w:t>Gigamit</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nako</w:t>
      </w:r>
      <w:proofErr w:type="spellEnd"/>
      <w:r w:rsidRPr="006F2A1D">
        <w:rPr>
          <w:rFonts w:ascii="Times New Roman" w:hAnsi="Times New Roman" w:cs="Times New Roman"/>
          <w:i/>
          <w:iCs/>
        </w:rPr>
        <w:t xml:space="preserve"> ang </w:t>
      </w:r>
      <w:proofErr w:type="spellStart"/>
      <w:r w:rsidRPr="006F2A1D">
        <w:rPr>
          <w:rFonts w:ascii="Times New Roman" w:hAnsi="Times New Roman" w:cs="Times New Roman"/>
          <w:i/>
          <w:iCs/>
        </w:rPr>
        <w:t>kultura</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sa</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komunidad</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isip</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pananglitan</w:t>
      </w:r>
      <w:proofErr w:type="spellEnd"/>
      <w:r w:rsidRPr="006F2A1D">
        <w:rPr>
          <w:rFonts w:ascii="Times New Roman" w:hAnsi="Times New Roman" w:cs="Times New Roman"/>
          <w:i/>
          <w:iCs/>
        </w:rPr>
        <w:t xml:space="preserve"> (P6)” (I used the community’s culture as an</w:t>
      </w:r>
      <w:r w:rsidRPr="005A07CF">
        <w:rPr>
          <w:rFonts w:ascii="Times New Roman" w:hAnsi="Times New Roman" w:cs="Times New Roman"/>
        </w:rPr>
        <w:t xml:space="preserve"> example). </w:t>
      </w:r>
    </w:p>
    <w:p w14:paraId="54DF60E8" w14:textId="77777777" w:rsidR="005A07CF" w:rsidRPr="005A07CF" w:rsidRDefault="005A07CF" w:rsidP="006F2A1D">
      <w:pPr>
        <w:pStyle w:val="NoSpacing"/>
        <w:jc w:val="both"/>
        <w:rPr>
          <w:rFonts w:ascii="Times New Roman" w:hAnsi="Times New Roman" w:cs="Times New Roman"/>
        </w:rPr>
      </w:pPr>
    </w:p>
    <w:p w14:paraId="38583A68" w14:textId="2BC6D787" w:rsidR="005A07CF" w:rsidRDefault="005A07CF" w:rsidP="006F2A1D">
      <w:pPr>
        <w:pStyle w:val="NoSpacing"/>
        <w:ind w:firstLine="720"/>
        <w:jc w:val="both"/>
        <w:rPr>
          <w:rFonts w:ascii="Times New Roman" w:hAnsi="Times New Roman" w:cs="Times New Roman"/>
        </w:rPr>
      </w:pPr>
      <w:r w:rsidRPr="005A07CF">
        <w:rPr>
          <w:rFonts w:ascii="Times New Roman" w:hAnsi="Times New Roman" w:cs="Times New Roman"/>
        </w:rPr>
        <w:t>These responses were coded as cultural integration and geo-contextual awareness.</w:t>
      </w:r>
      <w:r w:rsidR="006F2A1D">
        <w:rPr>
          <w:rFonts w:ascii="Times New Roman" w:hAnsi="Times New Roman" w:cs="Times New Roman"/>
        </w:rPr>
        <w:t xml:space="preserve"> </w:t>
      </w:r>
      <w:r w:rsidRPr="005A07CF">
        <w:rPr>
          <w:rFonts w:ascii="Times New Roman" w:hAnsi="Times New Roman" w:cs="Times New Roman"/>
        </w:rPr>
        <w:t xml:space="preserve">This theme highlights how </w:t>
      </w:r>
      <w:proofErr w:type="gramStart"/>
      <w:r w:rsidR="006F2A1D">
        <w:rPr>
          <w:rFonts w:ascii="Times New Roman" w:hAnsi="Times New Roman" w:cs="Times New Roman"/>
        </w:rPr>
        <w:t>teachers'</w:t>
      </w:r>
      <w:proofErr w:type="gramEnd"/>
      <w:r w:rsidRPr="005A07CF">
        <w:rPr>
          <w:rFonts w:ascii="Times New Roman" w:hAnsi="Times New Roman" w:cs="Times New Roman"/>
        </w:rPr>
        <w:t xml:space="preserve"> lived embeddedness within the community enables culturally responsive instruction. Rather than viewing local culture as peripheral to formal education, teachers position it as a central pedagogical resource. </w:t>
      </w:r>
      <w:proofErr w:type="spellStart"/>
      <w:r w:rsidRPr="005A07CF">
        <w:rPr>
          <w:rFonts w:ascii="Times New Roman" w:hAnsi="Times New Roman" w:cs="Times New Roman"/>
        </w:rPr>
        <w:t>Gkontzou</w:t>
      </w:r>
      <w:proofErr w:type="spellEnd"/>
      <w:r w:rsidRPr="005A07CF">
        <w:rPr>
          <w:rFonts w:ascii="Times New Roman" w:hAnsi="Times New Roman" w:cs="Times New Roman"/>
        </w:rPr>
        <w:t xml:space="preserve"> and Zachos (2024) emphasize that learning becomes more meaningful when instruction reflects learners’ identities, lived experiences, and community contexts. However, teachers often compensate for curriculum misalignment </w:t>
      </w:r>
      <w:r w:rsidR="006F2A1D">
        <w:rPr>
          <w:rFonts w:ascii="Times New Roman" w:hAnsi="Times New Roman" w:cs="Times New Roman"/>
        </w:rPr>
        <w:t>by taking on</w:t>
      </w:r>
      <w:r w:rsidRPr="005A07CF">
        <w:rPr>
          <w:rFonts w:ascii="Times New Roman" w:hAnsi="Times New Roman" w:cs="Times New Roman"/>
        </w:rPr>
        <w:t xml:space="preserve"> additional cultural and emotional labor, especially in marginalized and under-resourced settings. Cochran-Smith and Lytle (2021) note that while contextualized teaching enhances equity, it should not replace institutional responsibility for culturally inclusive curriculum design.</w:t>
      </w:r>
    </w:p>
    <w:p w14:paraId="51E136A5" w14:textId="77777777" w:rsidR="006F2A1D" w:rsidRDefault="006F2A1D" w:rsidP="006F2A1D">
      <w:pPr>
        <w:pStyle w:val="NoSpacing"/>
        <w:jc w:val="both"/>
        <w:rPr>
          <w:rFonts w:ascii="Times New Roman" w:hAnsi="Times New Roman" w:cs="Times New Roman"/>
        </w:rPr>
      </w:pPr>
    </w:p>
    <w:p w14:paraId="593ED70F" w14:textId="0D61D86A" w:rsidR="006F2A1D" w:rsidRPr="006F2A1D" w:rsidRDefault="006F2A1D" w:rsidP="006F2A1D">
      <w:pPr>
        <w:pStyle w:val="NoSpacing"/>
        <w:jc w:val="both"/>
        <w:rPr>
          <w:rFonts w:ascii="Times New Roman" w:hAnsi="Times New Roman" w:cs="Times New Roman"/>
          <w:b/>
          <w:bCs/>
        </w:rPr>
      </w:pPr>
      <w:r w:rsidRPr="006F2A1D">
        <w:rPr>
          <w:rFonts w:ascii="Times New Roman" w:hAnsi="Times New Roman" w:cs="Times New Roman"/>
          <w:b/>
          <w:bCs/>
        </w:rPr>
        <w:t>C. Teachers in geographically isolated areas manage instructional practices</w:t>
      </w:r>
    </w:p>
    <w:p w14:paraId="2FB11C38" w14:textId="77777777" w:rsidR="006F2A1D" w:rsidRDefault="006F2A1D" w:rsidP="006F2A1D">
      <w:pPr>
        <w:pStyle w:val="Heading2"/>
        <w:spacing w:before="0"/>
        <w:ind w:firstLine="0"/>
        <w:jc w:val="center"/>
        <w:rPr>
          <w:rFonts w:ascii="Times New Roman" w:hAnsi="Times New Roman" w:cs="Times New Roman"/>
          <w:sz w:val="24"/>
          <w:szCs w:val="24"/>
        </w:rPr>
      </w:pPr>
    </w:p>
    <w:p w14:paraId="1D8F02DA" w14:textId="7AB4AD56" w:rsidR="006F2A1D" w:rsidRPr="006F2A1D" w:rsidRDefault="006F2A1D" w:rsidP="006F2A1D">
      <w:pPr>
        <w:pStyle w:val="NoSpacing"/>
        <w:jc w:val="center"/>
        <w:rPr>
          <w:rFonts w:ascii="Times New Roman" w:hAnsi="Times New Roman" w:cs="Times New Roman"/>
          <w:b/>
          <w:bCs/>
          <w:lang w:eastAsia="en-PH"/>
        </w:rPr>
      </w:pPr>
      <w:r w:rsidRPr="006F2A1D">
        <w:rPr>
          <w:rFonts w:ascii="Times New Roman" w:hAnsi="Times New Roman" w:cs="Times New Roman"/>
          <w:b/>
          <w:bCs/>
        </w:rPr>
        <w:t>Table 4. Teachers’ Management on Instructional Practices in GIA</w:t>
      </w:r>
    </w:p>
    <w:tbl>
      <w:tblPr>
        <w:tblStyle w:val="ListTable6Colorful"/>
        <w:tblW w:w="8647" w:type="dxa"/>
        <w:tblLayout w:type="fixed"/>
        <w:tblLook w:val="04A0" w:firstRow="1" w:lastRow="0" w:firstColumn="1" w:lastColumn="0" w:noHBand="0" w:noVBand="1"/>
      </w:tblPr>
      <w:tblGrid>
        <w:gridCol w:w="4962"/>
        <w:gridCol w:w="3685"/>
      </w:tblGrid>
      <w:tr w:rsidR="006F2A1D" w:rsidRPr="006F2A1D" w14:paraId="1CAA909A" w14:textId="77777777" w:rsidTr="00CC3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126D2749" w14:textId="77777777" w:rsidR="006F2A1D" w:rsidRPr="006F2A1D" w:rsidRDefault="006F2A1D" w:rsidP="006F2A1D">
            <w:pPr>
              <w:pStyle w:val="NoSpacing"/>
              <w:jc w:val="center"/>
            </w:pPr>
            <w:r w:rsidRPr="006F2A1D">
              <w:rPr>
                <w:rStyle w:val="Strong"/>
                <w:b/>
                <w:bCs/>
                <w:sz w:val="24"/>
                <w:szCs w:val="24"/>
              </w:rPr>
              <w:t>Themes</w:t>
            </w:r>
          </w:p>
        </w:tc>
        <w:tc>
          <w:tcPr>
            <w:tcW w:w="3685" w:type="dxa"/>
            <w:hideMark/>
          </w:tcPr>
          <w:p w14:paraId="0088D6F1" w14:textId="77777777" w:rsidR="006F2A1D" w:rsidRPr="006F2A1D" w:rsidRDefault="006F2A1D" w:rsidP="006F2A1D">
            <w:pPr>
              <w:pStyle w:val="NoSpacing"/>
              <w:jc w:val="center"/>
              <w:cnfStyle w:val="100000000000" w:firstRow="1" w:lastRow="0" w:firstColumn="0" w:lastColumn="0" w:oddVBand="0" w:evenVBand="0" w:oddHBand="0" w:evenHBand="0" w:firstRowFirstColumn="0" w:firstRowLastColumn="0" w:lastRowFirstColumn="0" w:lastRowLastColumn="0"/>
            </w:pPr>
            <w:r w:rsidRPr="006F2A1D">
              <w:rPr>
                <w:rStyle w:val="Strong"/>
                <w:b/>
                <w:bCs/>
                <w:sz w:val="24"/>
                <w:szCs w:val="24"/>
              </w:rPr>
              <w:t>Sub Themes</w:t>
            </w:r>
          </w:p>
        </w:tc>
      </w:tr>
      <w:tr w:rsidR="006F2A1D" w:rsidRPr="006F2A1D" w14:paraId="23004F1C" w14:textId="77777777" w:rsidTr="00CC3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567A2E80" w14:textId="77777777" w:rsidR="006F2A1D" w:rsidRPr="006F2A1D" w:rsidRDefault="006F2A1D" w:rsidP="006F2A1D">
            <w:pPr>
              <w:pStyle w:val="NoSpacing"/>
              <w:jc w:val="center"/>
            </w:pPr>
            <w:r w:rsidRPr="006F2A1D">
              <w:rPr>
                <w:rStyle w:val="Strong"/>
                <w:sz w:val="24"/>
                <w:szCs w:val="24"/>
              </w:rPr>
              <w:t>Managing Instruction Through Contextualized Resource Utilization</w:t>
            </w:r>
          </w:p>
        </w:tc>
        <w:tc>
          <w:tcPr>
            <w:tcW w:w="3685" w:type="dxa"/>
            <w:shd w:val="clear" w:color="auto" w:fill="auto"/>
            <w:hideMark/>
          </w:tcPr>
          <w:p w14:paraId="2856BF94" w14:textId="77777777" w:rsidR="006F2A1D" w:rsidRPr="006F2A1D" w:rsidRDefault="006F2A1D" w:rsidP="006F2A1D">
            <w:pPr>
              <w:pStyle w:val="NoSpacing"/>
              <w:jc w:val="center"/>
              <w:cnfStyle w:val="000000100000" w:firstRow="0" w:lastRow="0" w:firstColumn="0" w:lastColumn="0" w:oddVBand="0" w:evenVBand="0" w:oddHBand="1" w:evenHBand="0" w:firstRowFirstColumn="0" w:firstRowLastColumn="0" w:lastRowFirstColumn="0" w:lastRowLastColumn="0"/>
            </w:pPr>
            <w:r w:rsidRPr="006F2A1D">
              <w:t>Resource improvisation</w:t>
            </w:r>
          </w:p>
        </w:tc>
      </w:tr>
      <w:tr w:rsidR="006F2A1D" w:rsidRPr="006F2A1D" w14:paraId="3FD26E36" w14:textId="77777777" w:rsidTr="00CC3143">
        <w:tc>
          <w:tcPr>
            <w:cnfStyle w:val="001000000000" w:firstRow="0" w:lastRow="0" w:firstColumn="1" w:lastColumn="0" w:oddVBand="0" w:evenVBand="0" w:oddHBand="0" w:evenHBand="0" w:firstRowFirstColumn="0" w:firstRowLastColumn="0" w:lastRowFirstColumn="0" w:lastRowLastColumn="0"/>
            <w:tcW w:w="4962" w:type="dxa"/>
          </w:tcPr>
          <w:p w14:paraId="5DE79D71" w14:textId="77777777" w:rsidR="006F2A1D" w:rsidRPr="006F2A1D" w:rsidRDefault="006F2A1D" w:rsidP="006F2A1D">
            <w:pPr>
              <w:pStyle w:val="NoSpacing"/>
              <w:jc w:val="center"/>
              <w:rPr>
                <w:b w:val="0"/>
                <w:bCs w:val="0"/>
              </w:rPr>
            </w:pPr>
          </w:p>
        </w:tc>
        <w:tc>
          <w:tcPr>
            <w:tcW w:w="3685" w:type="dxa"/>
            <w:hideMark/>
          </w:tcPr>
          <w:p w14:paraId="198FE1B4" w14:textId="77777777" w:rsidR="006F2A1D" w:rsidRPr="006F2A1D" w:rsidRDefault="006F2A1D" w:rsidP="006F2A1D">
            <w:pPr>
              <w:pStyle w:val="NoSpacing"/>
              <w:jc w:val="center"/>
              <w:cnfStyle w:val="000000000000" w:firstRow="0" w:lastRow="0" w:firstColumn="0" w:lastColumn="0" w:oddVBand="0" w:evenVBand="0" w:oddHBand="0" w:evenHBand="0" w:firstRowFirstColumn="0" w:firstRowLastColumn="0" w:lastRowFirstColumn="0" w:lastRowLastColumn="0"/>
            </w:pPr>
            <w:r w:rsidRPr="006F2A1D">
              <w:t>Use of local/indigenous materials</w:t>
            </w:r>
          </w:p>
        </w:tc>
      </w:tr>
      <w:tr w:rsidR="006F2A1D" w:rsidRPr="006F2A1D" w14:paraId="6142E8B2" w14:textId="77777777" w:rsidTr="00CC3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06DAF3D3" w14:textId="77777777" w:rsidR="006F2A1D" w:rsidRPr="006F2A1D" w:rsidRDefault="006F2A1D" w:rsidP="006F2A1D">
            <w:pPr>
              <w:pStyle w:val="NoSpacing"/>
              <w:jc w:val="center"/>
              <w:rPr>
                <w:b w:val="0"/>
                <w:bCs w:val="0"/>
              </w:rPr>
            </w:pPr>
          </w:p>
        </w:tc>
        <w:tc>
          <w:tcPr>
            <w:tcW w:w="3685" w:type="dxa"/>
            <w:shd w:val="clear" w:color="auto" w:fill="auto"/>
            <w:hideMark/>
          </w:tcPr>
          <w:p w14:paraId="18C88FD7" w14:textId="77777777" w:rsidR="006F2A1D" w:rsidRPr="006F2A1D" w:rsidRDefault="006F2A1D" w:rsidP="006F2A1D">
            <w:pPr>
              <w:pStyle w:val="NoSpacing"/>
              <w:jc w:val="center"/>
              <w:cnfStyle w:val="000000100000" w:firstRow="0" w:lastRow="0" w:firstColumn="0" w:lastColumn="0" w:oddVBand="0" w:evenVBand="0" w:oddHBand="1" w:evenHBand="0" w:firstRowFirstColumn="0" w:firstRowLastColumn="0" w:lastRowFirstColumn="0" w:lastRowLastColumn="0"/>
            </w:pPr>
            <w:r w:rsidRPr="006F2A1D">
              <w:t>Teacher-created materials</w:t>
            </w:r>
          </w:p>
        </w:tc>
      </w:tr>
      <w:tr w:rsidR="006F2A1D" w:rsidRPr="006F2A1D" w14:paraId="036B8C29" w14:textId="77777777" w:rsidTr="00CC3143">
        <w:trPr>
          <w:trHeight w:val="609"/>
        </w:trPr>
        <w:tc>
          <w:tcPr>
            <w:cnfStyle w:val="001000000000" w:firstRow="0" w:lastRow="0" w:firstColumn="1" w:lastColumn="0" w:oddVBand="0" w:evenVBand="0" w:oddHBand="0" w:evenHBand="0" w:firstRowFirstColumn="0" w:firstRowLastColumn="0" w:lastRowFirstColumn="0" w:lastRowLastColumn="0"/>
            <w:tcW w:w="4962" w:type="dxa"/>
          </w:tcPr>
          <w:p w14:paraId="5EE5DA57" w14:textId="77777777" w:rsidR="006F2A1D" w:rsidRPr="006F2A1D" w:rsidRDefault="006F2A1D" w:rsidP="006F2A1D">
            <w:pPr>
              <w:pStyle w:val="NoSpacing"/>
              <w:jc w:val="center"/>
              <w:rPr>
                <w:rStyle w:val="Strong"/>
                <w:sz w:val="24"/>
                <w:szCs w:val="24"/>
              </w:rPr>
            </w:pPr>
          </w:p>
          <w:p w14:paraId="32F6281A" w14:textId="77777777" w:rsidR="006F2A1D" w:rsidRPr="006F2A1D" w:rsidRDefault="006F2A1D" w:rsidP="006F2A1D">
            <w:pPr>
              <w:pStyle w:val="NoSpacing"/>
              <w:jc w:val="center"/>
            </w:pPr>
            <w:r w:rsidRPr="006F2A1D">
              <w:rPr>
                <w:rStyle w:val="Strong"/>
                <w:sz w:val="24"/>
                <w:szCs w:val="24"/>
              </w:rPr>
              <w:t>Managing Curriculum Pacing Through Instructional Prioritization</w:t>
            </w:r>
          </w:p>
        </w:tc>
        <w:tc>
          <w:tcPr>
            <w:tcW w:w="3685" w:type="dxa"/>
            <w:hideMark/>
          </w:tcPr>
          <w:p w14:paraId="286D47E3" w14:textId="469B198A" w:rsidR="006F2A1D" w:rsidRPr="006F2A1D" w:rsidRDefault="006F2A1D" w:rsidP="006F2A1D">
            <w:pPr>
              <w:pStyle w:val="NoSpacing"/>
              <w:jc w:val="center"/>
              <w:cnfStyle w:val="000000000000" w:firstRow="0" w:lastRow="0" w:firstColumn="0" w:lastColumn="0" w:oddVBand="0" w:evenVBand="0" w:oddHBand="0" w:evenHBand="0" w:firstRowFirstColumn="0" w:firstRowLastColumn="0" w:lastRowFirstColumn="0" w:lastRowLastColumn="0"/>
            </w:pPr>
            <w:r w:rsidRPr="006F2A1D">
              <w:t>Curriculum adjustment</w:t>
            </w:r>
          </w:p>
        </w:tc>
      </w:tr>
      <w:tr w:rsidR="006F2A1D" w:rsidRPr="006F2A1D" w14:paraId="33E09B40" w14:textId="77777777" w:rsidTr="00CC3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FECB951" w14:textId="77777777" w:rsidR="006F2A1D" w:rsidRPr="006F2A1D" w:rsidRDefault="006F2A1D" w:rsidP="006F2A1D">
            <w:pPr>
              <w:pStyle w:val="NoSpacing"/>
              <w:jc w:val="center"/>
              <w:rPr>
                <w:b w:val="0"/>
                <w:bCs w:val="0"/>
              </w:rPr>
            </w:pPr>
          </w:p>
        </w:tc>
        <w:tc>
          <w:tcPr>
            <w:tcW w:w="3685" w:type="dxa"/>
            <w:shd w:val="clear" w:color="auto" w:fill="auto"/>
            <w:hideMark/>
          </w:tcPr>
          <w:p w14:paraId="478E29A6" w14:textId="77777777" w:rsidR="006F2A1D" w:rsidRPr="006F2A1D" w:rsidRDefault="006F2A1D" w:rsidP="006F2A1D">
            <w:pPr>
              <w:pStyle w:val="NoSpacing"/>
              <w:jc w:val="center"/>
              <w:cnfStyle w:val="000000100000" w:firstRow="0" w:lastRow="0" w:firstColumn="0" w:lastColumn="0" w:oddVBand="0" w:evenVBand="0" w:oddHBand="1" w:evenHBand="0" w:firstRowFirstColumn="0" w:firstRowLastColumn="0" w:lastRowFirstColumn="0" w:lastRowLastColumn="0"/>
            </w:pPr>
            <w:r w:rsidRPr="006F2A1D">
              <w:t>Foundational skill prioritization</w:t>
            </w:r>
          </w:p>
        </w:tc>
      </w:tr>
      <w:tr w:rsidR="006F2A1D" w:rsidRPr="006F2A1D" w14:paraId="11E3F4C8" w14:textId="77777777" w:rsidTr="00CC3143">
        <w:tc>
          <w:tcPr>
            <w:cnfStyle w:val="001000000000" w:firstRow="0" w:lastRow="0" w:firstColumn="1" w:lastColumn="0" w:oddVBand="0" w:evenVBand="0" w:oddHBand="0" w:evenHBand="0" w:firstRowFirstColumn="0" w:firstRowLastColumn="0" w:lastRowFirstColumn="0" w:lastRowLastColumn="0"/>
            <w:tcW w:w="4962" w:type="dxa"/>
          </w:tcPr>
          <w:p w14:paraId="4AB0A6D6" w14:textId="77777777" w:rsidR="006F2A1D" w:rsidRPr="006F2A1D" w:rsidRDefault="006F2A1D" w:rsidP="006F2A1D">
            <w:pPr>
              <w:pStyle w:val="NoSpacing"/>
              <w:jc w:val="center"/>
              <w:rPr>
                <w:b w:val="0"/>
                <w:bCs w:val="0"/>
              </w:rPr>
            </w:pPr>
          </w:p>
        </w:tc>
        <w:tc>
          <w:tcPr>
            <w:tcW w:w="3685" w:type="dxa"/>
            <w:hideMark/>
          </w:tcPr>
          <w:p w14:paraId="75FD4F9B" w14:textId="77777777" w:rsidR="006F2A1D" w:rsidRPr="006F2A1D" w:rsidRDefault="006F2A1D" w:rsidP="006F2A1D">
            <w:pPr>
              <w:pStyle w:val="NoSpacing"/>
              <w:jc w:val="center"/>
              <w:cnfStyle w:val="000000000000" w:firstRow="0" w:lastRow="0" w:firstColumn="0" w:lastColumn="0" w:oddVBand="0" w:evenVBand="0" w:oddHBand="0" w:evenHBand="0" w:firstRowFirstColumn="0" w:firstRowLastColumn="0" w:lastRowFirstColumn="0" w:lastRowLastColumn="0"/>
            </w:pPr>
            <w:r w:rsidRPr="006F2A1D">
              <w:t>Flexible pacing</w:t>
            </w:r>
          </w:p>
        </w:tc>
      </w:tr>
      <w:tr w:rsidR="006F2A1D" w:rsidRPr="006F2A1D" w14:paraId="2CD0462F" w14:textId="77777777" w:rsidTr="00CC3143">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71325FB7" w14:textId="77777777" w:rsidR="006F2A1D" w:rsidRPr="006F2A1D" w:rsidRDefault="006F2A1D" w:rsidP="006F2A1D">
            <w:pPr>
              <w:pStyle w:val="NoSpacing"/>
              <w:jc w:val="center"/>
              <w:rPr>
                <w:rStyle w:val="Strong"/>
                <w:sz w:val="24"/>
                <w:szCs w:val="24"/>
              </w:rPr>
            </w:pPr>
          </w:p>
          <w:p w14:paraId="348EDF20" w14:textId="77777777" w:rsidR="006F2A1D" w:rsidRPr="006F2A1D" w:rsidRDefault="006F2A1D" w:rsidP="006F2A1D">
            <w:pPr>
              <w:pStyle w:val="NoSpacing"/>
              <w:jc w:val="center"/>
            </w:pPr>
            <w:r w:rsidRPr="006F2A1D">
              <w:rPr>
                <w:rStyle w:val="Strong"/>
                <w:sz w:val="24"/>
                <w:szCs w:val="24"/>
              </w:rPr>
              <w:t>Managing Multi-Grade Instruction Through Adaptive Pedagogical Strategies</w:t>
            </w:r>
          </w:p>
        </w:tc>
        <w:tc>
          <w:tcPr>
            <w:tcW w:w="3685" w:type="dxa"/>
            <w:shd w:val="clear" w:color="auto" w:fill="auto"/>
            <w:hideMark/>
          </w:tcPr>
          <w:p w14:paraId="68129AFA" w14:textId="77777777" w:rsidR="006F2A1D" w:rsidRPr="006F2A1D" w:rsidRDefault="006F2A1D" w:rsidP="006F2A1D">
            <w:pPr>
              <w:pStyle w:val="NoSpacing"/>
              <w:jc w:val="center"/>
              <w:cnfStyle w:val="000000100000" w:firstRow="0" w:lastRow="0" w:firstColumn="0" w:lastColumn="0" w:oddVBand="0" w:evenVBand="0" w:oddHBand="1" w:evenHBand="0" w:firstRowFirstColumn="0" w:firstRowLastColumn="0" w:lastRowFirstColumn="0" w:lastRowLastColumn="0"/>
            </w:pPr>
            <w:r w:rsidRPr="006F2A1D">
              <w:t>Multi-grade teaching</w:t>
            </w:r>
          </w:p>
        </w:tc>
      </w:tr>
      <w:tr w:rsidR="006F2A1D" w:rsidRPr="006F2A1D" w14:paraId="62A04A6E" w14:textId="77777777" w:rsidTr="00CC3143">
        <w:tc>
          <w:tcPr>
            <w:cnfStyle w:val="001000000000" w:firstRow="0" w:lastRow="0" w:firstColumn="1" w:lastColumn="0" w:oddVBand="0" w:evenVBand="0" w:oddHBand="0" w:evenHBand="0" w:firstRowFirstColumn="0" w:firstRowLastColumn="0" w:lastRowFirstColumn="0" w:lastRowLastColumn="0"/>
            <w:tcW w:w="4962" w:type="dxa"/>
          </w:tcPr>
          <w:p w14:paraId="4D2138FD" w14:textId="77777777" w:rsidR="006F2A1D" w:rsidRPr="006F2A1D" w:rsidRDefault="006F2A1D" w:rsidP="006F2A1D">
            <w:pPr>
              <w:pStyle w:val="NoSpacing"/>
              <w:jc w:val="center"/>
              <w:rPr>
                <w:b w:val="0"/>
                <w:bCs w:val="0"/>
              </w:rPr>
            </w:pPr>
          </w:p>
        </w:tc>
        <w:tc>
          <w:tcPr>
            <w:tcW w:w="3685" w:type="dxa"/>
            <w:hideMark/>
          </w:tcPr>
          <w:p w14:paraId="0E94196E" w14:textId="77777777" w:rsidR="006F2A1D" w:rsidRPr="006F2A1D" w:rsidRDefault="006F2A1D" w:rsidP="006F2A1D">
            <w:pPr>
              <w:pStyle w:val="NoSpacing"/>
              <w:jc w:val="center"/>
              <w:cnfStyle w:val="000000000000" w:firstRow="0" w:lastRow="0" w:firstColumn="0" w:lastColumn="0" w:oddVBand="0" w:evenVBand="0" w:oddHBand="0" w:evenHBand="0" w:firstRowFirstColumn="0" w:firstRowLastColumn="0" w:lastRowFirstColumn="0" w:lastRowLastColumn="0"/>
            </w:pPr>
            <w:r w:rsidRPr="006F2A1D">
              <w:t>Peer-assisted learning</w:t>
            </w:r>
          </w:p>
        </w:tc>
      </w:tr>
      <w:tr w:rsidR="006F2A1D" w:rsidRPr="006F2A1D" w14:paraId="28EF2203" w14:textId="77777777" w:rsidTr="00CC3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3A544404" w14:textId="77777777" w:rsidR="006F2A1D" w:rsidRPr="006F2A1D" w:rsidRDefault="006F2A1D" w:rsidP="006F2A1D">
            <w:pPr>
              <w:pStyle w:val="NoSpacing"/>
              <w:jc w:val="center"/>
              <w:rPr>
                <w:b w:val="0"/>
                <w:bCs w:val="0"/>
              </w:rPr>
            </w:pPr>
          </w:p>
        </w:tc>
        <w:tc>
          <w:tcPr>
            <w:tcW w:w="3685" w:type="dxa"/>
            <w:shd w:val="clear" w:color="auto" w:fill="auto"/>
            <w:hideMark/>
          </w:tcPr>
          <w:p w14:paraId="4DC21010" w14:textId="77777777" w:rsidR="006F2A1D" w:rsidRPr="006F2A1D" w:rsidRDefault="006F2A1D" w:rsidP="006F2A1D">
            <w:pPr>
              <w:pStyle w:val="NoSpacing"/>
              <w:jc w:val="center"/>
              <w:cnfStyle w:val="000000100000" w:firstRow="0" w:lastRow="0" w:firstColumn="0" w:lastColumn="0" w:oddVBand="0" w:evenVBand="0" w:oddHBand="1" w:evenHBand="0" w:firstRowFirstColumn="0" w:firstRowLastColumn="0" w:lastRowFirstColumn="0" w:lastRowLastColumn="0"/>
            </w:pPr>
            <w:r w:rsidRPr="006F2A1D">
              <w:t>Instructional differentiation</w:t>
            </w:r>
          </w:p>
        </w:tc>
      </w:tr>
    </w:tbl>
    <w:p w14:paraId="528060A0" w14:textId="77777777" w:rsidR="006F2A1D" w:rsidRPr="006F2A1D" w:rsidRDefault="006F2A1D" w:rsidP="006F2A1D">
      <w:pPr>
        <w:pStyle w:val="NoSpacing"/>
        <w:jc w:val="center"/>
        <w:rPr>
          <w:rFonts w:ascii="Times New Roman" w:hAnsi="Times New Roman" w:cs="Times New Roman"/>
        </w:rPr>
      </w:pPr>
    </w:p>
    <w:p w14:paraId="6B25002F" w14:textId="77777777" w:rsidR="006F2A1D" w:rsidRPr="006F2A1D" w:rsidRDefault="006F2A1D" w:rsidP="006F2A1D">
      <w:pPr>
        <w:pStyle w:val="NoSpacing"/>
        <w:rPr>
          <w:rFonts w:ascii="Times New Roman" w:hAnsi="Times New Roman" w:cs="Times New Roman"/>
          <w:b/>
          <w:bCs/>
        </w:rPr>
      </w:pPr>
      <w:r w:rsidRPr="006F2A1D">
        <w:rPr>
          <w:rFonts w:ascii="Times New Roman" w:hAnsi="Times New Roman" w:cs="Times New Roman"/>
          <w:b/>
          <w:bCs/>
        </w:rPr>
        <w:t>Theme 1: Managing Instruction Through Contextualized Resource Utilization</w:t>
      </w:r>
    </w:p>
    <w:p w14:paraId="05850A62" w14:textId="77777777" w:rsidR="006F2A1D" w:rsidRPr="006F2A1D" w:rsidRDefault="006F2A1D" w:rsidP="006F2A1D">
      <w:pPr>
        <w:pStyle w:val="NoSpacing"/>
        <w:jc w:val="both"/>
        <w:rPr>
          <w:rFonts w:ascii="Times New Roman" w:hAnsi="Times New Roman" w:cs="Times New Roman"/>
        </w:rPr>
      </w:pPr>
      <w:r w:rsidRPr="006F2A1D">
        <w:rPr>
          <w:rFonts w:ascii="Times New Roman" w:hAnsi="Times New Roman" w:cs="Times New Roman"/>
        </w:rPr>
        <w:t xml:space="preserve">Teachers manage instruction by redefining available resources and aligning them with lesson objectives. In the absence of textbooks and instructional kits, participants described deliberate strategies for creating teaching materials from locally available objects. Participant 6 explained, </w:t>
      </w:r>
    </w:p>
    <w:p w14:paraId="42B1713F" w14:textId="77777777" w:rsidR="006F2A1D" w:rsidRDefault="006F2A1D" w:rsidP="006F2A1D">
      <w:pPr>
        <w:pStyle w:val="NoSpacing"/>
        <w:jc w:val="right"/>
        <w:rPr>
          <w:rFonts w:ascii="Times New Roman" w:hAnsi="Times New Roman" w:cs="Times New Roman"/>
        </w:rPr>
      </w:pPr>
    </w:p>
    <w:p w14:paraId="064CBBCE" w14:textId="52E55317" w:rsidR="006F2A1D" w:rsidRPr="007A0D26" w:rsidRDefault="006F2A1D" w:rsidP="006F2A1D">
      <w:pPr>
        <w:pStyle w:val="NoSpacing"/>
        <w:jc w:val="right"/>
        <w:rPr>
          <w:rFonts w:ascii="Times New Roman" w:hAnsi="Times New Roman" w:cs="Times New Roman"/>
          <w:i/>
          <w:iCs/>
        </w:rPr>
      </w:pPr>
      <w:r w:rsidRPr="007A0D26">
        <w:rPr>
          <w:rFonts w:ascii="Times New Roman" w:hAnsi="Times New Roman" w:cs="Times New Roman"/>
          <w:i/>
          <w:iCs/>
        </w:rPr>
        <w:t xml:space="preserve">“Kung </w:t>
      </w:r>
      <w:proofErr w:type="spellStart"/>
      <w:r w:rsidRPr="007A0D26">
        <w:rPr>
          <w:rFonts w:ascii="Times New Roman" w:hAnsi="Times New Roman" w:cs="Times New Roman"/>
          <w:i/>
          <w:iCs/>
        </w:rPr>
        <w:t>walay</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libro</w:t>
      </w:r>
      <w:proofErr w:type="spellEnd"/>
      <w:r w:rsidRPr="007A0D26">
        <w:rPr>
          <w:rFonts w:ascii="Times New Roman" w:hAnsi="Times New Roman" w:cs="Times New Roman"/>
          <w:i/>
          <w:iCs/>
        </w:rPr>
        <w:t xml:space="preserve">, kami </w:t>
      </w:r>
      <w:proofErr w:type="spellStart"/>
      <w:r w:rsidRPr="007A0D26">
        <w:rPr>
          <w:rFonts w:ascii="Times New Roman" w:hAnsi="Times New Roman" w:cs="Times New Roman"/>
          <w:i/>
          <w:iCs/>
        </w:rPr>
        <w:t>na</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mismo</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maghimo</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og</w:t>
      </w:r>
      <w:proofErr w:type="spellEnd"/>
      <w:r w:rsidRPr="007A0D26">
        <w:rPr>
          <w:rFonts w:ascii="Times New Roman" w:hAnsi="Times New Roman" w:cs="Times New Roman"/>
          <w:i/>
          <w:iCs/>
        </w:rPr>
        <w:t xml:space="preserve"> materials </w:t>
      </w:r>
      <w:proofErr w:type="spellStart"/>
      <w:r w:rsidRPr="007A0D26">
        <w:rPr>
          <w:rFonts w:ascii="Times New Roman" w:hAnsi="Times New Roman" w:cs="Times New Roman"/>
          <w:i/>
          <w:iCs/>
        </w:rPr>
        <w:t>gamit</w:t>
      </w:r>
      <w:proofErr w:type="spellEnd"/>
      <w:r w:rsidRPr="007A0D26">
        <w:rPr>
          <w:rFonts w:ascii="Times New Roman" w:hAnsi="Times New Roman" w:cs="Times New Roman"/>
          <w:i/>
          <w:iCs/>
        </w:rPr>
        <w:t xml:space="preserve"> ang </w:t>
      </w:r>
      <w:proofErr w:type="spellStart"/>
      <w:r w:rsidRPr="007A0D26">
        <w:rPr>
          <w:rFonts w:ascii="Times New Roman" w:hAnsi="Times New Roman" w:cs="Times New Roman"/>
          <w:i/>
          <w:iCs/>
        </w:rPr>
        <w:t>naa</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sa</w:t>
      </w:r>
      <w:proofErr w:type="spellEnd"/>
      <w:r w:rsidRPr="007A0D26">
        <w:rPr>
          <w:rFonts w:ascii="Times New Roman" w:hAnsi="Times New Roman" w:cs="Times New Roman"/>
          <w:i/>
          <w:iCs/>
        </w:rPr>
        <w:t xml:space="preserve"> </w:t>
      </w:r>
      <w:proofErr w:type="spellStart"/>
      <w:proofErr w:type="gramStart"/>
      <w:r w:rsidRPr="007A0D26">
        <w:rPr>
          <w:rFonts w:ascii="Times New Roman" w:hAnsi="Times New Roman" w:cs="Times New Roman"/>
          <w:i/>
          <w:iCs/>
        </w:rPr>
        <w:t>palibot</w:t>
      </w:r>
      <w:proofErr w:type="spellEnd"/>
      <w:r w:rsidRPr="007A0D26">
        <w:rPr>
          <w:rFonts w:ascii="Times New Roman" w:hAnsi="Times New Roman" w:cs="Times New Roman"/>
          <w:i/>
          <w:iCs/>
        </w:rPr>
        <w:t xml:space="preserve"> ”</w:t>
      </w:r>
      <w:proofErr w:type="gramEnd"/>
      <w:r w:rsidRPr="007A0D26">
        <w:rPr>
          <w:rFonts w:ascii="Times New Roman" w:hAnsi="Times New Roman" w:cs="Times New Roman"/>
          <w:i/>
          <w:iCs/>
        </w:rPr>
        <w:t xml:space="preserve"> (When there are no books, we ourselves create materials using what is available around us),</w:t>
      </w:r>
    </w:p>
    <w:p w14:paraId="119E4C71" w14:textId="4068AC93" w:rsidR="006F2A1D" w:rsidRPr="007A0D26" w:rsidRDefault="006F2A1D" w:rsidP="006F2A1D">
      <w:pPr>
        <w:pStyle w:val="NoSpacing"/>
        <w:jc w:val="right"/>
        <w:rPr>
          <w:rFonts w:ascii="Times New Roman" w:hAnsi="Times New Roman" w:cs="Times New Roman"/>
          <w:i/>
          <w:iCs/>
        </w:rPr>
      </w:pPr>
      <w:r w:rsidRPr="007A0D26">
        <w:rPr>
          <w:rFonts w:ascii="Times New Roman" w:hAnsi="Times New Roman" w:cs="Times New Roman"/>
          <w:i/>
          <w:iCs/>
        </w:rPr>
        <w:t>while participant 7 added,</w:t>
      </w:r>
    </w:p>
    <w:p w14:paraId="00E73E3B" w14:textId="64D4525D" w:rsidR="006F2A1D" w:rsidRPr="006F2A1D" w:rsidRDefault="006F2A1D" w:rsidP="006F2A1D">
      <w:pPr>
        <w:pStyle w:val="NoSpacing"/>
        <w:jc w:val="right"/>
        <w:rPr>
          <w:rFonts w:ascii="Times New Roman" w:hAnsi="Times New Roman" w:cs="Times New Roman"/>
        </w:rPr>
      </w:pPr>
      <w:r w:rsidRPr="007A0D26">
        <w:rPr>
          <w:rFonts w:ascii="Times New Roman" w:hAnsi="Times New Roman" w:cs="Times New Roman"/>
          <w:i/>
          <w:iCs/>
        </w:rPr>
        <w:lastRenderedPageBreak/>
        <w:t xml:space="preserve">“Ang </w:t>
      </w:r>
      <w:proofErr w:type="spellStart"/>
      <w:r w:rsidRPr="007A0D26">
        <w:rPr>
          <w:rFonts w:ascii="Times New Roman" w:hAnsi="Times New Roman" w:cs="Times New Roman"/>
          <w:i/>
          <w:iCs/>
        </w:rPr>
        <w:t>kahoy</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dahon</w:t>
      </w:r>
      <w:proofErr w:type="spellEnd"/>
      <w:r w:rsidRPr="007A0D26">
        <w:rPr>
          <w:rFonts w:ascii="Times New Roman" w:hAnsi="Times New Roman" w:cs="Times New Roman"/>
          <w:i/>
          <w:iCs/>
        </w:rPr>
        <w:t xml:space="preserve">, ug </w:t>
      </w:r>
      <w:proofErr w:type="spellStart"/>
      <w:r w:rsidRPr="007A0D26">
        <w:rPr>
          <w:rFonts w:ascii="Times New Roman" w:hAnsi="Times New Roman" w:cs="Times New Roman"/>
          <w:i/>
          <w:iCs/>
        </w:rPr>
        <w:t>bato</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mahimo</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na</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namo</w:t>
      </w:r>
      <w:proofErr w:type="spellEnd"/>
      <w:r w:rsidRPr="007A0D26">
        <w:rPr>
          <w:rFonts w:ascii="Times New Roman" w:hAnsi="Times New Roman" w:cs="Times New Roman"/>
          <w:i/>
          <w:iCs/>
        </w:rPr>
        <w:t xml:space="preserve"> </w:t>
      </w:r>
      <w:proofErr w:type="spellStart"/>
      <w:r w:rsidRPr="007A0D26">
        <w:rPr>
          <w:rFonts w:ascii="Times New Roman" w:hAnsi="Times New Roman" w:cs="Times New Roman"/>
          <w:i/>
          <w:iCs/>
        </w:rPr>
        <w:t>og</w:t>
      </w:r>
      <w:proofErr w:type="spellEnd"/>
      <w:r w:rsidRPr="007A0D26">
        <w:rPr>
          <w:rFonts w:ascii="Times New Roman" w:hAnsi="Times New Roman" w:cs="Times New Roman"/>
          <w:i/>
          <w:iCs/>
        </w:rPr>
        <w:t xml:space="preserve"> visual aids” (Wood, leaves, and stones can already be used as visual aids).</w:t>
      </w:r>
    </w:p>
    <w:p w14:paraId="424B133B" w14:textId="77777777" w:rsidR="006F2A1D" w:rsidRPr="006F2A1D" w:rsidRDefault="006F2A1D" w:rsidP="006F2A1D">
      <w:pPr>
        <w:pStyle w:val="NoSpacing"/>
        <w:jc w:val="both"/>
        <w:rPr>
          <w:rFonts w:ascii="Times New Roman" w:hAnsi="Times New Roman" w:cs="Times New Roman"/>
        </w:rPr>
      </w:pPr>
    </w:p>
    <w:p w14:paraId="539EB6E4" w14:textId="191BC7A3" w:rsidR="006F2A1D" w:rsidRPr="006F2A1D" w:rsidRDefault="006F2A1D" w:rsidP="006F2A1D">
      <w:pPr>
        <w:pStyle w:val="NoSpacing"/>
        <w:jc w:val="both"/>
        <w:rPr>
          <w:rFonts w:ascii="Times New Roman" w:hAnsi="Times New Roman" w:cs="Times New Roman"/>
        </w:rPr>
      </w:pPr>
      <w:r w:rsidRPr="006F2A1D">
        <w:rPr>
          <w:rFonts w:ascii="Times New Roman" w:hAnsi="Times New Roman" w:cs="Times New Roman"/>
        </w:rPr>
        <w:t>These practices were coded as resource improvisation and local material utilization and clustered into this theme.</w:t>
      </w:r>
      <w:r>
        <w:rPr>
          <w:rFonts w:ascii="Times New Roman" w:hAnsi="Times New Roman" w:cs="Times New Roman"/>
        </w:rPr>
        <w:t xml:space="preserve"> </w:t>
      </w:r>
      <w:r w:rsidRPr="006F2A1D">
        <w:rPr>
          <w:rFonts w:ascii="Times New Roman" w:hAnsi="Times New Roman" w:cs="Times New Roman"/>
        </w:rPr>
        <w:t xml:space="preserve">From an instructional management perspective, this approach reflects proactive planning rather than spontaneous coping. Teachers intentionally select materials that are accessible, durable, and familiar to learners, ensuring </w:t>
      </w:r>
      <w:r>
        <w:rPr>
          <w:rFonts w:ascii="Times New Roman" w:hAnsi="Times New Roman" w:cs="Times New Roman"/>
        </w:rPr>
        <w:t>continuity of lessons</w:t>
      </w:r>
      <w:r w:rsidRPr="006F2A1D">
        <w:rPr>
          <w:rFonts w:ascii="Times New Roman" w:hAnsi="Times New Roman" w:cs="Times New Roman"/>
        </w:rPr>
        <w:t xml:space="preserve"> despite scarcity. Adedoyin and </w:t>
      </w:r>
      <w:proofErr w:type="spellStart"/>
      <w:r w:rsidRPr="006F2A1D">
        <w:rPr>
          <w:rFonts w:ascii="Times New Roman" w:hAnsi="Times New Roman" w:cs="Times New Roman"/>
        </w:rPr>
        <w:t>Soykan</w:t>
      </w:r>
      <w:proofErr w:type="spellEnd"/>
      <w:r w:rsidRPr="006F2A1D">
        <w:rPr>
          <w:rFonts w:ascii="Times New Roman" w:hAnsi="Times New Roman" w:cs="Times New Roman"/>
        </w:rPr>
        <w:t xml:space="preserve"> (2020) emphasize that in remote contexts, instructional management often involves resource substitution and contextual alignment rather than </w:t>
      </w:r>
      <w:r>
        <w:rPr>
          <w:rFonts w:ascii="Times New Roman" w:hAnsi="Times New Roman" w:cs="Times New Roman"/>
        </w:rPr>
        <w:t>the use of formal materials</w:t>
      </w:r>
      <w:r w:rsidRPr="006F2A1D">
        <w:rPr>
          <w:rFonts w:ascii="Times New Roman" w:hAnsi="Times New Roman" w:cs="Times New Roman"/>
        </w:rPr>
        <w:t>.</w:t>
      </w:r>
    </w:p>
    <w:p w14:paraId="1F9743D6" w14:textId="77777777" w:rsidR="006F2A1D" w:rsidRDefault="006F2A1D" w:rsidP="006F2A1D">
      <w:pPr>
        <w:pStyle w:val="NoSpacing"/>
        <w:jc w:val="both"/>
        <w:rPr>
          <w:rFonts w:ascii="Times New Roman" w:hAnsi="Times New Roman" w:cs="Times New Roman"/>
        </w:rPr>
      </w:pPr>
    </w:p>
    <w:p w14:paraId="129A39A2" w14:textId="567D4A46" w:rsidR="006F2A1D" w:rsidRPr="006F2A1D" w:rsidRDefault="006F2A1D" w:rsidP="006F2A1D">
      <w:pPr>
        <w:pStyle w:val="NoSpacing"/>
        <w:jc w:val="both"/>
        <w:rPr>
          <w:rFonts w:ascii="Times New Roman" w:hAnsi="Times New Roman" w:cs="Times New Roman"/>
          <w:b/>
          <w:bCs/>
        </w:rPr>
      </w:pPr>
      <w:r w:rsidRPr="006F2A1D">
        <w:rPr>
          <w:rFonts w:ascii="Times New Roman" w:hAnsi="Times New Roman" w:cs="Times New Roman"/>
          <w:b/>
          <w:bCs/>
        </w:rPr>
        <w:t>Theme 2: Managing Curriculum Pacing Through Instructional Prioritization</w:t>
      </w:r>
    </w:p>
    <w:p w14:paraId="41A1C1D6" w14:textId="77777777" w:rsidR="006F2A1D" w:rsidRPr="006F2A1D" w:rsidRDefault="006F2A1D" w:rsidP="006F2A1D">
      <w:pPr>
        <w:pStyle w:val="NoSpacing"/>
        <w:jc w:val="both"/>
        <w:rPr>
          <w:rFonts w:ascii="Times New Roman" w:hAnsi="Times New Roman" w:cs="Times New Roman"/>
        </w:rPr>
      </w:pPr>
      <w:r w:rsidRPr="006F2A1D">
        <w:rPr>
          <w:rFonts w:ascii="Times New Roman" w:hAnsi="Times New Roman" w:cs="Times New Roman"/>
        </w:rPr>
        <w:t xml:space="preserve">Curriculum management in geographically isolated areas is characterized by flexible pacing and selective prioritization. Teachers reported consciously adjusting lesson plans to match learners’ actual competencies. Participant 18 stated, </w:t>
      </w:r>
    </w:p>
    <w:p w14:paraId="05B9E1FC" w14:textId="77777777" w:rsidR="006F2A1D" w:rsidRDefault="006F2A1D" w:rsidP="006F2A1D">
      <w:pPr>
        <w:pStyle w:val="NoSpacing"/>
        <w:jc w:val="right"/>
        <w:rPr>
          <w:rFonts w:ascii="Times New Roman" w:hAnsi="Times New Roman" w:cs="Times New Roman"/>
        </w:rPr>
      </w:pPr>
    </w:p>
    <w:p w14:paraId="7595FB3E" w14:textId="5946A1CC" w:rsidR="006F2A1D" w:rsidRPr="006F2A1D" w:rsidRDefault="006F2A1D" w:rsidP="006F2A1D">
      <w:pPr>
        <w:pStyle w:val="NoSpacing"/>
        <w:jc w:val="right"/>
        <w:rPr>
          <w:rFonts w:ascii="Times New Roman" w:hAnsi="Times New Roman" w:cs="Times New Roman"/>
          <w:i/>
          <w:iCs/>
        </w:rPr>
      </w:pPr>
      <w:r w:rsidRPr="006F2A1D">
        <w:rPr>
          <w:rFonts w:ascii="Times New Roman" w:hAnsi="Times New Roman" w:cs="Times New Roman"/>
        </w:rPr>
        <w:t>“</w:t>
      </w:r>
      <w:r w:rsidRPr="006F2A1D">
        <w:rPr>
          <w:rFonts w:ascii="Times New Roman" w:hAnsi="Times New Roman" w:cs="Times New Roman"/>
          <w:i/>
          <w:iCs/>
        </w:rPr>
        <w:t xml:space="preserve">Dili </w:t>
      </w:r>
      <w:proofErr w:type="spellStart"/>
      <w:r w:rsidRPr="006F2A1D">
        <w:rPr>
          <w:rFonts w:ascii="Times New Roman" w:hAnsi="Times New Roman" w:cs="Times New Roman"/>
          <w:i/>
          <w:iCs/>
        </w:rPr>
        <w:t>gyud</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masunod</w:t>
      </w:r>
      <w:proofErr w:type="spellEnd"/>
      <w:r w:rsidRPr="006F2A1D">
        <w:rPr>
          <w:rFonts w:ascii="Times New Roman" w:hAnsi="Times New Roman" w:cs="Times New Roman"/>
          <w:i/>
          <w:iCs/>
        </w:rPr>
        <w:t xml:space="preserve"> ang lesson guide kay </w:t>
      </w:r>
      <w:proofErr w:type="spellStart"/>
      <w:r w:rsidRPr="006F2A1D">
        <w:rPr>
          <w:rFonts w:ascii="Times New Roman" w:hAnsi="Times New Roman" w:cs="Times New Roman"/>
          <w:i/>
          <w:iCs/>
        </w:rPr>
        <w:t>kinahanglan</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una</w:t>
      </w:r>
      <w:proofErr w:type="spellEnd"/>
      <w:r w:rsidRPr="006F2A1D">
        <w:rPr>
          <w:rFonts w:ascii="Times New Roman" w:hAnsi="Times New Roman" w:cs="Times New Roman"/>
          <w:i/>
          <w:iCs/>
        </w:rPr>
        <w:t xml:space="preserve"> ang </w:t>
      </w:r>
      <w:proofErr w:type="spellStart"/>
      <w:r w:rsidRPr="006F2A1D">
        <w:rPr>
          <w:rFonts w:ascii="Times New Roman" w:hAnsi="Times New Roman" w:cs="Times New Roman"/>
          <w:i/>
          <w:iCs/>
        </w:rPr>
        <w:t>pagbasa</w:t>
      </w:r>
      <w:proofErr w:type="spellEnd"/>
      <w:r w:rsidRPr="006F2A1D">
        <w:rPr>
          <w:rFonts w:ascii="Times New Roman" w:hAnsi="Times New Roman" w:cs="Times New Roman"/>
          <w:i/>
          <w:iCs/>
        </w:rPr>
        <w:t xml:space="preserve">” (The lesson guide cannot really be followed because reading must come first), </w:t>
      </w:r>
    </w:p>
    <w:p w14:paraId="102CAA54" w14:textId="77777777" w:rsidR="006F2A1D" w:rsidRPr="006F2A1D" w:rsidRDefault="006F2A1D" w:rsidP="006F2A1D">
      <w:pPr>
        <w:pStyle w:val="NoSpacing"/>
        <w:jc w:val="right"/>
        <w:rPr>
          <w:rFonts w:ascii="Times New Roman" w:hAnsi="Times New Roman" w:cs="Times New Roman"/>
          <w:i/>
          <w:iCs/>
        </w:rPr>
      </w:pPr>
      <w:r w:rsidRPr="006F2A1D">
        <w:rPr>
          <w:rFonts w:ascii="Times New Roman" w:hAnsi="Times New Roman" w:cs="Times New Roman"/>
          <w:i/>
          <w:iCs/>
        </w:rPr>
        <w:t xml:space="preserve">while participant 9 shared, </w:t>
      </w:r>
    </w:p>
    <w:p w14:paraId="1C8F0A6C" w14:textId="77777777" w:rsidR="006F2A1D" w:rsidRPr="006F2A1D" w:rsidRDefault="006F2A1D" w:rsidP="006F2A1D">
      <w:pPr>
        <w:pStyle w:val="NoSpacing"/>
        <w:jc w:val="right"/>
        <w:rPr>
          <w:rFonts w:ascii="Times New Roman" w:hAnsi="Times New Roman" w:cs="Times New Roman"/>
          <w:i/>
          <w:iCs/>
        </w:rPr>
      </w:pPr>
      <w:r w:rsidRPr="006F2A1D">
        <w:rPr>
          <w:rFonts w:ascii="Times New Roman" w:hAnsi="Times New Roman" w:cs="Times New Roman"/>
          <w:i/>
          <w:iCs/>
        </w:rPr>
        <w:t xml:space="preserve">“Balik mi </w:t>
      </w:r>
      <w:proofErr w:type="spellStart"/>
      <w:r w:rsidRPr="006F2A1D">
        <w:rPr>
          <w:rFonts w:ascii="Times New Roman" w:hAnsi="Times New Roman" w:cs="Times New Roman"/>
          <w:i/>
          <w:iCs/>
        </w:rPr>
        <w:t>sa</w:t>
      </w:r>
      <w:proofErr w:type="spellEnd"/>
      <w:r w:rsidRPr="006F2A1D">
        <w:rPr>
          <w:rFonts w:ascii="Times New Roman" w:hAnsi="Times New Roman" w:cs="Times New Roman"/>
          <w:i/>
          <w:iCs/>
        </w:rPr>
        <w:t xml:space="preserve"> basics </w:t>
      </w:r>
      <w:proofErr w:type="spellStart"/>
      <w:r w:rsidRPr="006F2A1D">
        <w:rPr>
          <w:rFonts w:ascii="Times New Roman" w:hAnsi="Times New Roman" w:cs="Times New Roman"/>
          <w:i/>
          <w:iCs/>
        </w:rPr>
        <w:t>bisan</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taas</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na</w:t>
      </w:r>
      <w:proofErr w:type="spellEnd"/>
      <w:r w:rsidRPr="006F2A1D">
        <w:rPr>
          <w:rFonts w:ascii="Times New Roman" w:hAnsi="Times New Roman" w:cs="Times New Roman"/>
          <w:i/>
          <w:iCs/>
        </w:rPr>
        <w:t xml:space="preserve"> </w:t>
      </w:r>
      <w:proofErr w:type="spellStart"/>
      <w:r w:rsidRPr="006F2A1D">
        <w:rPr>
          <w:rFonts w:ascii="Times New Roman" w:hAnsi="Times New Roman" w:cs="Times New Roman"/>
          <w:i/>
          <w:iCs/>
        </w:rPr>
        <w:t>ilang</w:t>
      </w:r>
      <w:proofErr w:type="spellEnd"/>
      <w:r w:rsidRPr="006F2A1D">
        <w:rPr>
          <w:rFonts w:ascii="Times New Roman" w:hAnsi="Times New Roman" w:cs="Times New Roman"/>
          <w:i/>
          <w:iCs/>
        </w:rPr>
        <w:t xml:space="preserve"> grade” (We go back to the basics even if their grade level is already high). </w:t>
      </w:r>
    </w:p>
    <w:p w14:paraId="368F83A9" w14:textId="77777777" w:rsidR="006F2A1D" w:rsidRPr="006F2A1D" w:rsidRDefault="006F2A1D" w:rsidP="006F2A1D">
      <w:pPr>
        <w:pStyle w:val="NoSpacing"/>
        <w:jc w:val="both"/>
        <w:rPr>
          <w:rFonts w:ascii="Times New Roman" w:hAnsi="Times New Roman" w:cs="Times New Roman"/>
        </w:rPr>
      </w:pPr>
    </w:p>
    <w:p w14:paraId="3ABACD9A" w14:textId="77777777" w:rsidR="006F2A1D" w:rsidRPr="006F2A1D" w:rsidRDefault="006F2A1D" w:rsidP="006F2A1D">
      <w:pPr>
        <w:pStyle w:val="NoSpacing"/>
        <w:jc w:val="both"/>
        <w:rPr>
          <w:rFonts w:ascii="Times New Roman" w:hAnsi="Times New Roman" w:cs="Times New Roman"/>
        </w:rPr>
      </w:pPr>
      <w:r w:rsidRPr="006F2A1D">
        <w:rPr>
          <w:rFonts w:ascii="Times New Roman" w:hAnsi="Times New Roman" w:cs="Times New Roman"/>
        </w:rPr>
        <w:t>These responses were coded as curriculum adjustment and foundational skill prioritization.</w:t>
      </w:r>
    </w:p>
    <w:p w14:paraId="0ED91A1F" w14:textId="471F2FFA" w:rsidR="006F2A1D" w:rsidRPr="006F2A1D" w:rsidRDefault="006F2A1D" w:rsidP="006F2A1D">
      <w:pPr>
        <w:pStyle w:val="NoSpacing"/>
        <w:jc w:val="both"/>
        <w:rPr>
          <w:rFonts w:ascii="Times New Roman" w:hAnsi="Times New Roman" w:cs="Times New Roman"/>
        </w:rPr>
      </w:pPr>
      <w:r w:rsidRPr="006F2A1D">
        <w:rPr>
          <w:rFonts w:ascii="Times New Roman" w:hAnsi="Times New Roman" w:cs="Times New Roman"/>
        </w:rPr>
        <w:t>Instructional management here involves constant decision-making: teachers determine which competencies are essential and which can be deferred. Darling-Hammond et al. (2020) note that effective instruction in disadvantaged settings depends on responsive pacing that addresses learning gaps before advancing content.</w:t>
      </w:r>
    </w:p>
    <w:p w14:paraId="39CBD0CF" w14:textId="77777777" w:rsidR="006F2A1D" w:rsidRPr="006F2A1D" w:rsidRDefault="006F2A1D" w:rsidP="006F2A1D">
      <w:pPr>
        <w:pStyle w:val="NoSpacing"/>
        <w:jc w:val="both"/>
        <w:rPr>
          <w:rFonts w:ascii="Times New Roman" w:hAnsi="Times New Roman" w:cs="Times New Roman"/>
        </w:rPr>
      </w:pPr>
    </w:p>
    <w:p w14:paraId="5B165BDB" w14:textId="77777777" w:rsidR="006F2A1D" w:rsidRPr="006F2A1D" w:rsidRDefault="006F2A1D" w:rsidP="006F2A1D">
      <w:pPr>
        <w:pStyle w:val="NoSpacing"/>
        <w:jc w:val="both"/>
        <w:rPr>
          <w:rFonts w:ascii="Times New Roman" w:hAnsi="Times New Roman" w:cs="Times New Roman"/>
          <w:b/>
          <w:bCs/>
        </w:rPr>
      </w:pPr>
      <w:r w:rsidRPr="006F2A1D">
        <w:rPr>
          <w:rFonts w:ascii="Times New Roman" w:hAnsi="Times New Roman" w:cs="Times New Roman"/>
          <w:b/>
          <w:bCs/>
        </w:rPr>
        <w:t>Theme 3: Managing Multi-Grade Instruction Through Adaptive Pedagogical Strategies</w:t>
      </w:r>
    </w:p>
    <w:p w14:paraId="03CEC56B" w14:textId="77777777" w:rsidR="006F2A1D" w:rsidRPr="006F2A1D" w:rsidRDefault="006F2A1D" w:rsidP="006F2A1D">
      <w:pPr>
        <w:pStyle w:val="NoSpacing"/>
        <w:jc w:val="both"/>
        <w:rPr>
          <w:rFonts w:ascii="Times New Roman" w:hAnsi="Times New Roman" w:cs="Times New Roman"/>
        </w:rPr>
      </w:pPr>
      <w:r w:rsidRPr="006F2A1D">
        <w:rPr>
          <w:rFonts w:ascii="Times New Roman" w:hAnsi="Times New Roman" w:cs="Times New Roman"/>
        </w:rPr>
        <w:t xml:space="preserve">Multi-grade teaching emerged as a central instructional management challenge. Participants described managing multiple grade levels simultaneously, as participant 15 reflected, </w:t>
      </w:r>
    </w:p>
    <w:p w14:paraId="2E7839B8" w14:textId="77777777" w:rsidR="006F2A1D" w:rsidRPr="006F2A1D" w:rsidRDefault="006F2A1D" w:rsidP="006F2A1D">
      <w:pPr>
        <w:pStyle w:val="NoSpacing"/>
        <w:jc w:val="right"/>
        <w:rPr>
          <w:rFonts w:ascii="Times New Roman" w:hAnsi="Times New Roman" w:cs="Times New Roman"/>
        </w:rPr>
      </w:pPr>
      <w:r w:rsidRPr="006F2A1D">
        <w:rPr>
          <w:rFonts w:ascii="Times New Roman" w:hAnsi="Times New Roman" w:cs="Times New Roman"/>
        </w:rPr>
        <w:t xml:space="preserve">“Multi-grade among </w:t>
      </w:r>
      <w:proofErr w:type="spellStart"/>
      <w:r w:rsidRPr="006F2A1D">
        <w:rPr>
          <w:rFonts w:ascii="Times New Roman" w:hAnsi="Times New Roman" w:cs="Times New Roman"/>
        </w:rPr>
        <w:t>klase</w:t>
      </w:r>
      <w:proofErr w:type="spellEnd"/>
      <w:r w:rsidRPr="006F2A1D">
        <w:rPr>
          <w:rFonts w:ascii="Times New Roman" w:hAnsi="Times New Roman" w:cs="Times New Roman"/>
        </w:rPr>
        <w:t xml:space="preserve">, lain-lain </w:t>
      </w:r>
      <w:proofErr w:type="spellStart"/>
      <w:r w:rsidRPr="006F2A1D">
        <w:rPr>
          <w:rFonts w:ascii="Times New Roman" w:hAnsi="Times New Roman" w:cs="Times New Roman"/>
        </w:rPr>
        <w:t>og</w:t>
      </w:r>
      <w:proofErr w:type="spellEnd"/>
      <w:r w:rsidRPr="006F2A1D">
        <w:rPr>
          <w:rFonts w:ascii="Times New Roman" w:hAnsi="Times New Roman" w:cs="Times New Roman"/>
        </w:rPr>
        <w:t xml:space="preserve"> </w:t>
      </w:r>
      <w:proofErr w:type="spellStart"/>
      <w:r w:rsidRPr="006F2A1D">
        <w:rPr>
          <w:rFonts w:ascii="Times New Roman" w:hAnsi="Times New Roman" w:cs="Times New Roman"/>
        </w:rPr>
        <w:t>lebel</w:t>
      </w:r>
      <w:proofErr w:type="spellEnd"/>
      <w:r w:rsidRPr="006F2A1D">
        <w:rPr>
          <w:rFonts w:ascii="Times New Roman" w:hAnsi="Times New Roman" w:cs="Times New Roman"/>
        </w:rPr>
        <w:t xml:space="preserve"> ang </w:t>
      </w:r>
      <w:proofErr w:type="spellStart"/>
      <w:r w:rsidRPr="006F2A1D">
        <w:rPr>
          <w:rFonts w:ascii="Times New Roman" w:hAnsi="Times New Roman" w:cs="Times New Roman"/>
        </w:rPr>
        <w:t>mga</w:t>
      </w:r>
      <w:proofErr w:type="spellEnd"/>
      <w:r w:rsidRPr="006F2A1D">
        <w:rPr>
          <w:rFonts w:ascii="Times New Roman" w:hAnsi="Times New Roman" w:cs="Times New Roman"/>
        </w:rPr>
        <w:t xml:space="preserve"> bata” (Our class is multi-grade, and the children are at different levels). </w:t>
      </w:r>
    </w:p>
    <w:p w14:paraId="554B02E3" w14:textId="77777777" w:rsidR="006F2A1D" w:rsidRPr="006F2A1D" w:rsidRDefault="006F2A1D" w:rsidP="006F2A1D">
      <w:pPr>
        <w:pStyle w:val="NoSpacing"/>
        <w:jc w:val="right"/>
        <w:rPr>
          <w:rFonts w:ascii="Times New Roman" w:hAnsi="Times New Roman" w:cs="Times New Roman"/>
        </w:rPr>
      </w:pPr>
      <w:r w:rsidRPr="006F2A1D">
        <w:rPr>
          <w:rFonts w:ascii="Times New Roman" w:hAnsi="Times New Roman" w:cs="Times New Roman"/>
        </w:rPr>
        <w:t>These accounts were coded as multi-grade teaching and instructional differentiation.</w:t>
      </w:r>
    </w:p>
    <w:p w14:paraId="39BA9D66" w14:textId="77777777" w:rsidR="006F2A1D" w:rsidRPr="006F2A1D" w:rsidRDefault="006F2A1D" w:rsidP="006F2A1D">
      <w:pPr>
        <w:pStyle w:val="NoSpacing"/>
        <w:jc w:val="right"/>
        <w:rPr>
          <w:rFonts w:ascii="Times New Roman" w:hAnsi="Times New Roman" w:cs="Times New Roman"/>
        </w:rPr>
      </w:pPr>
      <w:r w:rsidRPr="006F2A1D">
        <w:rPr>
          <w:rFonts w:ascii="Times New Roman" w:hAnsi="Times New Roman" w:cs="Times New Roman"/>
        </w:rPr>
        <w:t xml:space="preserve">Teachers described structured strategies such as staggered instruction, peer tutoring, and rotational tasks. Participant 18 shared, </w:t>
      </w:r>
    </w:p>
    <w:p w14:paraId="47353137" w14:textId="77777777" w:rsidR="006F2A1D" w:rsidRPr="006F2A1D" w:rsidRDefault="006F2A1D" w:rsidP="006F2A1D">
      <w:pPr>
        <w:pStyle w:val="NoSpacing"/>
        <w:jc w:val="right"/>
        <w:rPr>
          <w:rFonts w:ascii="Times New Roman" w:hAnsi="Times New Roman" w:cs="Times New Roman"/>
        </w:rPr>
      </w:pPr>
      <w:r w:rsidRPr="006F2A1D">
        <w:rPr>
          <w:rFonts w:ascii="Times New Roman" w:hAnsi="Times New Roman" w:cs="Times New Roman"/>
        </w:rPr>
        <w:t xml:space="preserve">“Ang mas </w:t>
      </w:r>
      <w:proofErr w:type="spellStart"/>
      <w:r w:rsidRPr="006F2A1D">
        <w:rPr>
          <w:rFonts w:ascii="Times New Roman" w:hAnsi="Times New Roman" w:cs="Times New Roman"/>
        </w:rPr>
        <w:t>kusog</w:t>
      </w:r>
      <w:proofErr w:type="spellEnd"/>
      <w:r w:rsidRPr="006F2A1D">
        <w:rPr>
          <w:rFonts w:ascii="Times New Roman" w:hAnsi="Times New Roman" w:cs="Times New Roman"/>
        </w:rPr>
        <w:t xml:space="preserve"> </w:t>
      </w:r>
      <w:proofErr w:type="spellStart"/>
      <w:r w:rsidRPr="006F2A1D">
        <w:rPr>
          <w:rFonts w:ascii="Times New Roman" w:hAnsi="Times New Roman" w:cs="Times New Roman"/>
        </w:rPr>
        <w:t>nga</w:t>
      </w:r>
      <w:proofErr w:type="spellEnd"/>
      <w:r w:rsidRPr="006F2A1D">
        <w:rPr>
          <w:rFonts w:ascii="Times New Roman" w:hAnsi="Times New Roman" w:cs="Times New Roman"/>
        </w:rPr>
        <w:t xml:space="preserve"> bata </w:t>
      </w:r>
      <w:proofErr w:type="spellStart"/>
      <w:r w:rsidRPr="006F2A1D">
        <w:rPr>
          <w:rFonts w:ascii="Times New Roman" w:hAnsi="Times New Roman" w:cs="Times New Roman"/>
        </w:rPr>
        <w:t>akong</w:t>
      </w:r>
      <w:proofErr w:type="spellEnd"/>
      <w:r w:rsidRPr="006F2A1D">
        <w:rPr>
          <w:rFonts w:ascii="Times New Roman" w:hAnsi="Times New Roman" w:cs="Times New Roman"/>
        </w:rPr>
        <w:t xml:space="preserve"> </w:t>
      </w:r>
      <w:proofErr w:type="spellStart"/>
      <w:r w:rsidRPr="006F2A1D">
        <w:rPr>
          <w:rFonts w:ascii="Times New Roman" w:hAnsi="Times New Roman" w:cs="Times New Roman"/>
        </w:rPr>
        <w:t>ipatabang</w:t>
      </w:r>
      <w:proofErr w:type="spellEnd"/>
      <w:r w:rsidRPr="006F2A1D">
        <w:rPr>
          <w:rFonts w:ascii="Times New Roman" w:hAnsi="Times New Roman" w:cs="Times New Roman"/>
        </w:rPr>
        <w:t xml:space="preserve"> </w:t>
      </w:r>
      <w:proofErr w:type="spellStart"/>
      <w:r w:rsidRPr="006F2A1D">
        <w:rPr>
          <w:rFonts w:ascii="Times New Roman" w:hAnsi="Times New Roman" w:cs="Times New Roman"/>
        </w:rPr>
        <w:t>sa</w:t>
      </w:r>
      <w:proofErr w:type="spellEnd"/>
      <w:r w:rsidRPr="006F2A1D">
        <w:rPr>
          <w:rFonts w:ascii="Times New Roman" w:hAnsi="Times New Roman" w:cs="Times New Roman"/>
        </w:rPr>
        <w:t xml:space="preserve"> </w:t>
      </w:r>
      <w:proofErr w:type="spellStart"/>
      <w:r w:rsidRPr="006F2A1D">
        <w:rPr>
          <w:rFonts w:ascii="Times New Roman" w:hAnsi="Times New Roman" w:cs="Times New Roman"/>
        </w:rPr>
        <w:t>uban</w:t>
      </w:r>
      <w:proofErr w:type="spellEnd"/>
      <w:r w:rsidRPr="006F2A1D">
        <w:rPr>
          <w:rFonts w:ascii="Times New Roman" w:hAnsi="Times New Roman" w:cs="Times New Roman"/>
        </w:rPr>
        <w:t>” (I ask the stronger students to help the others).</w:t>
      </w:r>
    </w:p>
    <w:p w14:paraId="5EADD8AE" w14:textId="104B0AA0" w:rsidR="006F2A1D" w:rsidRPr="006F2A1D" w:rsidRDefault="006F2A1D" w:rsidP="006F2A1D">
      <w:pPr>
        <w:pStyle w:val="NoSpacing"/>
        <w:jc w:val="both"/>
        <w:rPr>
          <w:rFonts w:ascii="Times New Roman" w:hAnsi="Times New Roman" w:cs="Times New Roman"/>
        </w:rPr>
      </w:pPr>
      <w:r w:rsidRPr="006F2A1D">
        <w:rPr>
          <w:rFonts w:ascii="Times New Roman" w:hAnsi="Times New Roman" w:cs="Times New Roman"/>
        </w:rPr>
        <w:t xml:space="preserve">Demonstrating intentional classroom organization, Carrete-Marín (2024) emphasized that effective instructional management in multigrade classrooms requires careful planning, continuous monitoring, adaptability, and </w:t>
      </w:r>
      <w:r>
        <w:rPr>
          <w:rFonts w:ascii="Times New Roman" w:hAnsi="Times New Roman" w:cs="Times New Roman"/>
        </w:rPr>
        <w:t xml:space="preserve">the strategic use of limited resources to </w:t>
      </w:r>
      <w:r w:rsidR="007A0D26">
        <w:rPr>
          <w:rFonts w:ascii="Times New Roman" w:hAnsi="Times New Roman" w:cs="Times New Roman"/>
        </w:rPr>
        <w:t>address diverse learner needs simultaneously</w:t>
      </w:r>
      <w:r w:rsidRPr="006F2A1D">
        <w:rPr>
          <w:rFonts w:ascii="Times New Roman" w:hAnsi="Times New Roman" w:cs="Times New Roman"/>
        </w:rPr>
        <w:t>.</w:t>
      </w:r>
    </w:p>
    <w:p w14:paraId="625C7D7D" w14:textId="77777777" w:rsidR="006F2A1D" w:rsidRDefault="006F2A1D" w:rsidP="00E00D77">
      <w:pPr>
        <w:pStyle w:val="NoSpacing"/>
        <w:jc w:val="both"/>
        <w:rPr>
          <w:rFonts w:ascii="Times New Roman" w:hAnsi="Times New Roman" w:cs="Times New Roman"/>
        </w:rPr>
      </w:pPr>
    </w:p>
    <w:p w14:paraId="5578B5D3" w14:textId="128062D7" w:rsidR="00576C7F" w:rsidRDefault="00576C7F" w:rsidP="00E00D77">
      <w:pPr>
        <w:pStyle w:val="NoSpacing"/>
        <w:jc w:val="both"/>
        <w:rPr>
          <w:rFonts w:ascii="Times New Roman" w:hAnsi="Times New Roman" w:cs="Times New Roman"/>
          <w:b/>
          <w:bCs/>
        </w:rPr>
      </w:pPr>
      <w:r w:rsidRPr="00E00D77">
        <w:rPr>
          <w:rFonts w:ascii="Times New Roman" w:hAnsi="Times New Roman" w:cs="Times New Roman"/>
          <w:b/>
          <w:bCs/>
        </w:rPr>
        <w:t xml:space="preserve">CONCLUSION </w:t>
      </w:r>
    </w:p>
    <w:p w14:paraId="16F8B214" w14:textId="0ED11F5B" w:rsidR="007A0D26" w:rsidRPr="007A0D26" w:rsidRDefault="007A0D26" w:rsidP="007A0D26">
      <w:pPr>
        <w:pStyle w:val="NoSpacing"/>
        <w:ind w:firstLine="720"/>
        <w:jc w:val="both"/>
        <w:rPr>
          <w:rFonts w:ascii="Times New Roman" w:hAnsi="Times New Roman" w:cs="Times New Roman"/>
        </w:rPr>
      </w:pPr>
      <w:r w:rsidRPr="007A0D26">
        <w:rPr>
          <w:rFonts w:ascii="Times New Roman" w:hAnsi="Times New Roman" w:cs="Times New Roman"/>
          <w:lang w:val="en-US"/>
        </w:rPr>
        <w:t xml:space="preserve">The lived experiences of teachers in geographically isolated areas reveal that teaching </w:t>
      </w:r>
      <w:r>
        <w:rPr>
          <w:rFonts w:ascii="Times New Roman" w:hAnsi="Times New Roman" w:cs="Times New Roman"/>
          <w:lang w:val="en-US"/>
        </w:rPr>
        <w:t>in such settings is characterized by persistent structural challenges, including inadequate infrastructure, intensified workloads</w:t>
      </w:r>
      <w:r w:rsidRPr="007A0D26">
        <w:rPr>
          <w:rFonts w:ascii="Times New Roman" w:hAnsi="Times New Roman" w:cs="Times New Roman"/>
          <w:lang w:val="en-US"/>
        </w:rPr>
        <w:t xml:space="preserve">, and limited professional support. Despite these constraints, teachers demonstrated remarkable resilience and adaptability by employing learner-centered approaches, contextualized instruction, resource improvisation, and flexible pedagogical strategies to sustain learning in remote communities. Their experiences highlight </w:t>
      </w:r>
      <w:r w:rsidRPr="007A0D26">
        <w:rPr>
          <w:rFonts w:ascii="Times New Roman" w:hAnsi="Times New Roman" w:cs="Times New Roman"/>
          <w:lang w:val="en-US"/>
        </w:rPr>
        <w:lastRenderedPageBreak/>
        <w:t>how resilience is not merely an individual attribute but a continuous response to institutional and environmental limitations that shape daily educational practice. The findings further underscore that while teachers’ commitment and ingenuity enable them to overcome many barriers, long-term educational quality and teacher well-being cannot rely solely on personal sacrifice. Strengthening institutional support, improving access to professional development, enhancing school facilities, and providing responsive policies for geographically isolated schools are essential to ensuring equitable, sustainable, and inclusive education for marginalized learners.</w:t>
      </w:r>
    </w:p>
    <w:p w14:paraId="4A2755A8" w14:textId="77777777" w:rsidR="007A0D26" w:rsidRDefault="007A0D26" w:rsidP="00E00D77">
      <w:pPr>
        <w:pStyle w:val="NoSpacing"/>
        <w:jc w:val="both"/>
        <w:rPr>
          <w:rFonts w:ascii="Times New Roman" w:hAnsi="Times New Roman" w:cs="Times New Roman"/>
          <w:b/>
          <w:bCs/>
        </w:rPr>
      </w:pPr>
    </w:p>
    <w:p w14:paraId="53AFC980" w14:textId="6B662F09" w:rsidR="00576C7F" w:rsidRPr="00E00D77" w:rsidRDefault="00576C7F" w:rsidP="00E00D77">
      <w:pPr>
        <w:pStyle w:val="NoSpacing"/>
        <w:jc w:val="both"/>
        <w:rPr>
          <w:rFonts w:ascii="Times New Roman" w:hAnsi="Times New Roman" w:cs="Times New Roman"/>
          <w:b/>
          <w:bCs/>
        </w:rPr>
      </w:pPr>
      <w:r w:rsidRPr="00E00D77">
        <w:rPr>
          <w:rFonts w:ascii="Times New Roman" w:hAnsi="Times New Roman" w:cs="Times New Roman"/>
          <w:b/>
          <w:bCs/>
        </w:rPr>
        <w:t xml:space="preserve">Declaration </w:t>
      </w:r>
    </w:p>
    <w:p w14:paraId="03119514" w14:textId="77777777" w:rsidR="007A0D26" w:rsidRPr="007A0D26" w:rsidRDefault="007A0D26" w:rsidP="007A0D26">
      <w:pPr>
        <w:pStyle w:val="NoSpacing"/>
        <w:jc w:val="both"/>
        <w:rPr>
          <w:rFonts w:ascii="Times New Roman" w:hAnsi="Times New Roman"/>
        </w:rPr>
      </w:pPr>
      <w:r w:rsidRPr="007A0D26">
        <w:rPr>
          <w:rFonts w:ascii="Times New Roman" w:hAnsi="Times New Roman"/>
          <w:b/>
          <w:bCs/>
        </w:rPr>
        <w:t>Use of AI Technology</w:t>
      </w:r>
      <w:r w:rsidRPr="007A0D26">
        <w:rPr>
          <w:rFonts w:ascii="Times New Roman" w:hAnsi="Times New Roman"/>
        </w:rPr>
        <w:t>: The authors used Grammarly and ChatGPT (OpenAI) to assist in grammar checking, language enhancement, manuscript organization, and editorial refinement during the preparation of this manuscript. All research activities, data collection, analysis, interpretation of findings, and conclusions were conducted and verified by the authors. The authors take full responsibility for the accuracy, originality, and integrity of the work.</w:t>
      </w:r>
    </w:p>
    <w:p w14:paraId="2B767DD6" w14:textId="77777777" w:rsidR="007A0D26" w:rsidRDefault="007A0D26" w:rsidP="007A0D26">
      <w:pPr>
        <w:pStyle w:val="NoSpacing"/>
        <w:jc w:val="both"/>
        <w:rPr>
          <w:rFonts w:ascii="Times New Roman" w:hAnsi="Times New Roman"/>
          <w:b/>
          <w:bCs/>
        </w:rPr>
      </w:pPr>
    </w:p>
    <w:p w14:paraId="5490D59D" w14:textId="6C20F4DA" w:rsidR="007A0D26" w:rsidRPr="007A0D26" w:rsidRDefault="007A0D26" w:rsidP="007A0D26">
      <w:pPr>
        <w:pStyle w:val="NoSpacing"/>
        <w:jc w:val="both"/>
        <w:rPr>
          <w:rFonts w:ascii="Times New Roman" w:hAnsi="Times New Roman"/>
        </w:rPr>
      </w:pPr>
      <w:r w:rsidRPr="007A0D26">
        <w:rPr>
          <w:rFonts w:ascii="Times New Roman" w:hAnsi="Times New Roman"/>
          <w:b/>
          <w:bCs/>
        </w:rPr>
        <w:t>Conflicts of Interest</w:t>
      </w:r>
      <w:r w:rsidRPr="007A0D26">
        <w:rPr>
          <w:rFonts w:ascii="Times New Roman" w:hAnsi="Times New Roman"/>
        </w:rPr>
        <w:t>: The authors declare no conflicts of interest related to this study.</w:t>
      </w:r>
    </w:p>
    <w:p w14:paraId="7DBF8250" w14:textId="77777777" w:rsidR="007A0D26" w:rsidRDefault="007A0D26" w:rsidP="007A0D26">
      <w:pPr>
        <w:pStyle w:val="NoSpacing"/>
        <w:jc w:val="both"/>
        <w:rPr>
          <w:rFonts w:ascii="Times New Roman" w:hAnsi="Times New Roman"/>
          <w:b/>
          <w:bCs/>
        </w:rPr>
      </w:pPr>
    </w:p>
    <w:p w14:paraId="535FCE77" w14:textId="7BC633D6" w:rsidR="007A0D26" w:rsidRPr="007A0D26" w:rsidRDefault="007A0D26" w:rsidP="007A0D26">
      <w:pPr>
        <w:pStyle w:val="NoSpacing"/>
        <w:jc w:val="both"/>
        <w:rPr>
          <w:rFonts w:ascii="Times New Roman" w:hAnsi="Times New Roman"/>
        </w:rPr>
      </w:pPr>
      <w:r w:rsidRPr="007A0D26">
        <w:rPr>
          <w:rFonts w:ascii="Times New Roman" w:hAnsi="Times New Roman"/>
          <w:b/>
          <w:bCs/>
        </w:rPr>
        <w:t>Funding:</w:t>
      </w:r>
      <w:r w:rsidRPr="007A0D26">
        <w:rPr>
          <w:rFonts w:ascii="Times New Roman" w:hAnsi="Times New Roman"/>
        </w:rPr>
        <w:t xml:space="preserve"> This research received no external funding.</w:t>
      </w:r>
    </w:p>
    <w:p w14:paraId="44AE41D9" w14:textId="77777777" w:rsidR="007A0D26" w:rsidRDefault="007A0D26" w:rsidP="007A0D26">
      <w:pPr>
        <w:pStyle w:val="NoSpacing"/>
        <w:jc w:val="both"/>
        <w:rPr>
          <w:rFonts w:ascii="Times New Roman" w:hAnsi="Times New Roman"/>
          <w:b/>
          <w:bCs/>
        </w:rPr>
      </w:pPr>
    </w:p>
    <w:p w14:paraId="1D808153" w14:textId="36F734B8" w:rsidR="007A0D26" w:rsidRPr="007A0D26" w:rsidRDefault="007A0D26" w:rsidP="007A0D26">
      <w:pPr>
        <w:pStyle w:val="NoSpacing"/>
        <w:jc w:val="both"/>
        <w:rPr>
          <w:rFonts w:ascii="Times New Roman" w:hAnsi="Times New Roman"/>
        </w:rPr>
      </w:pPr>
      <w:r w:rsidRPr="007A0D26">
        <w:rPr>
          <w:rFonts w:ascii="Times New Roman" w:hAnsi="Times New Roman"/>
          <w:b/>
          <w:bCs/>
        </w:rPr>
        <w:t>Human Participants and Ethical Considerations:</w:t>
      </w:r>
      <w:r w:rsidRPr="007A0D26">
        <w:rPr>
          <w:rFonts w:ascii="Times New Roman" w:hAnsi="Times New Roman"/>
        </w:rPr>
        <w:t xml:space="preserve"> This study involved human participants and adhered to established ethical standards for qualitative research. Informed consent was obtained from all participants prior to data collection, and participation was entirely voluntary. Participants were assured of confidentiality, anonymity, and their right to withdraw from the study at any time without penalty. All information gathered was used exclusively for academic and research purposes.</w:t>
      </w:r>
    </w:p>
    <w:p w14:paraId="64A34B7A" w14:textId="45955B3D" w:rsidR="00576C7F" w:rsidRDefault="00576C7F" w:rsidP="007A0D26">
      <w:pPr>
        <w:pStyle w:val="NoSpacing"/>
        <w:jc w:val="both"/>
        <w:rPr>
          <w:rFonts w:ascii="Times New Roman" w:hAnsi="Times New Roman" w:cs="Times New Roman"/>
        </w:rPr>
      </w:pPr>
    </w:p>
    <w:p w14:paraId="2A0796F5" w14:textId="77777777" w:rsidR="009E1A9A" w:rsidRDefault="009E1A9A" w:rsidP="007A0D26">
      <w:pPr>
        <w:pStyle w:val="NoSpacing"/>
        <w:jc w:val="both"/>
        <w:rPr>
          <w:rFonts w:ascii="Times New Roman" w:hAnsi="Times New Roman" w:cs="Times New Roman"/>
          <w:b/>
          <w:bCs/>
        </w:rPr>
      </w:pPr>
    </w:p>
    <w:p w14:paraId="562718D5" w14:textId="4249F34D" w:rsidR="009E1A9A" w:rsidRPr="009E1A9A" w:rsidRDefault="009E1A9A" w:rsidP="007A0D26">
      <w:pPr>
        <w:pStyle w:val="NoSpacing"/>
        <w:jc w:val="both"/>
        <w:rPr>
          <w:rFonts w:ascii="Times New Roman" w:hAnsi="Times New Roman" w:cs="Times New Roman"/>
          <w:b/>
          <w:bCs/>
        </w:rPr>
      </w:pPr>
      <w:r w:rsidRPr="009E1A9A">
        <w:rPr>
          <w:rFonts w:ascii="Times New Roman" w:hAnsi="Times New Roman" w:cs="Times New Roman"/>
          <w:b/>
          <w:bCs/>
        </w:rPr>
        <w:t>Reference</w:t>
      </w:r>
    </w:p>
    <w:p w14:paraId="4CB755AD" w14:textId="77777777" w:rsidR="009E1A9A" w:rsidRPr="009E1A9A" w:rsidRDefault="009E1A9A" w:rsidP="009E1A9A">
      <w:pPr>
        <w:pStyle w:val="NoSpacing"/>
        <w:jc w:val="both"/>
        <w:rPr>
          <w:rFonts w:ascii="Times New Roman" w:hAnsi="Times New Roman"/>
          <w:b/>
          <w:bCs/>
        </w:rPr>
      </w:pPr>
      <w:r w:rsidRPr="009E1A9A">
        <w:rPr>
          <w:rFonts w:ascii="Times New Roman" w:hAnsi="Times New Roman"/>
          <w:b/>
          <w:bCs/>
        </w:rPr>
        <w:t>References</w:t>
      </w:r>
    </w:p>
    <w:p w14:paraId="305EB9D2"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Avalos, B. (2021). Teacher professional development in teaching and teacher education over ten years. </w:t>
      </w:r>
      <w:r w:rsidRPr="009E1A9A">
        <w:rPr>
          <w:rFonts w:ascii="Times New Roman" w:hAnsi="Times New Roman"/>
          <w:i/>
          <w:iCs/>
        </w:rPr>
        <w:t>Teaching and Teacher Education, 27</w:t>
      </w:r>
      <w:r w:rsidRPr="009E1A9A">
        <w:rPr>
          <w:rFonts w:ascii="Times New Roman" w:hAnsi="Times New Roman"/>
        </w:rPr>
        <w:t>(1), 10–20.</w:t>
      </w:r>
    </w:p>
    <w:p w14:paraId="3D0B7D50"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Azano, A. P., &amp; Stewart, T. T. (2024). Rural education and educational equity in geographically isolated communities. </w:t>
      </w:r>
      <w:r w:rsidRPr="009E1A9A">
        <w:rPr>
          <w:rFonts w:ascii="Times New Roman" w:hAnsi="Times New Roman"/>
          <w:i/>
          <w:iCs/>
        </w:rPr>
        <w:t>The Rural Educator, 45</w:t>
      </w:r>
      <w:r w:rsidRPr="009E1A9A">
        <w:rPr>
          <w:rFonts w:ascii="Times New Roman" w:hAnsi="Times New Roman"/>
        </w:rPr>
        <w:t>(1), 1–12.</w:t>
      </w:r>
    </w:p>
    <w:p w14:paraId="7CD33F99"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Barley, Z. A., &amp; Beesley, A. D. (2021). Rural school success and teacher adaptability in challenging contexts. </w:t>
      </w:r>
      <w:r w:rsidRPr="009E1A9A">
        <w:rPr>
          <w:rFonts w:ascii="Times New Roman" w:hAnsi="Times New Roman"/>
          <w:i/>
          <w:iCs/>
        </w:rPr>
        <w:t>Journal of Research in Rural Education, 37</w:t>
      </w:r>
      <w:r w:rsidRPr="009E1A9A">
        <w:rPr>
          <w:rFonts w:ascii="Times New Roman" w:hAnsi="Times New Roman"/>
        </w:rPr>
        <w:t>(2), 1–15.</w:t>
      </w:r>
    </w:p>
    <w:p w14:paraId="4F3BD31B"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Beltman, S., &amp; Mansfield, C. F. (2022). Teacher professional resilience: A review of contemporary perspectives and practices. </w:t>
      </w:r>
      <w:r w:rsidRPr="009E1A9A">
        <w:rPr>
          <w:rFonts w:ascii="Times New Roman" w:hAnsi="Times New Roman"/>
          <w:i/>
          <w:iCs/>
        </w:rPr>
        <w:t>Teachers and Teaching, 28</w:t>
      </w:r>
      <w:r w:rsidRPr="009E1A9A">
        <w:rPr>
          <w:rFonts w:ascii="Times New Roman" w:hAnsi="Times New Roman"/>
        </w:rPr>
        <w:t>(6), 701–718.</w:t>
      </w:r>
    </w:p>
    <w:p w14:paraId="451E9CD5"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Borman, G. D., &amp; Dowling, N. M. (2020). Teacher attrition and retention: A meta-analytic and narrative review of the research. </w:t>
      </w:r>
      <w:r w:rsidRPr="009E1A9A">
        <w:rPr>
          <w:rFonts w:ascii="Times New Roman" w:hAnsi="Times New Roman"/>
          <w:i/>
          <w:iCs/>
        </w:rPr>
        <w:t>Review of Educational Research, 88</w:t>
      </w:r>
      <w:r w:rsidRPr="009E1A9A">
        <w:rPr>
          <w:rFonts w:ascii="Times New Roman" w:hAnsi="Times New Roman"/>
        </w:rPr>
        <w:t>(3), 367–409.</w:t>
      </w:r>
    </w:p>
    <w:p w14:paraId="4273720B"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Carrete-Marín, N. (2024). Instructional management practices in multigrade classrooms: Challenges and adaptive strategies. </w:t>
      </w:r>
      <w:r w:rsidRPr="009E1A9A">
        <w:rPr>
          <w:rFonts w:ascii="Times New Roman" w:hAnsi="Times New Roman"/>
          <w:i/>
          <w:iCs/>
        </w:rPr>
        <w:t>International Journal of Educational Development, 104</w:t>
      </w:r>
      <w:r w:rsidRPr="009E1A9A">
        <w:rPr>
          <w:rFonts w:ascii="Times New Roman" w:hAnsi="Times New Roman"/>
        </w:rPr>
        <w:t>, 102945.</w:t>
      </w:r>
    </w:p>
    <w:p w14:paraId="61EAE197"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Cochran-Smith, M., &amp; Lytle, S. L. (2021). </w:t>
      </w:r>
      <w:r w:rsidRPr="009E1A9A">
        <w:rPr>
          <w:rFonts w:ascii="Times New Roman" w:hAnsi="Times New Roman"/>
          <w:i/>
          <w:iCs/>
        </w:rPr>
        <w:t>Inquiry as stance: Practitioner research for the next generation</w:t>
      </w:r>
      <w:r w:rsidRPr="009E1A9A">
        <w:rPr>
          <w:rFonts w:ascii="Times New Roman" w:hAnsi="Times New Roman"/>
        </w:rPr>
        <w:t>. Teachers College Press.</w:t>
      </w:r>
    </w:p>
    <w:p w14:paraId="0ADD56A5"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Creswell, J. W., &amp; Poth, C. N. (2021). </w:t>
      </w:r>
      <w:r w:rsidRPr="009E1A9A">
        <w:rPr>
          <w:rFonts w:ascii="Times New Roman" w:hAnsi="Times New Roman"/>
          <w:i/>
          <w:iCs/>
        </w:rPr>
        <w:t>Qualitative inquiry and research design: Choosing among five approaches</w:t>
      </w:r>
      <w:r w:rsidRPr="009E1A9A">
        <w:rPr>
          <w:rFonts w:ascii="Times New Roman" w:hAnsi="Times New Roman"/>
        </w:rPr>
        <w:t xml:space="preserve"> (5th ed.). Sage Publications.</w:t>
      </w:r>
    </w:p>
    <w:p w14:paraId="6851A3EC"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Darling-Hammond, L., Flook, L., Cook-Harvey, C., Barron, B., &amp; Osher, D. (2020). Implications for educational practice of the science of learning and development. </w:t>
      </w:r>
      <w:r w:rsidRPr="009E1A9A">
        <w:rPr>
          <w:rFonts w:ascii="Times New Roman" w:hAnsi="Times New Roman"/>
          <w:i/>
          <w:iCs/>
        </w:rPr>
        <w:t>Applied Developmental Science, 24</w:t>
      </w:r>
      <w:r w:rsidRPr="009E1A9A">
        <w:rPr>
          <w:rFonts w:ascii="Times New Roman" w:hAnsi="Times New Roman"/>
        </w:rPr>
        <w:t>(2), 97–140.</w:t>
      </w:r>
    </w:p>
    <w:p w14:paraId="1F0A867A"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lastRenderedPageBreak/>
        <w:t xml:space="preserve">Darling-Hammond, L., Hyler, M. E., &amp; Gardner, M. (2021). </w:t>
      </w:r>
      <w:r w:rsidRPr="009E1A9A">
        <w:rPr>
          <w:rFonts w:ascii="Times New Roman" w:hAnsi="Times New Roman"/>
          <w:i/>
          <w:iCs/>
        </w:rPr>
        <w:t>Effective teacher professional development</w:t>
      </w:r>
      <w:r w:rsidRPr="009E1A9A">
        <w:rPr>
          <w:rFonts w:ascii="Times New Roman" w:hAnsi="Times New Roman"/>
        </w:rPr>
        <w:t>. Learning Policy Institute.</w:t>
      </w:r>
    </w:p>
    <w:p w14:paraId="71D5C5D1"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Department of Education. (2022). </w:t>
      </w:r>
      <w:r w:rsidRPr="009E1A9A">
        <w:rPr>
          <w:rFonts w:ascii="Times New Roman" w:hAnsi="Times New Roman"/>
          <w:i/>
          <w:iCs/>
        </w:rPr>
        <w:t>Basic Education Development Plan 2030</w:t>
      </w:r>
      <w:r w:rsidRPr="009E1A9A">
        <w:rPr>
          <w:rFonts w:ascii="Times New Roman" w:hAnsi="Times New Roman"/>
        </w:rPr>
        <w:t>. Department of Education.</w:t>
      </w:r>
    </w:p>
    <w:p w14:paraId="3112D86A"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Earthman, G. I. (2020). School facility conditions and student academic achievement. </w:t>
      </w:r>
      <w:r w:rsidRPr="009E1A9A">
        <w:rPr>
          <w:rFonts w:ascii="Times New Roman" w:hAnsi="Times New Roman"/>
          <w:i/>
          <w:iCs/>
        </w:rPr>
        <w:t>International Journal of Educational Facility Planning, 58</w:t>
      </w:r>
      <w:r w:rsidRPr="009E1A9A">
        <w:rPr>
          <w:rFonts w:ascii="Times New Roman" w:hAnsi="Times New Roman"/>
        </w:rPr>
        <w:t>(2), 15–28.</w:t>
      </w:r>
    </w:p>
    <w:p w14:paraId="3B052D28"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Gkontzou, A., &amp; Zachos, D. T. (2024). Culturally responsive teaching and contextualized learning in diverse educational settings. </w:t>
      </w:r>
      <w:r w:rsidRPr="009E1A9A">
        <w:rPr>
          <w:rFonts w:ascii="Times New Roman" w:hAnsi="Times New Roman"/>
          <w:i/>
          <w:iCs/>
        </w:rPr>
        <w:t>Education Sciences, 14</w:t>
      </w:r>
      <w:r w:rsidRPr="009E1A9A">
        <w:rPr>
          <w:rFonts w:ascii="Times New Roman" w:hAnsi="Times New Roman"/>
        </w:rPr>
        <w:t>(2), 145–160.</w:t>
      </w:r>
    </w:p>
    <w:p w14:paraId="50A2186B"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Gu, Q., &amp; Day, C. (2022). Teachers’ resilience and commitment in challenging educational contexts. </w:t>
      </w:r>
      <w:r w:rsidRPr="009E1A9A">
        <w:rPr>
          <w:rFonts w:ascii="Times New Roman" w:hAnsi="Times New Roman"/>
          <w:i/>
          <w:iCs/>
        </w:rPr>
        <w:t>Teaching and Teacher Education, 115</w:t>
      </w:r>
      <w:r w:rsidRPr="009E1A9A">
        <w:rPr>
          <w:rFonts w:ascii="Times New Roman" w:hAnsi="Times New Roman"/>
        </w:rPr>
        <w:t>, 103731.</w:t>
      </w:r>
    </w:p>
    <w:p w14:paraId="758FA63F"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Halsey, R. J. (2020). </w:t>
      </w:r>
      <w:r w:rsidRPr="009E1A9A">
        <w:rPr>
          <w:rFonts w:ascii="Times New Roman" w:hAnsi="Times New Roman"/>
          <w:i/>
          <w:iCs/>
        </w:rPr>
        <w:t>Education and isolation: Challenges and opportunities in remote schooling</w:t>
      </w:r>
      <w:r w:rsidRPr="009E1A9A">
        <w:rPr>
          <w:rFonts w:ascii="Times New Roman" w:hAnsi="Times New Roman"/>
        </w:rPr>
        <w:t>. Routledge.</w:t>
      </w:r>
    </w:p>
    <w:p w14:paraId="22E9B5E0"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Hargreaves, A., &amp; Fullan, M. (2021). </w:t>
      </w:r>
      <w:r w:rsidRPr="009E1A9A">
        <w:rPr>
          <w:rFonts w:ascii="Times New Roman" w:hAnsi="Times New Roman"/>
          <w:i/>
          <w:iCs/>
        </w:rPr>
        <w:t>Professional capital: Transforming teaching in every school</w:t>
      </w:r>
      <w:r w:rsidRPr="009E1A9A">
        <w:rPr>
          <w:rFonts w:ascii="Times New Roman" w:hAnsi="Times New Roman"/>
        </w:rPr>
        <w:t xml:space="preserve"> (2nd ed.). Teachers College Press.</w:t>
      </w:r>
    </w:p>
    <w:p w14:paraId="7AF316EE"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Ingersoll, R. M., &amp; Strong, M. (2021). The impact of induction and mentoring programs for beginning teachers: A critical review of the research. </w:t>
      </w:r>
      <w:r w:rsidRPr="009E1A9A">
        <w:rPr>
          <w:rFonts w:ascii="Times New Roman" w:hAnsi="Times New Roman"/>
          <w:i/>
          <w:iCs/>
        </w:rPr>
        <w:t>Review of Educational Research, 81</w:t>
      </w:r>
      <w:r w:rsidRPr="009E1A9A">
        <w:rPr>
          <w:rFonts w:ascii="Times New Roman" w:hAnsi="Times New Roman"/>
        </w:rPr>
        <w:t>(2), 201–233.</w:t>
      </w:r>
    </w:p>
    <w:p w14:paraId="5AC3B061"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Kim, L. E., &amp; Asbury, K. (2023). Teachers’ resilience and adaptive capacity in challenging educational contexts. </w:t>
      </w:r>
      <w:r w:rsidRPr="009E1A9A">
        <w:rPr>
          <w:rFonts w:ascii="Times New Roman" w:hAnsi="Times New Roman"/>
          <w:i/>
          <w:iCs/>
        </w:rPr>
        <w:t>Teaching and Teacher Education, 125</w:t>
      </w:r>
      <w:r w:rsidRPr="009E1A9A">
        <w:rPr>
          <w:rFonts w:ascii="Times New Roman" w:hAnsi="Times New Roman"/>
        </w:rPr>
        <w:t>, 104041.</w:t>
      </w:r>
    </w:p>
    <w:p w14:paraId="20526643"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Mansfield, C. F., Beltman, S., Broadley, T., &amp; Weatherby-Fell, N. (2023). Building teacher resilience in diverse educational settings. </w:t>
      </w:r>
      <w:r w:rsidRPr="009E1A9A">
        <w:rPr>
          <w:rFonts w:ascii="Times New Roman" w:hAnsi="Times New Roman"/>
          <w:i/>
          <w:iCs/>
        </w:rPr>
        <w:t>Australian Journal of Teacher Education, 48</w:t>
      </w:r>
      <w:r w:rsidRPr="009E1A9A">
        <w:rPr>
          <w:rFonts w:ascii="Times New Roman" w:hAnsi="Times New Roman"/>
        </w:rPr>
        <w:t>(3), 1–18.</w:t>
      </w:r>
    </w:p>
    <w:p w14:paraId="1429D6D5"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McLeod, S., &amp; Dulsky, S. (2024). Adaptive teaching practices in rural and remote schools: Emerging perspectives from educational resilience research. </w:t>
      </w:r>
      <w:r w:rsidRPr="009E1A9A">
        <w:rPr>
          <w:rFonts w:ascii="Times New Roman" w:hAnsi="Times New Roman"/>
          <w:i/>
          <w:iCs/>
        </w:rPr>
        <w:t>The Rural Educator, 45</w:t>
      </w:r>
      <w:r w:rsidRPr="009E1A9A">
        <w:rPr>
          <w:rFonts w:ascii="Times New Roman" w:hAnsi="Times New Roman"/>
        </w:rPr>
        <w:t>(1), 35–49.</w:t>
      </w:r>
    </w:p>
    <w:p w14:paraId="24236F97" w14:textId="77777777" w:rsidR="009E1A9A" w:rsidRPr="009E1A9A" w:rsidRDefault="009E1A9A" w:rsidP="009E1A9A">
      <w:pPr>
        <w:pStyle w:val="NoSpacing"/>
        <w:ind w:firstLine="720"/>
        <w:jc w:val="both"/>
        <w:rPr>
          <w:rFonts w:ascii="Times New Roman" w:hAnsi="Times New Roman"/>
        </w:rPr>
      </w:pPr>
      <w:proofErr w:type="spellStart"/>
      <w:r w:rsidRPr="009E1A9A">
        <w:rPr>
          <w:rFonts w:ascii="Times New Roman" w:hAnsi="Times New Roman"/>
        </w:rPr>
        <w:t>Noddings</w:t>
      </w:r>
      <w:proofErr w:type="spellEnd"/>
      <w:r w:rsidRPr="009E1A9A">
        <w:rPr>
          <w:rFonts w:ascii="Times New Roman" w:hAnsi="Times New Roman"/>
        </w:rPr>
        <w:t xml:space="preserve">, N. (2020). </w:t>
      </w:r>
      <w:r w:rsidRPr="009E1A9A">
        <w:rPr>
          <w:rFonts w:ascii="Times New Roman" w:hAnsi="Times New Roman"/>
          <w:i/>
          <w:iCs/>
        </w:rPr>
        <w:t>Caring: A relational approach to ethics and moral education</w:t>
      </w:r>
      <w:r w:rsidRPr="009E1A9A">
        <w:rPr>
          <w:rFonts w:ascii="Times New Roman" w:hAnsi="Times New Roman"/>
        </w:rPr>
        <w:t xml:space="preserve"> (3rd ed.). University of California Press.</w:t>
      </w:r>
    </w:p>
    <w:p w14:paraId="7E7CAEE5" w14:textId="77777777" w:rsidR="009E1A9A" w:rsidRPr="009E1A9A" w:rsidRDefault="009E1A9A" w:rsidP="009E1A9A">
      <w:pPr>
        <w:pStyle w:val="NoSpacing"/>
        <w:ind w:firstLine="720"/>
        <w:jc w:val="both"/>
        <w:rPr>
          <w:rFonts w:ascii="Times New Roman" w:hAnsi="Times New Roman"/>
        </w:rPr>
      </w:pPr>
      <w:proofErr w:type="spellStart"/>
      <w:r w:rsidRPr="009E1A9A">
        <w:rPr>
          <w:rFonts w:ascii="Times New Roman" w:hAnsi="Times New Roman"/>
        </w:rPr>
        <w:t>Organisation</w:t>
      </w:r>
      <w:proofErr w:type="spellEnd"/>
      <w:r w:rsidRPr="009E1A9A">
        <w:rPr>
          <w:rFonts w:ascii="Times New Roman" w:hAnsi="Times New Roman"/>
        </w:rPr>
        <w:t xml:space="preserve"> for Economic Co-operation and Development. (2023). </w:t>
      </w:r>
      <w:r w:rsidRPr="009E1A9A">
        <w:rPr>
          <w:rFonts w:ascii="Times New Roman" w:hAnsi="Times New Roman"/>
          <w:i/>
          <w:iCs/>
        </w:rPr>
        <w:t xml:space="preserve">Education </w:t>
      </w:r>
      <w:proofErr w:type="gramStart"/>
      <w:r w:rsidRPr="009E1A9A">
        <w:rPr>
          <w:rFonts w:ascii="Times New Roman" w:hAnsi="Times New Roman"/>
          <w:i/>
          <w:iCs/>
        </w:rPr>
        <w:t>at a glance</w:t>
      </w:r>
      <w:proofErr w:type="gramEnd"/>
      <w:r w:rsidRPr="009E1A9A">
        <w:rPr>
          <w:rFonts w:ascii="Times New Roman" w:hAnsi="Times New Roman"/>
          <w:i/>
          <w:iCs/>
        </w:rPr>
        <w:t xml:space="preserve"> 2023: OECD indicators</w:t>
      </w:r>
      <w:r w:rsidRPr="009E1A9A">
        <w:rPr>
          <w:rFonts w:ascii="Times New Roman" w:hAnsi="Times New Roman"/>
        </w:rPr>
        <w:t>. OECD Publishing.</w:t>
      </w:r>
    </w:p>
    <w:p w14:paraId="104E8C7E" w14:textId="77777777" w:rsidR="009E1A9A" w:rsidRPr="009E1A9A" w:rsidRDefault="009E1A9A" w:rsidP="009E1A9A">
      <w:pPr>
        <w:pStyle w:val="NoSpacing"/>
        <w:ind w:firstLine="720"/>
        <w:jc w:val="both"/>
        <w:rPr>
          <w:rFonts w:ascii="Times New Roman" w:hAnsi="Times New Roman"/>
        </w:rPr>
      </w:pPr>
      <w:proofErr w:type="spellStart"/>
      <w:r w:rsidRPr="009E1A9A">
        <w:rPr>
          <w:rFonts w:ascii="Times New Roman" w:hAnsi="Times New Roman"/>
        </w:rPr>
        <w:t>Organisation</w:t>
      </w:r>
      <w:proofErr w:type="spellEnd"/>
      <w:r w:rsidRPr="009E1A9A">
        <w:rPr>
          <w:rFonts w:ascii="Times New Roman" w:hAnsi="Times New Roman"/>
        </w:rPr>
        <w:t xml:space="preserve"> for Economic Co-operation and Development. (2021). </w:t>
      </w:r>
      <w:r w:rsidRPr="009E1A9A">
        <w:rPr>
          <w:rFonts w:ascii="Times New Roman" w:hAnsi="Times New Roman"/>
          <w:i/>
          <w:iCs/>
        </w:rPr>
        <w:t>The state of school education: One year into the COVID pandemic</w:t>
      </w:r>
      <w:r w:rsidRPr="009E1A9A">
        <w:rPr>
          <w:rFonts w:ascii="Times New Roman" w:hAnsi="Times New Roman"/>
        </w:rPr>
        <w:t>. OECD Publishing.</w:t>
      </w:r>
    </w:p>
    <w:p w14:paraId="307076A5"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Roberts, P., &amp; Fuqua, M. (2022). Challenges and opportunities for teachers in geographically isolated schools. </w:t>
      </w:r>
      <w:r w:rsidRPr="009E1A9A">
        <w:rPr>
          <w:rFonts w:ascii="Times New Roman" w:hAnsi="Times New Roman"/>
          <w:i/>
          <w:iCs/>
        </w:rPr>
        <w:t>Journal of Research in Rural Education, 38</w:t>
      </w:r>
      <w:r w:rsidRPr="009E1A9A">
        <w:rPr>
          <w:rFonts w:ascii="Times New Roman" w:hAnsi="Times New Roman"/>
        </w:rPr>
        <w:t>(4), 1–15.</w:t>
      </w:r>
    </w:p>
    <w:p w14:paraId="65846C9C"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SEAMEO INNOTECH. (2022). </w:t>
      </w:r>
      <w:r w:rsidRPr="009E1A9A">
        <w:rPr>
          <w:rFonts w:ascii="Times New Roman" w:hAnsi="Times New Roman"/>
          <w:i/>
          <w:iCs/>
        </w:rPr>
        <w:t>Profile of multigrade schools in the Philippines</w:t>
      </w:r>
      <w:r w:rsidRPr="009E1A9A">
        <w:rPr>
          <w:rFonts w:ascii="Times New Roman" w:hAnsi="Times New Roman"/>
        </w:rPr>
        <w:t>. SEAMEO INNOTECH.</w:t>
      </w:r>
    </w:p>
    <w:p w14:paraId="24478041"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Smith, J. A., Flowers, P., &amp; Larkin, M. (2021). </w:t>
      </w:r>
      <w:r w:rsidRPr="009E1A9A">
        <w:rPr>
          <w:rFonts w:ascii="Times New Roman" w:hAnsi="Times New Roman"/>
          <w:i/>
          <w:iCs/>
        </w:rPr>
        <w:t>Interpretative phenomenological analysis: Theory, method and research</w:t>
      </w:r>
      <w:r w:rsidRPr="009E1A9A">
        <w:rPr>
          <w:rFonts w:ascii="Times New Roman" w:hAnsi="Times New Roman"/>
        </w:rPr>
        <w:t xml:space="preserve"> (2nd ed.). Sage Publications.</w:t>
      </w:r>
    </w:p>
    <w:p w14:paraId="66100073"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UNESCO. (2024). </w:t>
      </w:r>
      <w:r w:rsidRPr="009E1A9A">
        <w:rPr>
          <w:rFonts w:ascii="Times New Roman" w:hAnsi="Times New Roman"/>
          <w:i/>
          <w:iCs/>
        </w:rPr>
        <w:t>Global report on teachers: Addressing teacher shortages and transforming the profession</w:t>
      </w:r>
      <w:r w:rsidRPr="009E1A9A">
        <w:rPr>
          <w:rFonts w:ascii="Times New Roman" w:hAnsi="Times New Roman"/>
        </w:rPr>
        <w:t>. UNESCO Publishing.</w:t>
      </w:r>
    </w:p>
    <w:p w14:paraId="0EEE1685"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Walker, Z., &amp; </w:t>
      </w:r>
      <w:proofErr w:type="spellStart"/>
      <w:r w:rsidRPr="009E1A9A">
        <w:rPr>
          <w:rFonts w:ascii="Times New Roman" w:hAnsi="Times New Roman"/>
        </w:rPr>
        <w:t>Tondeur</w:t>
      </w:r>
      <w:proofErr w:type="spellEnd"/>
      <w:r w:rsidRPr="009E1A9A">
        <w:rPr>
          <w:rFonts w:ascii="Times New Roman" w:hAnsi="Times New Roman"/>
        </w:rPr>
        <w:t xml:space="preserve">, J. (2023). Community-responsive teaching and educational sustainability in remote schools. </w:t>
      </w:r>
      <w:r w:rsidRPr="009E1A9A">
        <w:rPr>
          <w:rFonts w:ascii="Times New Roman" w:hAnsi="Times New Roman"/>
          <w:i/>
          <w:iCs/>
        </w:rPr>
        <w:t>International Journal of Educational Development, 98</w:t>
      </w:r>
      <w:r w:rsidRPr="009E1A9A">
        <w:rPr>
          <w:rFonts w:ascii="Times New Roman" w:hAnsi="Times New Roman"/>
        </w:rPr>
        <w:t>, 102748.</w:t>
      </w:r>
    </w:p>
    <w:p w14:paraId="5EE29E84" w14:textId="77777777" w:rsidR="009E1A9A" w:rsidRPr="009E1A9A" w:rsidRDefault="009E1A9A" w:rsidP="009E1A9A">
      <w:pPr>
        <w:pStyle w:val="NoSpacing"/>
        <w:ind w:firstLine="720"/>
        <w:jc w:val="both"/>
        <w:rPr>
          <w:rFonts w:ascii="Times New Roman" w:hAnsi="Times New Roman"/>
        </w:rPr>
      </w:pPr>
      <w:r w:rsidRPr="009E1A9A">
        <w:rPr>
          <w:rFonts w:ascii="Times New Roman" w:hAnsi="Times New Roman"/>
        </w:rPr>
        <w:t xml:space="preserve">White, S., &amp; Kline, J. (2021). Professional identity and isolation among rural teachers: Implications for retention and support. </w:t>
      </w:r>
      <w:r w:rsidRPr="009E1A9A">
        <w:rPr>
          <w:rFonts w:ascii="Times New Roman" w:hAnsi="Times New Roman"/>
          <w:i/>
          <w:iCs/>
        </w:rPr>
        <w:t>Australian and International Journal of Rural Education, 31</w:t>
      </w:r>
      <w:r w:rsidRPr="009E1A9A">
        <w:rPr>
          <w:rFonts w:ascii="Times New Roman" w:hAnsi="Times New Roman"/>
        </w:rPr>
        <w:t>(2), 45–60.</w:t>
      </w:r>
    </w:p>
    <w:p w14:paraId="25351CB7" w14:textId="77777777" w:rsidR="009E1A9A" w:rsidRPr="00E00D77" w:rsidRDefault="009E1A9A" w:rsidP="007A0D26">
      <w:pPr>
        <w:pStyle w:val="NoSpacing"/>
        <w:jc w:val="both"/>
        <w:rPr>
          <w:rFonts w:ascii="Times New Roman" w:hAnsi="Times New Roman" w:cs="Times New Roman"/>
        </w:rPr>
      </w:pPr>
    </w:p>
    <w:sectPr w:rsidR="009E1A9A" w:rsidRPr="00E00D77" w:rsidSect="00C47B0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75327"/>
    <w:multiLevelType w:val="singleLevel"/>
    <w:tmpl w:val="64075327"/>
    <w:lvl w:ilvl="0">
      <w:start w:val="1"/>
      <w:numFmt w:val="decimal"/>
      <w:lvlText w:val="%1."/>
      <w:lvlJc w:val="left"/>
      <w:pPr>
        <w:tabs>
          <w:tab w:val="left" w:pos="425"/>
        </w:tabs>
        <w:ind w:left="425" w:hanging="425"/>
      </w:pPr>
      <w:rPr>
        <w:rFonts w:hint="default"/>
      </w:rPr>
    </w:lvl>
  </w:abstractNum>
  <w:num w:numId="1" w16cid:durableId="958758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05"/>
    <w:rsid w:val="00147540"/>
    <w:rsid w:val="001C1DEB"/>
    <w:rsid w:val="00266179"/>
    <w:rsid w:val="00360FC2"/>
    <w:rsid w:val="00576C7F"/>
    <w:rsid w:val="005A07CF"/>
    <w:rsid w:val="005D50D1"/>
    <w:rsid w:val="006F2A1D"/>
    <w:rsid w:val="007A0D26"/>
    <w:rsid w:val="007A5E44"/>
    <w:rsid w:val="00881F97"/>
    <w:rsid w:val="009E1A9A"/>
    <w:rsid w:val="00A20F69"/>
    <w:rsid w:val="00BB54D0"/>
    <w:rsid w:val="00C47B05"/>
    <w:rsid w:val="00D96292"/>
    <w:rsid w:val="00E00D77"/>
    <w:rsid w:val="00F80207"/>
    <w:rsid w:val="00FC4D9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E144"/>
  <w15:chartTrackingRefBased/>
  <w15:docId w15:val="{EBD1D919-22EB-4902-9EC7-AB407706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CF"/>
    <w:pPr>
      <w:spacing w:before="240" w:after="0" w:line="480" w:lineRule="auto"/>
      <w:ind w:firstLine="680"/>
      <w:jc w:val="both"/>
    </w:pPr>
    <w:rPr>
      <w:rFonts w:ascii="Arial Narrow" w:eastAsia="Times New Roman" w:hAnsi="Arial Narrow" w:cs="Times New Roman"/>
      <w:kern w:val="0"/>
      <w:lang w:val="en-US"/>
      <w14:ligatures w14:val="none"/>
    </w:rPr>
  </w:style>
  <w:style w:type="paragraph" w:styleId="Heading1">
    <w:name w:val="heading 1"/>
    <w:basedOn w:val="Normal"/>
    <w:next w:val="Normal"/>
    <w:link w:val="Heading1Char"/>
    <w:qFormat/>
    <w:rsid w:val="00C47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47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47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47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47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47B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47B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47B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47B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C47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B05"/>
    <w:rPr>
      <w:rFonts w:eastAsiaTheme="majorEastAsia" w:cstheme="majorBidi"/>
      <w:color w:val="272727" w:themeColor="text1" w:themeTint="D8"/>
    </w:rPr>
  </w:style>
  <w:style w:type="paragraph" w:styleId="Title">
    <w:name w:val="Title"/>
    <w:basedOn w:val="Normal"/>
    <w:next w:val="Normal"/>
    <w:link w:val="TitleChar"/>
    <w:uiPriority w:val="10"/>
    <w:qFormat/>
    <w:rsid w:val="00C47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B05"/>
    <w:pPr>
      <w:numPr>
        <w:ilvl w:val="1"/>
      </w:numPr>
      <w:ind w:firstLine="68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B05"/>
    <w:pPr>
      <w:spacing w:before="160"/>
      <w:jc w:val="center"/>
    </w:pPr>
    <w:rPr>
      <w:i/>
      <w:iCs/>
      <w:color w:val="404040" w:themeColor="text1" w:themeTint="BF"/>
    </w:rPr>
  </w:style>
  <w:style w:type="character" w:customStyle="1" w:styleId="QuoteChar">
    <w:name w:val="Quote Char"/>
    <w:basedOn w:val="DefaultParagraphFont"/>
    <w:link w:val="Quote"/>
    <w:uiPriority w:val="29"/>
    <w:rsid w:val="00C47B05"/>
    <w:rPr>
      <w:i/>
      <w:iCs/>
      <w:color w:val="404040" w:themeColor="text1" w:themeTint="BF"/>
    </w:rPr>
  </w:style>
  <w:style w:type="paragraph" w:styleId="ListParagraph">
    <w:name w:val="List Paragraph"/>
    <w:basedOn w:val="Normal"/>
    <w:uiPriority w:val="34"/>
    <w:qFormat/>
    <w:rsid w:val="00C47B05"/>
    <w:pPr>
      <w:ind w:left="720"/>
      <w:contextualSpacing/>
    </w:pPr>
  </w:style>
  <w:style w:type="character" w:styleId="IntenseEmphasis">
    <w:name w:val="Intense Emphasis"/>
    <w:basedOn w:val="DefaultParagraphFont"/>
    <w:uiPriority w:val="21"/>
    <w:qFormat/>
    <w:rsid w:val="00C47B05"/>
    <w:rPr>
      <w:i/>
      <w:iCs/>
      <w:color w:val="0F4761" w:themeColor="accent1" w:themeShade="BF"/>
    </w:rPr>
  </w:style>
  <w:style w:type="paragraph" w:styleId="IntenseQuote">
    <w:name w:val="Intense Quote"/>
    <w:basedOn w:val="Normal"/>
    <w:next w:val="Normal"/>
    <w:link w:val="IntenseQuoteChar"/>
    <w:uiPriority w:val="30"/>
    <w:qFormat/>
    <w:rsid w:val="00C47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B05"/>
    <w:rPr>
      <w:i/>
      <w:iCs/>
      <w:color w:val="0F4761" w:themeColor="accent1" w:themeShade="BF"/>
    </w:rPr>
  </w:style>
  <w:style w:type="character" w:styleId="IntenseReference">
    <w:name w:val="Intense Reference"/>
    <w:basedOn w:val="DefaultParagraphFont"/>
    <w:uiPriority w:val="32"/>
    <w:qFormat/>
    <w:rsid w:val="00C47B05"/>
    <w:rPr>
      <w:b/>
      <w:bCs/>
      <w:smallCaps/>
      <w:color w:val="0F4761" w:themeColor="accent1" w:themeShade="BF"/>
      <w:spacing w:val="5"/>
    </w:rPr>
  </w:style>
  <w:style w:type="paragraph" w:customStyle="1" w:styleId="Affiliation">
    <w:name w:val="Affiliation"/>
    <w:uiPriority w:val="99"/>
    <w:rsid w:val="00C47B05"/>
    <w:pPr>
      <w:spacing w:after="0" w:line="240" w:lineRule="auto"/>
      <w:jc w:val="center"/>
    </w:pPr>
    <w:rPr>
      <w:rFonts w:ascii="Times New Roman" w:eastAsia="Times New Roman" w:hAnsi="Times New Roman" w:cs="Times New Roman"/>
      <w:kern w:val="0"/>
      <w:sz w:val="20"/>
      <w:szCs w:val="20"/>
      <w:lang w:val="en-US"/>
      <w14:ligatures w14:val="none"/>
    </w:rPr>
  </w:style>
  <w:style w:type="character" w:styleId="Hyperlink">
    <w:name w:val="Hyperlink"/>
    <w:rsid w:val="00C47B05"/>
    <w:rPr>
      <w:color w:val="0000FF"/>
      <w:u w:val="single"/>
    </w:rPr>
  </w:style>
  <w:style w:type="paragraph" w:styleId="Caption">
    <w:name w:val="caption"/>
    <w:basedOn w:val="Normal"/>
    <w:next w:val="Normal"/>
    <w:uiPriority w:val="35"/>
    <w:qFormat/>
    <w:rsid w:val="00A20F69"/>
    <w:rPr>
      <w:b/>
      <w:bCs/>
      <w:sz w:val="20"/>
      <w:szCs w:val="20"/>
    </w:rPr>
  </w:style>
  <w:style w:type="table" w:customStyle="1" w:styleId="TableGrid12">
    <w:name w:val="Table Grid12"/>
    <w:basedOn w:val="TableNormal"/>
    <w:qFormat/>
    <w:rsid w:val="00A20F69"/>
    <w:pPr>
      <w:widowControl w:val="0"/>
      <w:spacing w:after="0" w:line="240" w:lineRule="auto"/>
      <w:jc w:val="both"/>
    </w:pPr>
    <w:rPr>
      <w:rFonts w:ascii="Times New Roman" w:eastAsia="SimSun"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A20F69"/>
    <w:pPr>
      <w:spacing w:after="0" w:line="240" w:lineRule="auto"/>
    </w:pPr>
    <w:rPr>
      <w:rFonts w:ascii="Times New Roman" w:eastAsia="SimSun" w:hAnsi="Times New Roman" w:cs="Times New Roman"/>
      <w:color w:val="000000" w:themeColor="text1"/>
      <w:kern w:val="0"/>
      <w:sz w:val="20"/>
      <w:szCs w:val="20"/>
      <w:lang w:eastAsia="en-PH"/>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uiPriority w:val="22"/>
    <w:qFormat/>
    <w:rsid w:val="00FC4D9E"/>
    <w:rPr>
      <w:b/>
      <w:bCs/>
    </w:rPr>
  </w:style>
  <w:style w:type="paragraph" w:styleId="NormalWeb">
    <w:name w:val="Normal (Web)"/>
    <w:basedOn w:val="Normal"/>
    <w:uiPriority w:val="99"/>
    <w:unhideWhenUsed/>
    <w:qFormat/>
    <w:rsid w:val="00E00D77"/>
    <w:pPr>
      <w:spacing w:before="100" w:beforeAutospacing="1" w:after="100" w:afterAutospacing="1" w:line="240" w:lineRule="auto"/>
    </w:pPr>
    <w:rPr>
      <w:rFonts w:ascii="Times New Roman" w:hAnsi="Times New Roman"/>
    </w:rPr>
  </w:style>
  <w:style w:type="paragraph" w:styleId="NoSpacing">
    <w:name w:val="No Spacing"/>
    <w:uiPriority w:val="1"/>
    <w:qFormat/>
    <w:rsid w:val="00E00D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mardiente@nemsu.edu.ph" TargetMode="External"/><Relationship Id="rId5" Type="http://schemas.openxmlformats.org/officeDocument/2006/relationships/hyperlink" Target="mailto:janedie.limbaro@deped.gov.p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4646</Words>
  <Characters>26485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Lowelyn Quezada</dc:creator>
  <cp:keywords/>
  <dc:description/>
  <cp:lastModifiedBy>Lowelyn Quezada</cp:lastModifiedBy>
  <cp:revision>3</cp:revision>
  <dcterms:created xsi:type="dcterms:W3CDTF">2026-06-09T09:03:00Z</dcterms:created>
  <dcterms:modified xsi:type="dcterms:W3CDTF">2026-06-09T09:52:00Z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49c89b15-c806-4ec4-a44e-7fcf093b5d4b</vt:lpwstr>
  </property>
</Properties>
</file>