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35F8230" w14:textId="7D1B02C7" w:rsidR="00044CE7" w:rsidRDefault="002F0188">
      <w:pPr>
        <w:jc w:val="center"/>
        <w:rPr>
          <w:b/>
          <w:bCs/>
          <w:sz w:val="36"/>
          <w:szCs w:val="36"/>
        </w:rPr>
      </w:pPr>
      <w:r w:rsidRPr="002F0188">
        <w:rPr>
          <w:b/>
          <w:bCs/>
          <w:sz w:val="36"/>
          <w:szCs w:val="36"/>
        </w:rPr>
        <w:t>Performance Expectancy and Facilitating Conditions as the Primary Drivers of e-Learning Adoption in Health Economics Education</w:t>
      </w:r>
    </w:p>
    <w:p w14:paraId="7BF647FC" w14:textId="77777777" w:rsidR="002F0188" w:rsidRDefault="002F0188">
      <w:pPr>
        <w:jc w:val="center"/>
        <w:rPr>
          <w:b/>
          <w:bCs/>
          <w:sz w:val="36"/>
          <w:szCs w:val="36"/>
        </w:rPr>
      </w:pPr>
    </w:p>
    <w:p w14:paraId="121248CD" w14:textId="7FCC65F8" w:rsidR="00044CE7" w:rsidRDefault="00571564">
      <w:pPr>
        <w:spacing w:line="360" w:lineRule="auto"/>
        <w:jc w:val="center"/>
      </w:pPr>
      <w:r>
        <w:t/>
      </w:r>
      <w:r w:rsidR="002F0188" w:rsidRPr="002F0188">
        <w:rPr>
          <w:vertAlign w:val="superscript"/>
        </w:rPr>
        <w:t/>
      </w:r>
      <w:r w:rsidR="002F0188">
        <w:rPr>
          <w:vertAlign w:val="superscript"/>
        </w:rPr>
        <w:t/>
      </w:r>
      <w:r>
        <w:t xml:space="preserve"/>
      </w:r>
      <w:r>
        <w:t xml:space="preserve"/>
      </w:r>
      <w:proofErr w:type="spellStart"/>
      <w:r>
        <w:t/>
      </w:r>
      <w:proofErr w:type="spellEnd"/>
      <w:r>
        <w:t xml:space="preserve"/>
      </w:r>
      <w:r w:rsidR="002F0188" w:rsidRPr="002F0188">
        <w:rPr>
          <w:vertAlign w:val="superscript"/>
        </w:rPr>
        <w:t/>
      </w:r>
      <w:r w:rsidR="002F0188">
        <w:rPr>
          <w:vertAlign w:val="superscript"/>
        </w:rPr>
        <w:t/>
      </w:r>
      <w:r w:rsidR="002F0188" w:rsidRPr="002F0188">
        <w:rPr>
          <w:vertAlign w:val="superscript"/>
        </w:rPr>
        <w:t/>
      </w:r>
      <w:r>
        <w:t xml:space="preserve"/>
      </w:r>
      <w:proofErr w:type="spellStart"/>
      <w:r>
        <w:t/>
      </w:r>
      <w:proofErr w:type="spellEnd"/>
      <w:r>
        <w:t xml:space="preserve"/>
      </w:r>
      <w:r w:rsidR="002F0188">
        <w:t/>
      </w:r>
      <w:r w:rsidR="002F0188" w:rsidRPr="002F0188">
        <w:rPr>
          <w:vertAlign w:val="superscript"/>
        </w:rPr>
        <w:t/>
      </w:r>
      <w:r w:rsidR="002F0188">
        <w:rPr>
          <w:vertAlign w:val="superscript"/>
        </w:rPr>
        <w:t/>
      </w:r>
      <w:r w:rsidR="002F0188">
        <w:t xml:space="preserve"/>
      </w:r>
      <w:r w:rsidR="00000000">
        <w:t xml:space="preserve"/>
      </w:r>
      <w:proofErr w:type="spellStart"/>
      <w:r w:rsidR="00000000">
        <w:t/>
      </w:r>
      <w:proofErr w:type="spellEnd"/>
      <w:r w:rsidR="00000000">
        <w:t xml:space="preserve"/>
      </w:r>
      <w:r w:rsidR="00000000">
        <w:rPr>
          <w:vertAlign w:val="superscript"/>
        </w:rPr>
        <w:t/>
      </w:r>
      <w:r w:rsidR="00000000">
        <w:t/>
      </w:r>
      <w:r w:rsidR="002F0188">
        <w:t xml:space="preserve"/>
      </w:r>
      <w:r w:rsidR="002F0188">
        <w:t xml:space="preserve"/>
      </w:r>
      <w:proofErr w:type="spellStart"/>
      <w:r w:rsidR="002F0188">
        <w:t/>
      </w:r>
      <w:proofErr w:type="spellEnd"/>
      <w:r w:rsidR="002F0188">
        <w:t xml:space="preserve"/>
      </w:r>
      <w:r w:rsidR="002F0188">
        <w:rPr>
          <w:vertAlign w:val="superscript"/>
        </w:rPr>
        <w:t/>
      </w:r>
      <w:r w:rsidR="002F0188">
        <w:rPr>
          <w:vertAlign w:val="superscript"/>
        </w:rPr>
        <w:t/>
      </w:r>
      <w:r w:rsidR="002F0188">
        <w:t xml:space="preserve"/>
      </w:r>
      <w:proofErr w:type="spellStart"/>
      <w:r w:rsidR="002F0188">
        <w:t/>
      </w:r>
      <w:proofErr w:type="spellEnd"/>
      <w:r w:rsidR="002F0188">
        <w:t xml:space="preserve"/>
      </w:r>
      <w:r w:rsidR="002F0188" w:rsidRPr="002F0188">
        <w:rPr>
          <w:vertAlign w:val="superscript"/>
        </w:rPr>
        <w:t/>
      </w:r>
    </w:p>
    <w:p w14:paraId="627FABD9" w14:textId="77777777" w:rsidR="00044CE7" w:rsidRDefault="00000000">
      <w:pPr>
        <w:spacing w:line="360" w:lineRule="auto"/>
        <w:jc w:val="center"/>
        <w:rPr>
          <w:i/>
          <w:iCs/>
        </w:rPr>
      </w:pPr>
      <w:r>
        <w:rPr>
          <w:i/>
          <w:iCs/>
          <w:vertAlign w:val="superscript"/>
        </w:rPr>
        <w:t/>
      </w:r>
      <w:r>
        <w:rPr>
          <w:i/>
          <w:iCs/>
        </w:rPr>
        <w:t xml:space="preserve"/>
      </w:r>
      <w:proofErr w:type="spellStart"/>
      <w:r>
        <w:rPr>
          <w:i/>
          <w:iCs/>
        </w:rPr>
        <w:t/>
      </w:r>
      <w:proofErr w:type="spellEnd"/>
      <w:r>
        <w:rPr>
          <w:i/>
          <w:iCs/>
        </w:rPr>
        <w:t xml:space="preserve"/>
      </w:r>
    </w:p>
    <w:p w14:paraId="56F099B1" w14:textId="77777777" w:rsidR="00044CE7" w:rsidRDefault="00000000">
      <w:pPr>
        <w:spacing w:line="360" w:lineRule="auto"/>
        <w:jc w:val="center"/>
        <w:rPr>
          <w:i/>
          <w:iCs/>
        </w:rPr>
      </w:pPr>
      <w:r>
        <w:rPr>
          <w:i/>
          <w:iCs/>
          <w:vertAlign w:val="superscript"/>
        </w:rPr>
        <w:t/>
      </w:r>
      <w:r>
        <w:rPr>
          <w:i/>
          <w:iCs/>
        </w:rPr>
        <w:t/>
      </w:r>
      <w:proofErr w:type="spellStart"/>
      <w:r>
        <w:rPr>
          <w:i/>
          <w:iCs/>
        </w:rPr>
        <w:t/>
      </w:r>
      <w:proofErr w:type="spellEnd"/>
      <w:r>
        <w:rPr>
          <w:i/>
          <w:iCs/>
        </w:rPr>
        <w:t xml:space="preserve"/>
      </w:r>
      <w:proofErr w:type="spellStart"/>
      <w:r>
        <w:rPr>
          <w:i/>
          <w:iCs/>
        </w:rPr>
        <w:t/>
      </w:r>
      <w:proofErr w:type="spellEnd"/>
      <w:r>
        <w:rPr>
          <w:i/>
          <w:iCs/>
        </w:rPr>
        <w:t xml:space="preserve"/>
      </w:r>
    </w:p>
    <w:p w14:paraId="674510C9" w14:textId="536904FA" w:rsidR="00044CE7" w:rsidRDefault="00000000">
      <w:pPr>
        <w:spacing w:line="360" w:lineRule="auto"/>
        <w:jc w:val="center"/>
      </w:pPr>
      <w:r>
        <w:t xml:space="preserve"/>
      </w:r>
      <w:r w:rsidR="00571564">
        <w:t/>
      </w:r>
    </w:p>
    <w:p w14:paraId="5FA1E807" w14:textId="77777777" w:rsidR="00044CE7" w:rsidRDefault="00000000">
      <w:pPr>
        <w:spacing w:after="160" w:line="278" w:lineRule="auto"/>
        <w:rPr>
          <w:b/>
          <w:bCs/>
          <w:color w:val="000000"/>
          <w:sz w:val="28"/>
          <w:szCs w:val="28"/>
        </w:rPr>
      </w:pPr>
      <w:r>
        <w:rPr>
          <w:b/>
          <w:bCs/>
          <w:color w:val="000000"/>
          <w:sz w:val="28"/>
          <w:szCs w:val="28"/>
        </w:rPr>
        <w:t>ABSTRACT</w:t>
      </w:r>
    </w:p>
    <w:p w14:paraId="614F3BCB" w14:textId="69DF8B0B" w:rsidR="00044CE7" w:rsidRPr="002F0188" w:rsidRDefault="00000000">
      <w:pPr>
        <w:jc w:val="both"/>
      </w:pPr>
      <w:r w:rsidRPr="002F0188">
        <w:rPr>
          <w:i/>
          <w:iCs/>
        </w:rPr>
        <w:t>Introduction</w:t>
      </w:r>
      <w:r w:rsidRPr="002F0188">
        <w:t xml:space="preserve">. E-learning systems, particularly Massive Open Online Courses (MOOCs), </w:t>
      </w:r>
      <w:r w:rsidR="002F0188" w:rsidRPr="002F0188">
        <w:t>provide</w:t>
      </w:r>
      <w:r w:rsidRPr="002F0188">
        <w:t xml:space="preserve"> substantial supplementary support for complex disciplines </w:t>
      </w:r>
      <w:r w:rsidR="002F0188" w:rsidRPr="002F0188">
        <w:t>such as</w:t>
      </w:r>
      <w:r w:rsidRPr="002F0188">
        <w:t xml:space="preserve"> health economics. However, effective adoption continues to face significant technical, infrastructure, and user-centric challenges. This research investigates the determinants of MOOC adoption among undergraduate students through the UTAUT framework.</w:t>
      </w:r>
      <w:r w:rsidRPr="002F0188">
        <w:rPr>
          <w:i/>
          <w:iCs/>
        </w:rPr>
        <w:t xml:space="preserve"> Methodology</w:t>
      </w:r>
      <w:r w:rsidRPr="002F0188">
        <w:t xml:space="preserve">. A correctional and cross-sectional survey design was implemented. Data were collected via a self-administered online survey from 123 undergraduate students enrolled in a Health Economics course at a public university in the Klang Valley, Selangor, Malaysia. </w:t>
      </w:r>
      <w:r w:rsidRPr="002F0188">
        <w:rPr>
          <w:i/>
          <w:iCs/>
        </w:rPr>
        <w:t>Results</w:t>
      </w:r>
      <w:r w:rsidRPr="002F0188">
        <w:t xml:space="preserve">. An adjusted multivariate linear regression model was used to evaluate the drivers of students' behavioural intention to utilize the platform. The structural model explained 80.1% of the variance in students' behavioural intention. Performance expectancy emerged as the most powerful determinant of adoption intention (β = 0.760, p &lt; 0.001), followed by facilitating conditions (β = 0.280; p = 0.007). Effort expectancy and social influence were not statistically significant predictors within this model. These findings suggest that students are highly motivated to adopt digital platforms when these tools provide clear utility that enhances their conceptual understanding of the course. Although platform simplicity and peer perceptions are relevant, these factors do not independently influence the adoption intentions of students to the same extent as utility and infrastructure. </w:t>
      </w:r>
      <w:r w:rsidRPr="002F0188">
        <w:rPr>
          <w:i/>
          <w:iCs/>
        </w:rPr>
        <w:t>Conclusion.</w:t>
      </w:r>
      <w:r w:rsidRPr="002F0188">
        <w:t xml:space="preserve"> In conclusion, digital learning tools are likely to transform student motivation into active adoption only when institutional support is securely guaranteed and immediate academic value is unequivocally present.</w:t>
      </w:r>
    </w:p>
    <w:p w14:paraId="37B5C020" w14:textId="77777777" w:rsidR="00044CE7" w:rsidRPr="002F0188" w:rsidRDefault="00044CE7"/>
    <w:p w14:paraId="52985C3F" w14:textId="77777777" w:rsidR="00044CE7" w:rsidRPr="002F0188" w:rsidRDefault="00000000">
      <w:r w:rsidRPr="002F0188">
        <w:t>Keywords: e-Learning, Unified Theory of Acceptance and Use of Technology, Behavioural Intention</w:t>
      </w:r>
    </w:p>
    <w:p w14:paraId="3A17C7CF" w14:textId="77777777" w:rsidR="00044CE7" w:rsidRDefault="00044CE7">
      <w:pPr>
        <w:jc w:val="both"/>
      </w:pPr>
    </w:p>
    <w:p w14:paraId="3D5931C2" w14:textId="77777777" w:rsidR="00044CE7" w:rsidRDefault="00000000">
      <w:pPr>
        <w:spacing w:after="160" w:line="278" w:lineRule="auto"/>
      </w:pPr>
      <w:r>
        <w:br w:type="page"/>
      </w:r>
    </w:p>
    <w:p w14:paraId="21D6A5FC" w14:textId="77777777" w:rsidR="00044CE7" w:rsidRDefault="00000000">
      <w:pPr>
        <w:jc w:val="both"/>
        <w:rPr>
          <w:b/>
          <w:bCs/>
          <w:sz w:val="28"/>
          <w:szCs w:val="28"/>
        </w:rPr>
      </w:pPr>
      <w:r>
        <w:rPr>
          <w:b/>
          <w:bCs/>
          <w:sz w:val="28"/>
          <w:szCs w:val="28"/>
        </w:rPr>
        <w:lastRenderedPageBreak/>
        <w:t>INTRODUCTION</w:t>
      </w:r>
    </w:p>
    <w:p w14:paraId="42AA8B77" w14:textId="77777777" w:rsidR="00044CE7" w:rsidRDefault="00044CE7">
      <w:pPr>
        <w:jc w:val="both"/>
      </w:pPr>
    </w:p>
    <w:p w14:paraId="23B522AF" w14:textId="77777777" w:rsidR="00044CE7" w:rsidRPr="002F0188" w:rsidRDefault="00000000">
      <w:pPr>
        <w:jc w:val="both"/>
      </w:pPr>
      <w:r w:rsidRPr="002F0188">
        <w:t xml:space="preserve">E-learning systems have become a critical component of higher education by offering flexible and innovative learning opportunities; however, their effective adoption continues to face significant challenges, particularly in developing countries (Abbad, 2021). Students frequently encounter technical and infrastructure barriers, such as poor internet connectivity, system failures, and limited device access (Sahoo et al., 2023). Furthermore, user-centric issues such as poor digital skills, low self-efficacy, and a lack of motivation negatively impact student engagement with these platforms (Fadhil, 2022; </w:t>
      </w:r>
      <w:proofErr w:type="spellStart"/>
      <w:r w:rsidRPr="002F0188">
        <w:t>Sasongko</w:t>
      </w:r>
      <w:proofErr w:type="spellEnd"/>
      <w:r w:rsidRPr="002F0188">
        <w:t xml:space="preserve"> et al., 2025).</w:t>
      </w:r>
    </w:p>
    <w:p w14:paraId="77004DDE" w14:textId="77777777" w:rsidR="00044CE7" w:rsidRPr="002F0188" w:rsidRDefault="00044CE7">
      <w:pPr>
        <w:jc w:val="both"/>
      </w:pPr>
    </w:p>
    <w:p w14:paraId="61B823A0" w14:textId="77777777" w:rsidR="00044CE7" w:rsidRPr="002F0188" w:rsidRDefault="00000000">
      <w:pPr>
        <w:jc w:val="both"/>
      </w:pPr>
      <w:r w:rsidRPr="002F0188">
        <w:t xml:space="preserve">In the specific context of Massive Open Online Courses (MOOCs), common hurdles include high dropout rates, limited interactivity, and difficulties integrating online content with traditional coursework (Mishra et al., 2023). To overcome these barriers, traditional teaching methods in higher education increasingly require the supplementary support of e-learning systems and MOOCs to provide flexible, accessible, and innovative digital environments. Integrating MOOCs into traditional coursework, such as through blended learning models or MOOC-based flipped classrooms, has shown significant promise in mitigating traditional classroom limitations, enhancing student engagement, and improving overall learning outcomes. In complex, interdisciplinary fields such as Health Economics, which bridges economic modelling, healthcare policy, and medical sciences, these digital platforms are particularly crucial. They offer cost-effective, sustainable, and highly efficient avenues for learning that help overcome the constraints of time and physical distance for both medical and economics students. </w:t>
      </w:r>
    </w:p>
    <w:p w14:paraId="703B9334" w14:textId="77777777" w:rsidR="00044CE7" w:rsidRPr="002F0188" w:rsidRDefault="00044CE7">
      <w:pPr>
        <w:jc w:val="both"/>
      </w:pPr>
    </w:p>
    <w:p w14:paraId="388B292D" w14:textId="77777777" w:rsidR="00044CE7" w:rsidRPr="002F0188" w:rsidRDefault="00000000">
      <w:pPr>
        <w:jc w:val="both"/>
        <w:rPr>
          <w:rFonts w:ascii="Cambria" w:eastAsia="Cambria" w:hAnsi="Cambria" w:cs="Cambria"/>
        </w:rPr>
      </w:pPr>
      <w:r w:rsidRPr="002F0188">
        <w:t>To evaluate the adoption of these platforms and understand what drives student engagement, researchers frequently rely on the Unified Theory of Acceptance and Use of Technology (UTAUT), which integrates multiple determinants of technology acceptance to assess behavioural intentions and actual use. However, although the UTAUT framework is widely applied to MOOCs, most research has focused on general populations or on specific, well-researched regions, limiting the generalizability of the findings. Recent studies emphasise that localised cultural dimensions, institutional readiness, and specific socio-economic contexts heavily shape technology acceptance. Consequently, there remains a critical need for comprehensive frameworks that address these contextual dynamics, particularly among specialised demographics such as Health Economics students in the Klang Valley, Malaysia. Understanding how unique local digital infrastructure and regional healthcare-economy pressures shape this educational landscape is essential for localised MOOC integration.</w:t>
      </w:r>
    </w:p>
    <w:p w14:paraId="24547A8C" w14:textId="77777777" w:rsidR="002F0188" w:rsidRDefault="002F0188">
      <w:pPr>
        <w:jc w:val="both"/>
        <w:rPr>
          <w:rFonts w:ascii="Cambria" w:eastAsia="Cambria" w:hAnsi="Cambria" w:cs="Cambria"/>
        </w:rPr>
      </w:pPr>
    </w:p>
    <w:p w14:paraId="144760BB" w14:textId="7A1713BE" w:rsidR="00044CE7" w:rsidRDefault="002F0188">
      <w:pPr>
        <w:jc w:val="both"/>
        <w:rPr>
          <w:b/>
          <w:bCs/>
          <w:sz w:val="28"/>
          <w:szCs w:val="28"/>
        </w:rPr>
      </w:pPr>
      <w:r>
        <w:rPr>
          <w:b/>
          <w:bCs/>
          <w:sz w:val="28"/>
          <w:szCs w:val="28"/>
        </w:rPr>
        <w:t>LITERATURE REVIEWS</w:t>
      </w:r>
    </w:p>
    <w:p w14:paraId="1156ADF1" w14:textId="77777777" w:rsidR="00044CE7" w:rsidRDefault="00044CE7">
      <w:pPr>
        <w:jc w:val="both"/>
        <w:rPr>
          <w:rFonts w:ascii="Cambria" w:eastAsia="Cambria" w:hAnsi="Cambria" w:cs="Cambria"/>
        </w:rPr>
      </w:pPr>
    </w:p>
    <w:p w14:paraId="39F11A36" w14:textId="70CD903C" w:rsidR="00044CE7" w:rsidRDefault="00000000">
      <w:pPr>
        <w:jc w:val="both"/>
      </w:pPr>
      <w:r w:rsidRPr="002F0188">
        <w:t xml:space="preserve">Behavioural intention (BI) in e-learning refers to individuals' willingness to adopt and use e-learning systems. BI in e-learning is shaped by a combination of cognitive, social, and contextual factors.  The development of the research framework of this study is guided by the Unified Theory of Acceptance and Use of Technology (UTAUT) developed by Venkatesh et al. (2003).  The UTAUT model provides a comprehensive framework for understanding the factors influencing undergraduate students' acceptance and use of Massive Open Online Courses (MOOCs). By addressing key factors and demographic influences, Higher Learning Institutions can enhance the design and delivery of MOOCs, ultimately improving student engagement and learning outcomes. </w:t>
      </w:r>
      <w:r w:rsidRPr="002F0188">
        <w:rPr>
          <w:highlight w:val="white"/>
        </w:rPr>
        <w:t xml:space="preserve">Building upon this framework, this study </w:t>
      </w:r>
      <w:r w:rsidRPr="002F0188">
        <w:t xml:space="preserve">investigates the determinants of Massive Open Online Course (MOOC) adoption in the Health Economics course among undergraduate students. Figure 1.0 shows the research framework of this study. The hypothesised relationship between the variables is discussed in the following section. </w:t>
      </w:r>
    </w:p>
    <w:p w14:paraId="6C88FDC6" w14:textId="77777777" w:rsidR="002F0188" w:rsidRDefault="002F0188">
      <w:pPr>
        <w:jc w:val="both"/>
      </w:pPr>
    </w:p>
    <w:p w14:paraId="5E0B2050" w14:textId="77777777" w:rsidR="002F0188" w:rsidRPr="002F0188" w:rsidRDefault="002F0188" w:rsidP="002F0188">
      <w:pPr>
        <w:jc w:val="both"/>
        <w:rPr>
          <w:b/>
          <w:bCs/>
        </w:rPr>
      </w:pPr>
      <w:r w:rsidRPr="002F0188">
        <w:rPr>
          <w:b/>
          <w:bCs/>
        </w:rPr>
        <w:t>Performance Expectancy (PE) and Behavioural Intention</w:t>
      </w:r>
      <w:r w:rsidRPr="002F0188">
        <w:t xml:space="preserve"> </w:t>
      </w:r>
    </w:p>
    <w:p w14:paraId="3EB26CF7" w14:textId="6BE37C12" w:rsidR="002F0188" w:rsidRPr="002F0188" w:rsidRDefault="002F0188" w:rsidP="002F0188">
      <w:pPr>
        <w:jc w:val="both"/>
      </w:pPr>
      <w:r w:rsidRPr="002F0188">
        <w:t xml:space="preserve">PE is defined as the degree to which an individual believes the system will help them attain gains in job/academic performance (Venkatesh et al.,2003). In this study, PE refers to the extent to which undergraduate students believe that incorporating MOOCs into their studies will enhance their academic performance and understanding of Health Economics. Prior literature consistently highlights PE as the most robust predictor of behavioural intention to adopt educational technologies (Xue et al., 2024; </w:t>
      </w:r>
      <w:proofErr w:type="spellStart"/>
      <w:r w:rsidRPr="002F0188">
        <w:t>Altalhi</w:t>
      </w:r>
      <w:proofErr w:type="spellEnd"/>
      <w:r w:rsidRPr="002F0188">
        <w:t>, 2021).</w:t>
      </w:r>
    </w:p>
    <w:p w14:paraId="71874F86" w14:textId="77777777" w:rsidR="00044CE7" w:rsidRDefault="00000000">
      <w:pPr>
        <w:jc w:val="center"/>
        <w:rPr>
          <w:sz w:val="22"/>
          <w:szCs w:val="22"/>
        </w:rPr>
      </w:pPr>
      <w:r>
        <w:rPr>
          <w:noProof/>
          <w:sz w:val="22"/>
          <w:szCs w:val="22"/>
        </w:rPr>
        <w:lastRenderedPageBreak/>
        <w:drawing>
          <wp:inline distT="114300" distB="114300" distL="114300" distR="114300" wp14:anchorId="6CC7DBC2" wp14:editId="4A468EB9">
            <wp:extent cx="3388356" cy="152758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388356" cy="1527589"/>
                    </a:xfrm>
                    <a:prstGeom prst="rect">
                      <a:avLst/>
                    </a:prstGeom>
                    <a:ln/>
                  </pic:spPr>
                </pic:pic>
              </a:graphicData>
            </a:graphic>
          </wp:inline>
        </w:drawing>
      </w:r>
    </w:p>
    <w:p w14:paraId="6F02B393" w14:textId="77777777" w:rsidR="00044CE7" w:rsidRPr="002F0188" w:rsidRDefault="00000000">
      <w:pPr>
        <w:jc w:val="center"/>
      </w:pPr>
      <w:r w:rsidRPr="002F0188">
        <w:t>Figure 1: Research Framework of the Study</w:t>
      </w:r>
    </w:p>
    <w:p w14:paraId="55AFFDD2" w14:textId="77777777" w:rsidR="00044CE7" w:rsidRPr="002F0188" w:rsidRDefault="00044CE7"/>
    <w:p w14:paraId="06E3ABF0" w14:textId="7DACF390" w:rsidR="00044CE7" w:rsidRPr="002F0188" w:rsidRDefault="00000000">
      <w:pPr>
        <w:jc w:val="both"/>
      </w:pPr>
      <w:r w:rsidRPr="002F0188">
        <w:t xml:space="preserve">In specialised and quantitative fields like Health Economics, students face complex theoretical concepts and data analysis. If a MOOC is perceived to improve their grades directly, clarify dense economic concepts, or offer valuable supplementary resources, their intention to utilise it increases substantially (Wan et al., 2020).  Therefore, the following hypothesis is developed: </w:t>
      </w:r>
    </w:p>
    <w:p w14:paraId="6747D919" w14:textId="77777777" w:rsidR="00044CE7" w:rsidRPr="002F0188" w:rsidRDefault="00044CE7">
      <w:pPr>
        <w:jc w:val="both"/>
      </w:pPr>
    </w:p>
    <w:p w14:paraId="4A6075CA" w14:textId="77777777" w:rsidR="00044CE7" w:rsidRPr="002F0188" w:rsidRDefault="00000000">
      <w:pPr>
        <w:jc w:val="both"/>
      </w:pPr>
      <w:r w:rsidRPr="002F0188">
        <w:t>H1: Performance Expectancy positively and significantly influences undergraduate students' behavioural intention.</w:t>
      </w:r>
    </w:p>
    <w:p w14:paraId="71939AD3" w14:textId="77777777" w:rsidR="00044CE7" w:rsidRPr="002F0188" w:rsidRDefault="00044CE7">
      <w:pPr>
        <w:jc w:val="both"/>
      </w:pPr>
    </w:p>
    <w:p w14:paraId="46A785B1" w14:textId="77777777" w:rsidR="00044CE7" w:rsidRPr="002F0188" w:rsidRDefault="00000000">
      <w:pPr>
        <w:jc w:val="both"/>
        <w:rPr>
          <w:b/>
          <w:bCs/>
        </w:rPr>
      </w:pPr>
      <w:r w:rsidRPr="002F0188">
        <w:rPr>
          <w:b/>
          <w:bCs/>
        </w:rPr>
        <w:t>Effort Expectancy (EE) and Behavioural Intention</w:t>
      </w:r>
    </w:p>
    <w:p w14:paraId="23C0A681" w14:textId="77777777" w:rsidR="00044CE7" w:rsidRPr="002F0188" w:rsidRDefault="00000000">
      <w:pPr>
        <w:jc w:val="both"/>
      </w:pPr>
      <w:r w:rsidRPr="002F0188">
        <w:t>EE refers to the ease of use of the system (Venkatesh et al., 2003). In this study, EE is operationalised to evaluate the perceived ease of navigating and using the MOOC platform. When digital platforms have simplified user interfaces and low cognitive barriers, students are more willing to engage with online learning materials (Chen, 2021; Kharis et al., 2026). While technical ease of use is necessary to prevent early dropouts, it often serves as a baseline requirement rather than the primary driver of long-term academic adoption. Thus, it is hypothesised that:</w:t>
      </w:r>
    </w:p>
    <w:p w14:paraId="30C0561E" w14:textId="77777777" w:rsidR="00044CE7" w:rsidRPr="002F0188" w:rsidRDefault="00044CE7">
      <w:pPr>
        <w:jc w:val="both"/>
      </w:pPr>
    </w:p>
    <w:p w14:paraId="5DB479AA" w14:textId="77777777" w:rsidR="00044CE7" w:rsidRPr="002F0188" w:rsidRDefault="00000000">
      <w:pPr>
        <w:jc w:val="both"/>
      </w:pPr>
      <w:r w:rsidRPr="002F0188">
        <w:t>H2: Effort Expectancy positively influences undergraduate students' behavioural intention.</w:t>
      </w:r>
    </w:p>
    <w:p w14:paraId="6FAC5482" w14:textId="77777777" w:rsidR="00044CE7" w:rsidRPr="002F0188" w:rsidRDefault="00044CE7">
      <w:pPr>
        <w:jc w:val="both"/>
      </w:pPr>
    </w:p>
    <w:p w14:paraId="4132F2B1" w14:textId="77777777" w:rsidR="00044CE7" w:rsidRPr="002F0188" w:rsidRDefault="00000000">
      <w:pPr>
        <w:jc w:val="both"/>
        <w:rPr>
          <w:b/>
          <w:bCs/>
        </w:rPr>
      </w:pPr>
      <w:r w:rsidRPr="002F0188">
        <w:rPr>
          <w:b/>
          <w:bCs/>
        </w:rPr>
        <w:t>Social Influence (SI) and Behavioural Intention</w:t>
      </w:r>
    </w:p>
    <w:p w14:paraId="5A9546B1" w14:textId="77777777" w:rsidR="00044CE7" w:rsidRPr="002F0188" w:rsidRDefault="00000000">
      <w:pPr>
        <w:jc w:val="both"/>
      </w:pPr>
      <w:r w:rsidRPr="002F0188">
        <w:t>Venkatesh et al. (2003) defined SI as the degree to which an individual perceives that "important others" believe they should use the system. In this study, SI captures the pressure or encouragement students feel from influential figures, such as lecturers and classmates, to utilise MOOCs. In university ecosystems, peer recommendations and institutional mandates can steer students toward digital tools (Mishra et al., 2023; Pham et al., 2025). Therefore, the following hypothesis is proposed:</w:t>
      </w:r>
    </w:p>
    <w:p w14:paraId="2BC5DEB3" w14:textId="77777777" w:rsidR="00044CE7" w:rsidRPr="002F0188" w:rsidRDefault="00044CE7">
      <w:pPr>
        <w:jc w:val="both"/>
      </w:pPr>
    </w:p>
    <w:p w14:paraId="60FD502B" w14:textId="77777777" w:rsidR="00044CE7" w:rsidRPr="002F0188" w:rsidRDefault="00000000">
      <w:pPr>
        <w:jc w:val="both"/>
      </w:pPr>
      <w:r w:rsidRPr="002F0188">
        <w:t>H3: Social Influence positively influences undergraduate students' behavioural intention.</w:t>
      </w:r>
    </w:p>
    <w:p w14:paraId="70F964F9" w14:textId="77777777" w:rsidR="00044CE7" w:rsidRPr="002F0188" w:rsidRDefault="00044CE7">
      <w:pPr>
        <w:jc w:val="both"/>
      </w:pPr>
    </w:p>
    <w:p w14:paraId="2AA39F1E" w14:textId="77777777" w:rsidR="00044CE7" w:rsidRPr="002F0188" w:rsidRDefault="00000000">
      <w:pPr>
        <w:jc w:val="both"/>
        <w:rPr>
          <w:b/>
          <w:bCs/>
        </w:rPr>
      </w:pPr>
      <w:r w:rsidRPr="002F0188">
        <w:rPr>
          <w:b/>
          <w:bCs/>
        </w:rPr>
        <w:t>Facilitating Conditions (FC) and Behavioural Intention</w:t>
      </w:r>
    </w:p>
    <w:p w14:paraId="621C02B6" w14:textId="77777777" w:rsidR="00044CE7" w:rsidRPr="002F0188" w:rsidRDefault="00000000">
      <w:pPr>
        <w:jc w:val="both"/>
      </w:pPr>
      <w:r w:rsidRPr="002F0188">
        <w:t xml:space="preserve">FC is defined as the belief that an organisational and technical infrastructure exists to support system use (Venkatesh et al.,2003). In the context of this study, FC refers to the availability of technological infrastructure, reliable internet access, and institutional support systems necessary for using MOOCs effectively. Unlike broader e-learning environments where FC is sometimes viewed merely as a predictor of direct usage, the unique context of specialised undergraduate coursework positions FC as a critical determinant of behavioural intention (Fianu et al., 2018; </w:t>
      </w:r>
      <w:proofErr w:type="spellStart"/>
      <w:r w:rsidRPr="002F0188">
        <w:t>Arkorful</w:t>
      </w:r>
      <w:proofErr w:type="spellEnd"/>
      <w:r w:rsidRPr="002F0188">
        <w:t xml:space="preserve"> et al., 2022). MOOCs often require stable connectivity to run simulations, view lecture videos, or access external websites. If a public university in the Klang Valley provides seamless integration, students' intention to adopt the platform skyrockets (Tayag &amp; Tayag, 2020). Conversely, poor infrastructure acts as an immediate barrier to entry. Therefore, the following hypothesis is proposed:</w:t>
      </w:r>
    </w:p>
    <w:p w14:paraId="67A0DE86" w14:textId="77777777" w:rsidR="00044CE7" w:rsidRPr="002F0188" w:rsidRDefault="00044CE7">
      <w:pPr>
        <w:jc w:val="both"/>
      </w:pPr>
    </w:p>
    <w:p w14:paraId="2185B5CA" w14:textId="77777777" w:rsidR="00044CE7" w:rsidRPr="002F0188" w:rsidRDefault="00000000">
      <w:pPr>
        <w:jc w:val="both"/>
      </w:pPr>
      <w:r w:rsidRPr="002F0188">
        <w:t xml:space="preserve">H4: Facilitating Conditions positively and significantly influence undergraduate students' behavioural intention. </w:t>
      </w:r>
    </w:p>
    <w:p w14:paraId="219BCA92" w14:textId="77777777" w:rsidR="00044CE7" w:rsidRDefault="00044CE7">
      <w:pPr>
        <w:jc w:val="both"/>
        <w:rPr>
          <w:rFonts w:ascii="Cambria" w:eastAsia="Cambria" w:hAnsi="Cambria" w:cs="Cambria"/>
        </w:rPr>
      </w:pPr>
    </w:p>
    <w:p w14:paraId="69DFC8A3" w14:textId="77777777" w:rsidR="002F0188" w:rsidRDefault="002F0188">
      <w:pPr>
        <w:rPr>
          <w:b/>
          <w:bCs/>
          <w:sz w:val="28"/>
          <w:szCs w:val="28"/>
        </w:rPr>
      </w:pPr>
      <w:r>
        <w:rPr>
          <w:b/>
          <w:bCs/>
          <w:sz w:val="28"/>
          <w:szCs w:val="28"/>
        </w:rPr>
        <w:br w:type="page"/>
      </w:r>
    </w:p>
    <w:p w14:paraId="70B701C0" w14:textId="5E7C83F9" w:rsidR="00044CE7" w:rsidRDefault="00000000">
      <w:pPr>
        <w:spacing w:before="240" w:after="240"/>
        <w:jc w:val="both"/>
        <w:rPr>
          <w:b/>
          <w:bCs/>
          <w:sz w:val="28"/>
          <w:szCs w:val="28"/>
        </w:rPr>
      </w:pPr>
      <w:r>
        <w:rPr>
          <w:b/>
          <w:bCs/>
          <w:sz w:val="28"/>
          <w:szCs w:val="28"/>
        </w:rPr>
        <w:lastRenderedPageBreak/>
        <w:t>METHODOLOGY</w:t>
      </w:r>
    </w:p>
    <w:p w14:paraId="37CB243A" w14:textId="77777777" w:rsidR="00044CE7" w:rsidRPr="002F0188" w:rsidRDefault="00000000">
      <w:pPr>
        <w:jc w:val="both"/>
      </w:pPr>
      <w:r w:rsidRPr="002F0188">
        <w:t xml:space="preserve">This study employed a quantitative, cross-sectional survey design to investigate the determinants of Massive Open Online Course (MOOC) adoption among undergraduate students. The theoretical framework was guided by the Unified Theory of Acceptance and Use of Technology (UTAUT). The target population comprised undergraduate students enrolled in a health economics course at a public university located in the Klang Valley, Malaysia. The inclusion criteria are 1) enrolled in the health economics course and 2) successful completion of all core components within the course. </w:t>
      </w:r>
    </w:p>
    <w:p w14:paraId="07399A1E" w14:textId="77777777" w:rsidR="00044CE7" w:rsidRPr="002F0188" w:rsidRDefault="00044CE7">
      <w:pPr>
        <w:jc w:val="both"/>
        <w:rPr>
          <w:b/>
          <w:bCs/>
          <w:i/>
          <w:iCs/>
        </w:rPr>
      </w:pPr>
    </w:p>
    <w:p w14:paraId="47DA2A98" w14:textId="77777777" w:rsidR="00044CE7" w:rsidRPr="002F0188" w:rsidRDefault="00000000">
      <w:pPr>
        <w:jc w:val="both"/>
      </w:pPr>
      <w:r w:rsidRPr="002F0188">
        <w:t>The study utilised non-probability, convenience sampling, and the sample size</w:t>
      </w:r>
      <w:r w:rsidRPr="002F0188">
        <w:rPr>
          <w:b/>
          <w:bCs/>
          <w:i/>
          <w:iCs/>
        </w:rPr>
        <w:t xml:space="preserve"> </w:t>
      </w:r>
      <w:r w:rsidRPr="002F0188">
        <w:t>was calculated using G*Power software. The test used an alpha of 0.05, a power of 0.80, and a medium effect size of (f² = 0.15). 80% is considered the minimum acceptable power in most social science studies (David Gefen, 2011), so the desired sample size was 85. Approximately 123 samples were successfully collected during the data collection activity on the second cycle of the academic term (2025/2026).</w:t>
      </w:r>
    </w:p>
    <w:p w14:paraId="17A0DDD1" w14:textId="77777777" w:rsidR="00044CE7" w:rsidRPr="002F0188" w:rsidRDefault="00044CE7">
      <w:pPr>
        <w:jc w:val="both"/>
      </w:pPr>
    </w:p>
    <w:p w14:paraId="116A512D" w14:textId="77777777" w:rsidR="00044CE7" w:rsidRPr="002F0188" w:rsidRDefault="00000000">
      <w:pPr>
        <w:keepNext/>
        <w:pBdr>
          <w:top w:val="none" w:sz="0" w:space="0" w:color="000000"/>
          <w:left w:val="none" w:sz="0" w:space="0" w:color="000000"/>
          <w:bottom w:val="none" w:sz="0" w:space="0" w:color="000000"/>
          <w:right w:val="none" w:sz="0" w:space="0" w:color="000000"/>
        </w:pBdr>
        <w:ind w:left="60" w:right="60"/>
        <w:jc w:val="both"/>
        <w:rPr>
          <w:b/>
          <w:bCs/>
        </w:rPr>
      </w:pPr>
      <w:r w:rsidRPr="002F0188">
        <w:t>Data were gathered via a self-administered questionnaire distributed online via Microsoft Forms to all respondents, available in English. The survey link was primarily disseminated through class WhatsApp groups to facilitate easy access for participants. The questionnaire consisted of six sections: Demographic profile, behaviour intention, performance expectancy, social influence, effort expectancy, and facilitating conditions. In total, 24 items adapted from Abbad (2020) were measured on a five-point Likert-type scale (1 = strongly disagree, 5 = strongly agree). Statistical analyses were conducted using R (R Core Team, 2026) within RStudio (RStudio, 2026).</w:t>
      </w:r>
    </w:p>
    <w:p w14:paraId="703474B2" w14:textId="77777777" w:rsidR="00044CE7" w:rsidRDefault="00044CE7">
      <w:pPr>
        <w:jc w:val="both"/>
      </w:pPr>
    </w:p>
    <w:p w14:paraId="276DD31E" w14:textId="77777777" w:rsidR="00044CE7" w:rsidRDefault="00000000">
      <w:pPr>
        <w:jc w:val="both"/>
        <w:rPr>
          <w:b/>
          <w:bCs/>
          <w:sz w:val="28"/>
          <w:szCs w:val="28"/>
        </w:rPr>
      </w:pPr>
      <w:r>
        <w:rPr>
          <w:b/>
          <w:bCs/>
          <w:sz w:val="28"/>
          <w:szCs w:val="28"/>
        </w:rPr>
        <w:t>RESULTS</w:t>
      </w:r>
    </w:p>
    <w:p w14:paraId="3B48E284" w14:textId="77777777" w:rsidR="00044CE7" w:rsidRDefault="00044CE7">
      <w:pPr>
        <w:jc w:val="both"/>
        <w:rPr>
          <w:b/>
          <w:bCs/>
        </w:rPr>
      </w:pPr>
    </w:p>
    <w:p w14:paraId="7626B9C4" w14:textId="77777777" w:rsidR="00044CE7" w:rsidRPr="002F0188" w:rsidRDefault="00000000">
      <w:pPr>
        <w:pStyle w:val="Heading2"/>
        <w:keepNext w:val="0"/>
        <w:keepLines w:val="0"/>
        <w:tabs>
          <w:tab w:val="left" w:pos="720"/>
        </w:tabs>
        <w:spacing w:before="0" w:after="0"/>
        <w:jc w:val="both"/>
        <w:rPr>
          <w:rFonts w:ascii="Times New Roman" w:eastAsia="Times New Roman" w:hAnsi="Times New Roman" w:cs="Times New Roman"/>
          <w:b/>
          <w:bCs/>
          <w:color w:val="000000"/>
          <w:sz w:val="24"/>
          <w:szCs w:val="24"/>
        </w:rPr>
      </w:pPr>
      <w:bookmarkStart w:id="0" w:name="_heading=h.tt9s00nv6slv" w:colFirst="0" w:colLast="0"/>
      <w:bookmarkEnd w:id="0"/>
      <w:r w:rsidRPr="002F0188">
        <w:rPr>
          <w:rFonts w:ascii="Times New Roman" w:eastAsia="Times New Roman" w:hAnsi="Times New Roman" w:cs="Times New Roman"/>
          <w:b/>
          <w:bCs/>
          <w:color w:val="000000"/>
          <w:sz w:val="24"/>
          <w:szCs w:val="24"/>
        </w:rPr>
        <w:t>Demographic profiles</w:t>
      </w:r>
    </w:p>
    <w:p w14:paraId="46B18FE9" w14:textId="77777777" w:rsidR="00044CE7" w:rsidRPr="002F0188" w:rsidRDefault="00000000">
      <w:pPr>
        <w:tabs>
          <w:tab w:val="left" w:pos="720"/>
        </w:tabs>
        <w:jc w:val="both"/>
      </w:pPr>
      <w:r w:rsidRPr="002F0188">
        <w:t xml:space="preserve"> </w:t>
      </w:r>
    </w:p>
    <w:p w14:paraId="24EAB34A" w14:textId="77777777" w:rsidR="00044CE7" w:rsidRPr="002F0188" w:rsidRDefault="00000000">
      <w:pPr>
        <w:tabs>
          <w:tab w:val="left" w:pos="720"/>
        </w:tabs>
        <w:jc w:val="both"/>
      </w:pPr>
      <w:r w:rsidRPr="002F0188">
        <w:t xml:space="preserve">The sample was heavily concentrated in early adulthood, with most respondents aged 22 (n = 54, 44%) or 23 (n = 40, 33%). </w:t>
      </w:r>
      <w:proofErr w:type="gramStart"/>
      <w:r w:rsidRPr="002F0188">
        <w:t>The majority of</w:t>
      </w:r>
      <w:proofErr w:type="gramEnd"/>
      <w:r w:rsidRPr="002F0188">
        <w:t xml:space="preserve"> respondents were female (n = 109, 89%) and had strong academic backgrounds, with most attaining a CGPA of 3.50 or higher (n = 68, 55%). A total of 116 (94%) respondents confirmed reliable internet access at home, establishing a well-equipped baseline for the digital platform. 93% of respondents reported prior experience with online courses, making them familiar with online learning platforms and their variability.</w:t>
      </w:r>
    </w:p>
    <w:p w14:paraId="5AECE8F6" w14:textId="77777777" w:rsidR="00044CE7" w:rsidRPr="002F0188" w:rsidRDefault="00000000">
      <w:pPr>
        <w:tabs>
          <w:tab w:val="left" w:pos="720"/>
        </w:tabs>
        <w:jc w:val="both"/>
        <w:rPr>
          <w:b/>
          <w:bCs/>
          <w:i/>
          <w:iCs/>
        </w:rPr>
      </w:pPr>
      <w:r w:rsidRPr="002F0188">
        <w:rPr>
          <w:b/>
          <w:bCs/>
          <w:i/>
          <w:iCs/>
        </w:rPr>
        <w:t xml:space="preserve"> </w:t>
      </w:r>
    </w:p>
    <w:p w14:paraId="4DB1FF5B" w14:textId="45FED959" w:rsidR="00044CE7" w:rsidRPr="002F0188" w:rsidRDefault="00000000">
      <w:pPr>
        <w:tabs>
          <w:tab w:val="left" w:pos="720"/>
        </w:tabs>
        <w:jc w:val="both"/>
        <w:rPr>
          <w:b/>
          <w:bCs/>
          <w:i/>
          <w:iCs/>
        </w:rPr>
      </w:pPr>
      <w:r w:rsidRPr="002F0188">
        <w:rPr>
          <w:b/>
          <w:bCs/>
        </w:rPr>
        <w:t xml:space="preserve">Table 1. </w:t>
      </w:r>
      <w:r w:rsidRPr="002F0188">
        <w:rPr>
          <w:b/>
          <w:bCs/>
          <w:i/>
          <w:iCs/>
        </w:rPr>
        <w:t xml:space="preserve">Demographic </w:t>
      </w:r>
      <w:r w:rsidR="00571564" w:rsidRPr="002F0188">
        <w:rPr>
          <w:b/>
          <w:bCs/>
          <w:i/>
          <w:iCs/>
        </w:rPr>
        <w:t>Profile (</w:t>
      </w:r>
      <w:r w:rsidRPr="002F0188">
        <w:rPr>
          <w:b/>
          <w:bCs/>
          <w:i/>
          <w:iCs/>
        </w:rPr>
        <w:t>N = 123)</w:t>
      </w:r>
    </w:p>
    <w:tbl>
      <w:tblPr>
        <w:tblStyle w:val="a"/>
        <w:tblW w:w="10710" w:type="dxa"/>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600" w:firstRow="0" w:lastRow="0" w:firstColumn="0" w:lastColumn="0" w:noHBand="1" w:noVBand="1"/>
      </w:tblPr>
      <w:tblGrid>
        <w:gridCol w:w="8100"/>
        <w:gridCol w:w="2610"/>
      </w:tblGrid>
      <w:tr w:rsidR="00044CE7" w:rsidRPr="002F0188" w14:paraId="4550400A" w14:textId="77777777" w:rsidTr="00571564">
        <w:trPr>
          <w:trHeight w:val="270"/>
        </w:trPr>
        <w:tc>
          <w:tcPr>
            <w:tcW w:w="8100" w:type="dxa"/>
            <w:shd w:val="clear" w:color="auto" w:fill="FFFFFF"/>
            <w:tcMar>
              <w:top w:w="0" w:type="dxa"/>
              <w:left w:w="0" w:type="dxa"/>
              <w:bottom w:w="0" w:type="dxa"/>
              <w:right w:w="0" w:type="dxa"/>
            </w:tcMar>
          </w:tcPr>
          <w:p w14:paraId="409E25AB" w14:textId="77777777" w:rsidR="00044CE7" w:rsidRPr="002F0188" w:rsidRDefault="00000000">
            <w:pPr>
              <w:tabs>
                <w:tab w:val="left" w:pos="720"/>
              </w:tabs>
              <w:ind w:left="100" w:right="100"/>
              <w:jc w:val="both"/>
              <w:rPr>
                <w:b/>
                <w:bCs/>
              </w:rPr>
            </w:pPr>
            <w:r w:rsidRPr="002F0188">
              <w:rPr>
                <w:b/>
                <w:bCs/>
              </w:rPr>
              <w:t xml:space="preserve">Respondent Characteristic </w:t>
            </w:r>
          </w:p>
        </w:tc>
        <w:tc>
          <w:tcPr>
            <w:tcW w:w="2610" w:type="dxa"/>
            <w:shd w:val="clear" w:color="auto" w:fill="FFFFFF"/>
            <w:tcMar>
              <w:top w:w="0" w:type="dxa"/>
              <w:left w:w="0" w:type="dxa"/>
              <w:bottom w:w="0" w:type="dxa"/>
              <w:right w:w="0" w:type="dxa"/>
            </w:tcMar>
          </w:tcPr>
          <w:p w14:paraId="0E17E246" w14:textId="0CDA38E8" w:rsidR="00044CE7" w:rsidRPr="002F0188" w:rsidRDefault="00000000" w:rsidP="00571564">
            <w:pPr>
              <w:tabs>
                <w:tab w:val="left" w:pos="720"/>
              </w:tabs>
              <w:ind w:left="100" w:right="100"/>
              <w:jc w:val="center"/>
              <w:rPr>
                <w:b/>
                <w:bCs/>
              </w:rPr>
            </w:pPr>
            <w:r w:rsidRPr="002F0188">
              <w:rPr>
                <w:b/>
                <w:bCs/>
              </w:rPr>
              <w:t>n (%)</w:t>
            </w:r>
          </w:p>
        </w:tc>
      </w:tr>
      <w:tr w:rsidR="00044CE7" w:rsidRPr="002F0188" w14:paraId="2A4284BB" w14:textId="77777777" w:rsidTr="00571564">
        <w:trPr>
          <w:trHeight w:val="270"/>
        </w:trPr>
        <w:tc>
          <w:tcPr>
            <w:tcW w:w="8100" w:type="dxa"/>
            <w:shd w:val="clear" w:color="auto" w:fill="FFFFFF"/>
            <w:tcMar>
              <w:top w:w="0" w:type="dxa"/>
              <w:left w:w="0" w:type="dxa"/>
              <w:bottom w:w="0" w:type="dxa"/>
              <w:right w:w="0" w:type="dxa"/>
            </w:tcMar>
          </w:tcPr>
          <w:p w14:paraId="32B5AAB5" w14:textId="1481A193" w:rsidR="00044CE7" w:rsidRPr="002F0188" w:rsidRDefault="00000000">
            <w:pPr>
              <w:tabs>
                <w:tab w:val="left" w:pos="720"/>
              </w:tabs>
              <w:ind w:left="100" w:right="100"/>
              <w:jc w:val="both"/>
              <w:rPr>
                <w:b/>
                <w:bCs/>
              </w:rPr>
            </w:pPr>
            <w:r w:rsidRPr="002F0188">
              <w:rPr>
                <w:b/>
                <w:bCs/>
              </w:rPr>
              <w:t>Age (Years</w:t>
            </w:r>
            <w:r w:rsidR="00571564" w:rsidRPr="002F0188">
              <w:rPr>
                <w:b/>
                <w:bCs/>
              </w:rPr>
              <w:t>)</w:t>
            </w:r>
          </w:p>
        </w:tc>
        <w:tc>
          <w:tcPr>
            <w:tcW w:w="2610" w:type="dxa"/>
            <w:shd w:val="clear" w:color="auto" w:fill="FFFFFF"/>
            <w:tcMar>
              <w:top w:w="0" w:type="dxa"/>
              <w:left w:w="0" w:type="dxa"/>
              <w:bottom w:w="0" w:type="dxa"/>
              <w:right w:w="0" w:type="dxa"/>
            </w:tcMar>
          </w:tcPr>
          <w:p w14:paraId="7E62AAE1" w14:textId="77777777" w:rsidR="00044CE7" w:rsidRPr="002F0188" w:rsidRDefault="00000000">
            <w:pPr>
              <w:tabs>
                <w:tab w:val="left" w:pos="720"/>
              </w:tabs>
              <w:ind w:left="100" w:right="100"/>
              <w:jc w:val="center"/>
            </w:pPr>
            <w:r w:rsidRPr="002F0188">
              <w:t xml:space="preserve"> </w:t>
            </w:r>
          </w:p>
        </w:tc>
      </w:tr>
      <w:tr w:rsidR="00044CE7" w:rsidRPr="002F0188" w14:paraId="2F946C66" w14:textId="77777777" w:rsidTr="00571564">
        <w:trPr>
          <w:trHeight w:val="255"/>
        </w:trPr>
        <w:tc>
          <w:tcPr>
            <w:tcW w:w="8100" w:type="dxa"/>
            <w:shd w:val="clear" w:color="auto" w:fill="FFFFFF"/>
            <w:tcMar>
              <w:top w:w="0" w:type="dxa"/>
              <w:left w:w="0" w:type="dxa"/>
              <w:bottom w:w="0" w:type="dxa"/>
              <w:right w:w="0" w:type="dxa"/>
            </w:tcMar>
          </w:tcPr>
          <w:p w14:paraId="54EAD1AC" w14:textId="77777777" w:rsidR="00044CE7" w:rsidRPr="002F0188" w:rsidRDefault="00000000">
            <w:pPr>
              <w:tabs>
                <w:tab w:val="left" w:pos="720"/>
              </w:tabs>
              <w:ind w:left="300" w:right="100"/>
              <w:jc w:val="both"/>
            </w:pPr>
            <w:r w:rsidRPr="002F0188">
              <w:t>20</w:t>
            </w:r>
          </w:p>
        </w:tc>
        <w:tc>
          <w:tcPr>
            <w:tcW w:w="2610" w:type="dxa"/>
            <w:shd w:val="clear" w:color="auto" w:fill="FFFFFF"/>
            <w:tcMar>
              <w:top w:w="0" w:type="dxa"/>
              <w:left w:w="0" w:type="dxa"/>
              <w:bottom w:w="0" w:type="dxa"/>
              <w:right w:w="0" w:type="dxa"/>
            </w:tcMar>
          </w:tcPr>
          <w:p w14:paraId="4F7AA839" w14:textId="2AC5C545" w:rsidR="00044CE7" w:rsidRPr="002F0188" w:rsidRDefault="00000000">
            <w:pPr>
              <w:tabs>
                <w:tab w:val="left" w:pos="720"/>
              </w:tabs>
              <w:ind w:left="100" w:right="100"/>
              <w:jc w:val="center"/>
            </w:pPr>
            <w:r w:rsidRPr="002F0188">
              <w:t>1 (0.8)</w:t>
            </w:r>
          </w:p>
        </w:tc>
      </w:tr>
      <w:tr w:rsidR="00044CE7" w:rsidRPr="002F0188" w14:paraId="39AC1A01" w14:textId="77777777" w:rsidTr="00571564">
        <w:trPr>
          <w:trHeight w:val="255"/>
        </w:trPr>
        <w:tc>
          <w:tcPr>
            <w:tcW w:w="8100" w:type="dxa"/>
            <w:shd w:val="clear" w:color="auto" w:fill="FFFFFF"/>
            <w:tcMar>
              <w:top w:w="0" w:type="dxa"/>
              <w:left w:w="0" w:type="dxa"/>
              <w:bottom w:w="0" w:type="dxa"/>
              <w:right w:w="0" w:type="dxa"/>
            </w:tcMar>
          </w:tcPr>
          <w:p w14:paraId="6C0F48CA" w14:textId="77777777" w:rsidR="00044CE7" w:rsidRPr="002F0188" w:rsidRDefault="00000000">
            <w:pPr>
              <w:tabs>
                <w:tab w:val="left" w:pos="720"/>
              </w:tabs>
              <w:ind w:left="300" w:right="100"/>
              <w:jc w:val="both"/>
            </w:pPr>
            <w:r w:rsidRPr="002F0188">
              <w:t>21</w:t>
            </w:r>
          </w:p>
        </w:tc>
        <w:tc>
          <w:tcPr>
            <w:tcW w:w="2610" w:type="dxa"/>
            <w:shd w:val="clear" w:color="auto" w:fill="FFFFFF"/>
            <w:tcMar>
              <w:top w:w="0" w:type="dxa"/>
              <w:left w:w="0" w:type="dxa"/>
              <w:bottom w:w="0" w:type="dxa"/>
              <w:right w:w="0" w:type="dxa"/>
            </w:tcMar>
          </w:tcPr>
          <w:p w14:paraId="21684F04" w14:textId="002DA942" w:rsidR="00044CE7" w:rsidRPr="002F0188" w:rsidRDefault="00000000">
            <w:pPr>
              <w:tabs>
                <w:tab w:val="left" w:pos="720"/>
              </w:tabs>
              <w:ind w:left="100" w:right="100"/>
              <w:jc w:val="center"/>
            </w:pPr>
            <w:r w:rsidRPr="002F0188">
              <w:t>21 (17)</w:t>
            </w:r>
          </w:p>
        </w:tc>
      </w:tr>
      <w:tr w:rsidR="00044CE7" w:rsidRPr="002F0188" w14:paraId="6B6231CF" w14:textId="77777777" w:rsidTr="00571564">
        <w:trPr>
          <w:trHeight w:val="255"/>
        </w:trPr>
        <w:tc>
          <w:tcPr>
            <w:tcW w:w="8100" w:type="dxa"/>
            <w:shd w:val="clear" w:color="auto" w:fill="FFFFFF"/>
            <w:tcMar>
              <w:top w:w="0" w:type="dxa"/>
              <w:left w:w="0" w:type="dxa"/>
              <w:bottom w:w="0" w:type="dxa"/>
              <w:right w:w="0" w:type="dxa"/>
            </w:tcMar>
          </w:tcPr>
          <w:p w14:paraId="1A6E7221" w14:textId="77777777" w:rsidR="00044CE7" w:rsidRPr="002F0188" w:rsidRDefault="00000000">
            <w:pPr>
              <w:tabs>
                <w:tab w:val="left" w:pos="720"/>
              </w:tabs>
              <w:ind w:left="300" w:right="100"/>
              <w:jc w:val="both"/>
            </w:pPr>
            <w:r w:rsidRPr="002F0188">
              <w:t>22</w:t>
            </w:r>
          </w:p>
        </w:tc>
        <w:tc>
          <w:tcPr>
            <w:tcW w:w="2610" w:type="dxa"/>
            <w:shd w:val="clear" w:color="auto" w:fill="FFFFFF"/>
            <w:tcMar>
              <w:top w:w="0" w:type="dxa"/>
              <w:left w:w="0" w:type="dxa"/>
              <w:bottom w:w="0" w:type="dxa"/>
              <w:right w:w="0" w:type="dxa"/>
            </w:tcMar>
          </w:tcPr>
          <w:p w14:paraId="1A1D26B2" w14:textId="72C2FD80" w:rsidR="00044CE7" w:rsidRPr="002F0188" w:rsidRDefault="00000000">
            <w:pPr>
              <w:tabs>
                <w:tab w:val="left" w:pos="720"/>
              </w:tabs>
              <w:ind w:left="100" w:right="100"/>
              <w:jc w:val="center"/>
            </w:pPr>
            <w:r w:rsidRPr="002F0188">
              <w:t>54 (44)</w:t>
            </w:r>
          </w:p>
        </w:tc>
      </w:tr>
      <w:tr w:rsidR="00044CE7" w:rsidRPr="002F0188" w14:paraId="7C6E7C1B" w14:textId="77777777" w:rsidTr="00571564">
        <w:trPr>
          <w:trHeight w:val="255"/>
        </w:trPr>
        <w:tc>
          <w:tcPr>
            <w:tcW w:w="8100" w:type="dxa"/>
            <w:shd w:val="clear" w:color="auto" w:fill="FFFFFF"/>
            <w:tcMar>
              <w:top w:w="0" w:type="dxa"/>
              <w:left w:w="0" w:type="dxa"/>
              <w:bottom w:w="0" w:type="dxa"/>
              <w:right w:w="0" w:type="dxa"/>
            </w:tcMar>
          </w:tcPr>
          <w:p w14:paraId="311DC66A" w14:textId="77777777" w:rsidR="00044CE7" w:rsidRPr="002F0188" w:rsidRDefault="00000000">
            <w:pPr>
              <w:tabs>
                <w:tab w:val="left" w:pos="720"/>
              </w:tabs>
              <w:ind w:left="300" w:right="100"/>
              <w:jc w:val="both"/>
            </w:pPr>
            <w:r w:rsidRPr="002F0188">
              <w:t>23</w:t>
            </w:r>
          </w:p>
        </w:tc>
        <w:tc>
          <w:tcPr>
            <w:tcW w:w="2610" w:type="dxa"/>
            <w:shd w:val="clear" w:color="auto" w:fill="FFFFFF"/>
            <w:tcMar>
              <w:top w:w="0" w:type="dxa"/>
              <w:left w:w="0" w:type="dxa"/>
              <w:bottom w:w="0" w:type="dxa"/>
              <w:right w:w="0" w:type="dxa"/>
            </w:tcMar>
          </w:tcPr>
          <w:p w14:paraId="5E519FDB" w14:textId="1D2713E0" w:rsidR="00044CE7" w:rsidRPr="002F0188" w:rsidRDefault="00000000">
            <w:pPr>
              <w:tabs>
                <w:tab w:val="left" w:pos="720"/>
              </w:tabs>
              <w:ind w:left="100" w:right="100"/>
              <w:jc w:val="center"/>
            </w:pPr>
            <w:r w:rsidRPr="002F0188">
              <w:t>40 (33</w:t>
            </w:r>
            <w:r w:rsidR="00571564" w:rsidRPr="002F0188">
              <w:t>)</w:t>
            </w:r>
          </w:p>
        </w:tc>
      </w:tr>
      <w:tr w:rsidR="00044CE7" w:rsidRPr="002F0188" w14:paraId="2C374892" w14:textId="77777777" w:rsidTr="00571564">
        <w:trPr>
          <w:trHeight w:val="255"/>
        </w:trPr>
        <w:tc>
          <w:tcPr>
            <w:tcW w:w="8100" w:type="dxa"/>
            <w:shd w:val="clear" w:color="auto" w:fill="FFFFFF"/>
            <w:tcMar>
              <w:top w:w="0" w:type="dxa"/>
              <w:left w:w="0" w:type="dxa"/>
              <w:bottom w:w="0" w:type="dxa"/>
              <w:right w:w="0" w:type="dxa"/>
            </w:tcMar>
          </w:tcPr>
          <w:p w14:paraId="359C1910" w14:textId="77777777" w:rsidR="00044CE7" w:rsidRPr="002F0188" w:rsidRDefault="00000000">
            <w:pPr>
              <w:tabs>
                <w:tab w:val="left" w:pos="720"/>
              </w:tabs>
              <w:ind w:left="300" w:right="100"/>
              <w:jc w:val="both"/>
            </w:pPr>
            <w:r w:rsidRPr="002F0188">
              <w:t>24</w:t>
            </w:r>
          </w:p>
        </w:tc>
        <w:tc>
          <w:tcPr>
            <w:tcW w:w="2610" w:type="dxa"/>
            <w:shd w:val="clear" w:color="auto" w:fill="FFFFFF"/>
            <w:tcMar>
              <w:top w:w="0" w:type="dxa"/>
              <w:left w:w="0" w:type="dxa"/>
              <w:bottom w:w="0" w:type="dxa"/>
              <w:right w:w="0" w:type="dxa"/>
            </w:tcMar>
          </w:tcPr>
          <w:p w14:paraId="407A3B07" w14:textId="7F324792" w:rsidR="00044CE7" w:rsidRPr="002F0188" w:rsidRDefault="00000000">
            <w:pPr>
              <w:tabs>
                <w:tab w:val="left" w:pos="720"/>
              </w:tabs>
              <w:ind w:left="100" w:right="100"/>
              <w:jc w:val="center"/>
            </w:pPr>
            <w:r w:rsidRPr="002F0188">
              <w:t>6 (4.9)</w:t>
            </w:r>
          </w:p>
        </w:tc>
      </w:tr>
      <w:tr w:rsidR="00044CE7" w:rsidRPr="002F0188" w14:paraId="31C2E3D8" w14:textId="77777777" w:rsidTr="00571564">
        <w:trPr>
          <w:trHeight w:val="255"/>
        </w:trPr>
        <w:tc>
          <w:tcPr>
            <w:tcW w:w="8100" w:type="dxa"/>
            <w:shd w:val="clear" w:color="auto" w:fill="FFFFFF"/>
            <w:tcMar>
              <w:top w:w="0" w:type="dxa"/>
              <w:left w:w="0" w:type="dxa"/>
              <w:bottom w:w="0" w:type="dxa"/>
              <w:right w:w="0" w:type="dxa"/>
            </w:tcMar>
          </w:tcPr>
          <w:p w14:paraId="5FE7D863" w14:textId="77777777" w:rsidR="00044CE7" w:rsidRPr="002F0188" w:rsidRDefault="00000000">
            <w:pPr>
              <w:tabs>
                <w:tab w:val="left" w:pos="720"/>
              </w:tabs>
              <w:ind w:left="300" w:right="100"/>
              <w:jc w:val="both"/>
            </w:pPr>
            <w:r w:rsidRPr="002F0188">
              <w:t>26</w:t>
            </w:r>
          </w:p>
        </w:tc>
        <w:tc>
          <w:tcPr>
            <w:tcW w:w="2610" w:type="dxa"/>
            <w:shd w:val="clear" w:color="auto" w:fill="FFFFFF"/>
            <w:tcMar>
              <w:top w:w="0" w:type="dxa"/>
              <w:left w:w="0" w:type="dxa"/>
              <w:bottom w:w="0" w:type="dxa"/>
              <w:right w:w="0" w:type="dxa"/>
            </w:tcMar>
          </w:tcPr>
          <w:p w14:paraId="5C653584" w14:textId="46F0AC04" w:rsidR="00044CE7" w:rsidRPr="002F0188" w:rsidRDefault="00000000">
            <w:pPr>
              <w:tabs>
                <w:tab w:val="left" w:pos="720"/>
              </w:tabs>
              <w:ind w:left="100" w:right="100"/>
              <w:jc w:val="center"/>
            </w:pPr>
            <w:r w:rsidRPr="002F0188">
              <w:t>1 (0.8)</w:t>
            </w:r>
          </w:p>
        </w:tc>
      </w:tr>
      <w:tr w:rsidR="00044CE7" w:rsidRPr="002F0188" w14:paraId="2FA7A468" w14:textId="77777777" w:rsidTr="00571564">
        <w:trPr>
          <w:trHeight w:val="255"/>
        </w:trPr>
        <w:tc>
          <w:tcPr>
            <w:tcW w:w="8100" w:type="dxa"/>
            <w:shd w:val="clear" w:color="auto" w:fill="FFFFFF"/>
            <w:tcMar>
              <w:top w:w="0" w:type="dxa"/>
              <w:left w:w="0" w:type="dxa"/>
              <w:bottom w:w="0" w:type="dxa"/>
              <w:right w:w="0" w:type="dxa"/>
            </w:tcMar>
          </w:tcPr>
          <w:p w14:paraId="1CAB959C" w14:textId="37D819A4" w:rsidR="00044CE7" w:rsidRPr="002F0188" w:rsidRDefault="00000000">
            <w:pPr>
              <w:tabs>
                <w:tab w:val="left" w:pos="720"/>
              </w:tabs>
              <w:ind w:left="100" w:right="100"/>
              <w:jc w:val="both"/>
              <w:rPr>
                <w:b/>
                <w:bCs/>
              </w:rPr>
            </w:pPr>
            <w:r w:rsidRPr="002F0188">
              <w:rPr>
                <w:b/>
                <w:bCs/>
              </w:rPr>
              <w:t>Gender Profile</w:t>
            </w:r>
            <w:r w:rsidR="00571564" w:rsidRPr="002F0188">
              <w:rPr>
                <w:b/>
                <w:bCs/>
              </w:rPr>
              <w:t>=</w:t>
            </w:r>
          </w:p>
        </w:tc>
        <w:tc>
          <w:tcPr>
            <w:tcW w:w="2610" w:type="dxa"/>
            <w:shd w:val="clear" w:color="auto" w:fill="FFFFFF"/>
            <w:tcMar>
              <w:top w:w="0" w:type="dxa"/>
              <w:left w:w="0" w:type="dxa"/>
              <w:bottom w:w="0" w:type="dxa"/>
              <w:right w:w="0" w:type="dxa"/>
            </w:tcMar>
          </w:tcPr>
          <w:p w14:paraId="7D9747BA" w14:textId="77777777" w:rsidR="00044CE7" w:rsidRPr="002F0188" w:rsidRDefault="00000000">
            <w:pPr>
              <w:tabs>
                <w:tab w:val="left" w:pos="720"/>
              </w:tabs>
              <w:ind w:left="100" w:right="100"/>
              <w:jc w:val="center"/>
            </w:pPr>
            <w:r w:rsidRPr="002F0188">
              <w:t xml:space="preserve"> </w:t>
            </w:r>
          </w:p>
        </w:tc>
      </w:tr>
      <w:tr w:rsidR="00044CE7" w:rsidRPr="002F0188" w14:paraId="32B9A03C" w14:textId="77777777" w:rsidTr="00571564">
        <w:trPr>
          <w:trHeight w:val="255"/>
        </w:trPr>
        <w:tc>
          <w:tcPr>
            <w:tcW w:w="8100" w:type="dxa"/>
            <w:shd w:val="clear" w:color="auto" w:fill="FFFFFF"/>
            <w:tcMar>
              <w:top w:w="0" w:type="dxa"/>
              <w:left w:w="0" w:type="dxa"/>
              <w:bottom w:w="0" w:type="dxa"/>
              <w:right w:w="0" w:type="dxa"/>
            </w:tcMar>
          </w:tcPr>
          <w:p w14:paraId="4D5AEA98" w14:textId="77777777" w:rsidR="00044CE7" w:rsidRPr="002F0188" w:rsidRDefault="00000000">
            <w:pPr>
              <w:tabs>
                <w:tab w:val="left" w:pos="720"/>
              </w:tabs>
              <w:ind w:left="300" w:right="100"/>
              <w:jc w:val="both"/>
            </w:pPr>
            <w:r w:rsidRPr="002F0188">
              <w:t>Female</w:t>
            </w:r>
          </w:p>
        </w:tc>
        <w:tc>
          <w:tcPr>
            <w:tcW w:w="2610" w:type="dxa"/>
            <w:shd w:val="clear" w:color="auto" w:fill="FFFFFF"/>
            <w:tcMar>
              <w:top w:w="0" w:type="dxa"/>
              <w:left w:w="0" w:type="dxa"/>
              <w:bottom w:w="0" w:type="dxa"/>
              <w:right w:w="0" w:type="dxa"/>
            </w:tcMar>
          </w:tcPr>
          <w:p w14:paraId="33E6A7A1" w14:textId="1A03F896" w:rsidR="00044CE7" w:rsidRPr="002F0188" w:rsidRDefault="00000000">
            <w:pPr>
              <w:tabs>
                <w:tab w:val="left" w:pos="720"/>
              </w:tabs>
              <w:ind w:left="100" w:right="100"/>
              <w:jc w:val="center"/>
            </w:pPr>
            <w:r w:rsidRPr="002F0188">
              <w:t>109 (89)</w:t>
            </w:r>
          </w:p>
        </w:tc>
      </w:tr>
      <w:tr w:rsidR="00044CE7" w:rsidRPr="002F0188" w14:paraId="30EDC874" w14:textId="77777777" w:rsidTr="00571564">
        <w:trPr>
          <w:trHeight w:val="255"/>
        </w:trPr>
        <w:tc>
          <w:tcPr>
            <w:tcW w:w="8100" w:type="dxa"/>
            <w:shd w:val="clear" w:color="auto" w:fill="FFFFFF"/>
            <w:tcMar>
              <w:top w:w="0" w:type="dxa"/>
              <w:left w:w="0" w:type="dxa"/>
              <w:bottom w:w="0" w:type="dxa"/>
              <w:right w:w="0" w:type="dxa"/>
            </w:tcMar>
          </w:tcPr>
          <w:p w14:paraId="1644E1FC" w14:textId="77777777" w:rsidR="00044CE7" w:rsidRPr="002F0188" w:rsidRDefault="00000000">
            <w:pPr>
              <w:tabs>
                <w:tab w:val="left" w:pos="720"/>
              </w:tabs>
              <w:ind w:left="300" w:right="100"/>
              <w:jc w:val="both"/>
            </w:pPr>
            <w:r w:rsidRPr="002F0188">
              <w:t>Male</w:t>
            </w:r>
          </w:p>
        </w:tc>
        <w:tc>
          <w:tcPr>
            <w:tcW w:w="2610" w:type="dxa"/>
            <w:shd w:val="clear" w:color="auto" w:fill="FFFFFF"/>
            <w:tcMar>
              <w:top w:w="0" w:type="dxa"/>
              <w:left w:w="0" w:type="dxa"/>
              <w:bottom w:w="0" w:type="dxa"/>
              <w:right w:w="0" w:type="dxa"/>
            </w:tcMar>
          </w:tcPr>
          <w:p w14:paraId="6B9E3F42" w14:textId="256451E2" w:rsidR="00044CE7" w:rsidRPr="002F0188" w:rsidRDefault="00000000">
            <w:pPr>
              <w:tabs>
                <w:tab w:val="left" w:pos="720"/>
              </w:tabs>
              <w:ind w:left="100" w:right="100"/>
              <w:jc w:val="center"/>
            </w:pPr>
            <w:r w:rsidRPr="002F0188">
              <w:t>14 (11)</w:t>
            </w:r>
          </w:p>
        </w:tc>
      </w:tr>
      <w:tr w:rsidR="00044CE7" w:rsidRPr="002F0188" w14:paraId="196962F3" w14:textId="77777777" w:rsidTr="00571564">
        <w:trPr>
          <w:trHeight w:val="255"/>
        </w:trPr>
        <w:tc>
          <w:tcPr>
            <w:tcW w:w="8100" w:type="dxa"/>
            <w:shd w:val="clear" w:color="auto" w:fill="FFFFFF"/>
            <w:tcMar>
              <w:top w:w="0" w:type="dxa"/>
              <w:left w:w="0" w:type="dxa"/>
              <w:bottom w:w="0" w:type="dxa"/>
              <w:right w:w="0" w:type="dxa"/>
            </w:tcMar>
          </w:tcPr>
          <w:p w14:paraId="2D2FDF30" w14:textId="72CBBE5B" w:rsidR="00044CE7" w:rsidRPr="002F0188" w:rsidRDefault="00000000">
            <w:pPr>
              <w:tabs>
                <w:tab w:val="left" w:pos="720"/>
              </w:tabs>
              <w:ind w:left="100" w:right="100"/>
              <w:jc w:val="both"/>
              <w:rPr>
                <w:b/>
                <w:bCs/>
              </w:rPr>
            </w:pPr>
            <w:r w:rsidRPr="002F0188">
              <w:rPr>
                <w:b/>
                <w:bCs/>
              </w:rPr>
              <w:t>Academic Performance (CGPA</w:t>
            </w:r>
            <w:r w:rsidR="00571564" w:rsidRPr="002F0188">
              <w:rPr>
                <w:b/>
                <w:bCs/>
              </w:rPr>
              <w:t>)</w:t>
            </w:r>
          </w:p>
        </w:tc>
        <w:tc>
          <w:tcPr>
            <w:tcW w:w="2610" w:type="dxa"/>
            <w:shd w:val="clear" w:color="auto" w:fill="FFFFFF"/>
            <w:tcMar>
              <w:top w:w="0" w:type="dxa"/>
              <w:left w:w="0" w:type="dxa"/>
              <w:bottom w:w="0" w:type="dxa"/>
              <w:right w:w="0" w:type="dxa"/>
            </w:tcMar>
          </w:tcPr>
          <w:p w14:paraId="2091EE22" w14:textId="77777777" w:rsidR="00044CE7" w:rsidRPr="002F0188" w:rsidRDefault="00000000">
            <w:pPr>
              <w:tabs>
                <w:tab w:val="left" w:pos="720"/>
              </w:tabs>
              <w:ind w:left="100" w:right="100"/>
              <w:jc w:val="center"/>
            </w:pPr>
            <w:r w:rsidRPr="002F0188">
              <w:t xml:space="preserve"> </w:t>
            </w:r>
          </w:p>
        </w:tc>
      </w:tr>
      <w:tr w:rsidR="00044CE7" w:rsidRPr="002F0188" w14:paraId="74279E70" w14:textId="77777777" w:rsidTr="00571564">
        <w:trPr>
          <w:trHeight w:val="255"/>
        </w:trPr>
        <w:tc>
          <w:tcPr>
            <w:tcW w:w="8100" w:type="dxa"/>
            <w:shd w:val="clear" w:color="auto" w:fill="FFFFFF"/>
            <w:tcMar>
              <w:top w:w="0" w:type="dxa"/>
              <w:left w:w="0" w:type="dxa"/>
              <w:bottom w:w="0" w:type="dxa"/>
              <w:right w:w="0" w:type="dxa"/>
            </w:tcMar>
          </w:tcPr>
          <w:p w14:paraId="7B05BA86" w14:textId="77777777" w:rsidR="00044CE7" w:rsidRPr="002F0188" w:rsidRDefault="00000000">
            <w:pPr>
              <w:tabs>
                <w:tab w:val="left" w:pos="720"/>
              </w:tabs>
              <w:ind w:left="300" w:right="100"/>
              <w:jc w:val="both"/>
            </w:pPr>
            <w:r w:rsidRPr="002F0188">
              <w:t>2.50 to 2.99</w:t>
            </w:r>
          </w:p>
        </w:tc>
        <w:tc>
          <w:tcPr>
            <w:tcW w:w="2610" w:type="dxa"/>
            <w:shd w:val="clear" w:color="auto" w:fill="FFFFFF"/>
            <w:tcMar>
              <w:top w:w="0" w:type="dxa"/>
              <w:left w:w="0" w:type="dxa"/>
              <w:bottom w:w="0" w:type="dxa"/>
              <w:right w:w="0" w:type="dxa"/>
            </w:tcMar>
          </w:tcPr>
          <w:p w14:paraId="25D19401" w14:textId="14A61835" w:rsidR="00044CE7" w:rsidRPr="002F0188" w:rsidRDefault="00000000">
            <w:pPr>
              <w:tabs>
                <w:tab w:val="left" w:pos="720"/>
              </w:tabs>
              <w:ind w:left="100" w:right="100"/>
              <w:jc w:val="center"/>
            </w:pPr>
            <w:r w:rsidRPr="002F0188">
              <w:t>5 (4.1)</w:t>
            </w:r>
          </w:p>
        </w:tc>
      </w:tr>
      <w:tr w:rsidR="00044CE7" w:rsidRPr="002F0188" w14:paraId="54DACA6C" w14:textId="77777777" w:rsidTr="00571564">
        <w:trPr>
          <w:trHeight w:val="255"/>
        </w:trPr>
        <w:tc>
          <w:tcPr>
            <w:tcW w:w="8100" w:type="dxa"/>
            <w:shd w:val="clear" w:color="auto" w:fill="FFFFFF"/>
            <w:tcMar>
              <w:top w:w="0" w:type="dxa"/>
              <w:left w:w="0" w:type="dxa"/>
              <w:bottom w:w="0" w:type="dxa"/>
              <w:right w:w="0" w:type="dxa"/>
            </w:tcMar>
          </w:tcPr>
          <w:p w14:paraId="2EF611BE" w14:textId="77777777" w:rsidR="00044CE7" w:rsidRPr="002F0188" w:rsidRDefault="00000000">
            <w:pPr>
              <w:tabs>
                <w:tab w:val="left" w:pos="720"/>
              </w:tabs>
              <w:ind w:left="300" w:right="100"/>
              <w:jc w:val="both"/>
            </w:pPr>
            <w:r w:rsidRPr="002F0188">
              <w:t>3.00 to 3.49</w:t>
            </w:r>
          </w:p>
        </w:tc>
        <w:tc>
          <w:tcPr>
            <w:tcW w:w="2610" w:type="dxa"/>
            <w:shd w:val="clear" w:color="auto" w:fill="FFFFFF"/>
            <w:tcMar>
              <w:top w:w="0" w:type="dxa"/>
              <w:left w:w="0" w:type="dxa"/>
              <w:bottom w:w="0" w:type="dxa"/>
              <w:right w:w="0" w:type="dxa"/>
            </w:tcMar>
          </w:tcPr>
          <w:p w14:paraId="311384CF" w14:textId="42FB5935" w:rsidR="00044CE7" w:rsidRPr="002F0188" w:rsidRDefault="00000000">
            <w:pPr>
              <w:tabs>
                <w:tab w:val="left" w:pos="720"/>
              </w:tabs>
              <w:ind w:left="100" w:right="100"/>
              <w:jc w:val="center"/>
            </w:pPr>
            <w:r w:rsidRPr="002F0188">
              <w:t>50 (41)</w:t>
            </w:r>
          </w:p>
        </w:tc>
      </w:tr>
      <w:tr w:rsidR="00044CE7" w:rsidRPr="002F0188" w14:paraId="6149237A" w14:textId="77777777" w:rsidTr="00571564">
        <w:trPr>
          <w:trHeight w:val="255"/>
        </w:trPr>
        <w:tc>
          <w:tcPr>
            <w:tcW w:w="8100" w:type="dxa"/>
            <w:shd w:val="clear" w:color="auto" w:fill="FFFFFF"/>
            <w:tcMar>
              <w:top w:w="0" w:type="dxa"/>
              <w:left w:w="0" w:type="dxa"/>
              <w:bottom w:w="0" w:type="dxa"/>
              <w:right w:w="0" w:type="dxa"/>
            </w:tcMar>
          </w:tcPr>
          <w:p w14:paraId="6894672D" w14:textId="77777777" w:rsidR="00044CE7" w:rsidRPr="002F0188" w:rsidRDefault="00000000">
            <w:pPr>
              <w:tabs>
                <w:tab w:val="left" w:pos="720"/>
              </w:tabs>
              <w:ind w:left="300" w:right="100"/>
              <w:jc w:val="both"/>
            </w:pPr>
            <w:r w:rsidRPr="002F0188">
              <w:t>3.50 and above</w:t>
            </w:r>
          </w:p>
        </w:tc>
        <w:tc>
          <w:tcPr>
            <w:tcW w:w="2610" w:type="dxa"/>
            <w:shd w:val="clear" w:color="auto" w:fill="FFFFFF"/>
            <w:tcMar>
              <w:top w:w="0" w:type="dxa"/>
              <w:left w:w="0" w:type="dxa"/>
              <w:bottom w:w="0" w:type="dxa"/>
              <w:right w:w="0" w:type="dxa"/>
            </w:tcMar>
          </w:tcPr>
          <w:p w14:paraId="2047104D" w14:textId="3F9A29AF" w:rsidR="00044CE7" w:rsidRPr="002F0188" w:rsidRDefault="00000000">
            <w:pPr>
              <w:tabs>
                <w:tab w:val="left" w:pos="720"/>
              </w:tabs>
              <w:ind w:left="100" w:right="100"/>
              <w:jc w:val="center"/>
            </w:pPr>
            <w:r w:rsidRPr="002F0188">
              <w:t>68 (55)</w:t>
            </w:r>
          </w:p>
        </w:tc>
      </w:tr>
      <w:tr w:rsidR="00044CE7" w:rsidRPr="002F0188" w14:paraId="12897276" w14:textId="77777777" w:rsidTr="00571564">
        <w:trPr>
          <w:trHeight w:val="255"/>
        </w:trPr>
        <w:tc>
          <w:tcPr>
            <w:tcW w:w="8100" w:type="dxa"/>
            <w:shd w:val="clear" w:color="auto" w:fill="FFFFFF"/>
            <w:tcMar>
              <w:top w:w="0" w:type="dxa"/>
              <w:left w:w="0" w:type="dxa"/>
              <w:bottom w:w="0" w:type="dxa"/>
              <w:right w:w="0" w:type="dxa"/>
            </w:tcMar>
          </w:tcPr>
          <w:p w14:paraId="4DE2E06D" w14:textId="3732B606" w:rsidR="00044CE7" w:rsidRPr="002F0188" w:rsidRDefault="00000000">
            <w:pPr>
              <w:tabs>
                <w:tab w:val="left" w:pos="720"/>
              </w:tabs>
              <w:ind w:left="100" w:right="100"/>
              <w:jc w:val="both"/>
              <w:rPr>
                <w:b/>
                <w:bCs/>
              </w:rPr>
            </w:pPr>
            <w:r w:rsidRPr="002F0188">
              <w:rPr>
                <w:b/>
                <w:bCs/>
              </w:rPr>
              <w:t>Prior Online Course Experience</w:t>
            </w:r>
          </w:p>
        </w:tc>
        <w:tc>
          <w:tcPr>
            <w:tcW w:w="2610" w:type="dxa"/>
            <w:shd w:val="clear" w:color="auto" w:fill="FFFFFF"/>
            <w:tcMar>
              <w:top w:w="0" w:type="dxa"/>
              <w:left w:w="0" w:type="dxa"/>
              <w:bottom w:w="0" w:type="dxa"/>
              <w:right w:w="0" w:type="dxa"/>
            </w:tcMar>
          </w:tcPr>
          <w:p w14:paraId="13C89F06" w14:textId="183DF9D7" w:rsidR="00044CE7" w:rsidRPr="002F0188" w:rsidRDefault="00000000">
            <w:pPr>
              <w:tabs>
                <w:tab w:val="left" w:pos="720"/>
              </w:tabs>
              <w:ind w:left="100" w:right="100"/>
              <w:jc w:val="center"/>
            </w:pPr>
            <w:r w:rsidRPr="002F0188">
              <w:t>114 (93)</w:t>
            </w:r>
          </w:p>
        </w:tc>
      </w:tr>
      <w:tr w:rsidR="00044CE7" w:rsidRPr="002F0188" w14:paraId="017675E4" w14:textId="77777777" w:rsidTr="00571564">
        <w:trPr>
          <w:trHeight w:val="270"/>
        </w:trPr>
        <w:tc>
          <w:tcPr>
            <w:tcW w:w="8100" w:type="dxa"/>
            <w:shd w:val="clear" w:color="auto" w:fill="FFFFFF"/>
            <w:tcMar>
              <w:top w:w="0" w:type="dxa"/>
              <w:left w:w="0" w:type="dxa"/>
              <w:bottom w:w="0" w:type="dxa"/>
              <w:right w:w="0" w:type="dxa"/>
            </w:tcMar>
          </w:tcPr>
          <w:p w14:paraId="3DF8E512" w14:textId="2F7DD986" w:rsidR="00044CE7" w:rsidRPr="002F0188" w:rsidRDefault="00000000">
            <w:pPr>
              <w:tabs>
                <w:tab w:val="left" w:pos="720"/>
              </w:tabs>
              <w:ind w:left="100" w:right="100"/>
              <w:jc w:val="both"/>
              <w:rPr>
                <w:b/>
                <w:bCs/>
              </w:rPr>
            </w:pPr>
            <w:r w:rsidRPr="002F0188">
              <w:rPr>
                <w:b/>
                <w:bCs/>
              </w:rPr>
              <w:t>Reliable Home Internet Access</w:t>
            </w:r>
          </w:p>
        </w:tc>
        <w:tc>
          <w:tcPr>
            <w:tcW w:w="2610" w:type="dxa"/>
            <w:shd w:val="clear" w:color="auto" w:fill="FFFFFF"/>
            <w:tcMar>
              <w:top w:w="0" w:type="dxa"/>
              <w:left w:w="0" w:type="dxa"/>
              <w:bottom w:w="0" w:type="dxa"/>
              <w:right w:w="0" w:type="dxa"/>
            </w:tcMar>
          </w:tcPr>
          <w:p w14:paraId="1078B2F7" w14:textId="1CA669BA" w:rsidR="00044CE7" w:rsidRPr="002F0188" w:rsidRDefault="00000000">
            <w:pPr>
              <w:tabs>
                <w:tab w:val="left" w:pos="720"/>
              </w:tabs>
              <w:ind w:left="100" w:right="100"/>
              <w:jc w:val="center"/>
            </w:pPr>
            <w:r w:rsidRPr="002F0188">
              <w:t>116 (94)</w:t>
            </w:r>
          </w:p>
        </w:tc>
      </w:tr>
    </w:tbl>
    <w:p w14:paraId="55002A4F" w14:textId="288D1D61" w:rsidR="00044CE7" w:rsidRDefault="00000000">
      <w:pPr>
        <w:tabs>
          <w:tab w:val="left" w:pos="720"/>
        </w:tabs>
        <w:jc w:val="both"/>
      </w:pPr>
      <w:r>
        <w:lastRenderedPageBreak/>
        <w:t xml:space="preserve"> To assess the structural drivers influencing students' behavioural intention to utilize MOOCs for the HSM546 Health Economics and Evaluation curriculum, an adjusted multivariate linear regression model was executed. The structural model demonstrated exceptional explanatory power, with an R</w:t>
      </w:r>
      <w:r>
        <w:rPr>
          <w:vertAlign w:val="superscript"/>
        </w:rPr>
        <w:t>2</w:t>
      </w:r>
      <w:r>
        <w:t xml:space="preserve"> value of 0.801 and an adjusted R</w:t>
      </w:r>
      <w:r>
        <w:rPr>
          <w:vertAlign w:val="superscript"/>
        </w:rPr>
        <w:t>2</w:t>
      </w:r>
      <w:r>
        <w:t xml:space="preserve"> of 0.779. This indicates that the included theoretical constructs and sociodemographic controls account for 80.1% of the total variance in student behavioural intentions. The overall model fit was highly significant, F (12, 110) = 36.8, p &lt; 0.001, confirming its structural validity for individual pathway evaluation.</w:t>
      </w:r>
    </w:p>
    <w:p w14:paraId="02640D11" w14:textId="77777777" w:rsidR="00044CE7" w:rsidRDefault="00000000">
      <w:pPr>
        <w:tabs>
          <w:tab w:val="left" w:pos="720"/>
        </w:tabs>
        <w:jc w:val="both"/>
      </w:pPr>
      <w:r>
        <w:t xml:space="preserve"> </w:t>
      </w:r>
    </w:p>
    <w:p w14:paraId="5355FC06" w14:textId="77777777" w:rsidR="00044CE7" w:rsidRPr="002F0188" w:rsidRDefault="00000000">
      <w:pPr>
        <w:tabs>
          <w:tab w:val="left" w:pos="720"/>
        </w:tabs>
        <w:ind w:left="60" w:right="60"/>
        <w:jc w:val="both"/>
        <w:rPr>
          <w:b/>
          <w:bCs/>
          <w:i/>
          <w:iCs/>
        </w:rPr>
      </w:pPr>
      <w:r w:rsidRPr="002F0188">
        <w:rPr>
          <w:b/>
          <w:bCs/>
          <w:i/>
          <w:iCs/>
        </w:rPr>
        <w:t>Table 2: Multivariate Linear Regression Matrix: Drivers of MOOC Behavioural Intention</w:t>
      </w:r>
    </w:p>
    <w:tbl>
      <w:tblPr>
        <w:tblStyle w:val="a0"/>
        <w:tblW w:w="10545" w:type="dxa"/>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600" w:firstRow="0" w:lastRow="0" w:firstColumn="0" w:lastColumn="0" w:noHBand="1" w:noVBand="1"/>
      </w:tblPr>
      <w:tblGrid>
        <w:gridCol w:w="3780"/>
        <w:gridCol w:w="2450"/>
        <w:gridCol w:w="2180"/>
        <w:gridCol w:w="2135"/>
      </w:tblGrid>
      <w:tr w:rsidR="00044CE7" w:rsidRPr="002F0188" w14:paraId="3D8DBCBA" w14:textId="77777777" w:rsidTr="00571564">
        <w:trPr>
          <w:trHeight w:val="525"/>
          <w:tblHeader/>
        </w:trPr>
        <w:tc>
          <w:tcPr>
            <w:tcW w:w="3780" w:type="dxa"/>
            <w:shd w:val="clear" w:color="auto" w:fill="FFFFFF"/>
            <w:tcMar>
              <w:top w:w="0" w:type="dxa"/>
              <w:left w:w="0" w:type="dxa"/>
              <w:bottom w:w="0" w:type="dxa"/>
              <w:right w:w="0" w:type="dxa"/>
            </w:tcMar>
          </w:tcPr>
          <w:p w14:paraId="24B24A86" w14:textId="77777777" w:rsidR="00044CE7" w:rsidRPr="002F0188" w:rsidRDefault="00000000">
            <w:pPr>
              <w:tabs>
                <w:tab w:val="left" w:pos="720"/>
              </w:tabs>
              <w:ind w:left="100" w:right="180"/>
              <w:jc w:val="both"/>
              <w:rPr>
                <w:b/>
                <w:bCs/>
              </w:rPr>
            </w:pPr>
            <w:r w:rsidRPr="002F0188">
              <w:rPr>
                <w:b/>
                <w:bCs/>
              </w:rPr>
              <w:t>Predictive Driver / Pathway</w:t>
            </w:r>
          </w:p>
        </w:tc>
        <w:tc>
          <w:tcPr>
            <w:tcW w:w="2450" w:type="dxa"/>
            <w:shd w:val="clear" w:color="auto" w:fill="FFFFFF"/>
            <w:tcMar>
              <w:top w:w="0" w:type="dxa"/>
              <w:left w:w="0" w:type="dxa"/>
              <w:bottom w:w="0" w:type="dxa"/>
              <w:right w:w="0" w:type="dxa"/>
            </w:tcMar>
          </w:tcPr>
          <w:p w14:paraId="66E1C713" w14:textId="77777777" w:rsidR="00044CE7" w:rsidRPr="002F0188" w:rsidRDefault="00000000">
            <w:pPr>
              <w:tabs>
                <w:tab w:val="left" w:pos="720"/>
              </w:tabs>
              <w:ind w:left="100" w:right="180"/>
              <w:jc w:val="center"/>
              <w:rPr>
                <w:b/>
                <w:bCs/>
              </w:rPr>
            </w:pPr>
            <w:r w:rsidRPr="002F0188">
              <w:rPr>
                <w:b/>
                <w:bCs/>
              </w:rPr>
              <w:t>Unstandardized Beta (β)</w:t>
            </w:r>
          </w:p>
        </w:tc>
        <w:tc>
          <w:tcPr>
            <w:tcW w:w="2180" w:type="dxa"/>
            <w:shd w:val="clear" w:color="auto" w:fill="FFFFFF"/>
            <w:tcMar>
              <w:top w:w="0" w:type="dxa"/>
              <w:left w:w="0" w:type="dxa"/>
              <w:bottom w:w="0" w:type="dxa"/>
              <w:right w:w="0" w:type="dxa"/>
            </w:tcMar>
          </w:tcPr>
          <w:p w14:paraId="7E9F2048" w14:textId="77777777" w:rsidR="00044CE7" w:rsidRPr="002F0188" w:rsidRDefault="00000000">
            <w:pPr>
              <w:tabs>
                <w:tab w:val="left" w:pos="720"/>
              </w:tabs>
              <w:ind w:left="100" w:right="100"/>
              <w:jc w:val="center"/>
              <w:rPr>
                <w:b/>
                <w:bCs/>
              </w:rPr>
            </w:pPr>
            <w:r w:rsidRPr="002F0188">
              <w:rPr>
                <w:b/>
                <w:bCs/>
              </w:rPr>
              <w:t>95% CI</w:t>
            </w:r>
          </w:p>
        </w:tc>
        <w:tc>
          <w:tcPr>
            <w:tcW w:w="2135" w:type="dxa"/>
            <w:shd w:val="clear" w:color="auto" w:fill="FFFFFF"/>
            <w:tcMar>
              <w:top w:w="0" w:type="dxa"/>
              <w:left w:w="0" w:type="dxa"/>
              <w:bottom w:w="0" w:type="dxa"/>
              <w:right w:w="0" w:type="dxa"/>
            </w:tcMar>
          </w:tcPr>
          <w:p w14:paraId="39A65814" w14:textId="77777777" w:rsidR="00044CE7" w:rsidRPr="002F0188" w:rsidRDefault="00000000">
            <w:pPr>
              <w:tabs>
                <w:tab w:val="left" w:pos="720"/>
              </w:tabs>
              <w:ind w:left="100" w:right="100"/>
              <w:jc w:val="center"/>
              <w:rPr>
                <w:b/>
                <w:bCs/>
              </w:rPr>
            </w:pPr>
            <w:r w:rsidRPr="002F0188">
              <w:rPr>
                <w:b/>
                <w:bCs/>
              </w:rPr>
              <w:t>p-value</w:t>
            </w:r>
          </w:p>
        </w:tc>
      </w:tr>
      <w:tr w:rsidR="00044CE7" w:rsidRPr="002F0188" w14:paraId="0FA114AA" w14:textId="77777777" w:rsidTr="00571564">
        <w:trPr>
          <w:trHeight w:val="270"/>
        </w:trPr>
        <w:tc>
          <w:tcPr>
            <w:tcW w:w="3780" w:type="dxa"/>
            <w:shd w:val="clear" w:color="auto" w:fill="FFFFFF"/>
            <w:tcMar>
              <w:top w:w="0" w:type="dxa"/>
              <w:left w:w="0" w:type="dxa"/>
              <w:bottom w:w="0" w:type="dxa"/>
              <w:right w:w="0" w:type="dxa"/>
            </w:tcMar>
          </w:tcPr>
          <w:p w14:paraId="018DEDA9" w14:textId="77777777" w:rsidR="00044CE7" w:rsidRPr="002F0188" w:rsidRDefault="00000000">
            <w:pPr>
              <w:tabs>
                <w:tab w:val="left" w:pos="720"/>
              </w:tabs>
              <w:ind w:left="100"/>
              <w:jc w:val="both"/>
            </w:pPr>
            <w:r w:rsidRPr="002F0188">
              <w:t>Baseline Constant (Intercept)</w:t>
            </w:r>
          </w:p>
        </w:tc>
        <w:tc>
          <w:tcPr>
            <w:tcW w:w="2450" w:type="dxa"/>
            <w:shd w:val="clear" w:color="auto" w:fill="FFFFFF"/>
            <w:tcMar>
              <w:top w:w="0" w:type="dxa"/>
              <w:left w:w="0" w:type="dxa"/>
              <w:bottom w:w="0" w:type="dxa"/>
              <w:right w:w="0" w:type="dxa"/>
            </w:tcMar>
          </w:tcPr>
          <w:p w14:paraId="3CE327D0" w14:textId="77777777" w:rsidR="00044CE7" w:rsidRPr="002F0188" w:rsidRDefault="00000000">
            <w:pPr>
              <w:tabs>
                <w:tab w:val="left" w:pos="720"/>
              </w:tabs>
              <w:ind w:left="100" w:right="180"/>
              <w:jc w:val="center"/>
            </w:pPr>
            <w:r w:rsidRPr="002F0188">
              <w:t>-0.26 (-1.2 to 0.66)</w:t>
            </w:r>
          </w:p>
        </w:tc>
        <w:tc>
          <w:tcPr>
            <w:tcW w:w="2180" w:type="dxa"/>
            <w:shd w:val="clear" w:color="auto" w:fill="FFFFFF"/>
            <w:tcMar>
              <w:top w:w="0" w:type="dxa"/>
              <w:left w:w="0" w:type="dxa"/>
              <w:bottom w:w="0" w:type="dxa"/>
              <w:right w:w="0" w:type="dxa"/>
            </w:tcMar>
          </w:tcPr>
          <w:p w14:paraId="717B31F9" w14:textId="77777777" w:rsidR="00044CE7" w:rsidRPr="002F0188" w:rsidRDefault="00000000">
            <w:pPr>
              <w:tabs>
                <w:tab w:val="left" w:pos="720"/>
              </w:tabs>
              <w:ind w:left="100" w:right="100"/>
              <w:jc w:val="center"/>
            </w:pPr>
            <w:r w:rsidRPr="002F0188">
              <w:t>-1.2</w:t>
            </w:r>
          </w:p>
        </w:tc>
        <w:tc>
          <w:tcPr>
            <w:tcW w:w="2135" w:type="dxa"/>
            <w:shd w:val="clear" w:color="auto" w:fill="FFFFFF"/>
            <w:tcMar>
              <w:top w:w="0" w:type="dxa"/>
              <w:left w:w="0" w:type="dxa"/>
              <w:bottom w:w="0" w:type="dxa"/>
              <w:right w:w="0" w:type="dxa"/>
            </w:tcMar>
          </w:tcPr>
          <w:p w14:paraId="1E3919D7" w14:textId="77777777" w:rsidR="00044CE7" w:rsidRPr="002F0188" w:rsidRDefault="00000000">
            <w:pPr>
              <w:tabs>
                <w:tab w:val="left" w:pos="720"/>
              </w:tabs>
              <w:ind w:left="100" w:right="100"/>
              <w:jc w:val="center"/>
            </w:pPr>
            <w:r w:rsidRPr="002F0188">
              <w:t>0.58</w:t>
            </w:r>
          </w:p>
        </w:tc>
      </w:tr>
      <w:tr w:rsidR="00044CE7" w:rsidRPr="002F0188" w14:paraId="172AF5E0" w14:textId="77777777" w:rsidTr="00571564">
        <w:trPr>
          <w:trHeight w:val="255"/>
        </w:trPr>
        <w:tc>
          <w:tcPr>
            <w:tcW w:w="3780" w:type="dxa"/>
            <w:shd w:val="clear" w:color="auto" w:fill="FFFFFF"/>
            <w:tcMar>
              <w:top w:w="0" w:type="dxa"/>
              <w:left w:w="0" w:type="dxa"/>
              <w:bottom w:w="0" w:type="dxa"/>
              <w:right w:w="0" w:type="dxa"/>
            </w:tcMar>
          </w:tcPr>
          <w:p w14:paraId="31A28325" w14:textId="77777777" w:rsidR="00044CE7" w:rsidRPr="002F0188" w:rsidRDefault="00000000">
            <w:pPr>
              <w:tabs>
                <w:tab w:val="left" w:pos="720"/>
              </w:tabs>
              <w:ind w:left="100"/>
              <w:jc w:val="both"/>
            </w:pPr>
            <w:r w:rsidRPr="002F0188">
              <w:t>Performance Expectancy (PE)</w:t>
            </w:r>
          </w:p>
        </w:tc>
        <w:tc>
          <w:tcPr>
            <w:tcW w:w="2450" w:type="dxa"/>
            <w:shd w:val="clear" w:color="auto" w:fill="FFFFFF"/>
            <w:tcMar>
              <w:top w:w="0" w:type="dxa"/>
              <w:left w:w="0" w:type="dxa"/>
              <w:bottom w:w="0" w:type="dxa"/>
              <w:right w:w="0" w:type="dxa"/>
            </w:tcMar>
          </w:tcPr>
          <w:p w14:paraId="428DDD8F" w14:textId="77777777" w:rsidR="00044CE7" w:rsidRPr="002F0188" w:rsidRDefault="00000000">
            <w:pPr>
              <w:tabs>
                <w:tab w:val="left" w:pos="720"/>
              </w:tabs>
              <w:ind w:left="100" w:right="180"/>
              <w:jc w:val="center"/>
            </w:pPr>
            <w:r w:rsidRPr="002F0188">
              <w:t>0.76 (0.54 to 0.97)</w:t>
            </w:r>
          </w:p>
        </w:tc>
        <w:tc>
          <w:tcPr>
            <w:tcW w:w="2180" w:type="dxa"/>
            <w:shd w:val="clear" w:color="auto" w:fill="FFFFFF"/>
            <w:tcMar>
              <w:top w:w="0" w:type="dxa"/>
              <w:left w:w="0" w:type="dxa"/>
              <w:bottom w:w="0" w:type="dxa"/>
              <w:right w:w="0" w:type="dxa"/>
            </w:tcMar>
          </w:tcPr>
          <w:p w14:paraId="57799CDA" w14:textId="77777777" w:rsidR="00044CE7" w:rsidRPr="002F0188" w:rsidRDefault="00000000">
            <w:pPr>
              <w:tabs>
                <w:tab w:val="left" w:pos="720"/>
              </w:tabs>
              <w:ind w:left="100" w:right="100"/>
              <w:jc w:val="center"/>
            </w:pPr>
            <w:r w:rsidRPr="002F0188">
              <w:t>0.54</w:t>
            </w:r>
          </w:p>
        </w:tc>
        <w:tc>
          <w:tcPr>
            <w:tcW w:w="2135" w:type="dxa"/>
            <w:shd w:val="clear" w:color="auto" w:fill="FFFFFF"/>
            <w:tcMar>
              <w:top w:w="0" w:type="dxa"/>
              <w:left w:w="0" w:type="dxa"/>
              <w:bottom w:w="0" w:type="dxa"/>
              <w:right w:w="0" w:type="dxa"/>
            </w:tcMar>
          </w:tcPr>
          <w:p w14:paraId="6F83323B" w14:textId="77777777" w:rsidR="00044CE7" w:rsidRPr="002F0188" w:rsidRDefault="00000000">
            <w:pPr>
              <w:tabs>
                <w:tab w:val="left" w:pos="720"/>
              </w:tabs>
              <w:ind w:left="100" w:right="100"/>
              <w:jc w:val="center"/>
              <w:rPr>
                <w:b/>
                <w:bCs/>
              </w:rPr>
            </w:pPr>
            <w:r w:rsidRPr="002F0188">
              <w:rPr>
                <w:b/>
                <w:bCs/>
              </w:rPr>
              <w:t>&lt;0.001</w:t>
            </w:r>
          </w:p>
        </w:tc>
      </w:tr>
      <w:tr w:rsidR="00044CE7" w:rsidRPr="002F0188" w14:paraId="7E732498" w14:textId="77777777" w:rsidTr="00571564">
        <w:trPr>
          <w:trHeight w:val="255"/>
        </w:trPr>
        <w:tc>
          <w:tcPr>
            <w:tcW w:w="3780" w:type="dxa"/>
            <w:shd w:val="clear" w:color="auto" w:fill="FFFFFF"/>
            <w:tcMar>
              <w:top w:w="0" w:type="dxa"/>
              <w:left w:w="0" w:type="dxa"/>
              <w:bottom w:w="0" w:type="dxa"/>
              <w:right w:w="0" w:type="dxa"/>
            </w:tcMar>
          </w:tcPr>
          <w:p w14:paraId="66275030" w14:textId="77777777" w:rsidR="00044CE7" w:rsidRPr="002F0188" w:rsidRDefault="00000000">
            <w:pPr>
              <w:tabs>
                <w:tab w:val="left" w:pos="720"/>
              </w:tabs>
              <w:ind w:left="100"/>
              <w:jc w:val="both"/>
            </w:pPr>
            <w:r w:rsidRPr="002F0188">
              <w:t>Effort Expectancy (EE)</w:t>
            </w:r>
          </w:p>
        </w:tc>
        <w:tc>
          <w:tcPr>
            <w:tcW w:w="2450" w:type="dxa"/>
            <w:shd w:val="clear" w:color="auto" w:fill="FFFFFF"/>
            <w:tcMar>
              <w:top w:w="0" w:type="dxa"/>
              <w:left w:w="0" w:type="dxa"/>
              <w:bottom w:w="0" w:type="dxa"/>
              <w:right w:w="0" w:type="dxa"/>
            </w:tcMar>
          </w:tcPr>
          <w:p w14:paraId="0D3C3C06" w14:textId="77777777" w:rsidR="00044CE7" w:rsidRPr="002F0188" w:rsidRDefault="00000000">
            <w:pPr>
              <w:tabs>
                <w:tab w:val="left" w:pos="720"/>
              </w:tabs>
              <w:ind w:left="100" w:right="180"/>
              <w:jc w:val="center"/>
            </w:pPr>
            <w:r w:rsidRPr="002F0188">
              <w:t>0.10 (-0.11 to 0.30)</w:t>
            </w:r>
          </w:p>
        </w:tc>
        <w:tc>
          <w:tcPr>
            <w:tcW w:w="2180" w:type="dxa"/>
            <w:shd w:val="clear" w:color="auto" w:fill="FFFFFF"/>
            <w:tcMar>
              <w:top w:w="0" w:type="dxa"/>
              <w:left w:w="0" w:type="dxa"/>
              <w:bottom w:w="0" w:type="dxa"/>
              <w:right w:w="0" w:type="dxa"/>
            </w:tcMar>
          </w:tcPr>
          <w:p w14:paraId="5AD76BF3" w14:textId="77777777" w:rsidR="00044CE7" w:rsidRPr="002F0188" w:rsidRDefault="00000000">
            <w:pPr>
              <w:tabs>
                <w:tab w:val="left" w:pos="720"/>
              </w:tabs>
              <w:ind w:left="100" w:right="100"/>
              <w:jc w:val="center"/>
            </w:pPr>
            <w:r w:rsidRPr="002F0188">
              <w:t>-0.11</w:t>
            </w:r>
          </w:p>
        </w:tc>
        <w:tc>
          <w:tcPr>
            <w:tcW w:w="2135" w:type="dxa"/>
            <w:shd w:val="clear" w:color="auto" w:fill="FFFFFF"/>
            <w:tcMar>
              <w:top w:w="0" w:type="dxa"/>
              <w:left w:w="0" w:type="dxa"/>
              <w:bottom w:w="0" w:type="dxa"/>
              <w:right w:w="0" w:type="dxa"/>
            </w:tcMar>
          </w:tcPr>
          <w:p w14:paraId="155524D8" w14:textId="77777777" w:rsidR="00044CE7" w:rsidRPr="002F0188" w:rsidRDefault="00000000">
            <w:pPr>
              <w:tabs>
                <w:tab w:val="left" w:pos="720"/>
              </w:tabs>
              <w:ind w:left="100" w:right="100"/>
              <w:jc w:val="center"/>
            </w:pPr>
            <w:r w:rsidRPr="002F0188">
              <w:t>0.35</w:t>
            </w:r>
          </w:p>
        </w:tc>
      </w:tr>
      <w:tr w:rsidR="00044CE7" w:rsidRPr="002F0188" w14:paraId="231F19BB" w14:textId="77777777" w:rsidTr="00571564">
        <w:trPr>
          <w:trHeight w:val="255"/>
        </w:trPr>
        <w:tc>
          <w:tcPr>
            <w:tcW w:w="3780" w:type="dxa"/>
            <w:shd w:val="clear" w:color="auto" w:fill="FFFFFF"/>
            <w:tcMar>
              <w:top w:w="0" w:type="dxa"/>
              <w:left w:w="0" w:type="dxa"/>
              <w:bottom w:w="0" w:type="dxa"/>
              <w:right w:w="0" w:type="dxa"/>
            </w:tcMar>
          </w:tcPr>
          <w:p w14:paraId="224FC8EA" w14:textId="77777777" w:rsidR="00044CE7" w:rsidRPr="002F0188" w:rsidRDefault="00000000">
            <w:pPr>
              <w:tabs>
                <w:tab w:val="left" w:pos="720"/>
              </w:tabs>
              <w:ind w:left="100"/>
              <w:jc w:val="both"/>
            </w:pPr>
            <w:r w:rsidRPr="002F0188">
              <w:t>Social Influence (SI)</w:t>
            </w:r>
          </w:p>
        </w:tc>
        <w:tc>
          <w:tcPr>
            <w:tcW w:w="2450" w:type="dxa"/>
            <w:shd w:val="clear" w:color="auto" w:fill="FFFFFF"/>
            <w:tcMar>
              <w:top w:w="0" w:type="dxa"/>
              <w:left w:w="0" w:type="dxa"/>
              <w:bottom w:w="0" w:type="dxa"/>
              <w:right w:w="0" w:type="dxa"/>
            </w:tcMar>
          </w:tcPr>
          <w:p w14:paraId="69DB8FD9" w14:textId="77777777" w:rsidR="00044CE7" w:rsidRPr="002F0188" w:rsidRDefault="00000000">
            <w:pPr>
              <w:tabs>
                <w:tab w:val="left" w:pos="720"/>
              </w:tabs>
              <w:ind w:left="100" w:right="180"/>
              <w:jc w:val="center"/>
            </w:pPr>
            <w:r w:rsidRPr="002F0188">
              <w:t>-0.04 (-0.24 to 0.16)</w:t>
            </w:r>
          </w:p>
        </w:tc>
        <w:tc>
          <w:tcPr>
            <w:tcW w:w="2180" w:type="dxa"/>
            <w:shd w:val="clear" w:color="auto" w:fill="FFFFFF"/>
            <w:tcMar>
              <w:top w:w="0" w:type="dxa"/>
              <w:left w:w="0" w:type="dxa"/>
              <w:bottom w:w="0" w:type="dxa"/>
              <w:right w:w="0" w:type="dxa"/>
            </w:tcMar>
          </w:tcPr>
          <w:p w14:paraId="272A65AE" w14:textId="77777777" w:rsidR="00044CE7" w:rsidRPr="002F0188" w:rsidRDefault="00000000">
            <w:pPr>
              <w:tabs>
                <w:tab w:val="left" w:pos="720"/>
              </w:tabs>
              <w:ind w:left="100" w:right="100"/>
              <w:jc w:val="center"/>
            </w:pPr>
            <w:r w:rsidRPr="002F0188">
              <w:t>-0.24</w:t>
            </w:r>
          </w:p>
        </w:tc>
        <w:tc>
          <w:tcPr>
            <w:tcW w:w="2135" w:type="dxa"/>
            <w:shd w:val="clear" w:color="auto" w:fill="FFFFFF"/>
            <w:tcMar>
              <w:top w:w="0" w:type="dxa"/>
              <w:left w:w="0" w:type="dxa"/>
              <w:bottom w:w="0" w:type="dxa"/>
              <w:right w:w="0" w:type="dxa"/>
            </w:tcMar>
          </w:tcPr>
          <w:p w14:paraId="208B82A1" w14:textId="77777777" w:rsidR="00044CE7" w:rsidRPr="002F0188" w:rsidRDefault="00000000">
            <w:pPr>
              <w:tabs>
                <w:tab w:val="left" w:pos="720"/>
              </w:tabs>
              <w:ind w:left="100" w:right="100"/>
              <w:jc w:val="center"/>
            </w:pPr>
            <w:r w:rsidRPr="002F0188">
              <w:t>0.67</w:t>
            </w:r>
          </w:p>
        </w:tc>
      </w:tr>
      <w:tr w:rsidR="00044CE7" w:rsidRPr="002F0188" w14:paraId="4AF64EFC" w14:textId="77777777" w:rsidTr="00571564">
        <w:trPr>
          <w:trHeight w:val="255"/>
        </w:trPr>
        <w:tc>
          <w:tcPr>
            <w:tcW w:w="3780" w:type="dxa"/>
            <w:shd w:val="clear" w:color="auto" w:fill="FFFFFF"/>
            <w:tcMar>
              <w:top w:w="0" w:type="dxa"/>
              <w:left w:w="0" w:type="dxa"/>
              <w:bottom w:w="0" w:type="dxa"/>
              <w:right w:w="0" w:type="dxa"/>
            </w:tcMar>
          </w:tcPr>
          <w:p w14:paraId="7B2ADA18" w14:textId="77777777" w:rsidR="00044CE7" w:rsidRPr="002F0188" w:rsidRDefault="00000000">
            <w:pPr>
              <w:tabs>
                <w:tab w:val="left" w:pos="720"/>
              </w:tabs>
              <w:ind w:left="100"/>
              <w:jc w:val="both"/>
            </w:pPr>
            <w:r w:rsidRPr="002F0188">
              <w:t>Facilitating Conditions (FC)</w:t>
            </w:r>
          </w:p>
        </w:tc>
        <w:tc>
          <w:tcPr>
            <w:tcW w:w="2450" w:type="dxa"/>
            <w:shd w:val="clear" w:color="auto" w:fill="FFFFFF"/>
            <w:tcMar>
              <w:top w:w="0" w:type="dxa"/>
              <w:left w:w="0" w:type="dxa"/>
              <w:bottom w:w="0" w:type="dxa"/>
              <w:right w:w="0" w:type="dxa"/>
            </w:tcMar>
          </w:tcPr>
          <w:p w14:paraId="35FDCFA4" w14:textId="77777777" w:rsidR="00044CE7" w:rsidRPr="002F0188" w:rsidRDefault="00000000">
            <w:pPr>
              <w:tabs>
                <w:tab w:val="left" w:pos="720"/>
              </w:tabs>
              <w:ind w:left="100" w:right="180"/>
              <w:jc w:val="center"/>
            </w:pPr>
            <w:r w:rsidRPr="002F0188">
              <w:t>0.28 (0.08 to 0.48)</w:t>
            </w:r>
          </w:p>
        </w:tc>
        <w:tc>
          <w:tcPr>
            <w:tcW w:w="2180" w:type="dxa"/>
            <w:shd w:val="clear" w:color="auto" w:fill="FFFFFF"/>
            <w:tcMar>
              <w:top w:w="0" w:type="dxa"/>
              <w:left w:w="0" w:type="dxa"/>
              <w:bottom w:w="0" w:type="dxa"/>
              <w:right w:w="0" w:type="dxa"/>
            </w:tcMar>
          </w:tcPr>
          <w:p w14:paraId="6513A942" w14:textId="77777777" w:rsidR="00044CE7" w:rsidRPr="002F0188" w:rsidRDefault="00000000">
            <w:pPr>
              <w:tabs>
                <w:tab w:val="left" w:pos="720"/>
              </w:tabs>
              <w:ind w:left="100" w:right="100"/>
              <w:jc w:val="center"/>
            </w:pPr>
            <w:r w:rsidRPr="002F0188">
              <w:t>0.08</w:t>
            </w:r>
          </w:p>
        </w:tc>
        <w:tc>
          <w:tcPr>
            <w:tcW w:w="2135" w:type="dxa"/>
            <w:shd w:val="clear" w:color="auto" w:fill="FFFFFF"/>
            <w:tcMar>
              <w:top w:w="0" w:type="dxa"/>
              <w:left w:w="0" w:type="dxa"/>
              <w:bottom w:w="0" w:type="dxa"/>
              <w:right w:w="0" w:type="dxa"/>
            </w:tcMar>
          </w:tcPr>
          <w:p w14:paraId="3E512B48" w14:textId="77777777" w:rsidR="00044CE7" w:rsidRPr="002F0188" w:rsidRDefault="00000000">
            <w:pPr>
              <w:tabs>
                <w:tab w:val="left" w:pos="720"/>
              </w:tabs>
              <w:ind w:left="100" w:right="100"/>
              <w:jc w:val="center"/>
              <w:rPr>
                <w:b/>
                <w:bCs/>
              </w:rPr>
            </w:pPr>
            <w:r w:rsidRPr="002F0188">
              <w:rPr>
                <w:b/>
                <w:bCs/>
              </w:rPr>
              <w:t>0.007</w:t>
            </w:r>
          </w:p>
        </w:tc>
      </w:tr>
      <w:tr w:rsidR="00044CE7" w:rsidRPr="002F0188" w14:paraId="24C71030" w14:textId="77777777" w:rsidTr="00571564">
        <w:trPr>
          <w:trHeight w:val="255"/>
        </w:trPr>
        <w:tc>
          <w:tcPr>
            <w:tcW w:w="3780" w:type="dxa"/>
            <w:shd w:val="clear" w:color="auto" w:fill="FFFFFF"/>
            <w:tcMar>
              <w:top w:w="0" w:type="dxa"/>
              <w:left w:w="0" w:type="dxa"/>
              <w:bottom w:w="0" w:type="dxa"/>
              <w:right w:w="0" w:type="dxa"/>
            </w:tcMar>
          </w:tcPr>
          <w:p w14:paraId="6640ED9D" w14:textId="77777777" w:rsidR="00044CE7" w:rsidRPr="002F0188" w:rsidRDefault="00000000">
            <w:pPr>
              <w:tabs>
                <w:tab w:val="left" w:pos="720"/>
              </w:tabs>
              <w:ind w:left="100"/>
              <w:jc w:val="both"/>
            </w:pPr>
            <w:r w:rsidRPr="002F0188">
              <w:t>Age (Categorical Tiers)</w:t>
            </w:r>
          </w:p>
        </w:tc>
        <w:tc>
          <w:tcPr>
            <w:tcW w:w="2450" w:type="dxa"/>
            <w:shd w:val="clear" w:color="auto" w:fill="FFFFFF"/>
            <w:tcMar>
              <w:top w:w="0" w:type="dxa"/>
              <w:left w:w="0" w:type="dxa"/>
              <w:bottom w:w="0" w:type="dxa"/>
              <w:right w:w="0" w:type="dxa"/>
            </w:tcMar>
          </w:tcPr>
          <w:p w14:paraId="63E89898" w14:textId="77777777" w:rsidR="00044CE7" w:rsidRPr="002F0188" w:rsidRDefault="00000000">
            <w:pPr>
              <w:tabs>
                <w:tab w:val="left" w:pos="720"/>
              </w:tabs>
              <w:ind w:left="100" w:right="180"/>
              <w:jc w:val="center"/>
            </w:pPr>
            <w:r w:rsidRPr="002F0188">
              <w:t xml:space="preserve"> </w:t>
            </w:r>
          </w:p>
        </w:tc>
        <w:tc>
          <w:tcPr>
            <w:tcW w:w="2180" w:type="dxa"/>
            <w:shd w:val="clear" w:color="auto" w:fill="FFFFFF"/>
            <w:tcMar>
              <w:top w:w="0" w:type="dxa"/>
              <w:left w:w="0" w:type="dxa"/>
              <w:bottom w:w="0" w:type="dxa"/>
              <w:right w:w="0" w:type="dxa"/>
            </w:tcMar>
          </w:tcPr>
          <w:p w14:paraId="6D32E305" w14:textId="77777777" w:rsidR="00044CE7" w:rsidRPr="002F0188" w:rsidRDefault="00000000">
            <w:pPr>
              <w:tabs>
                <w:tab w:val="left" w:pos="720"/>
              </w:tabs>
              <w:ind w:left="100" w:right="100"/>
              <w:jc w:val="center"/>
            </w:pPr>
            <w:r w:rsidRPr="002F0188">
              <w:t xml:space="preserve"> </w:t>
            </w:r>
          </w:p>
        </w:tc>
        <w:tc>
          <w:tcPr>
            <w:tcW w:w="2135" w:type="dxa"/>
            <w:shd w:val="clear" w:color="auto" w:fill="FFFFFF"/>
            <w:tcMar>
              <w:top w:w="0" w:type="dxa"/>
              <w:left w:w="0" w:type="dxa"/>
              <w:bottom w:w="0" w:type="dxa"/>
              <w:right w:w="0" w:type="dxa"/>
            </w:tcMar>
          </w:tcPr>
          <w:p w14:paraId="543C34EB" w14:textId="77777777" w:rsidR="00044CE7" w:rsidRPr="002F0188" w:rsidRDefault="00000000">
            <w:pPr>
              <w:tabs>
                <w:tab w:val="left" w:pos="720"/>
              </w:tabs>
              <w:ind w:left="100" w:right="100"/>
              <w:jc w:val="center"/>
            </w:pPr>
            <w:r w:rsidRPr="002F0188">
              <w:t xml:space="preserve"> </w:t>
            </w:r>
          </w:p>
        </w:tc>
      </w:tr>
      <w:tr w:rsidR="00044CE7" w:rsidRPr="002F0188" w14:paraId="3622B651" w14:textId="77777777" w:rsidTr="00571564">
        <w:trPr>
          <w:trHeight w:val="255"/>
        </w:trPr>
        <w:tc>
          <w:tcPr>
            <w:tcW w:w="3780" w:type="dxa"/>
            <w:shd w:val="clear" w:color="auto" w:fill="FFFFFF"/>
            <w:tcMar>
              <w:top w:w="0" w:type="dxa"/>
              <w:left w:w="0" w:type="dxa"/>
              <w:bottom w:w="0" w:type="dxa"/>
              <w:right w:w="0" w:type="dxa"/>
            </w:tcMar>
          </w:tcPr>
          <w:p w14:paraId="03C4BBBC" w14:textId="77777777" w:rsidR="00044CE7" w:rsidRPr="002F0188" w:rsidRDefault="00000000">
            <w:pPr>
              <w:tabs>
                <w:tab w:val="left" w:pos="720"/>
              </w:tabs>
              <w:ind w:left="300"/>
              <w:jc w:val="both"/>
            </w:pPr>
            <w:r w:rsidRPr="002F0188">
              <w:t>20</w:t>
            </w:r>
          </w:p>
        </w:tc>
        <w:tc>
          <w:tcPr>
            <w:tcW w:w="2450" w:type="dxa"/>
            <w:shd w:val="clear" w:color="auto" w:fill="FFFFFF"/>
            <w:tcMar>
              <w:top w:w="0" w:type="dxa"/>
              <w:left w:w="0" w:type="dxa"/>
              <w:bottom w:w="0" w:type="dxa"/>
              <w:right w:w="0" w:type="dxa"/>
            </w:tcMar>
          </w:tcPr>
          <w:p w14:paraId="2D62DAEA" w14:textId="77777777" w:rsidR="00044CE7" w:rsidRPr="002F0188" w:rsidRDefault="00000000">
            <w:pPr>
              <w:tabs>
                <w:tab w:val="left" w:pos="720"/>
              </w:tabs>
              <w:ind w:left="100" w:right="180"/>
              <w:jc w:val="center"/>
            </w:pPr>
            <w:r w:rsidRPr="002F0188">
              <w:t>—</w:t>
            </w:r>
          </w:p>
        </w:tc>
        <w:tc>
          <w:tcPr>
            <w:tcW w:w="2180" w:type="dxa"/>
            <w:shd w:val="clear" w:color="auto" w:fill="FFFFFF"/>
            <w:tcMar>
              <w:top w:w="0" w:type="dxa"/>
              <w:left w:w="0" w:type="dxa"/>
              <w:bottom w:w="0" w:type="dxa"/>
              <w:right w:w="0" w:type="dxa"/>
            </w:tcMar>
          </w:tcPr>
          <w:p w14:paraId="4474FEA7" w14:textId="77777777" w:rsidR="00044CE7" w:rsidRPr="002F0188" w:rsidRDefault="00000000">
            <w:pPr>
              <w:tabs>
                <w:tab w:val="left" w:pos="720"/>
              </w:tabs>
              <w:ind w:left="100" w:right="100"/>
              <w:jc w:val="center"/>
            </w:pPr>
            <w:r w:rsidRPr="002F0188">
              <w:t>—</w:t>
            </w:r>
          </w:p>
        </w:tc>
        <w:tc>
          <w:tcPr>
            <w:tcW w:w="2135" w:type="dxa"/>
            <w:shd w:val="clear" w:color="auto" w:fill="FFFFFF"/>
            <w:tcMar>
              <w:top w:w="0" w:type="dxa"/>
              <w:left w:w="0" w:type="dxa"/>
              <w:bottom w:w="0" w:type="dxa"/>
              <w:right w:w="0" w:type="dxa"/>
            </w:tcMar>
          </w:tcPr>
          <w:p w14:paraId="575A169F" w14:textId="77777777" w:rsidR="00044CE7" w:rsidRPr="002F0188" w:rsidRDefault="00000000">
            <w:pPr>
              <w:tabs>
                <w:tab w:val="left" w:pos="720"/>
              </w:tabs>
              <w:ind w:left="100" w:right="100"/>
              <w:jc w:val="center"/>
            </w:pPr>
            <w:r w:rsidRPr="002F0188">
              <w:t xml:space="preserve"> </w:t>
            </w:r>
          </w:p>
        </w:tc>
      </w:tr>
      <w:tr w:rsidR="00044CE7" w:rsidRPr="002F0188" w14:paraId="1F454A33" w14:textId="77777777" w:rsidTr="00571564">
        <w:trPr>
          <w:trHeight w:val="255"/>
        </w:trPr>
        <w:tc>
          <w:tcPr>
            <w:tcW w:w="3780" w:type="dxa"/>
            <w:shd w:val="clear" w:color="auto" w:fill="FFFFFF"/>
            <w:tcMar>
              <w:top w:w="0" w:type="dxa"/>
              <w:left w:w="0" w:type="dxa"/>
              <w:bottom w:w="0" w:type="dxa"/>
              <w:right w:w="0" w:type="dxa"/>
            </w:tcMar>
          </w:tcPr>
          <w:p w14:paraId="6CB9121F" w14:textId="77777777" w:rsidR="00044CE7" w:rsidRPr="002F0188" w:rsidRDefault="00000000">
            <w:pPr>
              <w:tabs>
                <w:tab w:val="left" w:pos="720"/>
              </w:tabs>
              <w:ind w:left="300"/>
              <w:jc w:val="both"/>
            </w:pPr>
            <w:r w:rsidRPr="002F0188">
              <w:t>21</w:t>
            </w:r>
          </w:p>
        </w:tc>
        <w:tc>
          <w:tcPr>
            <w:tcW w:w="2450" w:type="dxa"/>
            <w:shd w:val="clear" w:color="auto" w:fill="FFFFFF"/>
            <w:tcMar>
              <w:top w:w="0" w:type="dxa"/>
              <w:left w:w="0" w:type="dxa"/>
              <w:bottom w:w="0" w:type="dxa"/>
              <w:right w:w="0" w:type="dxa"/>
            </w:tcMar>
          </w:tcPr>
          <w:p w14:paraId="12F92128" w14:textId="77777777" w:rsidR="00044CE7" w:rsidRPr="002F0188" w:rsidRDefault="00000000">
            <w:pPr>
              <w:tabs>
                <w:tab w:val="left" w:pos="720"/>
              </w:tabs>
              <w:ind w:left="100" w:right="180"/>
              <w:jc w:val="center"/>
            </w:pPr>
            <w:r w:rsidRPr="002F0188">
              <w:t>-0.25 (-1.0 to 0.52)</w:t>
            </w:r>
          </w:p>
        </w:tc>
        <w:tc>
          <w:tcPr>
            <w:tcW w:w="2180" w:type="dxa"/>
            <w:shd w:val="clear" w:color="auto" w:fill="FFFFFF"/>
            <w:tcMar>
              <w:top w:w="0" w:type="dxa"/>
              <w:left w:w="0" w:type="dxa"/>
              <w:bottom w:w="0" w:type="dxa"/>
              <w:right w:w="0" w:type="dxa"/>
            </w:tcMar>
          </w:tcPr>
          <w:p w14:paraId="7A79B29A" w14:textId="77777777" w:rsidR="00044CE7" w:rsidRPr="002F0188" w:rsidRDefault="00000000">
            <w:pPr>
              <w:tabs>
                <w:tab w:val="left" w:pos="720"/>
              </w:tabs>
              <w:ind w:left="100" w:right="100"/>
              <w:jc w:val="center"/>
            </w:pPr>
            <w:r w:rsidRPr="002F0188">
              <w:t>-1.0</w:t>
            </w:r>
          </w:p>
        </w:tc>
        <w:tc>
          <w:tcPr>
            <w:tcW w:w="2135" w:type="dxa"/>
            <w:shd w:val="clear" w:color="auto" w:fill="FFFFFF"/>
            <w:tcMar>
              <w:top w:w="0" w:type="dxa"/>
              <w:left w:w="0" w:type="dxa"/>
              <w:bottom w:w="0" w:type="dxa"/>
              <w:right w:w="0" w:type="dxa"/>
            </w:tcMar>
          </w:tcPr>
          <w:p w14:paraId="29C5AB31" w14:textId="77777777" w:rsidR="00044CE7" w:rsidRPr="002F0188" w:rsidRDefault="00000000">
            <w:pPr>
              <w:tabs>
                <w:tab w:val="left" w:pos="720"/>
              </w:tabs>
              <w:ind w:left="100" w:right="100"/>
              <w:jc w:val="center"/>
            </w:pPr>
            <w:r w:rsidRPr="002F0188">
              <w:t>0.52</w:t>
            </w:r>
          </w:p>
        </w:tc>
      </w:tr>
      <w:tr w:rsidR="00044CE7" w:rsidRPr="002F0188" w14:paraId="58DD92E1" w14:textId="77777777" w:rsidTr="00571564">
        <w:trPr>
          <w:trHeight w:val="255"/>
        </w:trPr>
        <w:tc>
          <w:tcPr>
            <w:tcW w:w="3780" w:type="dxa"/>
            <w:shd w:val="clear" w:color="auto" w:fill="FFFFFF"/>
            <w:tcMar>
              <w:top w:w="0" w:type="dxa"/>
              <w:left w:w="0" w:type="dxa"/>
              <w:bottom w:w="0" w:type="dxa"/>
              <w:right w:w="0" w:type="dxa"/>
            </w:tcMar>
          </w:tcPr>
          <w:p w14:paraId="403C405F" w14:textId="77777777" w:rsidR="00044CE7" w:rsidRPr="002F0188" w:rsidRDefault="00000000">
            <w:pPr>
              <w:tabs>
                <w:tab w:val="left" w:pos="720"/>
              </w:tabs>
              <w:ind w:left="300"/>
              <w:jc w:val="both"/>
            </w:pPr>
            <w:r w:rsidRPr="002F0188">
              <w:t>22</w:t>
            </w:r>
          </w:p>
        </w:tc>
        <w:tc>
          <w:tcPr>
            <w:tcW w:w="2450" w:type="dxa"/>
            <w:shd w:val="clear" w:color="auto" w:fill="FFFFFF"/>
            <w:tcMar>
              <w:top w:w="0" w:type="dxa"/>
              <w:left w:w="0" w:type="dxa"/>
              <w:bottom w:w="0" w:type="dxa"/>
              <w:right w:w="0" w:type="dxa"/>
            </w:tcMar>
          </w:tcPr>
          <w:p w14:paraId="627E5F0A" w14:textId="77777777" w:rsidR="00044CE7" w:rsidRPr="002F0188" w:rsidRDefault="00000000">
            <w:pPr>
              <w:tabs>
                <w:tab w:val="left" w:pos="720"/>
              </w:tabs>
              <w:ind w:left="100" w:right="180"/>
              <w:jc w:val="center"/>
            </w:pPr>
            <w:r w:rsidRPr="002F0188">
              <w:t>-0.19 (-0.96 to 0.58)</w:t>
            </w:r>
          </w:p>
        </w:tc>
        <w:tc>
          <w:tcPr>
            <w:tcW w:w="2180" w:type="dxa"/>
            <w:shd w:val="clear" w:color="auto" w:fill="FFFFFF"/>
            <w:tcMar>
              <w:top w:w="0" w:type="dxa"/>
              <w:left w:w="0" w:type="dxa"/>
              <w:bottom w:w="0" w:type="dxa"/>
              <w:right w:w="0" w:type="dxa"/>
            </w:tcMar>
          </w:tcPr>
          <w:p w14:paraId="2510FD5E" w14:textId="77777777" w:rsidR="00044CE7" w:rsidRPr="002F0188" w:rsidRDefault="00000000">
            <w:pPr>
              <w:tabs>
                <w:tab w:val="left" w:pos="720"/>
              </w:tabs>
              <w:ind w:left="100" w:right="100"/>
              <w:jc w:val="center"/>
            </w:pPr>
            <w:r w:rsidRPr="002F0188">
              <w:t>-0.96</w:t>
            </w:r>
          </w:p>
        </w:tc>
        <w:tc>
          <w:tcPr>
            <w:tcW w:w="2135" w:type="dxa"/>
            <w:shd w:val="clear" w:color="auto" w:fill="FFFFFF"/>
            <w:tcMar>
              <w:top w:w="0" w:type="dxa"/>
              <w:left w:w="0" w:type="dxa"/>
              <w:bottom w:w="0" w:type="dxa"/>
              <w:right w:w="0" w:type="dxa"/>
            </w:tcMar>
          </w:tcPr>
          <w:p w14:paraId="17D4C6DC" w14:textId="77777777" w:rsidR="00044CE7" w:rsidRPr="002F0188" w:rsidRDefault="00000000">
            <w:pPr>
              <w:tabs>
                <w:tab w:val="left" w:pos="720"/>
              </w:tabs>
              <w:ind w:left="100" w:right="100"/>
              <w:jc w:val="center"/>
            </w:pPr>
            <w:r w:rsidRPr="002F0188">
              <w:t>0.62</w:t>
            </w:r>
          </w:p>
        </w:tc>
      </w:tr>
      <w:tr w:rsidR="00044CE7" w:rsidRPr="002F0188" w14:paraId="6DBD2392" w14:textId="77777777" w:rsidTr="00571564">
        <w:trPr>
          <w:trHeight w:val="255"/>
        </w:trPr>
        <w:tc>
          <w:tcPr>
            <w:tcW w:w="3780" w:type="dxa"/>
            <w:shd w:val="clear" w:color="auto" w:fill="FFFFFF"/>
            <w:tcMar>
              <w:top w:w="0" w:type="dxa"/>
              <w:left w:w="0" w:type="dxa"/>
              <w:bottom w:w="0" w:type="dxa"/>
              <w:right w:w="0" w:type="dxa"/>
            </w:tcMar>
          </w:tcPr>
          <w:p w14:paraId="47589AFA" w14:textId="77777777" w:rsidR="00044CE7" w:rsidRPr="002F0188" w:rsidRDefault="00000000">
            <w:pPr>
              <w:tabs>
                <w:tab w:val="left" w:pos="720"/>
              </w:tabs>
              <w:ind w:left="300"/>
              <w:jc w:val="both"/>
            </w:pPr>
            <w:r w:rsidRPr="002F0188">
              <w:t>23</w:t>
            </w:r>
          </w:p>
        </w:tc>
        <w:tc>
          <w:tcPr>
            <w:tcW w:w="2450" w:type="dxa"/>
            <w:shd w:val="clear" w:color="auto" w:fill="FFFFFF"/>
            <w:tcMar>
              <w:top w:w="0" w:type="dxa"/>
              <w:left w:w="0" w:type="dxa"/>
              <w:bottom w:w="0" w:type="dxa"/>
              <w:right w:w="0" w:type="dxa"/>
            </w:tcMar>
          </w:tcPr>
          <w:p w14:paraId="2D3E4F79" w14:textId="77777777" w:rsidR="00044CE7" w:rsidRPr="002F0188" w:rsidRDefault="00000000">
            <w:pPr>
              <w:tabs>
                <w:tab w:val="left" w:pos="720"/>
              </w:tabs>
              <w:ind w:left="100" w:right="180"/>
              <w:jc w:val="center"/>
            </w:pPr>
            <w:r w:rsidRPr="002F0188">
              <w:t>-0.33 (-1.1 to 0.44)</w:t>
            </w:r>
          </w:p>
        </w:tc>
        <w:tc>
          <w:tcPr>
            <w:tcW w:w="2180" w:type="dxa"/>
            <w:shd w:val="clear" w:color="auto" w:fill="FFFFFF"/>
            <w:tcMar>
              <w:top w:w="0" w:type="dxa"/>
              <w:left w:w="0" w:type="dxa"/>
              <w:bottom w:w="0" w:type="dxa"/>
              <w:right w:w="0" w:type="dxa"/>
            </w:tcMar>
          </w:tcPr>
          <w:p w14:paraId="4A7BA8F4" w14:textId="77777777" w:rsidR="00044CE7" w:rsidRPr="002F0188" w:rsidRDefault="00000000">
            <w:pPr>
              <w:tabs>
                <w:tab w:val="left" w:pos="720"/>
              </w:tabs>
              <w:ind w:left="100" w:right="100"/>
              <w:jc w:val="center"/>
            </w:pPr>
            <w:r w:rsidRPr="002F0188">
              <w:t>-1.1</w:t>
            </w:r>
          </w:p>
        </w:tc>
        <w:tc>
          <w:tcPr>
            <w:tcW w:w="2135" w:type="dxa"/>
            <w:shd w:val="clear" w:color="auto" w:fill="FFFFFF"/>
            <w:tcMar>
              <w:top w:w="0" w:type="dxa"/>
              <w:left w:w="0" w:type="dxa"/>
              <w:bottom w:w="0" w:type="dxa"/>
              <w:right w:w="0" w:type="dxa"/>
            </w:tcMar>
          </w:tcPr>
          <w:p w14:paraId="050D63DF" w14:textId="77777777" w:rsidR="00044CE7" w:rsidRPr="002F0188" w:rsidRDefault="00000000">
            <w:pPr>
              <w:tabs>
                <w:tab w:val="left" w:pos="720"/>
              </w:tabs>
              <w:ind w:left="100" w:right="100"/>
              <w:jc w:val="center"/>
            </w:pPr>
            <w:r w:rsidRPr="002F0188">
              <w:t>0.40</w:t>
            </w:r>
          </w:p>
        </w:tc>
      </w:tr>
      <w:tr w:rsidR="00044CE7" w:rsidRPr="002F0188" w14:paraId="543FC823" w14:textId="77777777" w:rsidTr="00571564">
        <w:trPr>
          <w:trHeight w:val="255"/>
        </w:trPr>
        <w:tc>
          <w:tcPr>
            <w:tcW w:w="3780" w:type="dxa"/>
            <w:shd w:val="clear" w:color="auto" w:fill="FFFFFF"/>
            <w:tcMar>
              <w:top w:w="0" w:type="dxa"/>
              <w:left w:w="0" w:type="dxa"/>
              <w:bottom w:w="0" w:type="dxa"/>
              <w:right w:w="0" w:type="dxa"/>
            </w:tcMar>
          </w:tcPr>
          <w:p w14:paraId="0C0A95C6" w14:textId="77777777" w:rsidR="00044CE7" w:rsidRPr="002F0188" w:rsidRDefault="00000000">
            <w:pPr>
              <w:tabs>
                <w:tab w:val="left" w:pos="720"/>
              </w:tabs>
              <w:ind w:left="300"/>
              <w:jc w:val="both"/>
            </w:pPr>
            <w:r w:rsidRPr="002F0188">
              <w:t>24</w:t>
            </w:r>
          </w:p>
        </w:tc>
        <w:tc>
          <w:tcPr>
            <w:tcW w:w="2450" w:type="dxa"/>
            <w:shd w:val="clear" w:color="auto" w:fill="FFFFFF"/>
            <w:tcMar>
              <w:top w:w="0" w:type="dxa"/>
              <w:left w:w="0" w:type="dxa"/>
              <w:bottom w:w="0" w:type="dxa"/>
              <w:right w:w="0" w:type="dxa"/>
            </w:tcMar>
          </w:tcPr>
          <w:p w14:paraId="0D207877" w14:textId="77777777" w:rsidR="00044CE7" w:rsidRPr="002F0188" w:rsidRDefault="00000000">
            <w:pPr>
              <w:tabs>
                <w:tab w:val="left" w:pos="720"/>
              </w:tabs>
              <w:ind w:left="100" w:right="180"/>
              <w:jc w:val="center"/>
            </w:pPr>
            <w:r w:rsidRPr="002F0188">
              <w:t>-0.21 (-1.0 to 0.60)</w:t>
            </w:r>
          </w:p>
        </w:tc>
        <w:tc>
          <w:tcPr>
            <w:tcW w:w="2180" w:type="dxa"/>
            <w:shd w:val="clear" w:color="auto" w:fill="FFFFFF"/>
            <w:tcMar>
              <w:top w:w="0" w:type="dxa"/>
              <w:left w:w="0" w:type="dxa"/>
              <w:bottom w:w="0" w:type="dxa"/>
              <w:right w:w="0" w:type="dxa"/>
            </w:tcMar>
          </w:tcPr>
          <w:p w14:paraId="31BA352A" w14:textId="77777777" w:rsidR="00044CE7" w:rsidRPr="002F0188" w:rsidRDefault="00000000">
            <w:pPr>
              <w:tabs>
                <w:tab w:val="left" w:pos="720"/>
              </w:tabs>
              <w:ind w:left="100" w:right="100"/>
              <w:jc w:val="center"/>
            </w:pPr>
            <w:r w:rsidRPr="002F0188">
              <w:t>-1.0</w:t>
            </w:r>
          </w:p>
        </w:tc>
        <w:tc>
          <w:tcPr>
            <w:tcW w:w="2135" w:type="dxa"/>
            <w:shd w:val="clear" w:color="auto" w:fill="FFFFFF"/>
            <w:tcMar>
              <w:top w:w="0" w:type="dxa"/>
              <w:left w:w="0" w:type="dxa"/>
              <w:bottom w:w="0" w:type="dxa"/>
              <w:right w:w="0" w:type="dxa"/>
            </w:tcMar>
          </w:tcPr>
          <w:p w14:paraId="4F964E1F" w14:textId="77777777" w:rsidR="00044CE7" w:rsidRPr="002F0188" w:rsidRDefault="00000000">
            <w:pPr>
              <w:tabs>
                <w:tab w:val="left" w:pos="720"/>
              </w:tabs>
              <w:ind w:left="100" w:right="100"/>
              <w:jc w:val="center"/>
            </w:pPr>
            <w:r w:rsidRPr="002F0188">
              <w:t>0.62</w:t>
            </w:r>
          </w:p>
        </w:tc>
      </w:tr>
      <w:tr w:rsidR="00044CE7" w:rsidRPr="002F0188" w14:paraId="41841F43" w14:textId="77777777" w:rsidTr="00571564">
        <w:trPr>
          <w:trHeight w:val="255"/>
        </w:trPr>
        <w:tc>
          <w:tcPr>
            <w:tcW w:w="3780" w:type="dxa"/>
            <w:shd w:val="clear" w:color="auto" w:fill="FFFFFF"/>
            <w:tcMar>
              <w:top w:w="0" w:type="dxa"/>
              <w:left w:w="0" w:type="dxa"/>
              <w:bottom w:w="0" w:type="dxa"/>
              <w:right w:w="0" w:type="dxa"/>
            </w:tcMar>
          </w:tcPr>
          <w:p w14:paraId="2DEDCE7E" w14:textId="77777777" w:rsidR="00044CE7" w:rsidRPr="002F0188" w:rsidRDefault="00000000">
            <w:pPr>
              <w:tabs>
                <w:tab w:val="left" w:pos="720"/>
              </w:tabs>
              <w:ind w:left="300"/>
              <w:jc w:val="both"/>
            </w:pPr>
            <w:r w:rsidRPr="002F0188">
              <w:t>26</w:t>
            </w:r>
          </w:p>
        </w:tc>
        <w:tc>
          <w:tcPr>
            <w:tcW w:w="2450" w:type="dxa"/>
            <w:shd w:val="clear" w:color="auto" w:fill="FFFFFF"/>
            <w:tcMar>
              <w:top w:w="0" w:type="dxa"/>
              <w:left w:w="0" w:type="dxa"/>
              <w:bottom w:w="0" w:type="dxa"/>
              <w:right w:w="0" w:type="dxa"/>
            </w:tcMar>
          </w:tcPr>
          <w:p w14:paraId="17178135" w14:textId="77777777" w:rsidR="00044CE7" w:rsidRPr="002F0188" w:rsidRDefault="00000000">
            <w:pPr>
              <w:tabs>
                <w:tab w:val="left" w:pos="720"/>
              </w:tabs>
              <w:ind w:left="100" w:right="180"/>
              <w:jc w:val="center"/>
            </w:pPr>
            <w:r w:rsidRPr="002F0188">
              <w:t>-0.06 (-1.1 to 1.0)</w:t>
            </w:r>
          </w:p>
        </w:tc>
        <w:tc>
          <w:tcPr>
            <w:tcW w:w="2180" w:type="dxa"/>
            <w:shd w:val="clear" w:color="auto" w:fill="FFFFFF"/>
            <w:tcMar>
              <w:top w:w="0" w:type="dxa"/>
              <w:left w:w="0" w:type="dxa"/>
              <w:bottom w:w="0" w:type="dxa"/>
              <w:right w:w="0" w:type="dxa"/>
            </w:tcMar>
          </w:tcPr>
          <w:p w14:paraId="7BC48207" w14:textId="77777777" w:rsidR="00044CE7" w:rsidRPr="002F0188" w:rsidRDefault="00000000">
            <w:pPr>
              <w:tabs>
                <w:tab w:val="left" w:pos="720"/>
              </w:tabs>
              <w:ind w:left="100" w:right="100"/>
              <w:jc w:val="center"/>
            </w:pPr>
            <w:r w:rsidRPr="002F0188">
              <w:t>-1.1</w:t>
            </w:r>
          </w:p>
        </w:tc>
        <w:tc>
          <w:tcPr>
            <w:tcW w:w="2135" w:type="dxa"/>
            <w:shd w:val="clear" w:color="auto" w:fill="FFFFFF"/>
            <w:tcMar>
              <w:top w:w="0" w:type="dxa"/>
              <w:left w:w="0" w:type="dxa"/>
              <w:bottom w:w="0" w:type="dxa"/>
              <w:right w:w="0" w:type="dxa"/>
            </w:tcMar>
          </w:tcPr>
          <w:p w14:paraId="3CBD3417" w14:textId="77777777" w:rsidR="00044CE7" w:rsidRPr="002F0188" w:rsidRDefault="00000000">
            <w:pPr>
              <w:tabs>
                <w:tab w:val="left" w:pos="720"/>
              </w:tabs>
              <w:ind w:left="100" w:right="100"/>
              <w:jc w:val="center"/>
            </w:pPr>
            <w:r w:rsidRPr="002F0188">
              <w:t>0.90</w:t>
            </w:r>
          </w:p>
        </w:tc>
      </w:tr>
      <w:tr w:rsidR="00044CE7" w:rsidRPr="002F0188" w14:paraId="21D63A71" w14:textId="77777777" w:rsidTr="00571564">
        <w:trPr>
          <w:trHeight w:val="255"/>
        </w:trPr>
        <w:tc>
          <w:tcPr>
            <w:tcW w:w="3780" w:type="dxa"/>
            <w:shd w:val="clear" w:color="auto" w:fill="FFFFFF"/>
            <w:tcMar>
              <w:top w:w="0" w:type="dxa"/>
              <w:left w:w="0" w:type="dxa"/>
              <w:bottom w:w="0" w:type="dxa"/>
              <w:right w:w="0" w:type="dxa"/>
            </w:tcMar>
          </w:tcPr>
          <w:p w14:paraId="04B01D11" w14:textId="77777777" w:rsidR="00044CE7" w:rsidRPr="002F0188" w:rsidRDefault="00000000">
            <w:pPr>
              <w:tabs>
                <w:tab w:val="left" w:pos="720"/>
              </w:tabs>
              <w:ind w:left="100"/>
              <w:jc w:val="both"/>
            </w:pPr>
            <w:r w:rsidRPr="002F0188">
              <w:t>Gender [Ref: Female]</w:t>
            </w:r>
          </w:p>
        </w:tc>
        <w:tc>
          <w:tcPr>
            <w:tcW w:w="2450" w:type="dxa"/>
            <w:shd w:val="clear" w:color="auto" w:fill="FFFFFF"/>
            <w:tcMar>
              <w:top w:w="0" w:type="dxa"/>
              <w:left w:w="0" w:type="dxa"/>
              <w:bottom w:w="0" w:type="dxa"/>
              <w:right w:w="0" w:type="dxa"/>
            </w:tcMar>
          </w:tcPr>
          <w:p w14:paraId="7357D2D7" w14:textId="77777777" w:rsidR="00044CE7" w:rsidRPr="002F0188" w:rsidRDefault="00000000">
            <w:pPr>
              <w:tabs>
                <w:tab w:val="left" w:pos="720"/>
              </w:tabs>
              <w:ind w:left="100" w:right="180"/>
              <w:jc w:val="center"/>
            </w:pPr>
            <w:r w:rsidRPr="002F0188">
              <w:t xml:space="preserve"> </w:t>
            </w:r>
          </w:p>
        </w:tc>
        <w:tc>
          <w:tcPr>
            <w:tcW w:w="2180" w:type="dxa"/>
            <w:shd w:val="clear" w:color="auto" w:fill="FFFFFF"/>
            <w:tcMar>
              <w:top w:w="0" w:type="dxa"/>
              <w:left w:w="0" w:type="dxa"/>
              <w:bottom w:w="0" w:type="dxa"/>
              <w:right w:w="0" w:type="dxa"/>
            </w:tcMar>
          </w:tcPr>
          <w:p w14:paraId="0B406EC1" w14:textId="77777777" w:rsidR="00044CE7" w:rsidRPr="002F0188" w:rsidRDefault="00000000">
            <w:pPr>
              <w:tabs>
                <w:tab w:val="left" w:pos="720"/>
              </w:tabs>
              <w:ind w:left="100" w:right="100"/>
              <w:jc w:val="center"/>
            </w:pPr>
            <w:r w:rsidRPr="002F0188">
              <w:t xml:space="preserve"> </w:t>
            </w:r>
          </w:p>
        </w:tc>
        <w:tc>
          <w:tcPr>
            <w:tcW w:w="2135" w:type="dxa"/>
            <w:shd w:val="clear" w:color="auto" w:fill="FFFFFF"/>
            <w:tcMar>
              <w:top w:w="0" w:type="dxa"/>
              <w:left w:w="0" w:type="dxa"/>
              <w:bottom w:w="0" w:type="dxa"/>
              <w:right w:w="0" w:type="dxa"/>
            </w:tcMar>
          </w:tcPr>
          <w:p w14:paraId="41E5A420" w14:textId="77777777" w:rsidR="00044CE7" w:rsidRPr="002F0188" w:rsidRDefault="00000000">
            <w:pPr>
              <w:tabs>
                <w:tab w:val="left" w:pos="720"/>
              </w:tabs>
              <w:ind w:left="100" w:right="100"/>
              <w:jc w:val="center"/>
            </w:pPr>
            <w:r w:rsidRPr="002F0188">
              <w:t xml:space="preserve"> </w:t>
            </w:r>
          </w:p>
        </w:tc>
      </w:tr>
      <w:tr w:rsidR="00044CE7" w:rsidRPr="002F0188" w14:paraId="75F5F1F4" w14:textId="77777777" w:rsidTr="00571564">
        <w:trPr>
          <w:trHeight w:val="255"/>
        </w:trPr>
        <w:tc>
          <w:tcPr>
            <w:tcW w:w="3780" w:type="dxa"/>
            <w:shd w:val="clear" w:color="auto" w:fill="FFFFFF"/>
            <w:tcMar>
              <w:top w:w="0" w:type="dxa"/>
              <w:left w:w="0" w:type="dxa"/>
              <w:bottom w:w="0" w:type="dxa"/>
              <w:right w:w="0" w:type="dxa"/>
            </w:tcMar>
          </w:tcPr>
          <w:p w14:paraId="328CBA39" w14:textId="77777777" w:rsidR="00044CE7" w:rsidRPr="002F0188" w:rsidRDefault="00000000">
            <w:pPr>
              <w:tabs>
                <w:tab w:val="left" w:pos="720"/>
              </w:tabs>
              <w:ind w:left="300"/>
              <w:jc w:val="both"/>
            </w:pPr>
            <w:r w:rsidRPr="002F0188">
              <w:t>Female</w:t>
            </w:r>
          </w:p>
        </w:tc>
        <w:tc>
          <w:tcPr>
            <w:tcW w:w="2450" w:type="dxa"/>
            <w:shd w:val="clear" w:color="auto" w:fill="FFFFFF"/>
            <w:tcMar>
              <w:top w:w="0" w:type="dxa"/>
              <w:left w:w="0" w:type="dxa"/>
              <w:bottom w:w="0" w:type="dxa"/>
              <w:right w:w="0" w:type="dxa"/>
            </w:tcMar>
          </w:tcPr>
          <w:p w14:paraId="5BD0E6E2" w14:textId="77777777" w:rsidR="00044CE7" w:rsidRPr="002F0188" w:rsidRDefault="00000000">
            <w:pPr>
              <w:tabs>
                <w:tab w:val="left" w:pos="720"/>
              </w:tabs>
              <w:ind w:left="100" w:right="180"/>
              <w:jc w:val="center"/>
            </w:pPr>
            <w:r w:rsidRPr="002F0188">
              <w:t>—</w:t>
            </w:r>
          </w:p>
        </w:tc>
        <w:tc>
          <w:tcPr>
            <w:tcW w:w="2180" w:type="dxa"/>
            <w:shd w:val="clear" w:color="auto" w:fill="FFFFFF"/>
            <w:tcMar>
              <w:top w:w="0" w:type="dxa"/>
              <w:left w:w="0" w:type="dxa"/>
              <w:bottom w:w="0" w:type="dxa"/>
              <w:right w:w="0" w:type="dxa"/>
            </w:tcMar>
          </w:tcPr>
          <w:p w14:paraId="7836658F" w14:textId="77777777" w:rsidR="00044CE7" w:rsidRPr="002F0188" w:rsidRDefault="00000000">
            <w:pPr>
              <w:tabs>
                <w:tab w:val="left" w:pos="720"/>
              </w:tabs>
              <w:ind w:left="100" w:right="100"/>
              <w:jc w:val="center"/>
            </w:pPr>
            <w:r w:rsidRPr="002F0188">
              <w:t>—</w:t>
            </w:r>
          </w:p>
        </w:tc>
        <w:tc>
          <w:tcPr>
            <w:tcW w:w="2135" w:type="dxa"/>
            <w:shd w:val="clear" w:color="auto" w:fill="FFFFFF"/>
            <w:tcMar>
              <w:top w:w="0" w:type="dxa"/>
              <w:left w:w="0" w:type="dxa"/>
              <w:bottom w:w="0" w:type="dxa"/>
              <w:right w:w="0" w:type="dxa"/>
            </w:tcMar>
          </w:tcPr>
          <w:p w14:paraId="59E309A5" w14:textId="77777777" w:rsidR="00044CE7" w:rsidRPr="002F0188" w:rsidRDefault="00000000">
            <w:pPr>
              <w:tabs>
                <w:tab w:val="left" w:pos="720"/>
              </w:tabs>
              <w:ind w:left="100" w:right="100"/>
              <w:jc w:val="center"/>
            </w:pPr>
            <w:r w:rsidRPr="002F0188">
              <w:t xml:space="preserve"> </w:t>
            </w:r>
          </w:p>
        </w:tc>
      </w:tr>
      <w:tr w:rsidR="00044CE7" w:rsidRPr="002F0188" w14:paraId="3196C09E" w14:textId="77777777" w:rsidTr="00571564">
        <w:trPr>
          <w:trHeight w:val="255"/>
        </w:trPr>
        <w:tc>
          <w:tcPr>
            <w:tcW w:w="3780" w:type="dxa"/>
            <w:shd w:val="clear" w:color="auto" w:fill="FFFFFF"/>
            <w:tcMar>
              <w:top w:w="0" w:type="dxa"/>
              <w:left w:w="0" w:type="dxa"/>
              <w:bottom w:w="0" w:type="dxa"/>
              <w:right w:w="0" w:type="dxa"/>
            </w:tcMar>
          </w:tcPr>
          <w:p w14:paraId="775016DF" w14:textId="77777777" w:rsidR="00044CE7" w:rsidRPr="002F0188" w:rsidRDefault="00000000">
            <w:pPr>
              <w:tabs>
                <w:tab w:val="left" w:pos="720"/>
              </w:tabs>
              <w:ind w:left="300"/>
              <w:jc w:val="both"/>
            </w:pPr>
            <w:r w:rsidRPr="002F0188">
              <w:t>Male</w:t>
            </w:r>
          </w:p>
        </w:tc>
        <w:tc>
          <w:tcPr>
            <w:tcW w:w="2450" w:type="dxa"/>
            <w:shd w:val="clear" w:color="auto" w:fill="FFFFFF"/>
            <w:tcMar>
              <w:top w:w="0" w:type="dxa"/>
              <w:left w:w="0" w:type="dxa"/>
              <w:bottom w:w="0" w:type="dxa"/>
              <w:right w:w="0" w:type="dxa"/>
            </w:tcMar>
          </w:tcPr>
          <w:p w14:paraId="568A652B" w14:textId="77777777" w:rsidR="00044CE7" w:rsidRPr="002F0188" w:rsidRDefault="00000000">
            <w:pPr>
              <w:tabs>
                <w:tab w:val="left" w:pos="720"/>
              </w:tabs>
              <w:ind w:left="100" w:right="180"/>
              <w:jc w:val="center"/>
            </w:pPr>
            <w:r w:rsidRPr="002F0188">
              <w:t>0.21 (-0.01 to 0.44)</w:t>
            </w:r>
          </w:p>
        </w:tc>
        <w:tc>
          <w:tcPr>
            <w:tcW w:w="2180" w:type="dxa"/>
            <w:shd w:val="clear" w:color="auto" w:fill="FFFFFF"/>
            <w:tcMar>
              <w:top w:w="0" w:type="dxa"/>
              <w:left w:w="0" w:type="dxa"/>
              <w:bottom w:w="0" w:type="dxa"/>
              <w:right w:w="0" w:type="dxa"/>
            </w:tcMar>
          </w:tcPr>
          <w:p w14:paraId="1657FBB7" w14:textId="77777777" w:rsidR="00044CE7" w:rsidRPr="002F0188" w:rsidRDefault="00000000">
            <w:pPr>
              <w:tabs>
                <w:tab w:val="left" w:pos="720"/>
              </w:tabs>
              <w:ind w:left="100" w:right="100"/>
              <w:jc w:val="center"/>
            </w:pPr>
            <w:r w:rsidRPr="002F0188">
              <w:t>-0.01</w:t>
            </w:r>
          </w:p>
        </w:tc>
        <w:tc>
          <w:tcPr>
            <w:tcW w:w="2135" w:type="dxa"/>
            <w:shd w:val="clear" w:color="auto" w:fill="FFFFFF"/>
            <w:tcMar>
              <w:top w:w="0" w:type="dxa"/>
              <w:left w:w="0" w:type="dxa"/>
              <w:bottom w:w="0" w:type="dxa"/>
              <w:right w:w="0" w:type="dxa"/>
            </w:tcMar>
          </w:tcPr>
          <w:p w14:paraId="48604DD5" w14:textId="77777777" w:rsidR="00044CE7" w:rsidRPr="002F0188" w:rsidRDefault="00000000">
            <w:pPr>
              <w:tabs>
                <w:tab w:val="left" w:pos="720"/>
              </w:tabs>
              <w:ind w:left="100" w:right="100"/>
              <w:jc w:val="center"/>
            </w:pPr>
            <w:r w:rsidRPr="002F0188">
              <w:t>0.065</w:t>
            </w:r>
          </w:p>
        </w:tc>
      </w:tr>
      <w:tr w:rsidR="00044CE7" w:rsidRPr="002F0188" w14:paraId="76B9F5BE" w14:textId="77777777" w:rsidTr="00571564">
        <w:trPr>
          <w:trHeight w:val="510"/>
        </w:trPr>
        <w:tc>
          <w:tcPr>
            <w:tcW w:w="3780" w:type="dxa"/>
            <w:shd w:val="clear" w:color="auto" w:fill="FFFFFF"/>
            <w:tcMar>
              <w:top w:w="0" w:type="dxa"/>
              <w:left w:w="0" w:type="dxa"/>
              <w:bottom w:w="0" w:type="dxa"/>
              <w:right w:w="0" w:type="dxa"/>
            </w:tcMar>
          </w:tcPr>
          <w:p w14:paraId="7F6837E0" w14:textId="77777777" w:rsidR="00044CE7" w:rsidRPr="002F0188" w:rsidRDefault="00000000">
            <w:pPr>
              <w:tabs>
                <w:tab w:val="left" w:pos="720"/>
              </w:tabs>
              <w:ind w:left="100"/>
              <w:jc w:val="both"/>
            </w:pPr>
            <w:r w:rsidRPr="002F0188">
              <w:t>Academic Tier [Ref: 2.50 to 2.99]</w:t>
            </w:r>
          </w:p>
        </w:tc>
        <w:tc>
          <w:tcPr>
            <w:tcW w:w="2450" w:type="dxa"/>
            <w:shd w:val="clear" w:color="auto" w:fill="FFFFFF"/>
            <w:tcMar>
              <w:top w:w="0" w:type="dxa"/>
              <w:left w:w="0" w:type="dxa"/>
              <w:bottom w:w="0" w:type="dxa"/>
              <w:right w:w="0" w:type="dxa"/>
            </w:tcMar>
          </w:tcPr>
          <w:p w14:paraId="5C347B58" w14:textId="77777777" w:rsidR="00044CE7" w:rsidRPr="002F0188" w:rsidRDefault="00000000">
            <w:pPr>
              <w:tabs>
                <w:tab w:val="left" w:pos="720"/>
              </w:tabs>
              <w:ind w:left="100" w:right="180"/>
              <w:jc w:val="center"/>
            </w:pPr>
            <w:r w:rsidRPr="002F0188">
              <w:t xml:space="preserve"> </w:t>
            </w:r>
          </w:p>
        </w:tc>
        <w:tc>
          <w:tcPr>
            <w:tcW w:w="2180" w:type="dxa"/>
            <w:shd w:val="clear" w:color="auto" w:fill="FFFFFF"/>
            <w:tcMar>
              <w:top w:w="0" w:type="dxa"/>
              <w:left w:w="0" w:type="dxa"/>
              <w:bottom w:w="0" w:type="dxa"/>
              <w:right w:w="0" w:type="dxa"/>
            </w:tcMar>
          </w:tcPr>
          <w:p w14:paraId="646CB941" w14:textId="77777777" w:rsidR="00044CE7" w:rsidRPr="002F0188" w:rsidRDefault="00000000">
            <w:pPr>
              <w:tabs>
                <w:tab w:val="left" w:pos="720"/>
              </w:tabs>
              <w:ind w:left="100" w:right="100"/>
              <w:jc w:val="center"/>
            </w:pPr>
            <w:r w:rsidRPr="002F0188">
              <w:t xml:space="preserve"> </w:t>
            </w:r>
          </w:p>
        </w:tc>
        <w:tc>
          <w:tcPr>
            <w:tcW w:w="2135" w:type="dxa"/>
            <w:shd w:val="clear" w:color="auto" w:fill="FFFFFF"/>
            <w:tcMar>
              <w:top w:w="0" w:type="dxa"/>
              <w:left w:w="0" w:type="dxa"/>
              <w:bottom w:w="0" w:type="dxa"/>
              <w:right w:w="0" w:type="dxa"/>
            </w:tcMar>
          </w:tcPr>
          <w:p w14:paraId="3A0BEE19" w14:textId="77777777" w:rsidR="00044CE7" w:rsidRPr="002F0188" w:rsidRDefault="00000000">
            <w:pPr>
              <w:tabs>
                <w:tab w:val="left" w:pos="720"/>
              </w:tabs>
              <w:ind w:left="100" w:right="100"/>
              <w:jc w:val="center"/>
            </w:pPr>
            <w:r w:rsidRPr="002F0188">
              <w:t xml:space="preserve"> </w:t>
            </w:r>
          </w:p>
        </w:tc>
      </w:tr>
      <w:tr w:rsidR="00044CE7" w:rsidRPr="002F0188" w14:paraId="74C144EC" w14:textId="77777777" w:rsidTr="00571564">
        <w:trPr>
          <w:trHeight w:val="255"/>
        </w:trPr>
        <w:tc>
          <w:tcPr>
            <w:tcW w:w="3780" w:type="dxa"/>
            <w:shd w:val="clear" w:color="auto" w:fill="FFFFFF"/>
            <w:tcMar>
              <w:top w:w="0" w:type="dxa"/>
              <w:left w:w="0" w:type="dxa"/>
              <w:bottom w:w="0" w:type="dxa"/>
              <w:right w:w="0" w:type="dxa"/>
            </w:tcMar>
          </w:tcPr>
          <w:p w14:paraId="571570DC" w14:textId="77777777" w:rsidR="00044CE7" w:rsidRPr="002F0188" w:rsidRDefault="00000000">
            <w:pPr>
              <w:tabs>
                <w:tab w:val="left" w:pos="720"/>
              </w:tabs>
              <w:ind w:left="300"/>
              <w:jc w:val="both"/>
            </w:pPr>
            <w:r w:rsidRPr="002F0188">
              <w:t>2.50 to 2.99</w:t>
            </w:r>
          </w:p>
        </w:tc>
        <w:tc>
          <w:tcPr>
            <w:tcW w:w="2450" w:type="dxa"/>
            <w:shd w:val="clear" w:color="auto" w:fill="FFFFFF"/>
            <w:tcMar>
              <w:top w:w="0" w:type="dxa"/>
              <w:left w:w="0" w:type="dxa"/>
              <w:bottom w:w="0" w:type="dxa"/>
              <w:right w:w="0" w:type="dxa"/>
            </w:tcMar>
          </w:tcPr>
          <w:p w14:paraId="6C9784E8" w14:textId="77777777" w:rsidR="00044CE7" w:rsidRPr="002F0188" w:rsidRDefault="00000000">
            <w:pPr>
              <w:tabs>
                <w:tab w:val="left" w:pos="720"/>
              </w:tabs>
              <w:ind w:left="100" w:right="180"/>
              <w:jc w:val="center"/>
            </w:pPr>
            <w:r w:rsidRPr="002F0188">
              <w:t>—</w:t>
            </w:r>
          </w:p>
        </w:tc>
        <w:tc>
          <w:tcPr>
            <w:tcW w:w="2180" w:type="dxa"/>
            <w:shd w:val="clear" w:color="auto" w:fill="FFFFFF"/>
            <w:tcMar>
              <w:top w:w="0" w:type="dxa"/>
              <w:left w:w="0" w:type="dxa"/>
              <w:bottom w:w="0" w:type="dxa"/>
              <w:right w:w="0" w:type="dxa"/>
            </w:tcMar>
          </w:tcPr>
          <w:p w14:paraId="0BD2A215" w14:textId="77777777" w:rsidR="00044CE7" w:rsidRPr="002F0188" w:rsidRDefault="00000000">
            <w:pPr>
              <w:tabs>
                <w:tab w:val="left" w:pos="720"/>
              </w:tabs>
              <w:ind w:left="100" w:right="100"/>
              <w:jc w:val="center"/>
            </w:pPr>
            <w:r w:rsidRPr="002F0188">
              <w:t>—</w:t>
            </w:r>
          </w:p>
        </w:tc>
        <w:tc>
          <w:tcPr>
            <w:tcW w:w="2135" w:type="dxa"/>
            <w:shd w:val="clear" w:color="auto" w:fill="FFFFFF"/>
            <w:tcMar>
              <w:top w:w="0" w:type="dxa"/>
              <w:left w:w="0" w:type="dxa"/>
              <w:bottom w:w="0" w:type="dxa"/>
              <w:right w:w="0" w:type="dxa"/>
            </w:tcMar>
          </w:tcPr>
          <w:p w14:paraId="2AA0C564" w14:textId="77777777" w:rsidR="00044CE7" w:rsidRPr="002F0188" w:rsidRDefault="00000000">
            <w:pPr>
              <w:tabs>
                <w:tab w:val="left" w:pos="720"/>
              </w:tabs>
              <w:ind w:left="100" w:right="100"/>
              <w:jc w:val="center"/>
            </w:pPr>
            <w:r w:rsidRPr="002F0188">
              <w:t xml:space="preserve"> </w:t>
            </w:r>
          </w:p>
        </w:tc>
      </w:tr>
      <w:tr w:rsidR="00044CE7" w:rsidRPr="002F0188" w14:paraId="4B24EBC6" w14:textId="77777777" w:rsidTr="00571564">
        <w:trPr>
          <w:trHeight w:val="255"/>
        </w:trPr>
        <w:tc>
          <w:tcPr>
            <w:tcW w:w="3780" w:type="dxa"/>
            <w:tcBorders>
              <w:bottom w:val="double" w:sz="4" w:space="0" w:color="auto"/>
            </w:tcBorders>
            <w:shd w:val="clear" w:color="auto" w:fill="FFFFFF"/>
            <w:tcMar>
              <w:top w:w="0" w:type="dxa"/>
              <w:left w:w="0" w:type="dxa"/>
              <w:bottom w:w="0" w:type="dxa"/>
              <w:right w:w="0" w:type="dxa"/>
            </w:tcMar>
          </w:tcPr>
          <w:p w14:paraId="357E0965" w14:textId="77777777" w:rsidR="00044CE7" w:rsidRPr="002F0188" w:rsidRDefault="00000000">
            <w:pPr>
              <w:tabs>
                <w:tab w:val="left" w:pos="720"/>
              </w:tabs>
              <w:ind w:left="300"/>
              <w:jc w:val="both"/>
            </w:pPr>
            <w:r w:rsidRPr="002F0188">
              <w:t>3.00 to 3.49</w:t>
            </w:r>
          </w:p>
        </w:tc>
        <w:tc>
          <w:tcPr>
            <w:tcW w:w="2450" w:type="dxa"/>
            <w:tcBorders>
              <w:bottom w:val="double" w:sz="4" w:space="0" w:color="auto"/>
            </w:tcBorders>
            <w:shd w:val="clear" w:color="auto" w:fill="FFFFFF"/>
            <w:tcMar>
              <w:top w:w="0" w:type="dxa"/>
              <w:left w:w="0" w:type="dxa"/>
              <w:bottom w:w="0" w:type="dxa"/>
              <w:right w:w="0" w:type="dxa"/>
            </w:tcMar>
          </w:tcPr>
          <w:p w14:paraId="3F3B44AE" w14:textId="77777777" w:rsidR="00044CE7" w:rsidRPr="002F0188" w:rsidRDefault="00000000">
            <w:pPr>
              <w:tabs>
                <w:tab w:val="left" w:pos="720"/>
              </w:tabs>
              <w:ind w:left="100" w:right="180"/>
              <w:jc w:val="center"/>
            </w:pPr>
            <w:r w:rsidRPr="002F0188">
              <w:t>0.02 (-0.34 to 0.38)</w:t>
            </w:r>
          </w:p>
        </w:tc>
        <w:tc>
          <w:tcPr>
            <w:tcW w:w="2180" w:type="dxa"/>
            <w:tcBorders>
              <w:bottom w:val="double" w:sz="4" w:space="0" w:color="auto"/>
            </w:tcBorders>
            <w:shd w:val="clear" w:color="auto" w:fill="FFFFFF"/>
            <w:tcMar>
              <w:top w:w="0" w:type="dxa"/>
              <w:left w:w="0" w:type="dxa"/>
              <w:bottom w:w="0" w:type="dxa"/>
              <w:right w:w="0" w:type="dxa"/>
            </w:tcMar>
          </w:tcPr>
          <w:p w14:paraId="5FC68AA5" w14:textId="77777777" w:rsidR="00044CE7" w:rsidRPr="002F0188" w:rsidRDefault="00000000">
            <w:pPr>
              <w:tabs>
                <w:tab w:val="left" w:pos="720"/>
              </w:tabs>
              <w:ind w:left="100" w:right="100"/>
              <w:jc w:val="center"/>
            </w:pPr>
            <w:r w:rsidRPr="002F0188">
              <w:t>-0.34</w:t>
            </w:r>
          </w:p>
        </w:tc>
        <w:tc>
          <w:tcPr>
            <w:tcW w:w="2135" w:type="dxa"/>
            <w:tcBorders>
              <w:bottom w:val="double" w:sz="4" w:space="0" w:color="auto"/>
            </w:tcBorders>
            <w:shd w:val="clear" w:color="auto" w:fill="FFFFFF"/>
            <w:tcMar>
              <w:top w:w="0" w:type="dxa"/>
              <w:left w:w="0" w:type="dxa"/>
              <w:bottom w:w="0" w:type="dxa"/>
              <w:right w:w="0" w:type="dxa"/>
            </w:tcMar>
          </w:tcPr>
          <w:p w14:paraId="5EC1C810" w14:textId="77777777" w:rsidR="00044CE7" w:rsidRPr="002F0188" w:rsidRDefault="00000000">
            <w:pPr>
              <w:tabs>
                <w:tab w:val="left" w:pos="720"/>
              </w:tabs>
              <w:ind w:left="100" w:right="100"/>
              <w:jc w:val="center"/>
            </w:pPr>
            <w:r w:rsidRPr="002F0188">
              <w:t>0.91</w:t>
            </w:r>
          </w:p>
        </w:tc>
      </w:tr>
      <w:tr w:rsidR="00044CE7" w:rsidRPr="002F0188" w14:paraId="711F6E76" w14:textId="77777777" w:rsidTr="00571564">
        <w:trPr>
          <w:trHeight w:val="270"/>
        </w:trPr>
        <w:tc>
          <w:tcPr>
            <w:tcW w:w="3780" w:type="dxa"/>
            <w:tcBorders>
              <w:bottom w:val="double" w:sz="4" w:space="0" w:color="auto"/>
            </w:tcBorders>
            <w:shd w:val="clear" w:color="auto" w:fill="FFFFFF"/>
            <w:tcMar>
              <w:top w:w="0" w:type="dxa"/>
              <w:left w:w="0" w:type="dxa"/>
              <w:bottom w:w="0" w:type="dxa"/>
              <w:right w:w="0" w:type="dxa"/>
            </w:tcMar>
          </w:tcPr>
          <w:p w14:paraId="6275DC3A" w14:textId="77777777" w:rsidR="00044CE7" w:rsidRPr="002F0188" w:rsidRDefault="00000000">
            <w:pPr>
              <w:tabs>
                <w:tab w:val="left" w:pos="720"/>
              </w:tabs>
              <w:ind w:left="300"/>
              <w:jc w:val="both"/>
            </w:pPr>
            <w:r w:rsidRPr="002F0188">
              <w:t>3.50 and above</w:t>
            </w:r>
          </w:p>
        </w:tc>
        <w:tc>
          <w:tcPr>
            <w:tcW w:w="2450" w:type="dxa"/>
            <w:tcBorders>
              <w:bottom w:val="double" w:sz="4" w:space="0" w:color="auto"/>
            </w:tcBorders>
            <w:shd w:val="clear" w:color="auto" w:fill="FFFFFF"/>
            <w:tcMar>
              <w:top w:w="0" w:type="dxa"/>
              <w:left w:w="0" w:type="dxa"/>
              <w:bottom w:w="0" w:type="dxa"/>
              <w:right w:w="0" w:type="dxa"/>
            </w:tcMar>
          </w:tcPr>
          <w:p w14:paraId="5E8E79FB" w14:textId="77777777" w:rsidR="00044CE7" w:rsidRPr="002F0188" w:rsidRDefault="00000000">
            <w:pPr>
              <w:tabs>
                <w:tab w:val="left" w:pos="720"/>
              </w:tabs>
              <w:ind w:left="100" w:right="180"/>
              <w:jc w:val="center"/>
            </w:pPr>
            <w:r w:rsidRPr="002F0188">
              <w:t>-0.03 (-0.39 to 0.32)</w:t>
            </w:r>
          </w:p>
        </w:tc>
        <w:tc>
          <w:tcPr>
            <w:tcW w:w="2180" w:type="dxa"/>
            <w:tcBorders>
              <w:bottom w:val="double" w:sz="4" w:space="0" w:color="auto"/>
            </w:tcBorders>
            <w:shd w:val="clear" w:color="auto" w:fill="FFFFFF"/>
            <w:tcMar>
              <w:top w:w="0" w:type="dxa"/>
              <w:left w:w="0" w:type="dxa"/>
              <w:bottom w:w="0" w:type="dxa"/>
              <w:right w:w="0" w:type="dxa"/>
            </w:tcMar>
          </w:tcPr>
          <w:p w14:paraId="1AEA7504" w14:textId="77777777" w:rsidR="00044CE7" w:rsidRPr="002F0188" w:rsidRDefault="00000000">
            <w:pPr>
              <w:tabs>
                <w:tab w:val="left" w:pos="720"/>
              </w:tabs>
              <w:ind w:left="100" w:right="100"/>
              <w:jc w:val="center"/>
            </w:pPr>
            <w:r w:rsidRPr="002F0188">
              <w:t>-0.39</w:t>
            </w:r>
          </w:p>
        </w:tc>
        <w:tc>
          <w:tcPr>
            <w:tcW w:w="2135" w:type="dxa"/>
            <w:tcBorders>
              <w:bottom w:val="double" w:sz="4" w:space="0" w:color="auto"/>
            </w:tcBorders>
            <w:shd w:val="clear" w:color="auto" w:fill="FFFFFF"/>
            <w:tcMar>
              <w:top w:w="0" w:type="dxa"/>
              <w:left w:w="0" w:type="dxa"/>
              <w:bottom w:w="0" w:type="dxa"/>
              <w:right w:w="0" w:type="dxa"/>
            </w:tcMar>
          </w:tcPr>
          <w:p w14:paraId="2F97E455" w14:textId="77777777" w:rsidR="00044CE7" w:rsidRPr="002F0188" w:rsidRDefault="00000000">
            <w:pPr>
              <w:tabs>
                <w:tab w:val="left" w:pos="720"/>
              </w:tabs>
              <w:ind w:left="100" w:right="100"/>
              <w:jc w:val="center"/>
            </w:pPr>
            <w:r w:rsidRPr="002F0188">
              <w:t>0.85</w:t>
            </w:r>
          </w:p>
        </w:tc>
      </w:tr>
    </w:tbl>
    <w:p w14:paraId="6D8628C7" w14:textId="77777777" w:rsidR="00571564" w:rsidRPr="002F0188" w:rsidRDefault="00571564" w:rsidP="00571564">
      <w:pPr>
        <w:tabs>
          <w:tab w:val="left" w:pos="720"/>
        </w:tabs>
        <w:ind w:left="100" w:right="100"/>
        <w:jc w:val="both"/>
        <w:rPr>
          <w:i/>
          <w:iCs/>
        </w:rPr>
      </w:pPr>
      <w:r w:rsidRPr="002F0188">
        <w:rPr>
          <w:i/>
          <w:iCs/>
        </w:rPr>
        <w:t xml:space="preserve">Abbreviation: CI = Confidence Interval, R² = 0.801; Adj. R² = 0.779; Sigma = 0.373; Statistic = 36.8; p-value = &lt;0.001; </w:t>
      </w:r>
      <w:proofErr w:type="spellStart"/>
      <w:r w:rsidRPr="002F0188">
        <w:rPr>
          <w:i/>
          <w:iCs/>
        </w:rPr>
        <w:t>df</w:t>
      </w:r>
      <w:proofErr w:type="spellEnd"/>
      <w:r w:rsidRPr="002F0188">
        <w:rPr>
          <w:i/>
          <w:iCs/>
        </w:rPr>
        <w:t xml:space="preserve"> = 12; Log-likelihood = -46.5; Deviance = 15.3; Residual </w:t>
      </w:r>
      <w:proofErr w:type="spellStart"/>
      <w:r w:rsidRPr="002F0188">
        <w:rPr>
          <w:i/>
          <w:iCs/>
        </w:rPr>
        <w:t>df</w:t>
      </w:r>
      <w:proofErr w:type="spellEnd"/>
      <w:r w:rsidRPr="002F0188">
        <w:rPr>
          <w:i/>
          <w:iCs/>
        </w:rPr>
        <w:t xml:space="preserve"> = 110; N = 123</w:t>
      </w:r>
    </w:p>
    <w:p w14:paraId="4ED7443E" w14:textId="77777777" w:rsidR="00571564" w:rsidRPr="002F0188" w:rsidRDefault="00571564" w:rsidP="00571564">
      <w:pPr>
        <w:tabs>
          <w:tab w:val="left" w:pos="720"/>
        </w:tabs>
        <w:ind w:left="100" w:right="100"/>
        <w:jc w:val="both"/>
        <w:rPr>
          <w:i/>
          <w:iCs/>
        </w:rPr>
      </w:pPr>
      <w:r w:rsidRPr="002F0188">
        <w:rPr>
          <w:i/>
          <w:iCs/>
        </w:rPr>
        <w:t xml:space="preserve"> </w:t>
      </w:r>
    </w:p>
    <w:p w14:paraId="3361D238" w14:textId="33EACD7A" w:rsidR="00571564" w:rsidRPr="002F0188" w:rsidRDefault="00571564" w:rsidP="00571564">
      <w:pPr>
        <w:tabs>
          <w:tab w:val="left" w:pos="720"/>
        </w:tabs>
        <w:ind w:right="-11"/>
        <w:jc w:val="both"/>
      </w:pPr>
      <w:r w:rsidRPr="002F0188">
        <w:t>As shown in Table 2</w:t>
      </w:r>
      <w:r w:rsidRPr="002F0188">
        <w:t xml:space="preserve">, </w:t>
      </w:r>
      <w:r w:rsidRPr="002F0188">
        <w:t>the individual pathway analysis revealed that Performance Expectancy (PE) was the primary and most powerful determinant of a student's intention to adopt the platform (β = 0.76, 95% CI: 0.54 to 0.97, p &lt; 0.001). This indicates that for every unit increase in perceived learning utility, student behavioural intention increases by 0.76 units, holding all other variables constant. Facilitating Conditions (FC) emerged as the secondary significant driver (β = 0.28, 95% CI: 0.08 to 0.48, p = 0.007), confirming that structural support, institutional alignment, and technological resources directly foster positive adoption intentions. Conversely, Effort Expectancy (EE) (β = 0.10, p = 0.35) and Social Influence (SI) (β = -0.04, p = 0.67) were not statistically significant predictors within this model.</w:t>
      </w:r>
    </w:p>
    <w:p w14:paraId="5942AA25" w14:textId="77777777" w:rsidR="00571564" w:rsidRPr="002F0188" w:rsidRDefault="00571564" w:rsidP="00571564">
      <w:pPr>
        <w:tabs>
          <w:tab w:val="left" w:pos="720"/>
        </w:tabs>
        <w:ind w:right="-11"/>
        <w:jc w:val="both"/>
      </w:pPr>
    </w:p>
    <w:p w14:paraId="40C50EB3" w14:textId="71DA2823" w:rsidR="00044CE7" w:rsidRPr="002F0188" w:rsidRDefault="00000000" w:rsidP="00571564">
      <w:pPr>
        <w:tabs>
          <w:tab w:val="left" w:pos="720"/>
        </w:tabs>
        <w:ind w:right="-11"/>
        <w:jc w:val="both"/>
      </w:pPr>
      <w:r w:rsidRPr="002F0188">
        <w:t>The evaluation of sociodemographic control variables demonstrated that individual background characteristics had a negligible influence on technology adoption intentions. Compared with the baseline reference groups, none of the individual categorical tiers for Age or Academic Performance (CGPA) was statistically significant (p &gt; 0.05), indicating that the core drivers of utility and infrastructure operate uniformly across all age brackets and academic capability levels within the cohort. With respect to gender, male students exhibited slightly higher baseline intention metrics compared to their female counterparts (β = 0.21, 95% CI: -0.01 to 0.44), however, this path narrowly missed the standard threshold for statistical significance (p = 0.065), suggesting a marginal trend that may warrant isolated investigation in larger, more evenly balanced sample environments.</w:t>
      </w:r>
    </w:p>
    <w:p w14:paraId="62D1CD6E" w14:textId="77777777" w:rsidR="00044CE7" w:rsidRDefault="00044CE7" w:rsidP="00571564">
      <w:pPr>
        <w:tabs>
          <w:tab w:val="left" w:pos="720"/>
        </w:tabs>
        <w:ind w:right="-11"/>
        <w:jc w:val="both"/>
      </w:pPr>
    </w:p>
    <w:p w14:paraId="25C2DE16" w14:textId="77777777" w:rsidR="00044CE7" w:rsidRPr="002F0188" w:rsidRDefault="00000000" w:rsidP="00571564">
      <w:pPr>
        <w:spacing w:before="240" w:after="240"/>
        <w:ind w:right="-11"/>
        <w:jc w:val="both"/>
        <w:rPr>
          <w:b/>
          <w:bCs/>
          <w:sz w:val="28"/>
          <w:szCs w:val="28"/>
        </w:rPr>
      </w:pPr>
      <w:r w:rsidRPr="002F0188">
        <w:rPr>
          <w:b/>
          <w:bCs/>
          <w:sz w:val="28"/>
          <w:szCs w:val="28"/>
        </w:rPr>
        <w:lastRenderedPageBreak/>
        <w:t xml:space="preserve">DISCUSSION </w:t>
      </w:r>
    </w:p>
    <w:p w14:paraId="3FCEC5C3" w14:textId="77777777" w:rsidR="00044CE7" w:rsidRPr="002F0188" w:rsidRDefault="00000000" w:rsidP="00571564">
      <w:pPr>
        <w:ind w:right="-11"/>
        <w:jc w:val="both"/>
      </w:pPr>
      <w:r w:rsidRPr="002F0188">
        <w:t>The findings demonstrated that performance expectancy and facilitating conditions emerged as the primary driver of students’ behavioural intention to adopt MOOCs to enhance their learning experience in the health economics course (H1) (β = 0.76, p = 0.001) and (H4) (β = 0.28, p = 0.007).  The empirical findings provided support for the direct positive hypotheses (H1 and H4).  robust pathway indicates that learners are intensely willing to adopt digital platforms if they derive explicit utility that directly enriches their conceptual understanding of the course. Consequently, while digital media may initially be perceived as a novel innovation by certain learners, the MOOC platform must transcend its novelty factor and be established as a functional catalyst capable of delivering clear academic returns. This value-driven focus mirrors recent evidence in broader technology acceptance literature, such as the adoption of artificial intelligence (AI) in the banking industry (</w:t>
      </w:r>
      <w:proofErr w:type="spellStart"/>
      <w:r w:rsidRPr="002F0188">
        <w:t>Papathomas</w:t>
      </w:r>
      <w:proofErr w:type="spellEnd"/>
      <w:r w:rsidRPr="002F0188">
        <w:t xml:space="preserve"> et al., 2025) and among business professionals in Bangladesh (Emon &amp; Khan, 2025), where digital systems successfully drive individual behavioural intentions by directly optimising operational activities and assisting in complex financial decision-making. This pragmatic orientation is further supported by Liu et al. (2025), who noted that, along with performance expectancy, perceived enjoyment of a technology platform and personal innovativeness significantly shape university students’ overall behavioural intentions.</w:t>
      </w:r>
    </w:p>
    <w:p w14:paraId="7A85A686" w14:textId="77777777" w:rsidR="00044CE7" w:rsidRPr="002F0188" w:rsidRDefault="00000000" w:rsidP="00571564">
      <w:pPr>
        <w:ind w:right="-11"/>
        <w:jc w:val="both"/>
      </w:pPr>
      <w:r w:rsidRPr="002F0188">
        <w:t xml:space="preserve"> </w:t>
      </w:r>
    </w:p>
    <w:p w14:paraId="745256F7" w14:textId="77777777" w:rsidR="00044CE7" w:rsidRPr="002F0188" w:rsidRDefault="00000000" w:rsidP="00571564">
      <w:pPr>
        <w:ind w:right="-11"/>
        <w:jc w:val="both"/>
      </w:pPr>
      <w:r w:rsidRPr="002F0188">
        <w:t>Simultaneously, facilitating conditions, including the availability of structural resources, a stable technical environment, and the explicit alignment of curriculum requirements with the technological approach, strongly influence the respondents' intentions to engage with MOOC learning activities within this health economics curriculum. The critical weight of this institutional support is widely supported in the global literature. For instance, Zheng et al. (2025) identified a strong correlation (β = 0.445) between structural readiness and technology intentions in a comprehensive, higher-education meta-analytic review of pandemic-era e-learning adoption. This is also supported by another literature review, which states that technological and environmental readiness corroborate the respondents’ behavioural intention (</w:t>
      </w:r>
      <w:proofErr w:type="spellStart"/>
      <w:r w:rsidRPr="002F0188">
        <w:t>Gößwein</w:t>
      </w:r>
      <w:proofErr w:type="spellEnd"/>
      <w:r w:rsidRPr="002F0188">
        <w:t xml:space="preserve"> et al., 2025). However, this structural dependency is not entirely universal across regional landscapes, as evidenced by a contrasting study on e-learning adoption among university students in Indonesia, which determined that facilitating conditions exerted no direct effect on behavioural intention (</w:t>
      </w:r>
      <w:proofErr w:type="spellStart"/>
      <w:r w:rsidRPr="002F0188">
        <w:t>Nugraha</w:t>
      </w:r>
      <w:proofErr w:type="spellEnd"/>
      <w:r w:rsidRPr="002F0188">
        <w:t xml:space="preserve"> et al., 2025).</w:t>
      </w:r>
    </w:p>
    <w:p w14:paraId="15DF3E57" w14:textId="77777777" w:rsidR="00044CE7" w:rsidRPr="002F0188" w:rsidRDefault="00000000" w:rsidP="00571564">
      <w:pPr>
        <w:ind w:right="-11"/>
        <w:jc w:val="both"/>
      </w:pPr>
      <w:r w:rsidRPr="002F0188">
        <w:t xml:space="preserve"> </w:t>
      </w:r>
    </w:p>
    <w:p w14:paraId="306745C8" w14:textId="394649AF" w:rsidR="00044CE7" w:rsidRPr="002F0188" w:rsidRDefault="00000000" w:rsidP="00571564">
      <w:pPr>
        <w:ind w:right="-11"/>
        <w:jc w:val="both"/>
      </w:pPr>
      <w:r w:rsidRPr="002F0188">
        <w:t>On the other hand, the model explicitly rejects both effort expectancy (H2) (β = 0.10, p = 0.35) and social influence (H3) (β = -0.04, p = 0.67). The rejection of H</w:t>
      </w:r>
      <w:r w:rsidR="002F0188">
        <w:t>2</w:t>
      </w:r>
      <w:r w:rsidRPr="002F0188">
        <w:t xml:space="preserve"> is largely explained by the respondent’s higher baseline digital literacy. With 93% of respondents possessing prior online course experience and 94% reporting reliable home internet access, platform simplicity functions as a baseline prerequisite rather than an active motivator. This is consistent with the previous study’s finding of e-learning usage in the post-pandemic period across universities in Greece (Zacharis &amp; Nikolopoulou, 2022). Similarly, the rejection of H3 suggests that external peer or lecturer pressures are secondary to the standalone academic value required in demanding interdisciplinary subjects. This aligns with recent studies among university learners in China on online learning, which found that external pressure was not the primary driver of the e-learning approach (Chu et al., 2026; Khan et al., 2023).</w:t>
      </w:r>
    </w:p>
    <w:p w14:paraId="04ECC9A6" w14:textId="77777777" w:rsidR="00044CE7" w:rsidRPr="002F0188" w:rsidRDefault="00000000" w:rsidP="00571564">
      <w:pPr>
        <w:ind w:right="-11"/>
        <w:jc w:val="both"/>
      </w:pPr>
      <w:r w:rsidRPr="002F0188">
        <w:t xml:space="preserve"> </w:t>
      </w:r>
    </w:p>
    <w:p w14:paraId="0B009D6E" w14:textId="16F5DA8A" w:rsidR="00044CE7" w:rsidRPr="002F0188" w:rsidRDefault="00000000" w:rsidP="00571564">
      <w:pPr>
        <w:ind w:right="-11"/>
        <w:jc w:val="both"/>
      </w:pPr>
      <w:r w:rsidRPr="002F0188">
        <w:t xml:space="preserve">These findings suggest that digital learning tools will only successfully transform student motivation into active adoption if there’s a secure institutional baseline of support and immediate academic value is </w:t>
      </w:r>
      <w:r w:rsidR="002F0188" w:rsidRPr="002F0188">
        <w:t>essential</w:t>
      </w:r>
      <w:r w:rsidRPr="002F0188">
        <w:t>.</w:t>
      </w:r>
    </w:p>
    <w:p w14:paraId="31A43A50" w14:textId="77777777" w:rsidR="00044CE7" w:rsidRPr="002F0188" w:rsidRDefault="00044CE7" w:rsidP="00571564">
      <w:pPr>
        <w:ind w:right="-11"/>
        <w:jc w:val="both"/>
      </w:pPr>
    </w:p>
    <w:p w14:paraId="045DCF21" w14:textId="77777777" w:rsidR="00044CE7" w:rsidRPr="002F0188" w:rsidRDefault="00000000" w:rsidP="00571564">
      <w:pPr>
        <w:ind w:right="-11"/>
        <w:jc w:val="both"/>
        <w:rPr>
          <w:b/>
          <w:bCs/>
        </w:rPr>
      </w:pPr>
      <w:r w:rsidRPr="002F0188">
        <w:rPr>
          <w:b/>
          <w:bCs/>
        </w:rPr>
        <w:t>CONCLUSION</w:t>
      </w:r>
    </w:p>
    <w:p w14:paraId="1DDFE415" w14:textId="77777777" w:rsidR="00044CE7" w:rsidRPr="002F0188" w:rsidRDefault="00044CE7" w:rsidP="00571564">
      <w:pPr>
        <w:ind w:right="-11"/>
        <w:jc w:val="both"/>
      </w:pPr>
    </w:p>
    <w:p w14:paraId="25D07A5D" w14:textId="48ACC99C" w:rsidR="00044CE7" w:rsidRDefault="00000000" w:rsidP="002F0188">
      <w:pPr>
        <w:ind w:right="-11"/>
        <w:jc w:val="both"/>
      </w:pPr>
      <w:r w:rsidRPr="002F0188">
        <w:t xml:space="preserve">This study applied the UTAUT framework to evaluate the determinants of MOOC adoption among undergraduate Health Economics students. The regression model proved highly robust, predicting 80.1% of the total variance in behavioural intention. The findings identify performance expectancy as the dominant predictor of adoption, demonstrating that learners are highly motivated to embrace digital platforms when these tools deliver explicit utility that enhances their conceptual understanding and academic performance. Furthermore, facilitating conditions play a critical secondary role, confirming that structural support, institutional alignment and technological resources are essential for fostering positive adoption intentions. Interestingly, platform simplicity (effort expectancy) and peer or institutional pressure (social influence) did not exert a statistically significant, standalone impact on behavioural intention, compared with utility and infrastructure. Ultimately, digital educational tools will only transform student motivation into active adoption if comprehensive </w:t>
      </w:r>
      <w:r w:rsidRPr="002F0188">
        <w:lastRenderedPageBreak/>
        <w:t>institutional support is guaranteed and immediate academic value is clearly demonstrated. To build upon the current framework, future research must expand beyond the specialised demographic of Health Economics students. Given that localised cultural dimensions, socio-economic contexts and varying degrees of institutional readiness heavily influence technology acceptance, investigating a more diverse range of regional landscapes will significantly improve the generalisability of these findings.</w:t>
      </w:r>
    </w:p>
    <w:p w14:paraId="49F2FD5A" w14:textId="77777777" w:rsidR="00044CE7" w:rsidRDefault="00000000">
      <w:pPr>
        <w:spacing w:before="240" w:after="240"/>
        <w:jc w:val="both"/>
        <w:rPr>
          <w:b/>
          <w:bCs/>
          <w:sz w:val="28"/>
          <w:szCs w:val="28"/>
        </w:rPr>
      </w:pPr>
      <w:r>
        <w:rPr>
          <w:b/>
          <w:bCs/>
          <w:sz w:val="28"/>
          <w:szCs w:val="28"/>
        </w:rPr>
        <w:t xml:space="preserve">REFERENCES </w:t>
      </w:r>
    </w:p>
    <w:p w14:paraId="09EE4F0C" w14:textId="77777777" w:rsidR="00044CE7" w:rsidRPr="00571564" w:rsidRDefault="00000000" w:rsidP="00571564">
      <w:pPr>
        <w:pStyle w:val="ListParagraph"/>
        <w:numPr>
          <w:ilvl w:val="0"/>
          <w:numId w:val="1"/>
        </w:numPr>
        <w:ind w:hanging="720"/>
        <w:jc w:val="both"/>
        <w:rPr>
          <w:color w:val="1155CC"/>
          <w:u w:val="single"/>
        </w:rPr>
      </w:pPr>
      <w:r>
        <w:t xml:space="preserve">Abbad, M. M. (2021). Using the UTAUT model to understand students’ usage of e-learning systems in developing countries. </w:t>
      </w:r>
      <w:r w:rsidRPr="00571564">
        <w:rPr>
          <w:i/>
          <w:iCs/>
        </w:rPr>
        <w:t>Education and Information Technologies</w:t>
      </w:r>
      <w:r>
        <w:t xml:space="preserve">, </w:t>
      </w:r>
      <w:r w:rsidRPr="00571564">
        <w:rPr>
          <w:i/>
          <w:iCs/>
        </w:rPr>
        <w:t>26</w:t>
      </w:r>
      <w:r>
        <w:t>(6), 7205–7224.</w:t>
      </w:r>
      <w:hyperlink r:id="rId7">
        <w:r w:rsidRPr="00571564">
          <w:rPr>
            <w:color w:val="1155CC"/>
          </w:rPr>
          <w:t xml:space="preserve"> </w:t>
        </w:r>
      </w:hyperlink>
      <w:hyperlink r:id="rId8">
        <w:r w:rsidRPr="00571564">
          <w:rPr>
            <w:color w:val="1155CC"/>
            <w:u w:val="single"/>
          </w:rPr>
          <w:t>https://doi.org/10.1007/s10639-021-10573-5</w:t>
        </w:r>
      </w:hyperlink>
    </w:p>
    <w:p w14:paraId="165B41AC" w14:textId="77777777" w:rsidR="00044CE7" w:rsidRDefault="00000000" w:rsidP="00571564">
      <w:pPr>
        <w:pStyle w:val="ListParagraph"/>
        <w:numPr>
          <w:ilvl w:val="0"/>
          <w:numId w:val="1"/>
        </w:numPr>
        <w:ind w:hanging="720"/>
        <w:jc w:val="both"/>
      </w:pPr>
      <w:r>
        <w:t>Al-</w:t>
      </w:r>
      <w:proofErr w:type="spellStart"/>
      <w:r>
        <w:t>Harazneh</w:t>
      </w:r>
      <w:proofErr w:type="spellEnd"/>
      <w:r>
        <w:t xml:space="preserve">, Y. M., </w:t>
      </w:r>
      <w:proofErr w:type="spellStart"/>
      <w:r>
        <w:t>Alobeytha</w:t>
      </w:r>
      <w:proofErr w:type="spellEnd"/>
      <w:r>
        <w:t xml:space="preserve">, F. L., &amp; </w:t>
      </w:r>
      <w:proofErr w:type="spellStart"/>
      <w:r>
        <w:t>Alodwan</w:t>
      </w:r>
      <w:proofErr w:type="spellEnd"/>
      <w:r>
        <w:t>, T. A. A. (2022). Students' perceptions of E-learning systems at the Jordanian universities through the lens of E-business booming during the coronavirus pandemic. International Journal of Distance Education Technologies.</w:t>
      </w:r>
    </w:p>
    <w:p w14:paraId="45F333CF" w14:textId="77777777" w:rsidR="00044CE7" w:rsidRPr="00571564" w:rsidRDefault="00000000" w:rsidP="00571564">
      <w:pPr>
        <w:pStyle w:val="ListParagraph"/>
        <w:numPr>
          <w:ilvl w:val="0"/>
          <w:numId w:val="1"/>
        </w:numPr>
        <w:ind w:hanging="720"/>
        <w:jc w:val="both"/>
        <w:rPr>
          <w:color w:val="1155CC"/>
          <w:u w:val="single"/>
        </w:rPr>
      </w:pPr>
      <w:proofErr w:type="spellStart"/>
      <w:r>
        <w:t>Altalhi</w:t>
      </w:r>
      <w:proofErr w:type="spellEnd"/>
      <w:r>
        <w:t xml:space="preserve">, M. (2021). Toward a model for acceptance of MOOCs in higher education: The modified UTAUT model for Saudi Arabia. </w:t>
      </w:r>
      <w:r w:rsidRPr="00571564">
        <w:rPr>
          <w:i/>
          <w:iCs/>
        </w:rPr>
        <w:t>Education and Information Technologies</w:t>
      </w:r>
      <w:r>
        <w:t xml:space="preserve">, </w:t>
      </w:r>
      <w:r w:rsidRPr="00571564">
        <w:rPr>
          <w:i/>
          <w:iCs/>
        </w:rPr>
        <w:t>26</w:t>
      </w:r>
      <w:r>
        <w:t>(2), 1589–1605.</w:t>
      </w:r>
      <w:hyperlink r:id="rId9">
        <w:r w:rsidRPr="00571564">
          <w:rPr>
            <w:color w:val="1155CC"/>
          </w:rPr>
          <w:t xml:space="preserve"> </w:t>
        </w:r>
      </w:hyperlink>
      <w:hyperlink r:id="rId10">
        <w:r w:rsidRPr="00571564">
          <w:rPr>
            <w:color w:val="1155CC"/>
            <w:u w:val="single"/>
          </w:rPr>
          <w:t>https://doi.org/10.1007/s10639-020-10317-x</w:t>
        </w:r>
      </w:hyperlink>
    </w:p>
    <w:p w14:paraId="1E175B40" w14:textId="77777777" w:rsidR="00044CE7" w:rsidRPr="00571564" w:rsidRDefault="00000000" w:rsidP="00571564">
      <w:pPr>
        <w:pStyle w:val="ListParagraph"/>
        <w:numPr>
          <w:ilvl w:val="0"/>
          <w:numId w:val="1"/>
        </w:numPr>
        <w:ind w:hanging="720"/>
        <w:jc w:val="both"/>
        <w:rPr>
          <w:color w:val="1155CC"/>
          <w:u w:val="single"/>
        </w:rPr>
      </w:pPr>
      <w:proofErr w:type="spellStart"/>
      <w:r>
        <w:t>Arkorful</w:t>
      </w:r>
      <w:proofErr w:type="spellEnd"/>
      <w:r>
        <w:t xml:space="preserve">, V., Barfi, K. A., &amp; Baffour, N. O. (2022). Factors affecting use of massive open online courses by Ghanaian students. </w:t>
      </w:r>
      <w:r w:rsidRPr="00571564">
        <w:rPr>
          <w:i/>
          <w:iCs/>
        </w:rPr>
        <w:t>Cogent Education</w:t>
      </w:r>
      <w:r>
        <w:t xml:space="preserve">, </w:t>
      </w:r>
      <w:r w:rsidRPr="00571564">
        <w:rPr>
          <w:i/>
          <w:iCs/>
        </w:rPr>
        <w:t>9</w:t>
      </w:r>
      <w:r>
        <w:t>(1), Article 2035405.</w:t>
      </w:r>
      <w:hyperlink r:id="rId11">
        <w:r w:rsidRPr="00571564">
          <w:rPr>
            <w:color w:val="1155CC"/>
          </w:rPr>
          <w:t xml:space="preserve"> </w:t>
        </w:r>
      </w:hyperlink>
      <w:hyperlink r:id="rId12">
        <w:r w:rsidRPr="00571564">
          <w:rPr>
            <w:color w:val="1155CC"/>
            <w:u w:val="single"/>
          </w:rPr>
          <w:t>https://doi.org/10.1080/2331186X.2022.2035405</w:t>
        </w:r>
      </w:hyperlink>
    </w:p>
    <w:p w14:paraId="011471EF" w14:textId="77777777" w:rsidR="00044CE7" w:rsidRPr="00571564" w:rsidRDefault="00000000" w:rsidP="00571564">
      <w:pPr>
        <w:pStyle w:val="ListParagraph"/>
        <w:numPr>
          <w:ilvl w:val="0"/>
          <w:numId w:val="1"/>
        </w:numPr>
        <w:ind w:hanging="720"/>
        <w:jc w:val="both"/>
        <w:rPr>
          <w:color w:val="1155CC"/>
          <w:u w:val="single"/>
        </w:rPr>
      </w:pPr>
      <w:r>
        <w:t xml:space="preserve">Chen, L. (2021). Influencing factors of undergraduates using App learning based on TAM model—Taking MOOC App as an example. </w:t>
      </w:r>
      <w:r w:rsidRPr="00571564">
        <w:rPr>
          <w:i/>
          <w:iCs/>
        </w:rPr>
        <w:t>Advances in Intelligent Systems and Computing</w:t>
      </w:r>
      <w:r>
        <w:t xml:space="preserve">, </w:t>
      </w:r>
      <w:r w:rsidRPr="00571564">
        <w:rPr>
          <w:i/>
          <w:iCs/>
        </w:rPr>
        <w:t>1312</w:t>
      </w:r>
      <w:r>
        <w:t>, 331–337.</w:t>
      </w:r>
      <w:hyperlink r:id="rId13">
        <w:r w:rsidRPr="00571564">
          <w:rPr>
            <w:color w:val="1155CC"/>
          </w:rPr>
          <w:t xml:space="preserve"> </w:t>
        </w:r>
      </w:hyperlink>
      <w:hyperlink r:id="rId14">
        <w:r w:rsidRPr="00571564">
          <w:rPr>
            <w:color w:val="1155CC"/>
            <w:u w:val="single"/>
          </w:rPr>
          <w:t>https://doi.org/10.1007/978-3-030-63818-4_44</w:t>
        </w:r>
      </w:hyperlink>
    </w:p>
    <w:p w14:paraId="08637C79" w14:textId="77777777" w:rsidR="00044CE7" w:rsidRDefault="00000000" w:rsidP="00571564">
      <w:pPr>
        <w:pStyle w:val="ListParagraph"/>
        <w:numPr>
          <w:ilvl w:val="0"/>
          <w:numId w:val="1"/>
        </w:numPr>
        <w:ind w:hanging="720"/>
        <w:jc w:val="both"/>
      </w:pPr>
      <w:r>
        <w:t>Chen, L. (2021). Influencing factors of undergraduates using app learning based on TAM model – Taking MOOC app as an example. Advances in Intelligent Systems and Computing.</w:t>
      </w:r>
    </w:p>
    <w:p w14:paraId="6BAAEC99" w14:textId="77777777" w:rsidR="00044CE7" w:rsidRPr="00571564" w:rsidRDefault="00000000" w:rsidP="00571564">
      <w:pPr>
        <w:pStyle w:val="ListParagraph"/>
        <w:numPr>
          <w:ilvl w:val="0"/>
          <w:numId w:val="1"/>
        </w:numPr>
        <w:ind w:hanging="720"/>
        <w:jc w:val="both"/>
        <w:rPr>
          <w:color w:val="0000FF"/>
          <w:u w:val="single"/>
        </w:rPr>
      </w:pPr>
      <w:r>
        <w:t xml:space="preserve">Chu, J., Han, Y., &amp; Li, J. (2026). What factors impact university learners’ online learning outcome? Validating the theory of dialectical principle of internal and external causes. </w:t>
      </w:r>
      <w:r w:rsidRPr="00571564">
        <w:rPr>
          <w:i/>
          <w:iCs/>
        </w:rPr>
        <w:t>Education and Information Technologies</w:t>
      </w:r>
      <w:r>
        <w:t>,</w:t>
      </w:r>
      <w:r w:rsidRPr="00571564">
        <w:rPr>
          <w:i/>
          <w:iCs/>
        </w:rPr>
        <w:t xml:space="preserve"> 31</w:t>
      </w:r>
      <w:r>
        <w:t>(2), 363-385.</w:t>
      </w:r>
      <w:hyperlink r:id="rId15">
        <w:r>
          <w:t xml:space="preserve"> </w:t>
        </w:r>
      </w:hyperlink>
      <w:hyperlink r:id="rId16">
        <w:r w:rsidRPr="00571564">
          <w:rPr>
            <w:color w:val="0000FF"/>
            <w:u w:val="single"/>
          </w:rPr>
          <w:t>https://doi.org/10.1007/s10639-025-13739-7</w:t>
        </w:r>
      </w:hyperlink>
    </w:p>
    <w:p w14:paraId="1743893B" w14:textId="77777777" w:rsidR="00044CE7" w:rsidRPr="00571564" w:rsidRDefault="00000000" w:rsidP="00571564">
      <w:pPr>
        <w:pStyle w:val="ListParagraph"/>
        <w:numPr>
          <w:ilvl w:val="0"/>
          <w:numId w:val="1"/>
        </w:numPr>
        <w:ind w:hanging="720"/>
        <w:jc w:val="both"/>
        <w:rPr>
          <w:color w:val="0000FF"/>
          <w:u w:val="single"/>
        </w:rPr>
      </w:pPr>
      <w:r>
        <w:t xml:space="preserve">Emon, M. M. H., &amp; Khan, T. (2025). The mediating role of attitude towards the technology in shaping artificial intelligence usage among professionals. </w:t>
      </w:r>
      <w:r w:rsidRPr="00571564">
        <w:rPr>
          <w:i/>
          <w:iCs/>
        </w:rPr>
        <w:t>Telematics and Informatics Reports</w:t>
      </w:r>
      <w:r>
        <w:t>,</w:t>
      </w:r>
      <w:r w:rsidRPr="00571564">
        <w:rPr>
          <w:i/>
          <w:iCs/>
        </w:rPr>
        <w:t xml:space="preserve"> 17</w:t>
      </w:r>
      <w:r>
        <w:t>, 100188.</w:t>
      </w:r>
      <w:hyperlink r:id="rId17">
        <w:r>
          <w:t xml:space="preserve"> </w:t>
        </w:r>
      </w:hyperlink>
      <w:hyperlink r:id="rId18">
        <w:r w:rsidRPr="00571564">
          <w:rPr>
            <w:color w:val="0000FF"/>
            <w:u w:val="single"/>
          </w:rPr>
          <w:t>https://doi.org/https://doi.org/10.1016/j.teler.2025.100188</w:t>
        </w:r>
      </w:hyperlink>
    </w:p>
    <w:p w14:paraId="14F45DD9" w14:textId="77777777" w:rsidR="00044CE7" w:rsidRDefault="00000000" w:rsidP="00571564">
      <w:pPr>
        <w:pStyle w:val="ListParagraph"/>
        <w:numPr>
          <w:ilvl w:val="0"/>
          <w:numId w:val="1"/>
        </w:numPr>
        <w:ind w:hanging="720"/>
        <w:jc w:val="both"/>
      </w:pPr>
      <w:r>
        <w:t>Fadhil, N. F. M. (2022). Using rich picture to understand the issues and challenges in e-learning environment: A case study of students in higher education institution. World Journal of English Language.</w:t>
      </w:r>
    </w:p>
    <w:p w14:paraId="7DC11742" w14:textId="77777777" w:rsidR="00044CE7" w:rsidRPr="00571564" w:rsidRDefault="00000000" w:rsidP="00571564">
      <w:pPr>
        <w:pStyle w:val="ListParagraph"/>
        <w:numPr>
          <w:ilvl w:val="0"/>
          <w:numId w:val="1"/>
        </w:numPr>
        <w:ind w:hanging="720"/>
        <w:jc w:val="both"/>
        <w:rPr>
          <w:color w:val="1155CC"/>
          <w:u w:val="single"/>
        </w:rPr>
      </w:pPr>
      <w:r>
        <w:t xml:space="preserve">Fianu, E., Blewett, C., Ampong, G. O. A., &amp; Ofori, K. S. (2018). Factors affecting MOOC usage by students in selected Ghanaian universities. </w:t>
      </w:r>
      <w:r w:rsidRPr="00571564">
        <w:rPr>
          <w:i/>
          <w:iCs/>
        </w:rPr>
        <w:t>Education Sciences</w:t>
      </w:r>
      <w:r>
        <w:t xml:space="preserve">, </w:t>
      </w:r>
      <w:r w:rsidRPr="00571564">
        <w:rPr>
          <w:i/>
          <w:iCs/>
        </w:rPr>
        <w:t>8</w:t>
      </w:r>
      <w:r>
        <w:t>(3), 115.</w:t>
      </w:r>
      <w:hyperlink r:id="rId19">
        <w:r w:rsidRPr="00571564">
          <w:rPr>
            <w:color w:val="1155CC"/>
          </w:rPr>
          <w:t xml:space="preserve"> </w:t>
        </w:r>
      </w:hyperlink>
      <w:hyperlink r:id="rId20">
        <w:r w:rsidRPr="00571564">
          <w:rPr>
            <w:color w:val="1155CC"/>
            <w:u w:val="single"/>
          </w:rPr>
          <w:t>https://doi.org/10.3390/educsci8030115</w:t>
        </w:r>
      </w:hyperlink>
    </w:p>
    <w:p w14:paraId="73A63F7A" w14:textId="77777777" w:rsidR="00044CE7" w:rsidRPr="00571564" w:rsidRDefault="00000000" w:rsidP="00571564">
      <w:pPr>
        <w:pStyle w:val="ListParagraph"/>
        <w:numPr>
          <w:ilvl w:val="0"/>
          <w:numId w:val="1"/>
        </w:numPr>
        <w:ind w:hanging="720"/>
        <w:jc w:val="both"/>
        <w:rPr>
          <w:color w:val="1155CC"/>
          <w:u w:val="single"/>
        </w:rPr>
      </w:pPr>
      <w:r>
        <w:t xml:space="preserve">Gefen, D., Rigdon, E. E., &amp; Straub, D. (2011). An update and extension to SEM guidelines for administrative and social science research. </w:t>
      </w:r>
      <w:r w:rsidRPr="00571564">
        <w:rPr>
          <w:i/>
          <w:iCs/>
        </w:rPr>
        <w:t>MIS Quarterly</w:t>
      </w:r>
      <w:r>
        <w:t xml:space="preserve">, </w:t>
      </w:r>
      <w:r w:rsidRPr="00571564">
        <w:rPr>
          <w:i/>
          <w:iCs/>
        </w:rPr>
        <w:t>35</w:t>
      </w:r>
      <w:r>
        <w:t>(2), iii–xiv.</w:t>
      </w:r>
      <w:hyperlink r:id="rId21">
        <w:r w:rsidRPr="00571564">
          <w:rPr>
            <w:color w:val="1155CC"/>
          </w:rPr>
          <w:t xml:space="preserve"> </w:t>
        </w:r>
      </w:hyperlink>
      <w:hyperlink r:id="rId22">
        <w:r w:rsidRPr="00571564">
          <w:rPr>
            <w:color w:val="1155CC"/>
            <w:u w:val="single"/>
          </w:rPr>
          <w:t>https://doi.org/10.2307/23044042</w:t>
        </w:r>
      </w:hyperlink>
    </w:p>
    <w:p w14:paraId="4BDE18F1" w14:textId="77777777" w:rsidR="00044CE7" w:rsidRPr="00571564" w:rsidRDefault="00000000" w:rsidP="00571564">
      <w:pPr>
        <w:pStyle w:val="ListParagraph"/>
        <w:numPr>
          <w:ilvl w:val="0"/>
          <w:numId w:val="1"/>
        </w:numPr>
        <w:ind w:hanging="720"/>
        <w:jc w:val="both"/>
        <w:rPr>
          <w:color w:val="0000FF"/>
          <w:u w:val="single"/>
        </w:rPr>
      </w:pPr>
      <w:proofErr w:type="spellStart"/>
      <w:r>
        <w:t>Gößwein</w:t>
      </w:r>
      <w:proofErr w:type="spellEnd"/>
      <w:r>
        <w:t xml:space="preserve">, E., Schramm, D., &amp; Liebherr, M. (2025). Are you ready? Understanding the intention to use highly automated on-demand vehicles while considering technology readiness and environmental drive. </w:t>
      </w:r>
      <w:r w:rsidRPr="00571564">
        <w:rPr>
          <w:i/>
          <w:iCs/>
        </w:rPr>
        <w:t>International Journal of Transportation Science and Technology</w:t>
      </w:r>
      <w:r>
        <w:t>,</w:t>
      </w:r>
      <w:r w:rsidRPr="00571564">
        <w:rPr>
          <w:i/>
          <w:iCs/>
        </w:rPr>
        <w:t xml:space="preserve"> 20</w:t>
      </w:r>
      <w:r>
        <w:t>, 193-203.</w:t>
      </w:r>
      <w:hyperlink r:id="rId23">
        <w:r>
          <w:t xml:space="preserve"> </w:t>
        </w:r>
      </w:hyperlink>
      <w:hyperlink r:id="rId24">
        <w:r w:rsidRPr="00571564">
          <w:rPr>
            <w:color w:val="0000FF"/>
            <w:u w:val="single"/>
          </w:rPr>
          <w:t>https://doi.org/https://doi.org/10.1016/j.ijtst.2024.11.006</w:t>
        </w:r>
      </w:hyperlink>
    </w:p>
    <w:p w14:paraId="226FA580" w14:textId="77777777" w:rsidR="00044CE7" w:rsidRPr="00571564" w:rsidRDefault="00000000" w:rsidP="00571564">
      <w:pPr>
        <w:pStyle w:val="ListParagraph"/>
        <w:numPr>
          <w:ilvl w:val="0"/>
          <w:numId w:val="1"/>
        </w:numPr>
        <w:ind w:hanging="720"/>
        <w:jc w:val="both"/>
        <w:rPr>
          <w:color w:val="0000FF"/>
          <w:u w:val="single"/>
        </w:rPr>
      </w:pPr>
      <w:r>
        <w:t xml:space="preserve">Khan, M. J., Reddy, L. K. V., Khan, J., </w:t>
      </w:r>
      <w:proofErr w:type="spellStart"/>
      <w:r>
        <w:t>Narapureddy</w:t>
      </w:r>
      <w:proofErr w:type="spellEnd"/>
      <w:r>
        <w:t xml:space="preserve">, B. R., </w:t>
      </w:r>
      <w:proofErr w:type="spellStart"/>
      <w:r>
        <w:t>Vaddamanu</w:t>
      </w:r>
      <w:proofErr w:type="spellEnd"/>
      <w:r>
        <w:t xml:space="preserve">, S. K., </w:t>
      </w:r>
      <w:proofErr w:type="spellStart"/>
      <w:r>
        <w:t>Alhamoudi</w:t>
      </w:r>
      <w:proofErr w:type="spellEnd"/>
      <w:r>
        <w:t xml:space="preserve">, F. H., Vyas, R., Gurumurthy, V., Altijani, A. A. G., &amp; Chaturvedi, S. (2023). Challenges of E-Learning: Behavioral Intention of Academicians to Use E-Learning during COVID-19 Crisis. </w:t>
      </w:r>
      <w:r w:rsidRPr="00571564">
        <w:rPr>
          <w:i/>
          <w:iCs/>
        </w:rPr>
        <w:t>Journal of Personalized Medicine</w:t>
      </w:r>
      <w:r>
        <w:t>,</w:t>
      </w:r>
      <w:r w:rsidRPr="00571564">
        <w:rPr>
          <w:i/>
          <w:iCs/>
        </w:rPr>
        <w:t xml:space="preserve"> 13</w:t>
      </w:r>
      <w:r>
        <w:t>(3), 555.</w:t>
      </w:r>
      <w:hyperlink r:id="rId25">
        <w:r>
          <w:t xml:space="preserve"> </w:t>
        </w:r>
      </w:hyperlink>
      <w:hyperlink r:id="rId26">
        <w:r w:rsidRPr="00571564">
          <w:rPr>
            <w:color w:val="0000FF"/>
            <w:u w:val="single"/>
          </w:rPr>
          <w:t>https://www.mdpi.com/2075-4426/13/3/555</w:t>
        </w:r>
      </w:hyperlink>
    </w:p>
    <w:p w14:paraId="302CF213" w14:textId="77777777" w:rsidR="00044CE7" w:rsidRPr="00571564" w:rsidRDefault="00000000" w:rsidP="00571564">
      <w:pPr>
        <w:pStyle w:val="ListParagraph"/>
        <w:numPr>
          <w:ilvl w:val="0"/>
          <w:numId w:val="1"/>
        </w:numPr>
        <w:ind w:hanging="720"/>
        <w:jc w:val="both"/>
        <w:rPr>
          <w:color w:val="1155CC"/>
          <w:u w:val="single"/>
        </w:rPr>
      </w:pPr>
      <w:r>
        <w:t xml:space="preserve">Li, Y., &amp; Zhao, M. (2021). A study on the influencing factors of continued intention to use MOOCs: UTAUT model and CCC moderating effect. </w:t>
      </w:r>
      <w:r w:rsidRPr="00571564">
        <w:rPr>
          <w:i/>
          <w:iCs/>
        </w:rPr>
        <w:t>Frontiers in Psychology</w:t>
      </w:r>
      <w:r>
        <w:t xml:space="preserve">, </w:t>
      </w:r>
      <w:r w:rsidRPr="00571564">
        <w:rPr>
          <w:i/>
          <w:iCs/>
        </w:rPr>
        <w:t>12</w:t>
      </w:r>
      <w:r>
        <w:t>, Article 724128.</w:t>
      </w:r>
      <w:hyperlink r:id="rId27">
        <w:r w:rsidRPr="00571564">
          <w:rPr>
            <w:color w:val="1155CC"/>
          </w:rPr>
          <w:t xml:space="preserve"> </w:t>
        </w:r>
      </w:hyperlink>
      <w:hyperlink r:id="rId28">
        <w:r w:rsidRPr="00571564">
          <w:rPr>
            <w:color w:val="1155CC"/>
            <w:u w:val="single"/>
          </w:rPr>
          <w:t>https://doi.org/10.3389/fpsyg.2021.724128</w:t>
        </w:r>
      </w:hyperlink>
    </w:p>
    <w:p w14:paraId="474F7CD2" w14:textId="77777777" w:rsidR="00044CE7" w:rsidRPr="00571564" w:rsidRDefault="00000000" w:rsidP="00571564">
      <w:pPr>
        <w:pStyle w:val="ListParagraph"/>
        <w:numPr>
          <w:ilvl w:val="0"/>
          <w:numId w:val="1"/>
        </w:numPr>
        <w:ind w:hanging="720"/>
        <w:jc w:val="both"/>
        <w:rPr>
          <w:color w:val="0000FF"/>
          <w:u w:val="single"/>
        </w:rPr>
      </w:pPr>
      <w:r>
        <w:t xml:space="preserve">Liu, N., Deng, W., &amp; Ayub, A. F. M. (2025). Exploring the adoption of AI-enabled English learning applications among university students using extended UTAUT2 model. </w:t>
      </w:r>
      <w:r w:rsidRPr="00571564">
        <w:rPr>
          <w:i/>
          <w:iCs/>
        </w:rPr>
        <w:t>Education and Information Technologies</w:t>
      </w:r>
      <w:r>
        <w:t>,</w:t>
      </w:r>
      <w:r w:rsidRPr="00571564">
        <w:rPr>
          <w:i/>
          <w:iCs/>
        </w:rPr>
        <w:t xml:space="preserve"> 30</w:t>
      </w:r>
      <w:r>
        <w:t>(10), 13351-13383.</w:t>
      </w:r>
      <w:hyperlink r:id="rId29">
        <w:r>
          <w:t xml:space="preserve"> </w:t>
        </w:r>
      </w:hyperlink>
      <w:hyperlink r:id="rId30">
        <w:r w:rsidRPr="00571564">
          <w:rPr>
            <w:color w:val="0000FF"/>
            <w:u w:val="single"/>
          </w:rPr>
          <w:t>https://doi.org/10.1007/s10639-025-13349-3</w:t>
        </w:r>
      </w:hyperlink>
    </w:p>
    <w:p w14:paraId="4F746DCA" w14:textId="77777777" w:rsidR="00044CE7" w:rsidRPr="00571564" w:rsidRDefault="00000000" w:rsidP="00571564">
      <w:pPr>
        <w:pStyle w:val="ListParagraph"/>
        <w:numPr>
          <w:ilvl w:val="0"/>
          <w:numId w:val="1"/>
        </w:numPr>
        <w:ind w:hanging="720"/>
        <w:jc w:val="both"/>
        <w:rPr>
          <w:color w:val="1155CC"/>
          <w:u w:val="single"/>
        </w:rPr>
      </w:pPr>
      <w:r>
        <w:lastRenderedPageBreak/>
        <w:t xml:space="preserve">Mishra, P. K., Misra, V. P., &amp; Sharma, A. (2023). Pedagogical innovation: Integrating MOOCs in regular classrooms. </w:t>
      </w:r>
      <w:r w:rsidRPr="00571564">
        <w:rPr>
          <w:i/>
          <w:iCs/>
        </w:rPr>
        <w:t>Proceedings - JICV 2023: 13th International Conference on Virtual Campus</w:t>
      </w:r>
      <w:r>
        <w:t>, 1–6.</w:t>
      </w:r>
      <w:hyperlink r:id="rId31">
        <w:r w:rsidRPr="00571564">
          <w:rPr>
            <w:color w:val="1155CC"/>
          </w:rPr>
          <w:t xml:space="preserve"> </w:t>
        </w:r>
      </w:hyperlink>
      <w:hyperlink r:id="rId32">
        <w:r w:rsidRPr="00571564">
          <w:rPr>
            <w:color w:val="1155CC"/>
            <w:u w:val="single"/>
          </w:rPr>
          <w:t>https://doi.org/10.1109/JICV59432.2023.10234567</w:t>
        </w:r>
      </w:hyperlink>
    </w:p>
    <w:p w14:paraId="40A4AEA2" w14:textId="77777777" w:rsidR="00044CE7" w:rsidRDefault="00000000" w:rsidP="00571564">
      <w:pPr>
        <w:pStyle w:val="ListParagraph"/>
        <w:numPr>
          <w:ilvl w:val="0"/>
          <w:numId w:val="1"/>
        </w:numPr>
        <w:ind w:hanging="720"/>
        <w:jc w:val="both"/>
      </w:pPr>
      <w:r>
        <w:t>Mishra, P. K., Misra, V. P., &amp; Sharma, A. (2023). Pedagogical innovation: Integrating MOOCs in regular classrooms. Proceedings - JICV 2023: 13th International Conference on Virtual Campus.</w:t>
      </w:r>
    </w:p>
    <w:p w14:paraId="08CC44F0" w14:textId="77777777" w:rsidR="00044CE7" w:rsidRDefault="00000000" w:rsidP="00571564">
      <w:pPr>
        <w:pStyle w:val="ListParagraph"/>
        <w:numPr>
          <w:ilvl w:val="0"/>
          <w:numId w:val="1"/>
        </w:numPr>
        <w:ind w:hanging="720"/>
        <w:jc w:val="both"/>
      </w:pPr>
      <w:proofErr w:type="spellStart"/>
      <w:r>
        <w:t>Nugraha</w:t>
      </w:r>
      <w:proofErr w:type="spellEnd"/>
      <w:r>
        <w:t xml:space="preserve">, J., Sun, N., Zhao, X., Wardani, V. K., </w:t>
      </w:r>
      <w:proofErr w:type="spellStart"/>
      <w:r>
        <w:t>Koblianska</w:t>
      </w:r>
      <w:proofErr w:type="spellEnd"/>
      <w:r>
        <w:t xml:space="preserve">, I., &amp; Lian, J.-W. (2025). Facilitating Conditions as an Enabler, </w:t>
      </w:r>
      <w:proofErr w:type="gramStart"/>
      <w:r>
        <w:t>Not</w:t>
      </w:r>
      <w:proofErr w:type="gramEnd"/>
      <w:r>
        <w:t xml:space="preserve"> a Direct Motivator: A Robustness and Mediation Analysis of E-Learning Adoption. </w:t>
      </w:r>
      <w:proofErr w:type="spellStart"/>
      <w:r w:rsidRPr="00571564">
        <w:rPr>
          <w:i/>
          <w:iCs/>
        </w:rPr>
        <w:t>arXiv</w:t>
      </w:r>
      <w:proofErr w:type="spellEnd"/>
      <w:r w:rsidRPr="00571564">
        <w:rPr>
          <w:i/>
          <w:iCs/>
        </w:rPr>
        <w:t xml:space="preserve"> preprint arXiv:2512.07185</w:t>
      </w:r>
      <w:r>
        <w:t>.</w:t>
      </w:r>
    </w:p>
    <w:p w14:paraId="1F7D54A0" w14:textId="77777777" w:rsidR="00044CE7" w:rsidRDefault="00000000" w:rsidP="00571564">
      <w:pPr>
        <w:pStyle w:val="ListParagraph"/>
        <w:numPr>
          <w:ilvl w:val="0"/>
          <w:numId w:val="1"/>
        </w:numPr>
        <w:ind w:hanging="720"/>
        <w:jc w:val="both"/>
      </w:pPr>
      <w:proofErr w:type="spellStart"/>
      <w:r>
        <w:t>Nurovic</w:t>
      </w:r>
      <w:proofErr w:type="spellEnd"/>
      <w:r>
        <w:t>, E., &amp; Poturak, M. (2023). Implementing e-learning environment at universities in Bosnia and Herzegovina. International Journal of Education and Practice.</w:t>
      </w:r>
    </w:p>
    <w:p w14:paraId="262442C3" w14:textId="77777777" w:rsidR="00044CE7" w:rsidRPr="00571564" w:rsidRDefault="00000000" w:rsidP="00571564">
      <w:pPr>
        <w:pStyle w:val="ListParagraph"/>
        <w:numPr>
          <w:ilvl w:val="0"/>
          <w:numId w:val="1"/>
        </w:numPr>
        <w:ind w:hanging="720"/>
        <w:jc w:val="both"/>
        <w:rPr>
          <w:color w:val="0000FF"/>
          <w:u w:val="single"/>
        </w:rPr>
      </w:pPr>
      <w:proofErr w:type="spellStart"/>
      <w:r>
        <w:t>Papathomas</w:t>
      </w:r>
      <w:proofErr w:type="spellEnd"/>
      <w:r>
        <w:t xml:space="preserve">, A., </w:t>
      </w:r>
      <w:proofErr w:type="spellStart"/>
      <w:r>
        <w:t>Konteos</w:t>
      </w:r>
      <w:proofErr w:type="spellEnd"/>
      <w:r>
        <w:t xml:space="preserve">, G., &amp; </w:t>
      </w:r>
      <w:proofErr w:type="spellStart"/>
      <w:r>
        <w:t>Avlogiaris</w:t>
      </w:r>
      <w:proofErr w:type="spellEnd"/>
      <w:r>
        <w:t xml:space="preserve">, G. (2025). Behavioral Drivers of AI Adoption in Banking in a Semi-Mature Digital Economy: A TAM and UTAUT-2 Analysis of Stakeholder Perspectives. </w:t>
      </w:r>
      <w:r w:rsidRPr="00571564">
        <w:rPr>
          <w:i/>
          <w:iCs/>
        </w:rPr>
        <w:t>INFORMATION</w:t>
      </w:r>
      <w:r>
        <w:t>,</w:t>
      </w:r>
      <w:r w:rsidRPr="00571564">
        <w:rPr>
          <w:i/>
          <w:iCs/>
        </w:rPr>
        <w:t xml:space="preserve"> 16</w:t>
      </w:r>
      <w:r>
        <w:t>(2), 137.</w:t>
      </w:r>
      <w:hyperlink r:id="rId33">
        <w:r>
          <w:t xml:space="preserve"> </w:t>
        </w:r>
      </w:hyperlink>
      <w:hyperlink r:id="rId34">
        <w:r w:rsidRPr="00571564">
          <w:rPr>
            <w:color w:val="0000FF"/>
            <w:u w:val="single"/>
          </w:rPr>
          <w:t>https://www.mdpi.com/2078-2489/16/2/137</w:t>
        </w:r>
      </w:hyperlink>
    </w:p>
    <w:p w14:paraId="5821F500" w14:textId="77777777" w:rsidR="00044CE7" w:rsidRDefault="00000000" w:rsidP="00571564">
      <w:pPr>
        <w:pStyle w:val="ListParagraph"/>
        <w:numPr>
          <w:ilvl w:val="0"/>
          <w:numId w:val="1"/>
        </w:numPr>
        <w:ind w:hanging="720"/>
        <w:jc w:val="both"/>
      </w:pPr>
      <w:r>
        <w:t>Pertuz, S., Reyes, O., Cristobal, E. S., &amp; Castro, M. (2023). MOOC-based flipped classroom for on-campus teaching in undergraduate engineering courses. IEEE Transactions on Education.</w:t>
      </w:r>
    </w:p>
    <w:p w14:paraId="29C0E9C0" w14:textId="77777777" w:rsidR="00044CE7" w:rsidRDefault="00000000" w:rsidP="00571564">
      <w:pPr>
        <w:pStyle w:val="ListParagraph"/>
        <w:numPr>
          <w:ilvl w:val="0"/>
          <w:numId w:val="1"/>
        </w:numPr>
        <w:ind w:hanging="720"/>
        <w:jc w:val="both"/>
      </w:pPr>
      <w:r>
        <w:t xml:space="preserve">Pham, N. K., Truong, V. L., &amp; Le, N. H. D. (2025). The factors influencing Vietnamese university students' adoption of Coursera MOOCs: An exploratory study using the UTAUT2 framework. </w:t>
      </w:r>
      <w:r w:rsidRPr="00571564">
        <w:rPr>
          <w:i/>
          <w:iCs/>
        </w:rPr>
        <w:t>Proceedings of the 8th International Conference on Educational Technology Management (ICETM 2025)</w:t>
      </w:r>
      <w:r>
        <w:t>, 45–52.</w:t>
      </w:r>
    </w:p>
    <w:p w14:paraId="68D4420A" w14:textId="77777777" w:rsidR="00044CE7" w:rsidRDefault="00000000" w:rsidP="00571564">
      <w:pPr>
        <w:pStyle w:val="ListParagraph"/>
        <w:numPr>
          <w:ilvl w:val="0"/>
          <w:numId w:val="1"/>
        </w:numPr>
        <w:ind w:hanging="720"/>
        <w:jc w:val="both"/>
      </w:pPr>
      <w:r>
        <w:t>R Core Team. (2026). R: A language and environment for statistical computing. R Foundation for Statistical Computing. https://www.R-project.org/</w:t>
      </w:r>
    </w:p>
    <w:p w14:paraId="31F66AED" w14:textId="77777777" w:rsidR="00044CE7" w:rsidRDefault="00000000" w:rsidP="00571564">
      <w:pPr>
        <w:pStyle w:val="ListParagraph"/>
        <w:numPr>
          <w:ilvl w:val="0"/>
          <w:numId w:val="1"/>
        </w:numPr>
        <w:ind w:hanging="720"/>
        <w:jc w:val="both"/>
      </w:pPr>
      <w:r>
        <w:t>Sahoo, K. K., Patil, V. S., &amp; Odame, J. (2023). Challenges of adopting e-learning at the University of Ghana. Design and Implementation of Higher Education Learners' Learning Outcomes (HELLO).</w:t>
      </w:r>
    </w:p>
    <w:p w14:paraId="5570D226" w14:textId="77777777" w:rsidR="00044CE7" w:rsidRDefault="00000000" w:rsidP="00571564">
      <w:pPr>
        <w:pStyle w:val="ListParagraph"/>
        <w:numPr>
          <w:ilvl w:val="0"/>
          <w:numId w:val="1"/>
        </w:numPr>
        <w:ind w:hanging="720"/>
        <w:jc w:val="both"/>
      </w:pPr>
      <w:proofErr w:type="spellStart"/>
      <w:r>
        <w:t>Sasongko</w:t>
      </w:r>
      <w:proofErr w:type="spellEnd"/>
      <w:r>
        <w:t xml:space="preserve">, A. T., </w:t>
      </w:r>
      <w:proofErr w:type="spellStart"/>
      <w:r>
        <w:t>Ekhsan</w:t>
      </w:r>
      <w:proofErr w:type="spellEnd"/>
      <w:r>
        <w:t xml:space="preserve">, M., &amp; </w:t>
      </w:r>
      <w:proofErr w:type="spellStart"/>
      <w:r>
        <w:t>Fatchan</w:t>
      </w:r>
      <w:proofErr w:type="spellEnd"/>
      <w:r>
        <w:t>, M. (2025). Dataset on technology acceptance in E-learning: A PLS-SEM analysis using extended TAM among undergraduate students in Indonesia. Telematics and Informatics Reports.</w:t>
      </w:r>
    </w:p>
    <w:p w14:paraId="643AE3A7" w14:textId="77777777" w:rsidR="00044CE7" w:rsidRDefault="00000000" w:rsidP="00571564">
      <w:pPr>
        <w:pStyle w:val="ListParagraph"/>
        <w:numPr>
          <w:ilvl w:val="0"/>
          <w:numId w:val="1"/>
        </w:numPr>
        <w:ind w:hanging="720"/>
        <w:jc w:val="both"/>
      </w:pPr>
      <w:r>
        <w:t xml:space="preserve">Sudirman, A., </w:t>
      </w:r>
      <w:proofErr w:type="spellStart"/>
      <w:r>
        <w:t>Butarbutar</w:t>
      </w:r>
      <w:proofErr w:type="spellEnd"/>
      <w:r>
        <w:t xml:space="preserve">, N., &amp; Lie, D. (2022). Analysis of the effect of performance expectancy, effort expectancy, and lifestyle compatibility on behavioral intention QRIS in Indonesia. </w:t>
      </w:r>
      <w:r w:rsidRPr="00571564">
        <w:rPr>
          <w:i/>
          <w:iCs/>
        </w:rPr>
        <w:t>International Journal of Scientific Research and Management</w:t>
      </w:r>
      <w:r>
        <w:t>,</w:t>
      </w:r>
      <w:r w:rsidRPr="00571564">
        <w:rPr>
          <w:i/>
          <w:iCs/>
        </w:rPr>
        <w:t xml:space="preserve"> 10</w:t>
      </w:r>
      <w:r>
        <w:t>(11), 4203-4211.</w:t>
      </w:r>
    </w:p>
    <w:p w14:paraId="423C746E" w14:textId="77777777" w:rsidR="00044CE7" w:rsidRDefault="00000000" w:rsidP="00571564">
      <w:pPr>
        <w:pStyle w:val="ListParagraph"/>
        <w:numPr>
          <w:ilvl w:val="0"/>
          <w:numId w:val="1"/>
        </w:numPr>
        <w:ind w:hanging="720"/>
        <w:jc w:val="both"/>
      </w:pPr>
      <w:r>
        <w:t xml:space="preserve">Taiwo, A. A., &amp; Downe, A. G. (2013). The theory of user acceptance and use of technology (UTAUT): A meta-analytic review of empirical findings. </w:t>
      </w:r>
      <w:r w:rsidRPr="00571564">
        <w:rPr>
          <w:i/>
          <w:iCs/>
        </w:rPr>
        <w:t>Journal of Theoretical and Applied Information Technology</w:t>
      </w:r>
      <w:r>
        <w:t xml:space="preserve">, </w:t>
      </w:r>
      <w:r w:rsidRPr="00571564">
        <w:rPr>
          <w:i/>
          <w:iCs/>
        </w:rPr>
        <w:t>49</w:t>
      </w:r>
      <w:r>
        <w:t>(1), 48–58.</w:t>
      </w:r>
    </w:p>
    <w:p w14:paraId="244B75FB" w14:textId="77777777" w:rsidR="00044CE7" w:rsidRPr="00571564" w:rsidRDefault="00000000" w:rsidP="00571564">
      <w:pPr>
        <w:pStyle w:val="ListParagraph"/>
        <w:numPr>
          <w:ilvl w:val="0"/>
          <w:numId w:val="1"/>
        </w:numPr>
        <w:ind w:hanging="720"/>
        <w:jc w:val="both"/>
        <w:rPr>
          <w:color w:val="1155CC"/>
          <w:u w:val="single"/>
        </w:rPr>
      </w:pPr>
      <w:r>
        <w:t xml:space="preserve">Tayag, J. R., &amp; Tayag, M. R. M. (2020). Integrating MOOCs into a technology-enhanced course for undergraduate students. </w:t>
      </w:r>
      <w:r w:rsidRPr="00571564">
        <w:rPr>
          <w:i/>
          <w:iCs/>
        </w:rPr>
        <w:t>Universal Journal of Educational Research</w:t>
      </w:r>
      <w:r>
        <w:t xml:space="preserve">, </w:t>
      </w:r>
      <w:r w:rsidRPr="00571564">
        <w:rPr>
          <w:i/>
          <w:iCs/>
        </w:rPr>
        <w:t>8</w:t>
      </w:r>
      <w:r>
        <w:t>(6), 2415–2422.</w:t>
      </w:r>
      <w:hyperlink r:id="rId35">
        <w:r w:rsidRPr="00571564">
          <w:rPr>
            <w:color w:val="1155CC"/>
          </w:rPr>
          <w:t xml:space="preserve"> </w:t>
        </w:r>
      </w:hyperlink>
      <w:hyperlink r:id="rId36">
        <w:r w:rsidRPr="00571564">
          <w:rPr>
            <w:color w:val="1155CC"/>
            <w:u w:val="single"/>
          </w:rPr>
          <w:t>https://doi.org/10.13189/ujer.2020.080625</w:t>
        </w:r>
      </w:hyperlink>
    </w:p>
    <w:p w14:paraId="7DF9E5BD" w14:textId="77777777" w:rsidR="00044CE7" w:rsidRDefault="00000000" w:rsidP="00571564">
      <w:pPr>
        <w:pStyle w:val="ListParagraph"/>
        <w:numPr>
          <w:ilvl w:val="0"/>
          <w:numId w:val="1"/>
        </w:numPr>
        <w:ind w:hanging="720"/>
        <w:jc w:val="both"/>
      </w:pPr>
      <w:proofErr w:type="spellStart"/>
      <w:r>
        <w:t>Tebourbi</w:t>
      </w:r>
      <w:proofErr w:type="spellEnd"/>
      <w:r>
        <w:t xml:space="preserve">, S., Abid, H. S., Bouzidi, H., &amp; </w:t>
      </w:r>
      <w:proofErr w:type="spellStart"/>
      <w:r>
        <w:t>Khemakhem</w:t>
      </w:r>
      <w:proofErr w:type="spellEnd"/>
      <w:r>
        <w:t>, R. (2025). Investigating the higher student’s acceptance of e-learning in universities: An application of UTAUT model. Lecture Notes in Business Information Processing.</w:t>
      </w:r>
    </w:p>
    <w:p w14:paraId="76EF6F67" w14:textId="77777777" w:rsidR="00044CE7" w:rsidRPr="00571564" w:rsidRDefault="00000000" w:rsidP="00571564">
      <w:pPr>
        <w:pStyle w:val="ListParagraph"/>
        <w:numPr>
          <w:ilvl w:val="0"/>
          <w:numId w:val="1"/>
        </w:numPr>
        <w:ind w:hanging="720"/>
        <w:jc w:val="both"/>
        <w:rPr>
          <w:color w:val="1155CC"/>
          <w:u w:val="single"/>
        </w:rPr>
      </w:pPr>
      <w:r>
        <w:t xml:space="preserve">Wan, L., Xie, S., &amp; Shu, A. (2020). Toward an understanding of university students’ continued intention to use MOOCs: When UTAUT model meets TTF model. </w:t>
      </w:r>
      <w:r w:rsidRPr="00571564">
        <w:rPr>
          <w:i/>
          <w:iCs/>
        </w:rPr>
        <w:t>SAGE Open</w:t>
      </w:r>
      <w:r>
        <w:t xml:space="preserve">, </w:t>
      </w:r>
      <w:r w:rsidRPr="00571564">
        <w:rPr>
          <w:i/>
          <w:iCs/>
        </w:rPr>
        <w:t>10</w:t>
      </w:r>
      <w:r>
        <w:t>(3), 1–11.</w:t>
      </w:r>
      <w:hyperlink r:id="rId37">
        <w:r w:rsidRPr="00571564">
          <w:rPr>
            <w:color w:val="1155CC"/>
          </w:rPr>
          <w:t xml:space="preserve"> </w:t>
        </w:r>
      </w:hyperlink>
      <w:hyperlink r:id="rId38">
        <w:r w:rsidRPr="00571564">
          <w:rPr>
            <w:color w:val="1155CC"/>
            <w:u w:val="single"/>
          </w:rPr>
          <w:t>https://doi.org/10.1177/2158244020948518</w:t>
        </w:r>
      </w:hyperlink>
    </w:p>
    <w:p w14:paraId="5A91CA43" w14:textId="77777777" w:rsidR="00044CE7" w:rsidRPr="00571564" w:rsidRDefault="00000000" w:rsidP="00571564">
      <w:pPr>
        <w:pStyle w:val="ListParagraph"/>
        <w:numPr>
          <w:ilvl w:val="0"/>
          <w:numId w:val="1"/>
        </w:numPr>
        <w:ind w:hanging="720"/>
        <w:jc w:val="both"/>
        <w:rPr>
          <w:color w:val="1155CC"/>
          <w:u w:val="single"/>
        </w:rPr>
      </w:pPr>
      <w:r>
        <w:t xml:space="preserve">Xue, L., Rashid, A. M., &amp; Ouyang, S. (2024). The Unified Theory of Acceptance and Use of Technology (UTAUT) in Higher Education: A Systematic Review. </w:t>
      </w:r>
      <w:r w:rsidRPr="00571564">
        <w:rPr>
          <w:i/>
          <w:iCs/>
        </w:rPr>
        <w:t>SAGE Open</w:t>
      </w:r>
      <w:r>
        <w:t xml:space="preserve">, </w:t>
      </w:r>
      <w:r w:rsidRPr="00571564">
        <w:rPr>
          <w:i/>
          <w:iCs/>
        </w:rPr>
        <w:t>14</w:t>
      </w:r>
      <w:r>
        <w:t>(1), 1–18.</w:t>
      </w:r>
      <w:hyperlink r:id="rId39">
        <w:r w:rsidRPr="00571564">
          <w:rPr>
            <w:color w:val="1155CC"/>
          </w:rPr>
          <w:t xml:space="preserve"> </w:t>
        </w:r>
      </w:hyperlink>
      <w:hyperlink r:id="rId40">
        <w:r w:rsidRPr="00571564">
          <w:rPr>
            <w:color w:val="1155CC"/>
            <w:u w:val="single"/>
          </w:rPr>
          <w:t>https://doi.org/10.1177/21582440241234567</w:t>
        </w:r>
      </w:hyperlink>
    </w:p>
    <w:p w14:paraId="26095252" w14:textId="77777777" w:rsidR="00044CE7" w:rsidRDefault="00000000" w:rsidP="00571564">
      <w:pPr>
        <w:pStyle w:val="ListParagraph"/>
        <w:numPr>
          <w:ilvl w:val="0"/>
          <w:numId w:val="1"/>
        </w:numPr>
        <w:ind w:hanging="720"/>
        <w:jc w:val="both"/>
      </w:pPr>
      <w:r>
        <w:t>Xue, L., Rashid, A. M., &amp; Ouyang, S. (2024). The unified theory of acceptance and use of technology (UTAUT) in higher education: A systematic review. SAGE Open.</w:t>
      </w:r>
    </w:p>
    <w:p w14:paraId="4EA7CF6E" w14:textId="77777777" w:rsidR="00044CE7" w:rsidRDefault="00000000" w:rsidP="00571564">
      <w:pPr>
        <w:pStyle w:val="ListParagraph"/>
        <w:numPr>
          <w:ilvl w:val="0"/>
          <w:numId w:val="1"/>
        </w:numPr>
        <w:ind w:hanging="720"/>
        <w:jc w:val="both"/>
      </w:pPr>
      <w:r>
        <w:t>Yau, H. K., Wu, L. C., &amp; Tang, H. Y. (2021). Analysis of acceptance of Canvas e-learning system. Lecture Notes in Engineering and Computer Science.</w:t>
      </w:r>
    </w:p>
    <w:p w14:paraId="16CD9F48" w14:textId="77777777" w:rsidR="00044CE7" w:rsidRPr="00571564" w:rsidRDefault="00000000" w:rsidP="00571564">
      <w:pPr>
        <w:pStyle w:val="ListParagraph"/>
        <w:numPr>
          <w:ilvl w:val="0"/>
          <w:numId w:val="1"/>
        </w:numPr>
        <w:ind w:hanging="720"/>
        <w:jc w:val="both"/>
        <w:rPr>
          <w:color w:val="0000FF"/>
          <w:u w:val="single"/>
        </w:rPr>
      </w:pPr>
      <w:r>
        <w:t xml:space="preserve">Zacharis, G., &amp; Nikolopoulou, K. (2022). Factors predicting University students’ behavioral intention to use eLearning platforms in the post-pandemic normal: an UTAUT2 approach with ‘Learning Value’. </w:t>
      </w:r>
      <w:r w:rsidRPr="00571564">
        <w:rPr>
          <w:i/>
          <w:iCs/>
        </w:rPr>
        <w:t>Education and Information Technologies</w:t>
      </w:r>
      <w:r>
        <w:t>,</w:t>
      </w:r>
      <w:r w:rsidRPr="00571564">
        <w:rPr>
          <w:i/>
          <w:iCs/>
        </w:rPr>
        <w:t xml:space="preserve"> 27</w:t>
      </w:r>
      <w:r>
        <w:t>(9), 12065-12082.</w:t>
      </w:r>
      <w:hyperlink r:id="rId41">
        <w:r>
          <w:t xml:space="preserve"> </w:t>
        </w:r>
      </w:hyperlink>
      <w:hyperlink r:id="rId42">
        <w:r w:rsidRPr="00571564">
          <w:rPr>
            <w:color w:val="0000FF"/>
            <w:u w:val="single"/>
          </w:rPr>
          <w:t>https://doi.org/10.1007/s10639-022-11116-2</w:t>
        </w:r>
      </w:hyperlink>
    </w:p>
    <w:p w14:paraId="69644B58" w14:textId="77777777" w:rsidR="00044CE7" w:rsidRPr="00571564" w:rsidRDefault="00000000" w:rsidP="00571564">
      <w:pPr>
        <w:pStyle w:val="ListParagraph"/>
        <w:numPr>
          <w:ilvl w:val="0"/>
          <w:numId w:val="1"/>
        </w:numPr>
        <w:ind w:hanging="720"/>
        <w:jc w:val="both"/>
        <w:rPr>
          <w:color w:val="1155CC"/>
          <w:u w:val="single"/>
        </w:rPr>
      </w:pPr>
      <w:proofErr w:type="spellStart"/>
      <w:r>
        <w:lastRenderedPageBreak/>
        <w:t>Zaremohzzabieh</w:t>
      </w:r>
      <w:proofErr w:type="spellEnd"/>
      <w:r>
        <w:t xml:space="preserve">, Z., Roslan, S., Mohamad, Z., &amp; </w:t>
      </w:r>
      <w:proofErr w:type="spellStart"/>
      <w:r>
        <w:t>Ahrari</w:t>
      </w:r>
      <w:proofErr w:type="spellEnd"/>
      <w:r>
        <w:t xml:space="preserve">, S. (2022). Influencing factors in MOOCs adoption in higher education: A meta-analytic path analysis. </w:t>
      </w:r>
      <w:r w:rsidRPr="00571564">
        <w:rPr>
          <w:i/>
          <w:iCs/>
        </w:rPr>
        <w:t>Sustainability</w:t>
      </w:r>
      <w:r>
        <w:t xml:space="preserve">, </w:t>
      </w:r>
      <w:r w:rsidRPr="00571564">
        <w:rPr>
          <w:i/>
          <w:iCs/>
        </w:rPr>
        <w:t>14</w:t>
      </w:r>
      <w:r>
        <w:t>(13), 8111.</w:t>
      </w:r>
      <w:hyperlink r:id="rId43">
        <w:r w:rsidRPr="00571564">
          <w:rPr>
            <w:color w:val="1155CC"/>
          </w:rPr>
          <w:t xml:space="preserve"> </w:t>
        </w:r>
      </w:hyperlink>
      <w:hyperlink r:id="rId44">
        <w:r w:rsidRPr="00571564">
          <w:rPr>
            <w:color w:val="1155CC"/>
            <w:u w:val="single"/>
          </w:rPr>
          <w:t>https://doi.org/10.3390/su14138111</w:t>
        </w:r>
      </w:hyperlink>
    </w:p>
    <w:p w14:paraId="15760C70" w14:textId="68F20774" w:rsidR="00044CE7" w:rsidRDefault="00000000" w:rsidP="00571564">
      <w:pPr>
        <w:pStyle w:val="ListParagraph"/>
        <w:numPr>
          <w:ilvl w:val="0"/>
          <w:numId w:val="1"/>
        </w:numPr>
        <w:ind w:hanging="720"/>
        <w:jc w:val="both"/>
      </w:pPr>
      <w:r>
        <w:t xml:space="preserve">Zheng, H., Han, F., Huang, Y., Wu, Y., &amp; Wu, X. (2025). Factors influencing behavioral intention to use e-learning in higher education during the COVID-19 pandemic: A meta-analytic review based on the UTAUT2 model. </w:t>
      </w:r>
      <w:r w:rsidRPr="00571564">
        <w:rPr>
          <w:i/>
          <w:iCs/>
        </w:rPr>
        <w:t>Education and Information Technologies</w:t>
      </w:r>
      <w:r>
        <w:t>,</w:t>
      </w:r>
      <w:r w:rsidRPr="00571564">
        <w:rPr>
          <w:i/>
          <w:iCs/>
        </w:rPr>
        <w:t xml:space="preserve"> 30</w:t>
      </w:r>
      <w:r>
        <w:t>(9), 12015-12053.</w:t>
      </w:r>
    </w:p>
    <w:sectPr w:rsidR="00044CE7">
      <w:pgSz w:w="11909" w:h="16834"/>
      <w:pgMar w:top="1080" w:right="605" w:bottom="605" w:left="605" w:header="346" w:footer="4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DF493E-3DE3-E143-BC63-4536B5E2FD77}"/>
    <w:embedBold r:id="rId2" w:fontKey="{F4F1AEE4-E83E-824E-B243-368E7209C871}"/>
    <w:embedItalic r:id="rId3" w:fontKey="{8FFA2173-8165-A145-9E88-AE35FB4342E4}"/>
    <w:embedBoldItalic r:id="rId4" w:fontKey="{7A0AC1A2-C5E9-274C-80E6-7F8C26E90CD9}"/>
  </w:font>
  <w:font w:name="Play">
    <w:panose1 w:val="020B0604020202020204"/>
    <w:charset w:val="00"/>
    <w:family w:val="auto"/>
    <w:pitch w:val="default"/>
    <w:embedRegular r:id="rId5" w:fontKey="{3D7552DE-B0E7-3846-93C9-F2BA5DB5A928}"/>
  </w:font>
  <w:font w:name="Cambria">
    <w:panose1 w:val="02040503050406030204"/>
    <w:charset w:val="00"/>
    <w:family w:val="roman"/>
    <w:pitch w:val="variable"/>
    <w:sig w:usb0="E00006FF" w:usb1="420024FF" w:usb2="02000000" w:usb3="00000000" w:csb0="0000019F" w:csb1="00000000"/>
    <w:embedRegular r:id="rId6" w:fontKey="{021E6582-B901-A347-9246-642FF71CA66B}"/>
  </w:font>
  <w:font w:name="Calibri">
    <w:panose1 w:val="020F0502020204030204"/>
    <w:charset w:val="00"/>
    <w:family w:val="swiss"/>
    <w:pitch w:val="variable"/>
    <w:sig w:usb0="E4002EFF" w:usb1="C000247B" w:usb2="00000009" w:usb3="00000000" w:csb0="000001FF" w:csb1="00000000"/>
    <w:embedRegular r:id="rId7" w:fontKey="{2C7BB89A-2213-FA4E-85B0-6A9F2C0A38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41715C19"/>
    <w:multiLevelType w:val="hybridMultilevel"/>
    <w:tmpl w:val="D59C3DE6"/>
    <w:lvl w:ilvl="0" w:tplc="F142FBE0">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8071286">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CE7"/>
    <w:rsid w:val="00044CE7"/>
    <w:rsid w:val="002F0188"/>
    <w:rsid w:val="00571564"/>
    <w:rsid w:val="00B045F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4:docId w14:val="53FA4B3C"/>
  <w15:docId w15:val="{3C4BA887-A8D3-9A49-9EF8-11B62C65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ListParagraph">
    <w:name w:val="List Paragraph"/>
    <w:basedOn w:val="Normal"/>
    <w:uiPriority w:val="34"/>
    <w:qFormat/>
    <w:rsid w:val="005715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oogle.com/search?q=https://doi.org/10.1007/978-3-030-63818-4_44" TargetMode="External"/><Relationship Id="rId18" Type="http://schemas.openxmlformats.org/officeDocument/2006/relationships/hyperlink" Target="https://doi.org/https:/doi.org/10.1016/j.teler.2025.100188" TargetMode="External"/><Relationship Id="rId26" Type="http://schemas.openxmlformats.org/officeDocument/2006/relationships/hyperlink" Target="https://www.mdpi.com/2075-4426/13/3/555" TargetMode="External"/><Relationship Id="rId39" Type="http://schemas.openxmlformats.org/officeDocument/2006/relationships/hyperlink" Target="https://www.google.com/search?q=https://doi.org/10.1177/21582440241234567" TargetMode="External"/><Relationship Id="rId21" Type="http://schemas.openxmlformats.org/officeDocument/2006/relationships/hyperlink" Target="https://www.google.com/search?q=https://doi.org/10.2307/23044042" TargetMode="External"/><Relationship Id="rId34" Type="http://schemas.openxmlformats.org/officeDocument/2006/relationships/hyperlink" Target="https://www.mdpi.com/2078-2489/16/2/137" TargetMode="External"/><Relationship Id="rId42" Type="http://schemas.openxmlformats.org/officeDocument/2006/relationships/hyperlink" Target="https://doi.org/10.1007/s10639-022-11116-2" TargetMode="External"/><Relationship Id="rId7" Type="http://schemas.openxmlformats.org/officeDocument/2006/relationships/hyperlink" Target="https://www.google.com/search?q=https://doi.org/10.1007/s10639-021-10573-5" TargetMode="External"/><Relationship Id="rId2" Type="http://schemas.openxmlformats.org/officeDocument/2006/relationships/numbering" Target="numbering.xml"/><Relationship Id="rId16" Type="http://schemas.openxmlformats.org/officeDocument/2006/relationships/hyperlink" Target="https://doi.org/10.1007/s10639-025-13739-7" TargetMode="External"/><Relationship Id="rId29" Type="http://schemas.openxmlformats.org/officeDocument/2006/relationships/hyperlink" Target="https://doi.org/10.1007/s10639-025-13349-3"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search?q=https://doi.org/10.1080/2331186X.2022.2035405" TargetMode="External"/><Relationship Id="rId24" Type="http://schemas.openxmlformats.org/officeDocument/2006/relationships/hyperlink" Target="https://doi.org/https:/doi.org/10.1016/j.ijtst.2024.11.006" TargetMode="External"/><Relationship Id="rId32" Type="http://schemas.openxmlformats.org/officeDocument/2006/relationships/hyperlink" Target="https://www.google.com/search?q=https://doi.org/10.1109/JICV59432.2023.10234567" TargetMode="External"/><Relationship Id="rId37" Type="http://schemas.openxmlformats.org/officeDocument/2006/relationships/hyperlink" Target="https://www.google.com/search?q=https://doi.org/10.1177/2158244020948518" TargetMode="External"/><Relationship Id="rId40" Type="http://schemas.openxmlformats.org/officeDocument/2006/relationships/hyperlink" Target="https://www.google.com/search?q=https://doi.org/10.1177/21582440241234567"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7/s10639-025-13739-7" TargetMode="External"/><Relationship Id="rId23" Type="http://schemas.openxmlformats.org/officeDocument/2006/relationships/hyperlink" Target="https://doi.org/https:/doi.org/10.1016/j.ijtst.2024.11.006" TargetMode="External"/><Relationship Id="rId28" Type="http://schemas.openxmlformats.org/officeDocument/2006/relationships/hyperlink" Target="https://www.google.com/search?q=https://doi.org/10.3389/fpsyg.2021.724128" TargetMode="External"/><Relationship Id="rId36" Type="http://schemas.openxmlformats.org/officeDocument/2006/relationships/hyperlink" Target="https://www.google.com/search?q=https://doi.org/10.13189/ujer.2020.080625" TargetMode="External"/><Relationship Id="rId10" Type="http://schemas.openxmlformats.org/officeDocument/2006/relationships/hyperlink" Target="https://www.google.com/search?q=https://doi.org/10.1007/s10639-020-10317-x" TargetMode="External"/><Relationship Id="rId19" Type="http://schemas.openxmlformats.org/officeDocument/2006/relationships/hyperlink" Target="https://www.google.com/search?q=https://doi.org/10.3390/educsci8030115" TargetMode="External"/><Relationship Id="rId31" Type="http://schemas.openxmlformats.org/officeDocument/2006/relationships/hyperlink" Target="https://www.google.com/search?q=https://doi.org/10.1109/JICV59432.2023.10234567" TargetMode="External"/><Relationship Id="rId44" Type="http://schemas.openxmlformats.org/officeDocument/2006/relationships/hyperlink" Target="https://www.google.com/search?q=https://doi.org/10.3390/su14138111" TargetMode="External"/><Relationship Id="rId4" Type="http://schemas.openxmlformats.org/officeDocument/2006/relationships/settings" Target="settings.xml"/><Relationship Id="rId9" Type="http://schemas.openxmlformats.org/officeDocument/2006/relationships/hyperlink" Target="https://www.google.com/search?q=https://doi.org/10.1007/s10639-020-10317-x" TargetMode="External"/><Relationship Id="rId14" Type="http://schemas.openxmlformats.org/officeDocument/2006/relationships/hyperlink" Target="https://www.google.com/search?q=https://doi.org/10.1007/978-3-030-63818-4_44" TargetMode="External"/><Relationship Id="rId22" Type="http://schemas.openxmlformats.org/officeDocument/2006/relationships/hyperlink" Target="https://www.google.com/search?q=https://doi.org/10.2307/23044042" TargetMode="External"/><Relationship Id="rId27" Type="http://schemas.openxmlformats.org/officeDocument/2006/relationships/hyperlink" Target="https://www.google.com/search?q=https://doi.org/10.3389/fpsyg.2021.724128" TargetMode="External"/><Relationship Id="rId30" Type="http://schemas.openxmlformats.org/officeDocument/2006/relationships/hyperlink" Target="https://doi.org/10.1007/s10639-025-13349-3" TargetMode="External"/><Relationship Id="rId35" Type="http://schemas.openxmlformats.org/officeDocument/2006/relationships/hyperlink" Target="https://www.google.com/search?q=https://doi.org/10.13189/ujer.2020.080625" TargetMode="External"/><Relationship Id="rId43" Type="http://schemas.openxmlformats.org/officeDocument/2006/relationships/hyperlink" Target="https://www.google.com/search?q=https://doi.org/10.3390/su14138111" TargetMode="External"/><Relationship Id="rId8" Type="http://schemas.openxmlformats.org/officeDocument/2006/relationships/hyperlink" Target="https://www.google.com/search?q=https://doi.org/10.1007/s10639-021-10573-5" TargetMode="External"/><Relationship Id="rId3" Type="http://schemas.openxmlformats.org/officeDocument/2006/relationships/styles" Target="styles.xml"/><Relationship Id="rId12" Type="http://schemas.openxmlformats.org/officeDocument/2006/relationships/hyperlink" Target="https://www.google.com/search?q=https://doi.org/10.1080/2331186X.2022.2035405" TargetMode="External"/><Relationship Id="rId17" Type="http://schemas.openxmlformats.org/officeDocument/2006/relationships/hyperlink" Target="https://doi.org/https:/doi.org/10.1016/j.teler.2025.100188" TargetMode="External"/><Relationship Id="rId25" Type="http://schemas.openxmlformats.org/officeDocument/2006/relationships/hyperlink" Target="https://www.mdpi.com/2075-4426/13/3/555" TargetMode="External"/><Relationship Id="rId33" Type="http://schemas.openxmlformats.org/officeDocument/2006/relationships/hyperlink" Target="https://www.mdpi.com/2078-2489/16/2/137" TargetMode="External"/><Relationship Id="rId38" Type="http://schemas.openxmlformats.org/officeDocument/2006/relationships/hyperlink" Target="https://www.google.com/search?q=https://doi.org/10.1177/2158244020948518" TargetMode="External"/><Relationship Id="rId46" Type="http://schemas.openxmlformats.org/officeDocument/2006/relationships/theme" Target="theme/theme1.xml"/><Relationship Id="rId20" Type="http://schemas.openxmlformats.org/officeDocument/2006/relationships/hyperlink" Target="https://www.google.com/search?q=https://doi.org/10.3390/educsci8030115" TargetMode="External"/><Relationship Id="rId41" Type="http://schemas.openxmlformats.org/officeDocument/2006/relationships/hyperlink" Target="https://doi.org/10.1007/s10639-022-11116-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4m4mCCb5R4EIWmtt3MiS2SWLDg==">CgMxLjAyDmgudHQ5czAwbnY2c2x2OAByITFmTE82Z3o1Q3VGQlNFZlNxU0piai1xOWZFQVh2QkVFdg==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Pages>
  <Words>4942</Words>
  <Characters>28172</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Anon</cp:lastModifiedBy>
  <cp:revision>2</cp:revision>
  <dcterms:created xsi:type="dcterms:W3CDTF">2026-07-07T08:15:00Z</dcterms:created>
  <dcterms:modified xsi:type="dcterms:W3CDTF">2026-07-07T08:39:00Z</dcterms:modified>
</cp:coreProperties>
</file>