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636046" w14:textId="77777777" w:rsidR="001A2AFC" w:rsidRPr="001A2AFC" w:rsidRDefault="001A2AFC" w:rsidP="001A2AFC">
      <w:pPr>
        <w:rPr>
          <w:b/>
          <w:bCs/>
        </w:rPr>
      </w:pPr>
      <w:r w:rsidRPr="001A2AFC">
        <w:rPr>
          <w:b/>
          <w:bCs/>
        </w:rPr>
        <w:t>Integrated Bioinformatics and Machine Learning Approach for Identification of Potential Biomarkers in Uterine Carcinosarcoma</w:t>
      </w:r>
    </w:p>
    <w:p w14:paraId="47714282" w14:textId="77777777" w:rsidR="00B87F1A" w:rsidRPr="00B87F1A" w:rsidRDefault="00B87F1A" w:rsidP="005C0781">
      <w:r>
        <w:t>Gauri Suresh, Mahima Kashyap, Nisha Singh</w:t>
      </w:r>
    </w:p>
    <w:p w14:paraId="5F115056" w14:textId="77777777" w:rsidR="005C0781" w:rsidRPr="005C0781" w:rsidRDefault="00F8428D" w:rsidP="005C0781">
      <w:r>
        <w:rPr>
          <w:noProof/>
        </w:rPr>
      </w:r>
      <w:r w:rsidR="00F8428D">
        <w:rPr>
          <w:noProof/>
        </w:rPr>
        <w:pict w14:anchorId="58BC4412">
          <v:rect id="_x0000_i1025" style="width:0;height:1.5pt" o:hralign="center" o:hrstd="t" o:hr="t" fillcolor="#a0a0a0" stroked="f"/>
        </w:pict>
      </w:r>
    </w:p>
    <w:p w14:paraId="3643EEA6" w14:textId="77777777" w:rsidR="005C0781" w:rsidRPr="005C0781" w:rsidRDefault="005C0781" w:rsidP="005C0781">
      <w:pPr>
        <w:rPr>
          <w:b/>
          <w:bCs/>
        </w:rPr>
      </w:pPr>
      <w:r w:rsidRPr="005C0781">
        <w:rPr>
          <w:b/>
          <w:bCs/>
        </w:rPr>
        <w:t>Abstract</w:t>
      </w:r>
    </w:p>
    <w:p w14:paraId="6727365C" w14:textId="77777777" w:rsidR="005C0781" w:rsidRPr="005C0781" w:rsidRDefault="005C0781" w:rsidP="005C0781">
      <w:r w:rsidRPr="005C0781">
        <w:rPr>
          <w:b/>
          <w:bCs/>
        </w:rPr>
        <w:t>Background:</w:t>
      </w:r>
      <w:r w:rsidRPr="005C0781">
        <w:br/>
      </w:r>
      <w:r w:rsidR="001A2AFC" w:rsidRPr="001A2AFC">
        <w:t>Uterine carcinosarcoma (UCS) is a rare and highly aggressive malignancy associated with poor prognosis and limited therapeutic options. Identification of reliable molecular biomarkers is essential for improving early diagnosis and targeted therapies.</w:t>
      </w:r>
    </w:p>
    <w:p w14:paraId="665D6261" w14:textId="77777777" w:rsidR="005C0781" w:rsidRPr="005C0781" w:rsidRDefault="005C0781" w:rsidP="005C0781">
      <w:r w:rsidRPr="005C0781">
        <w:rPr>
          <w:b/>
          <w:bCs/>
        </w:rPr>
        <w:t>Methods:</w:t>
      </w:r>
      <w:r w:rsidRPr="005C0781">
        <w:br/>
      </w:r>
      <w:r w:rsidR="001A2AFC" w:rsidRPr="001A2AFC">
        <w:t xml:space="preserve">Gene expression dataset GSE122697 was obtained from the Gene Expression Omnibus (GEO) database. Differentially expressed genes (DEGs) between UCS and normal tissues were identified using standardized statistical analysis with thresholds of adjusted </w:t>
      </w:r>
      <w:r w:rsidR="001A2AFC" w:rsidRPr="001A2AFC">
        <w:rPr>
          <w:i/>
          <w:iCs/>
        </w:rPr>
        <w:t>p</w:t>
      </w:r>
      <w:r w:rsidR="001A2AFC" w:rsidRPr="001A2AFC">
        <w:t xml:space="preserve">-value &lt; 0.05 and |log2 fold change| &gt; 1. Protein–protein interaction (PPI) networks were constructed using STRING (v11.5) and visualized in </w:t>
      </w:r>
      <w:proofErr w:type="spellStart"/>
      <w:r w:rsidR="001A2AFC" w:rsidRPr="001A2AFC">
        <w:t>Cytoscape</w:t>
      </w:r>
      <w:proofErr w:type="spellEnd"/>
      <w:r w:rsidR="001A2AFC" w:rsidRPr="001A2AFC">
        <w:t xml:space="preserve"> (v3.9.1). Hub genes were identified using the MCODE plugin. Machine learning models, including Random Forest and Support Vector Machine, were implemented in WEKA with 10-fold cross-validation to evaluate predictive performance.</w:t>
      </w:r>
      <w:r>
        <w:t xml:space="preserve"> Adjusted p-values were calculated using the Benjamini–Hochberg false discovery rate (FDR) correction method.</w:t>
      </w:r>
    </w:p>
    <w:p w14:paraId="2793FFDA" w14:textId="77777777" w:rsidR="005C0781" w:rsidRPr="005C0781" w:rsidRDefault="005C0781" w:rsidP="005C0781">
      <w:r w:rsidRPr="005C0781">
        <w:rPr>
          <w:b/>
          <w:bCs/>
        </w:rPr>
        <w:t>Results:</w:t>
      </w:r>
      <w:r w:rsidRPr="005C0781">
        <w:br/>
      </w:r>
      <w:r w:rsidR="001A2AFC" w:rsidRPr="001A2AFC">
        <w:t>A total of 2,266 DEGs were identified, including 1,218 upregulated and 1,048 downregulated genes. The PPI network comprised 492 nodes and 1,589 edges. Key hub genes identified included STAT3, EP300, ITGAM, and SREBF1. The Random Forest model achieved an accuracy of 94.73%, precision of 0.951, recall of 0.947, and ROC-AUC of 0.936, indicating strong classification performance.</w:t>
      </w:r>
    </w:p>
    <w:p w14:paraId="73CB1526" w14:textId="77777777" w:rsidR="005C0781" w:rsidRPr="005C0781" w:rsidRDefault="005C0781" w:rsidP="005C0781">
      <w:r w:rsidRPr="005C0781">
        <w:rPr>
          <w:b/>
          <w:bCs/>
        </w:rPr>
        <w:t>Conclusion:</w:t>
      </w:r>
      <w:r w:rsidRPr="005C0781">
        <w:br/>
      </w:r>
      <w:r w:rsidR="001A2AFC" w:rsidRPr="001A2AFC">
        <w:t>This integrative approach identified potential biomarkers associated with UCS progression. These findings provide a foundation for further experimental validation and may contribute to improved diagnostic and therapeutic strategies</w:t>
      </w:r>
      <w:r w:rsidRPr="005C0781">
        <w:t>.</w:t>
      </w:r>
    </w:p>
    <w:p w14:paraId="50F75388" w14:textId="77777777" w:rsidR="005C0781" w:rsidRPr="005C0781" w:rsidRDefault="00F8428D" w:rsidP="005C0781">
      <w:r>
        <w:rPr>
          <w:noProof/>
        </w:rPr>
      </w:r>
      <w:r w:rsidR="00F8428D">
        <w:rPr>
          <w:noProof/>
        </w:rPr>
        <w:pict w14:anchorId="498C50DD">
          <v:rect id="_x0000_i1026" style="width:0;height:1.5pt" o:hralign="center" o:hrstd="t" o:hr="t" fillcolor="#a0a0a0" stroked="f"/>
        </w:pict>
      </w:r>
    </w:p>
    <w:p w14:paraId="3B4C647E" w14:textId="77777777" w:rsidR="005C0781" w:rsidRPr="005C0781" w:rsidRDefault="005C0781" w:rsidP="005C0781">
      <w:pPr>
        <w:rPr>
          <w:b/>
          <w:bCs/>
        </w:rPr>
      </w:pPr>
      <w:r w:rsidRPr="005C0781">
        <w:rPr>
          <w:b/>
          <w:bCs/>
        </w:rPr>
        <w:t>Keywords</w:t>
      </w:r>
    </w:p>
    <w:p w14:paraId="7CB818AD" w14:textId="77777777" w:rsidR="005C0781" w:rsidRPr="005C0781" w:rsidRDefault="005C0781" w:rsidP="005C0781">
      <w:r w:rsidRPr="005C0781">
        <w:t>Uterine carcinosarcoma, biomarkers, bioinformatics, machine learning, PPI network, hub genes</w:t>
      </w:r>
    </w:p>
    <w:p w14:paraId="3D979C0F" w14:textId="77777777" w:rsidR="003B6101" w:rsidRPr="003B6101" w:rsidRDefault="00A5303F">
      <w:pPr>
        <w:pStyle w:val="Heading1"/>
        <w:rPr>
          <w:b/>
          <w:bCs/>
          <w:color w:val="auto"/>
          <w:sz w:val="24"/>
          <w:szCs w:val="24"/>
        </w:rPr>
      </w:pPr>
      <w:r w:rsidRPr="003B6101">
        <w:rPr>
          <w:b/>
          <w:bCs/>
          <w:color w:val="auto"/>
          <w:sz w:val="24"/>
          <w:szCs w:val="24"/>
        </w:rPr>
        <w:t>Abbreviations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60"/>
        <w:gridCol w:w="3893"/>
      </w:tblGrid>
      <w:tr w:rsidR="003B6101" w:rsidRPr="003B6101" w14:paraId="0B4D6E6B" w14:textId="77777777" w:rsidTr="006A4965">
        <w:trPr>
          <w:tblHeader/>
          <w:tblCellSpacing w:w="15" w:type="dxa"/>
        </w:trPr>
        <w:tc>
          <w:tcPr>
            <w:tcW w:w="1515" w:type="dxa"/>
            <w:vAlign w:val="center"/>
            <w:hideMark/>
          </w:tcPr>
          <w:p w14:paraId="7C4AC4FC" w14:textId="77777777" w:rsidR="003B6101" w:rsidRPr="003B6101" w:rsidRDefault="003B6101" w:rsidP="003B6101">
            <w:pPr>
              <w:pStyle w:val="Heading1"/>
              <w:rPr>
                <w:b/>
                <w:bCs/>
                <w:color w:val="auto"/>
                <w:sz w:val="24"/>
                <w:szCs w:val="24"/>
              </w:rPr>
            </w:pPr>
            <w:r w:rsidRPr="003B6101">
              <w:rPr>
                <w:b/>
                <w:bCs/>
                <w:color w:val="auto"/>
                <w:sz w:val="24"/>
                <w:szCs w:val="24"/>
              </w:rPr>
              <w:t>Abbreviation</w:t>
            </w:r>
          </w:p>
        </w:tc>
        <w:tc>
          <w:tcPr>
            <w:tcW w:w="3848" w:type="dxa"/>
            <w:vAlign w:val="center"/>
            <w:hideMark/>
          </w:tcPr>
          <w:p w14:paraId="5B73FA12" w14:textId="77777777" w:rsidR="003B6101" w:rsidRPr="003B6101" w:rsidRDefault="003B6101" w:rsidP="003B6101">
            <w:pPr>
              <w:pStyle w:val="Heading1"/>
              <w:rPr>
                <w:b/>
                <w:bCs/>
                <w:color w:val="215E99" w:themeColor="text2" w:themeTint="BF"/>
                <w:sz w:val="24"/>
                <w:szCs w:val="24"/>
              </w:rPr>
            </w:pPr>
            <w:r w:rsidRPr="003B6101">
              <w:rPr>
                <w:color w:val="215E99" w:themeColor="text2" w:themeTint="BF"/>
                <w:sz w:val="20"/>
                <w:szCs w:val="20"/>
              </w:rPr>
              <w:t xml:space="preserve">  </w:t>
            </w:r>
            <w:r w:rsidRPr="003B6101">
              <w:rPr>
                <w:b/>
                <w:bCs/>
                <w:color w:val="215E99" w:themeColor="text2" w:themeTint="BF"/>
                <w:sz w:val="24"/>
                <w:szCs w:val="24"/>
              </w:rPr>
              <w:t xml:space="preserve">  Meaning</w:t>
            </w:r>
          </w:p>
        </w:tc>
      </w:tr>
      <w:tr w:rsidR="003B6101" w:rsidRPr="003B6101" w14:paraId="1829E6E4" w14:textId="77777777" w:rsidTr="006A4965">
        <w:trPr>
          <w:tblCellSpacing w:w="15" w:type="dxa"/>
        </w:trPr>
        <w:tc>
          <w:tcPr>
            <w:tcW w:w="1515" w:type="dxa"/>
            <w:vAlign w:val="center"/>
            <w:hideMark/>
          </w:tcPr>
          <w:p w14:paraId="3491A53C" w14:textId="77777777" w:rsidR="003B6101" w:rsidRPr="003B6101" w:rsidRDefault="003B6101" w:rsidP="003B6101">
            <w:pPr>
              <w:pStyle w:val="Heading1"/>
              <w:rPr>
                <w:color w:val="auto"/>
                <w:sz w:val="20"/>
                <w:szCs w:val="20"/>
              </w:rPr>
            </w:pPr>
            <w:r w:rsidRPr="003B6101">
              <w:rPr>
                <w:color w:val="auto"/>
                <w:sz w:val="20"/>
                <w:szCs w:val="20"/>
              </w:rPr>
              <w:t>UCS</w:t>
            </w:r>
          </w:p>
        </w:tc>
        <w:tc>
          <w:tcPr>
            <w:tcW w:w="3848" w:type="dxa"/>
            <w:vAlign w:val="center"/>
            <w:hideMark/>
          </w:tcPr>
          <w:p w14:paraId="527CC8A3" w14:textId="77777777" w:rsidR="003B6101" w:rsidRPr="003B6101" w:rsidRDefault="003B6101" w:rsidP="003B6101">
            <w:pPr>
              <w:pStyle w:val="Heading1"/>
              <w:rPr>
                <w:color w:val="215E99" w:themeColor="text2" w:themeTint="BF"/>
                <w:sz w:val="20"/>
                <w:szCs w:val="20"/>
              </w:rPr>
            </w:pPr>
            <w:r w:rsidRPr="003B6101">
              <w:rPr>
                <w:color w:val="215E99" w:themeColor="text2" w:themeTint="BF"/>
                <w:sz w:val="20"/>
                <w:szCs w:val="20"/>
              </w:rPr>
              <w:t>Uterine Carcinosarcoma</w:t>
            </w:r>
          </w:p>
        </w:tc>
      </w:tr>
      <w:tr w:rsidR="003B6101" w:rsidRPr="003B6101" w14:paraId="5ACDB0C5" w14:textId="77777777" w:rsidTr="006A4965">
        <w:trPr>
          <w:tblCellSpacing w:w="15" w:type="dxa"/>
        </w:trPr>
        <w:tc>
          <w:tcPr>
            <w:tcW w:w="1515" w:type="dxa"/>
            <w:vAlign w:val="center"/>
            <w:hideMark/>
          </w:tcPr>
          <w:p w14:paraId="1A8B6BDB" w14:textId="77777777" w:rsidR="003B6101" w:rsidRPr="003B6101" w:rsidRDefault="003B6101" w:rsidP="003B6101">
            <w:pPr>
              <w:pStyle w:val="Heading1"/>
              <w:rPr>
                <w:color w:val="auto"/>
                <w:sz w:val="20"/>
                <w:szCs w:val="20"/>
              </w:rPr>
            </w:pPr>
            <w:r w:rsidRPr="003B6101">
              <w:rPr>
                <w:color w:val="auto"/>
                <w:sz w:val="20"/>
                <w:szCs w:val="20"/>
              </w:rPr>
              <w:t>DEG</w:t>
            </w:r>
          </w:p>
        </w:tc>
        <w:tc>
          <w:tcPr>
            <w:tcW w:w="3848" w:type="dxa"/>
            <w:vAlign w:val="center"/>
            <w:hideMark/>
          </w:tcPr>
          <w:p w14:paraId="71B57EC8" w14:textId="77777777" w:rsidR="003B6101" w:rsidRPr="003B6101" w:rsidRDefault="003B6101" w:rsidP="003B6101">
            <w:pPr>
              <w:pStyle w:val="Heading1"/>
              <w:rPr>
                <w:color w:val="215E99" w:themeColor="text2" w:themeTint="BF"/>
                <w:sz w:val="20"/>
                <w:szCs w:val="20"/>
              </w:rPr>
            </w:pPr>
            <w:r w:rsidRPr="003B6101">
              <w:rPr>
                <w:color w:val="215E99" w:themeColor="text2" w:themeTint="BF"/>
                <w:sz w:val="20"/>
                <w:szCs w:val="20"/>
              </w:rPr>
              <w:t>Differentially Expressed Gene</w:t>
            </w:r>
          </w:p>
        </w:tc>
      </w:tr>
      <w:tr w:rsidR="003B6101" w:rsidRPr="003B6101" w14:paraId="7ADD59AA" w14:textId="77777777" w:rsidTr="006A4965">
        <w:trPr>
          <w:tblCellSpacing w:w="15" w:type="dxa"/>
        </w:trPr>
        <w:tc>
          <w:tcPr>
            <w:tcW w:w="1515" w:type="dxa"/>
            <w:vAlign w:val="center"/>
            <w:hideMark/>
          </w:tcPr>
          <w:p w14:paraId="200367FC" w14:textId="77777777" w:rsidR="003B6101" w:rsidRPr="003B6101" w:rsidRDefault="003B6101" w:rsidP="003B6101">
            <w:pPr>
              <w:pStyle w:val="Heading1"/>
              <w:rPr>
                <w:color w:val="auto"/>
                <w:sz w:val="20"/>
                <w:szCs w:val="20"/>
              </w:rPr>
            </w:pPr>
            <w:r w:rsidRPr="003B6101">
              <w:rPr>
                <w:color w:val="auto"/>
                <w:sz w:val="20"/>
                <w:szCs w:val="20"/>
              </w:rPr>
              <w:t>PPI</w:t>
            </w:r>
          </w:p>
        </w:tc>
        <w:tc>
          <w:tcPr>
            <w:tcW w:w="3848" w:type="dxa"/>
            <w:vAlign w:val="center"/>
            <w:hideMark/>
          </w:tcPr>
          <w:p w14:paraId="3DB8F009" w14:textId="77777777" w:rsidR="003B6101" w:rsidRPr="003B6101" w:rsidRDefault="003B6101" w:rsidP="003B6101">
            <w:pPr>
              <w:pStyle w:val="Heading1"/>
              <w:rPr>
                <w:color w:val="215E99" w:themeColor="text2" w:themeTint="BF"/>
                <w:sz w:val="20"/>
                <w:szCs w:val="20"/>
              </w:rPr>
            </w:pPr>
            <w:r w:rsidRPr="003B6101">
              <w:rPr>
                <w:color w:val="215E99" w:themeColor="text2" w:themeTint="BF"/>
                <w:sz w:val="20"/>
                <w:szCs w:val="20"/>
              </w:rPr>
              <w:t>Protein–Protein Interaction</w:t>
            </w:r>
          </w:p>
        </w:tc>
      </w:tr>
      <w:tr w:rsidR="003B6101" w:rsidRPr="003B6101" w14:paraId="1272919A" w14:textId="77777777" w:rsidTr="006A4965">
        <w:trPr>
          <w:tblCellSpacing w:w="15" w:type="dxa"/>
        </w:trPr>
        <w:tc>
          <w:tcPr>
            <w:tcW w:w="1515" w:type="dxa"/>
            <w:vAlign w:val="center"/>
            <w:hideMark/>
          </w:tcPr>
          <w:p w14:paraId="18C5CB24" w14:textId="77777777" w:rsidR="003B6101" w:rsidRPr="003B6101" w:rsidRDefault="003B6101" w:rsidP="003B6101">
            <w:pPr>
              <w:pStyle w:val="Heading1"/>
              <w:rPr>
                <w:color w:val="auto"/>
                <w:sz w:val="20"/>
                <w:szCs w:val="20"/>
              </w:rPr>
            </w:pPr>
            <w:r w:rsidRPr="003B6101">
              <w:rPr>
                <w:color w:val="auto"/>
                <w:sz w:val="20"/>
                <w:szCs w:val="20"/>
              </w:rPr>
              <w:t>GO</w:t>
            </w:r>
          </w:p>
        </w:tc>
        <w:tc>
          <w:tcPr>
            <w:tcW w:w="3848" w:type="dxa"/>
            <w:vAlign w:val="center"/>
            <w:hideMark/>
          </w:tcPr>
          <w:p w14:paraId="770EEBA2" w14:textId="77777777" w:rsidR="003B6101" w:rsidRPr="003B6101" w:rsidRDefault="003B6101" w:rsidP="003B6101">
            <w:pPr>
              <w:pStyle w:val="Heading1"/>
              <w:rPr>
                <w:color w:val="215E99" w:themeColor="text2" w:themeTint="BF"/>
                <w:sz w:val="20"/>
                <w:szCs w:val="20"/>
              </w:rPr>
            </w:pPr>
            <w:r w:rsidRPr="003B6101">
              <w:rPr>
                <w:color w:val="215E99" w:themeColor="text2" w:themeTint="BF"/>
                <w:sz w:val="20"/>
                <w:szCs w:val="20"/>
              </w:rPr>
              <w:t>Gene Ontology</w:t>
            </w:r>
          </w:p>
        </w:tc>
      </w:tr>
      <w:tr w:rsidR="003B6101" w:rsidRPr="003B6101" w14:paraId="454DE285" w14:textId="77777777" w:rsidTr="006A4965">
        <w:trPr>
          <w:tblCellSpacing w:w="15" w:type="dxa"/>
        </w:trPr>
        <w:tc>
          <w:tcPr>
            <w:tcW w:w="1515" w:type="dxa"/>
            <w:vAlign w:val="center"/>
            <w:hideMark/>
          </w:tcPr>
          <w:p w14:paraId="50487C10" w14:textId="77777777" w:rsidR="003B6101" w:rsidRPr="003B6101" w:rsidRDefault="003B6101" w:rsidP="003B6101">
            <w:pPr>
              <w:pStyle w:val="Heading1"/>
              <w:rPr>
                <w:color w:val="auto"/>
                <w:sz w:val="20"/>
                <w:szCs w:val="20"/>
              </w:rPr>
            </w:pPr>
            <w:r w:rsidRPr="003B6101">
              <w:rPr>
                <w:color w:val="auto"/>
                <w:sz w:val="20"/>
                <w:szCs w:val="20"/>
              </w:rPr>
              <w:t>KEGG</w:t>
            </w:r>
          </w:p>
        </w:tc>
        <w:tc>
          <w:tcPr>
            <w:tcW w:w="3848" w:type="dxa"/>
            <w:vAlign w:val="center"/>
            <w:hideMark/>
          </w:tcPr>
          <w:p w14:paraId="07CC57B8" w14:textId="77777777" w:rsidR="003B6101" w:rsidRPr="003B6101" w:rsidRDefault="003B6101" w:rsidP="003B6101">
            <w:pPr>
              <w:pStyle w:val="Heading1"/>
              <w:rPr>
                <w:color w:val="215E99" w:themeColor="text2" w:themeTint="BF"/>
                <w:sz w:val="20"/>
                <w:szCs w:val="20"/>
              </w:rPr>
            </w:pPr>
            <w:r w:rsidRPr="003B6101">
              <w:rPr>
                <w:color w:val="215E99" w:themeColor="text2" w:themeTint="BF"/>
                <w:sz w:val="20"/>
                <w:szCs w:val="20"/>
              </w:rPr>
              <w:t xml:space="preserve">Kyoto </w:t>
            </w:r>
            <w:proofErr w:type="spellStart"/>
            <w:r w:rsidRPr="003B6101">
              <w:rPr>
                <w:color w:val="215E99" w:themeColor="text2" w:themeTint="BF"/>
                <w:sz w:val="20"/>
                <w:szCs w:val="20"/>
              </w:rPr>
              <w:t>Encyclopedia</w:t>
            </w:r>
            <w:proofErr w:type="spellEnd"/>
            <w:r w:rsidRPr="003B6101">
              <w:rPr>
                <w:color w:val="215E99" w:themeColor="text2" w:themeTint="BF"/>
                <w:sz w:val="20"/>
                <w:szCs w:val="20"/>
              </w:rPr>
              <w:t xml:space="preserve"> of Genes and Genomes</w:t>
            </w:r>
          </w:p>
        </w:tc>
      </w:tr>
      <w:tr w:rsidR="003B6101" w:rsidRPr="003B6101" w14:paraId="4C15B572" w14:textId="77777777" w:rsidTr="006A4965">
        <w:trPr>
          <w:tblCellSpacing w:w="15" w:type="dxa"/>
        </w:trPr>
        <w:tc>
          <w:tcPr>
            <w:tcW w:w="1515" w:type="dxa"/>
            <w:vAlign w:val="center"/>
            <w:hideMark/>
          </w:tcPr>
          <w:p w14:paraId="57F7D664" w14:textId="77777777" w:rsidR="003B6101" w:rsidRPr="003B6101" w:rsidRDefault="003B6101" w:rsidP="003B6101">
            <w:pPr>
              <w:pStyle w:val="Heading1"/>
              <w:rPr>
                <w:color w:val="auto"/>
                <w:sz w:val="20"/>
                <w:szCs w:val="20"/>
              </w:rPr>
            </w:pPr>
            <w:r w:rsidRPr="003B6101">
              <w:rPr>
                <w:color w:val="auto"/>
                <w:sz w:val="20"/>
                <w:szCs w:val="20"/>
              </w:rPr>
              <w:t>ROC-AUC</w:t>
            </w:r>
          </w:p>
        </w:tc>
        <w:tc>
          <w:tcPr>
            <w:tcW w:w="3848" w:type="dxa"/>
            <w:vAlign w:val="center"/>
            <w:hideMark/>
          </w:tcPr>
          <w:p w14:paraId="59E89E82" w14:textId="77777777" w:rsidR="003B6101" w:rsidRPr="003B6101" w:rsidRDefault="003B6101" w:rsidP="003B6101">
            <w:pPr>
              <w:pStyle w:val="Heading1"/>
              <w:rPr>
                <w:color w:val="215E99" w:themeColor="text2" w:themeTint="BF"/>
                <w:sz w:val="20"/>
                <w:szCs w:val="20"/>
              </w:rPr>
            </w:pPr>
            <w:r w:rsidRPr="003B6101">
              <w:rPr>
                <w:color w:val="215E99" w:themeColor="text2" w:themeTint="BF"/>
                <w:sz w:val="20"/>
                <w:szCs w:val="20"/>
              </w:rPr>
              <w:t>Receiver Operating Characteristic–Area Under Curve</w:t>
            </w:r>
          </w:p>
        </w:tc>
      </w:tr>
    </w:tbl>
    <w:p w14:paraId="77DEB68B" w14:textId="77777777" w:rsidR="00CA7AC1" w:rsidRPr="003B6101" w:rsidRDefault="00CA7AC1">
      <w:pPr>
        <w:pStyle w:val="Heading1"/>
        <w:rPr>
          <w:b/>
          <w:bCs/>
          <w:sz w:val="24"/>
          <w:szCs w:val="24"/>
        </w:rPr>
      </w:pPr>
    </w:p>
    <w:p w14:paraId="360DF46C" w14:textId="77777777" w:rsidR="005C0781" w:rsidRPr="005C0781" w:rsidRDefault="00F8428D" w:rsidP="005C0781">
      <w:r>
        <w:rPr>
          <w:noProof/>
        </w:rPr>
      </w:r>
      <w:r w:rsidR="00F8428D">
        <w:rPr>
          <w:noProof/>
        </w:rPr>
        <w:pict w14:anchorId="2706FE76">
          <v:rect id="_x0000_i1027" style="width:0;height:1.5pt" o:hralign="center" o:hrstd="t" o:hr="t" fillcolor="#a0a0a0" stroked="f"/>
        </w:pict>
      </w:r>
    </w:p>
    <w:p w14:paraId="5066ABB9" w14:textId="77777777" w:rsidR="005C0781" w:rsidRPr="005C0781" w:rsidRDefault="005C0781" w:rsidP="005C0781">
      <w:pPr>
        <w:rPr>
          <w:b/>
          <w:bCs/>
        </w:rPr>
      </w:pPr>
      <w:r w:rsidRPr="005C0781">
        <w:rPr>
          <w:b/>
          <w:bCs/>
        </w:rPr>
        <w:t>1. Introduction</w:t>
      </w:r>
    </w:p>
    <w:p w14:paraId="0DD6C5E8" w14:textId="77777777" w:rsidR="005C0781" w:rsidRPr="005C0781" w:rsidRDefault="005C0781" w:rsidP="005C0781">
      <w:r w:rsidRPr="005C0781">
        <w:t xml:space="preserve">Uterine cancer is among the most common </w:t>
      </w:r>
      <w:proofErr w:type="spellStart"/>
      <w:r w:rsidRPr="005C0781">
        <w:t>gynecological</w:t>
      </w:r>
      <w:proofErr w:type="spellEnd"/>
      <w:r w:rsidRPr="005C0781">
        <w:t xml:space="preserve"> malignancies worldwide, with increasing incidence rates. Uterine carcinosarcoma (UCS), although accounting for less than 5% of uterine cancers, contributes disproportionately to mortality due to its aggressive clinical </w:t>
      </w:r>
      <w:proofErr w:type="spellStart"/>
      <w:r w:rsidRPr="005C0781">
        <w:t>behavior</w:t>
      </w:r>
      <w:proofErr w:type="spellEnd"/>
      <w:r w:rsidRPr="005C0781">
        <w:t xml:space="preserve"> and high recurrence rates. The 5-year survival rate remains below 30%, highlighting the urgent need for improved diagnostic and therapeutic strategies.</w:t>
      </w:r>
    </w:p>
    <w:p w14:paraId="037305C4" w14:textId="77777777" w:rsidR="005C0781" w:rsidRPr="005C0781" w:rsidRDefault="005C0781" w:rsidP="005C0781">
      <w:r w:rsidRPr="005C0781">
        <w:t xml:space="preserve">At the molecular level, UCS is characterized by complex genomic alterations involving epithelial–mesenchymal transition, </w:t>
      </w:r>
      <w:proofErr w:type="spellStart"/>
      <w:r w:rsidRPr="005C0781">
        <w:t>dysregulated</w:t>
      </w:r>
      <w:proofErr w:type="spellEnd"/>
      <w:r w:rsidRPr="005C0781">
        <w:t xml:space="preserve"> </w:t>
      </w:r>
      <w:proofErr w:type="spellStart"/>
      <w:r w:rsidRPr="005C0781">
        <w:t>signaling</w:t>
      </w:r>
      <w:proofErr w:type="spellEnd"/>
      <w:r w:rsidRPr="005C0781">
        <w:t xml:space="preserve"> pathways, and epigenetic modifications. Despite advances in high-throughput technologies, clinically validated biomarkers for UCS remain limited.</w:t>
      </w:r>
    </w:p>
    <w:p w14:paraId="6EB0D152" w14:textId="77777777" w:rsidR="005C0781" w:rsidRPr="005C0781" w:rsidRDefault="005C0781" w:rsidP="005C0781">
      <w:r w:rsidRPr="005C0781">
        <w:t xml:space="preserve">Recent studies emphasize the importance of integrating omics data with computational and machine learning approaches to enhance biomarker discovery. However, a lack of reproducible pipelines combining gene expression analysis, network biology, and predictive </w:t>
      </w:r>
      <w:proofErr w:type="spellStart"/>
      <w:r w:rsidRPr="005C0781">
        <w:t>modeling</w:t>
      </w:r>
      <w:proofErr w:type="spellEnd"/>
      <w:r w:rsidRPr="005C0781">
        <w:t xml:space="preserve"> remains a critical gap.</w:t>
      </w:r>
    </w:p>
    <w:p w14:paraId="105B1B92" w14:textId="77777777" w:rsidR="005C0781" w:rsidRPr="005C0781" w:rsidRDefault="005C0781" w:rsidP="005C0781">
      <w:r w:rsidRPr="005C0781">
        <w:t>This study aims to address this gap by implementing an integrated bioinformatics and machine learning framework to identify robust molecular biomarkers associated with UCS.</w:t>
      </w:r>
    </w:p>
    <w:p w14:paraId="123D6F5B" w14:textId="77777777" w:rsidR="005C0781" w:rsidRPr="005C0781" w:rsidRDefault="00F8428D" w:rsidP="005C0781">
      <w:r>
        <w:rPr>
          <w:noProof/>
        </w:rPr>
      </w:r>
      <w:r w:rsidR="00F8428D">
        <w:rPr>
          <w:noProof/>
        </w:rPr>
        <w:pict w14:anchorId="525CB5FB">
          <v:rect id="_x0000_i1028" style="width:0;height:1.5pt" o:hralign="center" o:hrstd="t" o:hr="t" fillcolor="#a0a0a0" stroked="f"/>
        </w:pict>
      </w:r>
    </w:p>
    <w:p w14:paraId="59E5BC31" w14:textId="77777777" w:rsidR="005C0781" w:rsidRPr="005C0781" w:rsidRDefault="005C0781" w:rsidP="005C0781">
      <w:pPr>
        <w:rPr>
          <w:b/>
          <w:bCs/>
        </w:rPr>
      </w:pPr>
      <w:r w:rsidRPr="005C0781">
        <w:rPr>
          <w:b/>
          <w:bCs/>
        </w:rPr>
        <w:t>2. Materials and Methods</w:t>
      </w:r>
    </w:p>
    <w:p w14:paraId="5D717E3D" w14:textId="77777777" w:rsidR="005C0781" w:rsidRPr="005C0781" w:rsidRDefault="005C0781" w:rsidP="005C0781">
      <w:pPr>
        <w:rPr>
          <w:b/>
          <w:bCs/>
        </w:rPr>
      </w:pPr>
      <w:r w:rsidRPr="005C0781">
        <w:rPr>
          <w:b/>
          <w:bCs/>
        </w:rPr>
        <w:t>2.1 Dataset Collection</w:t>
      </w:r>
    </w:p>
    <w:p w14:paraId="6604CD37" w14:textId="77777777" w:rsidR="005C0781" w:rsidRPr="005C0781" w:rsidRDefault="00781E1E" w:rsidP="005C0781">
      <w:r w:rsidRPr="00781E1E">
        <w:t xml:space="preserve">Gene expression data for uterine carcinosarcoma were retrieved from the Gene Expression Omnibus (GEO) database (accession number: GSE122697). The dataset included 13 </w:t>
      </w:r>
      <w:proofErr w:type="spellStart"/>
      <w:r w:rsidRPr="00781E1E">
        <w:t>tumor</w:t>
      </w:r>
      <w:proofErr w:type="spellEnd"/>
      <w:r w:rsidRPr="00781E1E">
        <w:t xml:space="preserve"> samples and 6 normal tissue samples.</w:t>
      </w:r>
      <w:r w:rsidR="00F8428D">
        <w:rPr>
          <w:noProof/>
        </w:rPr>
      </w:r>
      <w:r w:rsidR="00F8428D">
        <w:rPr>
          <w:noProof/>
        </w:rPr>
        <w:pict w14:anchorId="49BE321A">
          <v:rect id="_x0000_i1029" style="width:0;height:1.5pt" o:hralign="center" o:hrstd="t" o:hr="t" fillcolor="#a0a0a0" stroked="f"/>
        </w:pict>
      </w:r>
    </w:p>
    <w:p w14:paraId="614195C3" w14:textId="77777777" w:rsidR="005C0781" w:rsidRPr="005C0781" w:rsidRDefault="005C0781" w:rsidP="005C0781">
      <w:pPr>
        <w:rPr>
          <w:b/>
          <w:bCs/>
        </w:rPr>
      </w:pPr>
      <w:r w:rsidRPr="005C0781">
        <w:rPr>
          <w:b/>
          <w:bCs/>
        </w:rPr>
        <w:t>2.2 Identification of Differentially Expressed Genes (DEGs)</w:t>
      </w:r>
    </w:p>
    <w:p w14:paraId="2C1B516D" w14:textId="77777777" w:rsidR="005C0781" w:rsidRPr="005C0781" w:rsidRDefault="00781E1E" w:rsidP="005C0781">
      <w:r w:rsidRPr="00781E1E">
        <w:t xml:space="preserve">Differential expression analysis was performed using GEO2R. Data were normalized using quantile normalization. Genes satisfying the criteria of adjusted </w:t>
      </w:r>
      <w:r w:rsidRPr="00781E1E">
        <w:rPr>
          <w:i/>
          <w:iCs/>
        </w:rPr>
        <w:t>p</w:t>
      </w:r>
      <w:r w:rsidRPr="00781E1E">
        <w:t>-value &lt; 0.05 and |log2 fold change| &gt; 1 were considered significantly differentially expressed</w:t>
      </w:r>
      <w:r w:rsidR="00F8428D">
        <w:rPr>
          <w:noProof/>
        </w:rPr>
      </w:r>
      <w:r w:rsidR="00F8428D">
        <w:rPr>
          <w:noProof/>
        </w:rPr>
        <w:pict w14:anchorId="2094FA12">
          <v:rect id="_x0000_i1030" style="width:0;height:1.5pt" o:hralign="center" o:hrstd="t" o:hr="t" fillcolor="#a0a0a0" stroked="f"/>
        </w:pict>
      </w:r>
    </w:p>
    <w:p w14:paraId="2F0F988B" w14:textId="77777777" w:rsidR="005C0781" w:rsidRPr="005C0781" w:rsidRDefault="005C0781" w:rsidP="005C0781">
      <w:pPr>
        <w:rPr>
          <w:b/>
          <w:bCs/>
        </w:rPr>
      </w:pPr>
      <w:r w:rsidRPr="005C0781">
        <w:rPr>
          <w:b/>
          <w:bCs/>
        </w:rPr>
        <w:t>2.3 Gene Intersection Analysis</w:t>
      </w:r>
    </w:p>
    <w:p w14:paraId="045BCD17" w14:textId="77777777" w:rsidR="005C0781" w:rsidRPr="005C0781" w:rsidRDefault="00781E1E" w:rsidP="005C0781">
      <w:r w:rsidRPr="00781E1E">
        <w:t xml:space="preserve">Overlapping DEGs were identified using </w:t>
      </w:r>
      <w:proofErr w:type="spellStart"/>
      <w:r w:rsidRPr="00781E1E">
        <w:t>InteractiVenn</w:t>
      </w:r>
      <w:proofErr w:type="spellEnd"/>
      <w:r w:rsidRPr="00781E1E">
        <w:t>, enabling visualization of shared gene sets across analyses.</w:t>
      </w:r>
      <w:r w:rsidR="00F8428D">
        <w:rPr>
          <w:noProof/>
        </w:rPr>
      </w:r>
      <w:r w:rsidR="00F8428D">
        <w:rPr>
          <w:noProof/>
        </w:rPr>
        <w:pict w14:anchorId="0E4A4A3A">
          <v:rect id="_x0000_i1031" style="width:0;height:1.5pt" o:hralign="center" o:hrstd="t" o:hr="t" fillcolor="#a0a0a0" stroked="f"/>
        </w:pict>
      </w:r>
    </w:p>
    <w:p w14:paraId="50D78E7F" w14:textId="77777777" w:rsidR="005C0781" w:rsidRPr="005C0781" w:rsidRDefault="005C0781" w:rsidP="005C0781">
      <w:pPr>
        <w:rPr>
          <w:b/>
          <w:bCs/>
        </w:rPr>
      </w:pPr>
      <w:r w:rsidRPr="005C0781">
        <w:rPr>
          <w:b/>
          <w:bCs/>
        </w:rPr>
        <w:t>2.4 Protein–Protein Interaction (PPI) Network Construction</w:t>
      </w:r>
    </w:p>
    <w:p w14:paraId="78827F3E" w14:textId="77777777" w:rsidR="005C0781" w:rsidRPr="005C0781" w:rsidRDefault="00781E1E" w:rsidP="005C0781">
      <w:r w:rsidRPr="00781E1E">
        <w:t xml:space="preserve">The identified DEGs were submitted to the STRING database (version 11.5) with a confidence score threshold of ≥ 0.7. The resulting interaction network was visualized using </w:t>
      </w:r>
      <w:proofErr w:type="spellStart"/>
      <w:r w:rsidRPr="00781E1E">
        <w:t>Cytoscape</w:t>
      </w:r>
      <w:proofErr w:type="spellEnd"/>
      <w:r w:rsidRPr="00781E1E">
        <w:t xml:space="preserve"> (version 3.9.1).</w:t>
      </w:r>
      <w:r w:rsidR="00F8428D">
        <w:rPr>
          <w:noProof/>
        </w:rPr>
      </w:r>
      <w:r w:rsidR="00F8428D">
        <w:rPr>
          <w:noProof/>
        </w:rPr>
        <w:pict w14:anchorId="530E43B3">
          <v:rect id="_x0000_i1032" style="width:0;height:1.5pt" o:hralign="center" o:hrstd="t" o:hr="t" fillcolor="#a0a0a0" stroked="f"/>
        </w:pict>
      </w:r>
    </w:p>
    <w:p w14:paraId="415856F3" w14:textId="77777777" w:rsidR="005C0781" w:rsidRPr="005C0781" w:rsidRDefault="005C0781" w:rsidP="005C0781">
      <w:pPr>
        <w:rPr>
          <w:b/>
          <w:bCs/>
        </w:rPr>
      </w:pPr>
      <w:r w:rsidRPr="005C0781">
        <w:rPr>
          <w:b/>
          <w:bCs/>
        </w:rPr>
        <w:t>2.5 Hub Gene Identification</w:t>
      </w:r>
    </w:p>
    <w:p w14:paraId="750C71A1" w14:textId="77777777" w:rsidR="005C0781" w:rsidRPr="005C0781" w:rsidRDefault="00781E1E" w:rsidP="005C0781">
      <w:r w:rsidRPr="00781E1E">
        <w:t xml:space="preserve">Hub genes were identified using the MCODE plugin in </w:t>
      </w:r>
      <w:proofErr w:type="spellStart"/>
      <w:r w:rsidRPr="00781E1E">
        <w:t>Cytoscape</w:t>
      </w:r>
      <w:proofErr w:type="spellEnd"/>
      <w:r w:rsidRPr="00781E1E">
        <w:t xml:space="preserve"> with the following parameters: degree cutoff = 2, node score cutoff = 0.2, k-core = 2, and max depth = 100. Genes with high connectivity were considered hub genes.</w:t>
      </w:r>
      <w:r w:rsidR="00F8428D">
        <w:rPr>
          <w:noProof/>
        </w:rPr>
      </w:r>
      <w:r w:rsidR="00F8428D">
        <w:rPr>
          <w:noProof/>
        </w:rPr>
        <w:pict w14:anchorId="6547FF72">
          <v:rect id="_x0000_i1033" style="width:0;height:1.5pt" o:hralign="center" o:hrstd="t" o:hr="t" fillcolor="#a0a0a0" stroked="f"/>
        </w:pict>
      </w:r>
    </w:p>
    <w:p w14:paraId="79702705" w14:textId="77777777" w:rsidR="005C0781" w:rsidRPr="005C0781" w:rsidRDefault="005C0781" w:rsidP="005C0781">
      <w:pPr>
        <w:rPr>
          <w:b/>
          <w:bCs/>
        </w:rPr>
      </w:pPr>
      <w:r w:rsidRPr="005C0781">
        <w:rPr>
          <w:b/>
          <w:bCs/>
        </w:rPr>
        <w:t>2.6 Machine Learning Validation</w:t>
      </w:r>
    </w:p>
    <w:p w14:paraId="5E95DC7B" w14:textId="77777777" w:rsidR="005C0781" w:rsidRPr="005C0781" w:rsidRDefault="00781E1E" w:rsidP="005C0781">
      <w:r w:rsidRPr="00781E1E">
        <w:t>Machine learning models were developed using WEKA software. Random Forest and Support Vector Machine algorithms were applied. The dataset was split into 70% training and 30% testing sets. Model performance was evaluated using 10-fold cross-validation. Metrics included accuracy, precision, recall, and ROC-AUC.</w:t>
      </w:r>
      <w:r w:rsidR="00F8428D">
        <w:rPr>
          <w:noProof/>
        </w:rPr>
      </w:r>
      <w:r w:rsidR="00F8428D">
        <w:rPr>
          <w:noProof/>
        </w:rPr>
        <w:pict w14:anchorId="161F94F4">
          <v:rect id="_x0000_i1034" style="width:0;height:1.5pt" o:hralign="center" o:hrstd="t" o:hr="t" fillcolor="#a0a0a0" stroked="f"/>
        </w:pict>
      </w:r>
    </w:p>
    <w:p w14:paraId="363849A7" w14:textId="77777777" w:rsidR="005C0781" w:rsidRPr="005C0781" w:rsidRDefault="005C0781" w:rsidP="005C0781">
      <w:pPr>
        <w:rPr>
          <w:b/>
          <w:bCs/>
        </w:rPr>
      </w:pPr>
      <w:r w:rsidRPr="005C0781">
        <w:rPr>
          <w:b/>
          <w:bCs/>
        </w:rPr>
        <w:t>2.7 Functional Enrichment Analysis</w:t>
      </w:r>
    </w:p>
    <w:p w14:paraId="286E65E2" w14:textId="77777777" w:rsidR="005C0781" w:rsidRPr="005C0781" w:rsidRDefault="00781E1E" w:rsidP="005C0781">
      <w:r w:rsidRPr="00781E1E">
        <w:t xml:space="preserve">Gene Ontology (GO) and Kyoto </w:t>
      </w:r>
      <w:proofErr w:type="spellStart"/>
      <w:r w:rsidRPr="00781E1E">
        <w:t>Encyclopedia</w:t>
      </w:r>
      <w:proofErr w:type="spellEnd"/>
      <w:r w:rsidRPr="00781E1E">
        <w:t xml:space="preserve"> of Genes and Genomes (KEGG) pathway enrichment analyses were performed to identify biological processes and pathways associated with the DEGs.</w:t>
      </w:r>
      <w:r w:rsidR="00F8428D">
        <w:rPr>
          <w:noProof/>
        </w:rPr>
      </w:r>
      <w:r w:rsidR="00F8428D">
        <w:rPr>
          <w:noProof/>
        </w:rPr>
        <w:pict w14:anchorId="54A214A1">
          <v:rect id="_x0000_i1035" style="width:0;height:1.5pt" o:hralign="center" o:hrstd="t" o:hr="t" fillcolor="#a0a0a0" stroked="f"/>
        </w:pict>
      </w:r>
    </w:p>
    <w:p w14:paraId="2E475D41" w14:textId="77777777" w:rsidR="005C0781" w:rsidRPr="005C0781" w:rsidRDefault="005C0781" w:rsidP="005C0781">
      <w:pPr>
        <w:rPr>
          <w:b/>
          <w:bCs/>
        </w:rPr>
      </w:pPr>
      <w:r w:rsidRPr="005C0781">
        <w:rPr>
          <w:b/>
          <w:bCs/>
        </w:rPr>
        <w:t>3. Results</w:t>
      </w:r>
    </w:p>
    <w:p w14:paraId="02D14B67" w14:textId="77777777" w:rsidR="005C0781" w:rsidRPr="005C0781" w:rsidRDefault="005C0781" w:rsidP="005C0781">
      <w:pPr>
        <w:rPr>
          <w:b/>
          <w:bCs/>
        </w:rPr>
      </w:pPr>
      <w:r w:rsidRPr="005C0781">
        <w:rPr>
          <w:b/>
          <w:bCs/>
        </w:rPr>
        <w:t>3.1 Identification of DEGs</w:t>
      </w:r>
    </w:p>
    <w:p w14:paraId="32465827" w14:textId="77777777" w:rsidR="005C0781" w:rsidRPr="005C0781" w:rsidRDefault="005C0781" w:rsidP="005C0781">
      <w:r>
        <w:t>A total of 2266 DEGs were identified, including:</w:t>
      </w:r>
    </w:p>
    <w:p w14:paraId="4FB0B0AD" w14:textId="77777777" w:rsidR="005C0781" w:rsidRPr="005C0781" w:rsidRDefault="00CA392A" w:rsidP="005C0781">
      <w:pPr>
        <w:numPr>
          <w:ilvl w:val="0"/>
          <w:numId w:val="6"/>
        </w:numPr>
      </w:pPr>
      <w:r>
        <w:t>1218</w:t>
      </w:r>
      <w:r w:rsidR="005C0781" w:rsidRPr="005C0781">
        <w:t xml:space="preserve"> upregulated genes </w:t>
      </w:r>
    </w:p>
    <w:p w14:paraId="4876CBE4" w14:textId="77777777" w:rsidR="005C0781" w:rsidRDefault="00CA392A" w:rsidP="005C0781">
      <w:pPr>
        <w:numPr>
          <w:ilvl w:val="0"/>
          <w:numId w:val="6"/>
        </w:numPr>
      </w:pPr>
      <w:r>
        <w:t>1048</w:t>
      </w:r>
      <w:r w:rsidR="005C0781" w:rsidRPr="005C0781">
        <w:t xml:space="preserve"> downregulated genes </w:t>
      </w:r>
    </w:p>
    <w:p w14:paraId="1078CB03" w14:textId="77777777" w:rsidR="00676B1A" w:rsidRDefault="00FF51F2" w:rsidP="00676B1A">
      <w:pPr>
        <w:ind w:left="360"/>
      </w:pPr>
      <w:r>
        <w:t xml:space="preserve">              </w:t>
      </w:r>
      <w:r w:rsidR="00676B1A">
        <w:rPr>
          <w:noProof/>
        </w:rPr>
        <w:drawing>
          <wp:inline distT="0" distB="0" distL="0" distR="0" wp14:anchorId="299953A3" wp14:editId="4D86C8C3">
            <wp:extent cx="3375660" cy="2797846"/>
            <wp:effectExtent l="0" t="0" r="0" b="2540"/>
            <wp:docPr id="7410956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95623" name="Picture 741095623"/>
                    <pic:cNvPicPr/>
                  </pic:nvPicPr>
                  <pic:blipFill>
                    <a:blip r:embed="rId5">
                      <a:extLst>
                        <a:ext uri="{28A0092B-C50C-407E-A947-70E740481C1C}">
                          <a14:useLocalDpi xmlns:a14="http://schemas.microsoft.com/office/drawing/2010/main" val="0"/>
                        </a:ext>
                      </a:extLst>
                    </a:blip>
                    <a:stretch>
                      <a:fillRect/>
                    </a:stretch>
                  </pic:blipFill>
                  <pic:spPr>
                    <a:xfrm>
                      <a:off x="0" y="0"/>
                      <a:ext cx="3417049" cy="2832150"/>
                    </a:xfrm>
                    <a:prstGeom prst="rect">
                      <a:avLst/>
                    </a:prstGeom>
                  </pic:spPr>
                </pic:pic>
              </a:graphicData>
            </a:graphic>
          </wp:inline>
        </w:drawing>
      </w:r>
    </w:p>
    <w:p w14:paraId="0510FC1F" w14:textId="77777777" w:rsidR="00FF51F2" w:rsidRDefault="00FF51F2" w:rsidP="00FF51F2">
      <w:r w:rsidRPr="00781E1E">
        <w:rPr>
          <w:b/>
          <w:bCs/>
        </w:rPr>
        <w:t>Figure 1. Mean–difference (MA) plot showing differential gene expression between uterine carcinosarcoma and normal tissue samples.</w:t>
      </w:r>
      <w:r w:rsidRPr="00781E1E">
        <w:br/>
        <w:t xml:space="preserve">The plot represents the log fold change (M) versus the average expression (A) of genes. Red points indicate significantly differentially expressed genes (adjusted </w:t>
      </w:r>
      <w:r w:rsidRPr="00781E1E">
        <w:rPr>
          <w:i/>
          <w:iCs/>
        </w:rPr>
        <w:t>p</w:t>
      </w:r>
      <w:r w:rsidRPr="00781E1E">
        <w:t xml:space="preserve"> &lt; 0.05), while black points represent non-significant genes.</w:t>
      </w:r>
    </w:p>
    <w:p w14:paraId="77A4F66B" w14:textId="77777777" w:rsidR="00FF51F2" w:rsidRDefault="00FF51F2" w:rsidP="00FF51F2"/>
    <w:p w14:paraId="0E8E59D0" w14:textId="77777777" w:rsidR="004524C6" w:rsidRDefault="00FF51F2" w:rsidP="00FF51F2">
      <w:r>
        <w:t xml:space="preserve">                     </w:t>
      </w:r>
      <w:r>
        <w:rPr>
          <w:noProof/>
        </w:rPr>
        <w:drawing>
          <wp:inline distT="0" distB="0" distL="0" distR="0" wp14:anchorId="7D3A2E99" wp14:editId="54E8250E">
            <wp:extent cx="3533151" cy="2372854"/>
            <wp:effectExtent l="0" t="0" r="0" b="8890"/>
            <wp:docPr id="20695065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506523" name="Picture 2069506523"/>
                    <pic:cNvPicPr/>
                  </pic:nvPicPr>
                  <pic:blipFill>
                    <a:blip r:embed="rId6">
                      <a:extLst>
                        <a:ext uri="{28A0092B-C50C-407E-A947-70E740481C1C}">
                          <a14:useLocalDpi xmlns:a14="http://schemas.microsoft.com/office/drawing/2010/main" val="0"/>
                        </a:ext>
                      </a:extLst>
                    </a:blip>
                    <a:stretch>
                      <a:fillRect/>
                    </a:stretch>
                  </pic:blipFill>
                  <pic:spPr>
                    <a:xfrm>
                      <a:off x="0" y="0"/>
                      <a:ext cx="3661198" cy="2458850"/>
                    </a:xfrm>
                    <a:prstGeom prst="rect">
                      <a:avLst/>
                    </a:prstGeom>
                  </pic:spPr>
                </pic:pic>
              </a:graphicData>
            </a:graphic>
          </wp:inline>
        </w:drawing>
      </w:r>
    </w:p>
    <w:p w14:paraId="06184C78" w14:textId="77777777" w:rsidR="00FF51F2" w:rsidRPr="00781E1E" w:rsidRDefault="00FF51F2" w:rsidP="00FF51F2">
      <w:r w:rsidRPr="00781E1E">
        <w:rPr>
          <w:b/>
          <w:bCs/>
        </w:rPr>
        <w:t>Figure 2. Volcano plot illustrating differentially expressed genes (DEGs) between uterine carcinosarcoma and normal samples.</w:t>
      </w:r>
      <w:r w:rsidRPr="00781E1E">
        <w:br/>
        <w:t xml:space="preserve">The x-axis represents log2 fold change, and the y-axis represents −log10 adjusted </w:t>
      </w:r>
      <w:r w:rsidRPr="00781E1E">
        <w:rPr>
          <w:i/>
          <w:iCs/>
        </w:rPr>
        <w:t>p</w:t>
      </w:r>
      <w:r w:rsidRPr="00781E1E">
        <w:t xml:space="preserve">-value. Significantly upregulated and downregulated genes are highlighted, indicating genes with |log2FC| &gt; 1 and adjusted </w:t>
      </w:r>
      <w:r w:rsidRPr="00781E1E">
        <w:rPr>
          <w:i/>
          <w:iCs/>
        </w:rPr>
        <w:t>p</w:t>
      </w:r>
      <w:r w:rsidRPr="00781E1E">
        <w:t xml:space="preserve"> &lt; 0.05.</w:t>
      </w:r>
    </w:p>
    <w:p w14:paraId="6D3A4B24" w14:textId="77777777" w:rsidR="00FF51F2" w:rsidRPr="005C0781" w:rsidRDefault="00FF51F2" w:rsidP="00FF51F2"/>
    <w:p w14:paraId="7061A314" w14:textId="77777777" w:rsidR="005C0781" w:rsidRPr="005C0781" w:rsidRDefault="00F8428D" w:rsidP="005C0781">
      <w:r>
        <w:rPr>
          <w:noProof/>
        </w:rPr>
      </w:r>
      <w:r w:rsidR="00F8428D">
        <w:rPr>
          <w:noProof/>
        </w:rPr>
        <w:pict w14:anchorId="68FE42F8">
          <v:rect id="_x0000_i1036" style="width:0;height:1.5pt" o:hralign="center" o:hrstd="t" o:hr="t" fillcolor="#a0a0a0" stroked="f"/>
        </w:pict>
      </w:r>
    </w:p>
    <w:p w14:paraId="6CBA31F8" w14:textId="77777777" w:rsidR="005C0781" w:rsidRPr="005C0781" w:rsidRDefault="005C0781" w:rsidP="005C0781">
      <w:pPr>
        <w:rPr>
          <w:b/>
          <w:bCs/>
        </w:rPr>
      </w:pPr>
      <w:r w:rsidRPr="005C0781">
        <w:rPr>
          <w:b/>
          <w:bCs/>
        </w:rPr>
        <w:t>3.2 Gene Intersection Analysis</w:t>
      </w:r>
    </w:p>
    <w:p w14:paraId="3E1BF31A" w14:textId="77777777" w:rsidR="00676B1A" w:rsidRDefault="005C0781" w:rsidP="005C0781">
      <w:r w:rsidRPr="005C0781">
        <w:t xml:space="preserve">Venn diagram analysis revealed </w:t>
      </w:r>
      <w:r w:rsidR="00676B1A">
        <w:rPr>
          <w:b/>
          <w:bCs/>
        </w:rPr>
        <w:t>498</w:t>
      </w:r>
      <w:r w:rsidRPr="005C0781">
        <w:rPr>
          <w:b/>
          <w:bCs/>
        </w:rPr>
        <w:t xml:space="preserve"> common genes</w:t>
      </w:r>
      <w:r w:rsidRPr="005C0781">
        <w:t xml:space="preserve"> across datasets.</w:t>
      </w:r>
      <w:r w:rsidR="00676B1A">
        <w:t xml:space="preserve">              </w:t>
      </w:r>
      <w:r w:rsidR="00676B1A">
        <w:rPr>
          <w:noProof/>
        </w:rPr>
        <w:drawing>
          <wp:inline distT="0" distB="0" distL="0" distR="0" wp14:anchorId="67BC7BF2" wp14:editId="1BC5CCC7">
            <wp:extent cx="5021411" cy="3589020"/>
            <wp:effectExtent l="0" t="0" r="8255" b="0"/>
            <wp:docPr id="1226818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818294" name="Picture 122681829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53777" cy="3612153"/>
                    </a:xfrm>
                    <a:prstGeom prst="rect">
                      <a:avLst/>
                    </a:prstGeom>
                  </pic:spPr>
                </pic:pic>
              </a:graphicData>
            </a:graphic>
          </wp:inline>
        </w:drawing>
      </w:r>
    </w:p>
    <w:p w14:paraId="5149F799" w14:textId="77777777" w:rsidR="00FF51F2" w:rsidRPr="00781E1E" w:rsidRDefault="00FF51F2" w:rsidP="00FF51F2">
      <w:r w:rsidRPr="00781E1E">
        <w:rPr>
          <w:b/>
          <w:bCs/>
        </w:rPr>
        <w:t>Figure 3. Venn diagram showing overlapping differentially expressed genes identified from multiple analyses.</w:t>
      </w:r>
      <w:r w:rsidRPr="00781E1E">
        <w:br/>
        <w:t>The diagram illustrates the intersection of gene sets obtained from GEO dataset analysis and GEPIA/NCBI databases. The overlapping region represents common DEGs used for downstream analysis.</w:t>
      </w:r>
    </w:p>
    <w:p w14:paraId="1DAC898B" w14:textId="77777777" w:rsidR="005C0781" w:rsidRPr="005C0781" w:rsidRDefault="00F8428D" w:rsidP="005C0781">
      <w:r>
        <w:rPr>
          <w:noProof/>
        </w:rPr>
      </w:r>
      <w:r w:rsidR="00F8428D">
        <w:rPr>
          <w:noProof/>
        </w:rPr>
        <w:pict w14:anchorId="7D5C262A">
          <v:rect id="_x0000_i1037" style="width:0;height:1.5pt" o:hralign="center" o:hrstd="t" o:hr="t" fillcolor="#a0a0a0" stroked="f"/>
        </w:pict>
      </w:r>
    </w:p>
    <w:p w14:paraId="7F254E9E" w14:textId="77777777" w:rsidR="005C0781" w:rsidRPr="005C0781" w:rsidRDefault="005C0781" w:rsidP="005C0781">
      <w:pPr>
        <w:rPr>
          <w:b/>
          <w:bCs/>
        </w:rPr>
      </w:pPr>
      <w:r w:rsidRPr="005C0781">
        <w:rPr>
          <w:b/>
          <w:bCs/>
        </w:rPr>
        <w:t>3.3 PPI Network Analysis</w:t>
      </w:r>
    </w:p>
    <w:p w14:paraId="5545FB48" w14:textId="77777777" w:rsidR="005C0781" w:rsidRPr="005C0781" w:rsidRDefault="005C0781" w:rsidP="005C0781">
      <w:r w:rsidRPr="005C0781">
        <w:t>The PPI network consisted of:</w:t>
      </w:r>
    </w:p>
    <w:p w14:paraId="78C5EAF8" w14:textId="77777777" w:rsidR="005C0781" w:rsidRPr="005C0781" w:rsidRDefault="00CA392A" w:rsidP="005C0781">
      <w:pPr>
        <w:numPr>
          <w:ilvl w:val="0"/>
          <w:numId w:val="7"/>
        </w:numPr>
      </w:pPr>
      <w:r>
        <w:t>492</w:t>
      </w:r>
      <w:r w:rsidR="005C0781" w:rsidRPr="005C0781">
        <w:t xml:space="preserve"> nodes </w:t>
      </w:r>
    </w:p>
    <w:p w14:paraId="5BD428EC" w14:textId="77777777" w:rsidR="005C0781" w:rsidRDefault="00CA392A" w:rsidP="005C0781">
      <w:pPr>
        <w:numPr>
          <w:ilvl w:val="0"/>
          <w:numId w:val="7"/>
        </w:numPr>
      </w:pPr>
      <w:r w:rsidRPr="00CA392A">
        <w:t>1589</w:t>
      </w:r>
      <w:r w:rsidR="005C0781" w:rsidRPr="005C0781">
        <w:t xml:space="preserve"> edges </w:t>
      </w:r>
    </w:p>
    <w:p w14:paraId="7532D719" w14:textId="77777777" w:rsidR="00676B1A" w:rsidRDefault="00676B1A" w:rsidP="00676B1A">
      <w:pPr>
        <w:ind w:left="360"/>
      </w:pPr>
      <w:r>
        <w:rPr>
          <w:noProof/>
        </w:rPr>
        <w:drawing>
          <wp:inline distT="0" distB="0" distL="0" distR="0" wp14:anchorId="0C324B4F" wp14:editId="007FCA61">
            <wp:extent cx="4770120" cy="2922718"/>
            <wp:effectExtent l="0" t="0" r="0" b="0"/>
            <wp:docPr id="10632752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275293" name="Picture 106327529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71715" cy="2923695"/>
                    </a:xfrm>
                    <a:prstGeom prst="rect">
                      <a:avLst/>
                    </a:prstGeom>
                  </pic:spPr>
                </pic:pic>
              </a:graphicData>
            </a:graphic>
          </wp:inline>
        </w:drawing>
      </w:r>
    </w:p>
    <w:p w14:paraId="3A72D377" w14:textId="77777777" w:rsidR="004524C6" w:rsidRDefault="004524C6" w:rsidP="00676B1A">
      <w:pPr>
        <w:ind w:left="360"/>
      </w:pPr>
    </w:p>
    <w:p w14:paraId="62275FF5" w14:textId="77777777" w:rsidR="00FF51F2" w:rsidRPr="00781E1E" w:rsidRDefault="00FF51F2" w:rsidP="00FF51F2">
      <w:r w:rsidRPr="00781E1E">
        <w:rPr>
          <w:b/>
          <w:bCs/>
        </w:rPr>
        <w:t xml:space="preserve">Figure 4. Protein–protein interaction (PPI) network constructed using STRING database and visualized in </w:t>
      </w:r>
      <w:proofErr w:type="spellStart"/>
      <w:r w:rsidRPr="00781E1E">
        <w:rPr>
          <w:b/>
          <w:bCs/>
        </w:rPr>
        <w:t>Cytoscape</w:t>
      </w:r>
      <w:proofErr w:type="spellEnd"/>
      <w:r w:rsidRPr="00781E1E">
        <w:rPr>
          <w:b/>
          <w:bCs/>
        </w:rPr>
        <w:t>.</w:t>
      </w:r>
      <w:r w:rsidRPr="00781E1E">
        <w:br/>
        <w:t>Nodes represent proteins encoded by DEGs, while edges indicate predicted or experimentally validated interactions. Highly interconnected regions indicate potential functional modules and hub genes.</w:t>
      </w:r>
    </w:p>
    <w:p w14:paraId="1B993124" w14:textId="77777777" w:rsidR="005C0781" w:rsidRPr="005C0781" w:rsidRDefault="00F8428D" w:rsidP="005C0781">
      <w:r>
        <w:rPr>
          <w:noProof/>
        </w:rPr>
      </w:r>
      <w:r w:rsidR="00F8428D">
        <w:rPr>
          <w:noProof/>
        </w:rPr>
        <w:pict w14:anchorId="5331260C">
          <v:rect id="_x0000_i1038" style="width:0;height:1.5pt" o:hralign="center" o:hrstd="t" o:hr="t" fillcolor="#a0a0a0" stroked="f"/>
        </w:pict>
      </w:r>
    </w:p>
    <w:p w14:paraId="5EFF0493" w14:textId="77777777" w:rsidR="005C0781" w:rsidRPr="005C0781" w:rsidRDefault="005C0781" w:rsidP="005C0781">
      <w:pPr>
        <w:rPr>
          <w:b/>
          <w:bCs/>
        </w:rPr>
      </w:pPr>
      <w:r w:rsidRPr="005C0781">
        <w:rPr>
          <w:b/>
          <w:bCs/>
        </w:rPr>
        <w:t>3.4 Hub Gene Identification</w:t>
      </w:r>
    </w:p>
    <w:p w14:paraId="785F54B7" w14:textId="77777777" w:rsidR="005C0781" w:rsidRPr="005C0781" w:rsidRDefault="005C0781" w:rsidP="005C0781">
      <w:r w:rsidRPr="005C0781">
        <w:t>Key hub genes identified included:</w:t>
      </w:r>
    </w:p>
    <w:p w14:paraId="7C41DE19" w14:textId="77777777" w:rsidR="005C0781" w:rsidRPr="005C0781" w:rsidRDefault="005C0781" w:rsidP="005C0781">
      <w:pPr>
        <w:numPr>
          <w:ilvl w:val="0"/>
          <w:numId w:val="8"/>
        </w:numPr>
      </w:pPr>
      <w:r w:rsidRPr="005C0781">
        <w:t xml:space="preserve">STAT3 (degree = </w:t>
      </w:r>
      <w:r w:rsidR="007763AF">
        <w:t>66</w:t>
      </w:r>
      <w:r w:rsidRPr="005C0781">
        <w:t xml:space="preserve">) </w:t>
      </w:r>
    </w:p>
    <w:p w14:paraId="05F25B66" w14:textId="77777777" w:rsidR="005C0781" w:rsidRPr="005C0781" w:rsidRDefault="005C0781" w:rsidP="005C0781">
      <w:pPr>
        <w:numPr>
          <w:ilvl w:val="0"/>
          <w:numId w:val="8"/>
        </w:numPr>
      </w:pPr>
      <w:r w:rsidRPr="005C0781">
        <w:t xml:space="preserve">EP300 (degree = </w:t>
      </w:r>
      <w:r w:rsidR="007763AF">
        <w:t>51</w:t>
      </w:r>
      <w:r w:rsidRPr="005C0781">
        <w:t xml:space="preserve">) </w:t>
      </w:r>
    </w:p>
    <w:p w14:paraId="3DA90456" w14:textId="77777777" w:rsidR="005C0781" w:rsidRPr="005C0781" w:rsidRDefault="005C0781" w:rsidP="005C0781">
      <w:pPr>
        <w:numPr>
          <w:ilvl w:val="0"/>
          <w:numId w:val="8"/>
        </w:numPr>
      </w:pPr>
      <w:r w:rsidRPr="005C0781">
        <w:t xml:space="preserve">ITGAM (degree = </w:t>
      </w:r>
      <w:r w:rsidR="007763AF">
        <w:t>25</w:t>
      </w:r>
      <w:r w:rsidRPr="005C0781">
        <w:t xml:space="preserve">) </w:t>
      </w:r>
    </w:p>
    <w:p w14:paraId="18183E7F" w14:textId="77777777" w:rsidR="005C0781" w:rsidRPr="005C0781" w:rsidRDefault="005C0781" w:rsidP="005C0781">
      <w:pPr>
        <w:numPr>
          <w:ilvl w:val="0"/>
          <w:numId w:val="8"/>
        </w:numPr>
      </w:pPr>
      <w:r w:rsidRPr="005C0781">
        <w:t xml:space="preserve">SREBF1 (degree = </w:t>
      </w:r>
      <w:r w:rsidR="007763AF">
        <w:t>18</w:t>
      </w:r>
      <w:r w:rsidRPr="005C0781">
        <w:t xml:space="preserve">) </w:t>
      </w:r>
    </w:p>
    <w:p w14:paraId="75224D26" w14:textId="77777777" w:rsidR="005C0781" w:rsidRPr="005C0781" w:rsidRDefault="00F8428D" w:rsidP="005C0781">
      <w:r>
        <w:rPr>
          <w:noProof/>
        </w:rPr>
      </w:r>
      <w:r w:rsidR="00F8428D">
        <w:rPr>
          <w:noProof/>
        </w:rPr>
        <w:pict w14:anchorId="1F8D7FE4">
          <v:rect id="_x0000_i1039" style="width:0;height:1.5pt" o:hralign="center" o:hrstd="t" o:hr="t" fillcolor="#a0a0a0" stroked="f"/>
        </w:pict>
      </w:r>
    </w:p>
    <w:p w14:paraId="3FF6A1CB" w14:textId="77777777" w:rsidR="005C0781" w:rsidRPr="005C0781" w:rsidRDefault="005C0781" w:rsidP="005C0781">
      <w:pPr>
        <w:rPr>
          <w:b/>
          <w:bCs/>
        </w:rPr>
      </w:pPr>
      <w:r w:rsidRPr="005C0781">
        <w:rPr>
          <w:b/>
          <w:bCs/>
        </w:rPr>
        <w:t>3.5 Machine Learning Validation</w:t>
      </w:r>
    </w:p>
    <w:p w14:paraId="73A9AD4D" w14:textId="77777777" w:rsidR="005C0781" w:rsidRPr="005C0781" w:rsidRDefault="005C0781" w:rsidP="005C0781">
      <w:r w:rsidRPr="005C0781">
        <w:t>The predictive model achieved:</w:t>
      </w:r>
    </w:p>
    <w:p w14:paraId="4F6A6AE4" w14:textId="77777777" w:rsidR="005C0781" w:rsidRPr="005C0781" w:rsidRDefault="005C0781" w:rsidP="005C0781">
      <w:pPr>
        <w:numPr>
          <w:ilvl w:val="0"/>
          <w:numId w:val="9"/>
        </w:numPr>
      </w:pPr>
      <w:r w:rsidRPr="005C0781">
        <w:t xml:space="preserve">Accuracy: </w:t>
      </w:r>
      <w:r w:rsidR="00B87F1A">
        <w:t>94.73</w:t>
      </w:r>
      <w:r w:rsidRPr="005C0781">
        <w:t xml:space="preserve">% </w:t>
      </w:r>
    </w:p>
    <w:p w14:paraId="409399B3" w14:textId="77777777" w:rsidR="005C0781" w:rsidRPr="005C0781" w:rsidRDefault="005C0781" w:rsidP="005C0781">
      <w:pPr>
        <w:numPr>
          <w:ilvl w:val="0"/>
          <w:numId w:val="9"/>
        </w:numPr>
      </w:pPr>
      <w:r w:rsidRPr="005C0781">
        <w:t xml:space="preserve">Precision: </w:t>
      </w:r>
      <w:r w:rsidR="00B87F1A">
        <w:t>0.951</w:t>
      </w:r>
    </w:p>
    <w:p w14:paraId="797C3EF1" w14:textId="77777777" w:rsidR="005C0781" w:rsidRPr="005C0781" w:rsidRDefault="005C0781" w:rsidP="005C0781">
      <w:pPr>
        <w:numPr>
          <w:ilvl w:val="0"/>
          <w:numId w:val="9"/>
        </w:numPr>
      </w:pPr>
      <w:r w:rsidRPr="005C0781">
        <w:t xml:space="preserve">Recall: </w:t>
      </w:r>
      <w:r w:rsidR="00B87F1A">
        <w:t>0.947</w:t>
      </w:r>
    </w:p>
    <w:p w14:paraId="2E87985E" w14:textId="77777777" w:rsidR="005C0781" w:rsidRDefault="005C0781" w:rsidP="005C0781">
      <w:pPr>
        <w:numPr>
          <w:ilvl w:val="0"/>
          <w:numId w:val="9"/>
        </w:numPr>
      </w:pPr>
      <w:r w:rsidRPr="005C0781">
        <w:t xml:space="preserve">ROC-AUC: </w:t>
      </w:r>
      <w:r w:rsidR="00B87F1A">
        <w:t>0.936</w:t>
      </w:r>
    </w:p>
    <w:p w14:paraId="22ED0885" w14:textId="77777777" w:rsidR="00B87F1A" w:rsidRDefault="00B87F1A" w:rsidP="00B87F1A">
      <w:r>
        <w:rPr>
          <w:noProof/>
        </w:rPr>
        <w:drawing>
          <wp:inline distT="0" distB="0" distL="0" distR="0" wp14:anchorId="660B5D0C" wp14:editId="151C0101">
            <wp:extent cx="6484620" cy="4815840"/>
            <wp:effectExtent l="0" t="0" r="0" b="3810"/>
            <wp:docPr id="1998048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048406" name="Picture 1998048406"/>
                    <pic:cNvPicPr/>
                  </pic:nvPicPr>
                  <pic:blipFill>
                    <a:blip r:embed="rId9">
                      <a:extLst>
                        <a:ext uri="{28A0092B-C50C-407E-A947-70E740481C1C}">
                          <a14:useLocalDpi xmlns:a14="http://schemas.microsoft.com/office/drawing/2010/main" val="0"/>
                        </a:ext>
                      </a:extLst>
                    </a:blip>
                    <a:stretch>
                      <a:fillRect/>
                    </a:stretch>
                  </pic:blipFill>
                  <pic:spPr>
                    <a:xfrm>
                      <a:off x="0" y="0"/>
                      <a:ext cx="6484620" cy="4815840"/>
                    </a:xfrm>
                    <a:prstGeom prst="rect">
                      <a:avLst/>
                    </a:prstGeom>
                  </pic:spPr>
                </pic:pic>
              </a:graphicData>
            </a:graphic>
          </wp:inline>
        </w:drawing>
      </w:r>
    </w:p>
    <w:p w14:paraId="7A6C9CE5" w14:textId="77777777" w:rsidR="000C26A1" w:rsidRDefault="00FF51F2" w:rsidP="00B87F1A">
      <w:r w:rsidRPr="00781E1E">
        <w:rPr>
          <w:b/>
          <w:bCs/>
        </w:rPr>
        <w:t>Figure 5. Performance of Random Forest classifier for distinguishing uterine carcinosarcoma from normal samples.</w:t>
      </w:r>
      <w:r w:rsidRPr="00781E1E">
        <w:br/>
        <w:t>The model was evaluated using 10-fold cross-validation in WEKA. The classifier achieved an accuracy of 94.73% with a ROC-AUC of 0.936, demonstrating strong predictive performance.</w:t>
      </w:r>
    </w:p>
    <w:p w14:paraId="33CC0171" w14:textId="77777777" w:rsidR="00206BC8" w:rsidRDefault="00206BC8" w:rsidP="00B87F1A">
      <w:r>
        <w:rPr>
          <w:noProof/>
        </w:rPr>
        <w:drawing>
          <wp:inline distT="0" distB="0" distL="0" distR="0" wp14:anchorId="5EC41C59" wp14:editId="6A26A958">
            <wp:extent cx="5731510" cy="3916680"/>
            <wp:effectExtent l="0" t="0" r="2540" b="7620"/>
            <wp:docPr id="239556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56122" name="Picture 239556122"/>
                    <pic:cNvPicPr/>
                  </pic:nvPicPr>
                  <pic:blipFill>
                    <a:blip r:embed="rId10">
                      <a:extLst>
                        <a:ext uri="{28A0092B-C50C-407E-A947-70E740481C1C}">
                          <a14:useLocalDpi xmlns:a14="http://schemas.microsoft.com/office/drawing/2010/main" val="0"/>
                        </a:ext>
                      </a:extLst>
                    </a:blip>
                    <a:stretch>
                      <a:fillRect/>
                    </a:stretch>
                  </pic:blipFill>
                  <pic:spPr>
                    <a:xfrm>
                      <a:off x="0" y="0"/>
                      <a:ext cx="5731510" cy="3916680"/>
                    </a:xfrm>
                    <a:prstGeom prst="rect">
                      <a:avLst/>
                    </a:prstGeom>
                  </pic:spPr>
                </pic:pic>
              </a:graphicData>
            </a:graphic>
          </wp:inline>
        </w:drawing>
      </w:r>
    </w:p>
    <w:p w14:paraId="34601675" w14:textId="77777777" w:rsidR="00206BC8" w:rsidRDefault="00FF51F2" w:rsidP="00B87F1A">
      <w:r w:rsidRPr="00781E1E">
        <w:rPr>
          <w:b/>
          <w:bCs/>
        </w:rPr>
        <w:t>Figure 6. Cost–benefit and threshold analysis of the Simple Logistic classifier.</w:t>
      </w:r>
      <w:r w:rsidRPr="00781E1E">
        <w:br/>
        <w:t>The plot illustrates classification performance across different threshold values, highlighting trade-offs between sensitivity and specificity. The overall model accuracy was 68.42%.</w:t>
      </w:r>
    </w:p>
    <w:p w14:paraId="654A4824" w14:textId="77777777" w:rsidR="00206BC8" w:rsidRDefault="00206BC8" w:rsidP="00B87F1A">
      <w:r>
        <w:rPr>
          <w:noProof/>
        </w:rPr>
        <w:drawing>
          <wp:inline distT="0" distB="0" distL="0" distR="0" wp14:anchorId="42C3EDD5" wp14:editId="5C08D925">
            <wp:extent cx="5731510" cy="3892550"/>
            <wp:effectExtent l="0" t="0" r="2540" b="0"/>
            <wp:docPr id="4920957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95728" name="Picture 492095728"/>
                    <pic:cNvPicPr/>
                  </pic:nvPicPr>
                  <pic:blipFill>
                    <a:blip r:embed="rId11">
                      <a:extLst>
                        <a:ext uri="{28A0092B-C50C-407E-A947-70E740481C1C}">
                          <a14:useLocalDpi xmlns:a14="http://schemas.microsoft.com/office/drawing/2010/main" val="0"/>
                        </a:ext>
                      </a:extLst>
                    </a:blip>
                    <a:stretch>
                      <a:fillRect/>
                    </a:stretch>
                  </pic:blipFill>
                  <pic:spPr>
                    <a:xfrm>
                      <a:off x="0" y="0"/>
                      <a:ext cx="5731510" cy="3892550"/>
                    </a:xfrm>
                    <a:prstGeom prst="rect">
                      <a:avLst/>
                    </a:prstGeom>
                  </pic:spPr>
                </pic:pic>
              </a:graphicData>
            </a:graphic>
          </wp:inline>
        </w:drawing>
      </w:r>
    </w:p>
    <w:p w14:paraId="6DBE6B69" w14:textId="77777777" w:rsidR="005C0781" w:rsidRPr="005C0781" w:rsidRDefault="00FF51F2" w:rsidP="005C0781">
      <w:r>
        <w:t>Figure 7. Cost–benefit and threshold analysis for tumor class prediction using the Simple Logistic classifier.</w:t>
      </w:r>
      <w:r>
        <w:br/>
        <w:t>The analysis shows classification performance specifically for tumor samples, indicating higher misclassification costs and reduced accuracy (31.57%) at certain threshold levels.</w:t>
      </w:r>
    </w:p>
    <w:p w14:paraId="3D2B8F49" w14:textId="77777777" w:rsidR="005C0781" w:rsidRDefault="005C0781" w:rsidP="005C0781">
      <w:pPr>
        <w:rPr>
          <w:b/>
          <w:bCs/>
        </w:rPr>
      </w:pPr>
      <w:r>
        <w:t>3.6 Survival Analysis</w:t>
      </w:r>
    </w:p>
    <w:p w14:paraId="4B24ABD3" w14:textId="77777777" w:rsidR="00D173D6" w:rsidRPr="00D173D6" w:rsidRDefault="00D173D6" w:rsidP="00D173D6">
      <w:pPr>
        <w:rPr>
          <w:b/>
          <w:bCs/>
        </w:rPr>
      </w:pPr>
      <w:r w:rsidRPr="00D173D6">
        <w:rPr>
          <w:b/>
          <w:bCs/>
        </w:rPr>
        <w:t xml:space="preserve">Figure </w:t>
      </w:r>
      <w:r>
        <w:rPr>
          <w:b/>
          <w:bCs/>
        </w:rPr>
        <w:t>8</w:t>
      </w:r>
      <w:r w:rsidRPr="00D173D6">
        <w:rPr>
          <w:b/>
          <w:bCs/>
        </w:rPr>
        <w:t>. Kaplan–Meier survival analysis stratified by STAT3 expression.</w:t>
      </w:r>
      <w:r w:rsidRPr="00D173D6">
        <w:rPr>
          <w:b/>
          <w:bCs/>
        </w:rPr>
        <w:br/>
        <w:t xml:space="preserve">Kaplan–Meier curves were generated to evaluate the prognostic significance of STAT3 expression in </w:t>
      </w:r>
      <w:proofErr w:type="spellStart"/>
      <w:r w:rsidRPr="00D173D6">
        <w:rPr>
          <w:b/>
          <w:bCs/>
        </w:rPr>
        <w:t>tumor</w:t>
      </w:r>
      <w:proofErr w:type="spellEnd"/>
      <w:r w:rsidRPr="00D173D6">
        <w:rPr>
          <w:b/>
          <w:bCs/>
        </w:rPr>
        <w:t xml:space="preserve"> samples, stratified into high and low expression groups (n = 28 per group).</w:t>
      </w:r>
    </w:p>
    <w:p w14:paraId="58E0A25B" w14:textId="77777777" w:rsidR="00D173D6" w:rsidRDefault="00E83BA8" w:rsidP="008716F7">
      <w:pPr>
        <w:rPr>
          <w:b/>
          <w:bCs/>
        </w:rPr>
      </w:pPr>
      <w:r>
        <w:rPr>
          <w:b/>
          <w:bCs/>
        </w:rPr>
        <w:t xml:space="preserve">    </w:t>
      </w:r>
      <w:r>
        <w:rPr>
          <w:b/>
          <w:bCs/>
        </w:rPr>
        <w:tab/>
      </w:r>
      <w:r>
        <w:rPr>
          <w:b/>
          <w:bCs/>
        </w:rPr>
        <w:tab/>
      </w:r>
      <w:r>
        <w:rPr>
          <w:b/>
          <w:bCs/>
        </w:rPr>
        <w:tab/>
      </w:r>
      <w:r w:rsidR="008716F7">
        <w:rPr>
          <w:b/>
          <w:bCs/>
          <w:noProof/>
        </w:rPr>
        <w:drawing>
          <wp:inline distT="0" distB="0" distL="0" distR="0" wp14:anchorId="508E79ED" wp14:editId="42299430">
            <wp:extent cx="2733346" cy="2781300"/>
            <wp:effectExtent l="0" t="0" r="0" b="0"/>
            <wp:docPr id="968862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86273" name="Picture 9688627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5945" cy="2794120"/>
                    </a:xfrm>
                    <a:prstGeom prst="rect">
                      <a:avLst/>
                    </a:prstGeom>
                  </pic:spPr>
                </pic:pic>
              </a:graphicData>
            </a:graphic>
          </wp:inline>
        </w:drawing>
      </w:r>
      <w:r w:rsidR="008716F7">
        <w:rPr>
          <w:b/>
          <w:bCs/>
        </w:rPr>
        <w:t xml:space="preserve">    </w:t>
      </w:r>
    </w:p>
    <w:p w14:paraId="3CC15BB2" w14:textId="77777777" w:rsidR="006A4965" w:rsidRPr="000D666E" w:rsidRDefault="00D173D6" w:rsidP="00D173D6">
      <w:pPr>
        <w:pStyle w:val="ListParagraph"/>
        <w:numPr>
          <w:ilvl w:val="0"/>
          <w:numId w:val="19"/>
        </w:numPr>
      </w:pPr>
      <w:r w:rsidRPr="00D173D6">
        <w:rPr>
          <w:b/>
          <w:bCs/>
        </w:rPr>
        <w:t xml:space="preserve">Overall Survival (OS): </w:t>
      </w:r>
      <w:r w:rsidRPr="000D666E">
        <w:t>Patients with high STAT3 expression exhibited a reduced survival probability compared to the low expression group. However, the difference did not reach statistical significance (log-rank test, p = 0.16). The hazard ratio (HR = 1.6; 95% CI not shown) indicates a trend toward increased mortality risk in the high STAT3 group, though this association was not statistically significant (p = 0.17).</w:t>
      </w:r>
      <w:r w:rsidR="008716F7" w:rsidRPr="000D666E">
        <w:t xml:space="preserve"> </w:t>
      </w:r>
    </w:p>
    <w:p w14:paraId="60E77EF3" w14:textId="77777777" w:rsidR="00D173D6" w:rsidRDefault="00D173D6" w:rsidP="00E83BA8">
      <w:pPr>
        <w:pStyle w:val="ListParagraph"/>
        <w:ind w:left="1440" w:firstLine="720"/>
        <w:rPr>
          <w:b/>
          <w:bCs/>
        </w:rPr>
      </w:pPr>
      <w:r>
        <w:rPr>
          <w:noProof/>
        </w:rPr>
        <w:drawing>
          <wp:inline distT="0" distB="0" distL="0" distR="0" wp14:anchorId="0FF9475D" wp14:editId="6933741A">
            <wp:extent cx="2788920" cy="2788920"/>
            <wp:effectExtent l="0" t="0" r="0" b="0"/>
            <wp:docPr id="5864818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8920" cy="2788920"/>
                    </a:xfrm>
                    <a:prstGeom prst="rect">
                      <a:avLst/>
                    </a:prstGeom>
                    <a:noFill/>
                    <a:ln>
                      <a:noFill/>
                    </a:ln>
                  </pic:spPr>
                </pic:pic>
              </a:graphicData>
            </a:graphic>
          </wp:inline>
        </w:drawing>
      </w:r>
    </w:p>
    <w:p w14:paraId="2BFE0E77" w14:textId="77777777" w:rsidR="00D173D6" w:rsidRPr="000D666E" w:rsidRDefault="00D173D6" w:rsidP="00D173D6">
      <w:pPr>
        <w:pStyle w:val="ListParagraph"/>
      </w:pPr>
      <w:r w:rsidRPr="00D173D6">
        <w:rPr>
          <w:b/>
          <w:bCs/>
        </w:rPr>
        <w:t xml:space="preserve">(B) Disease-Free Survival (DFS): </w:t>
      </w:r>
      <w:r w:rsidRPr="000D666E">
        <w:t>No significant difference in recurrence-free survival was observed between the two groups (log-rank test, p = 0.82). The hazard ratio (HR = 1.1) suggests a negligible effect of STAT3 expression on disease progression.</w:t>
      </w:r>
    </w:p>
    <w:p w14:paraId="4C7DAB12" w14:textId="77777777" w:rsidR="00D173D6" w:rsidRDefault="00D173D6" w:rsidP="008716F7">
      <w:pPr>
        <w:rPr>
          <w:b/>
          <w:bCs/>
        </w:rPr>
      </w:pPr>
    </w:p>
    <w:p w14:paraId="0C18A217" w14:textId="77777777" w:rsidR="00E83BA8" w:rsidRPr="00E83BA8" w:rsidRDefault="00E83BA8" w:rsidP="008716F7">
      <w:r w:rsidRPr="00E83BA8">
        <w:rPr>
          <w:b/>
          <w:bCs/>
        </w:rPr>
        <w:t xml:space="preserve">Figure </w:t>
      </w:r>
      <w:r>
        <w:rPr>
          <w:b/>
          <w:bCs/>
        </w:rPr>
        <w:t>9</w:t>
      </w:r>
      <w:r w:rsidRPr="00E83BA8">
        <w:rPr>
          <w:b/>
          <w:bCs/>
        </w:rPr>
        <w:t>. Kaplan–Meier survival analysis based on EP300 expression levels.</w:t>
      </w:r>
      <w:r w:rsidRPr="00E83BA8">
        <w:br/>
        <w:t xml:space="preserve">Kaplan–Meier curves were constructed to assess the prognostic relevance of EP300 expression in </w:t>
      </w:r>
      <w:proofErr w:type="spellStart"/>
      <w:r w:rsidRPr="00E83BA8">
        <w:t>tumor</w:t>
      </w:r>
      <w:proofErr w:type="spellEnd"/>
      <w:r w:rsidRPr="00E83BA8">
        <w:t xml:space="preserve"> samples, stratified into high and low expression groups (n = 28 per group).</w:t>
      </w:r>
    </w:p>
    <w:p w14:paraId="280F09F3" w14:textId="77777777" w:rsidR="00D173D6" w:rsidRDefault="00E34C49" w:rsidP="008716F7">
      <w:r w:rsidRPr="00E34C49">
        <w:rPr>
          <w:b/>
          <w:bCs/>
          <w:noProof/>
        </w:rPr>
        <w:t xml:space="preserve"> </w:t>
      </w:r>
      <w:r w:rsidR="00E83BA8">
        <w:rPr>
          <w:b/>
          <w:bCs/>
          <w:noProof/>
        </w:rPr>
        <w:tab/>
      </w:r>
      <w:r w:rsidR="00E83BA8">
        <w:rPr>
          <w:b/>
          <w:bCs/>
          <w:noProof/>
        </w:rPr>
        <w:tab/>
      </w:r>
      <w:r w:rsidR="00E83BA8">
        <w:rPr>
          <w:b/>
          <w:bCs/>
          <w:noProof/>
        </w:rPr>
        <w:tab/>
      </w:r>
      <w:r>
        <w:rPr>
          <w:b/>
          <w:bCs/>
          <w:noProof/>
        </w:rPr>
        <w:drawing>
          <wp:inline distT="0" distB="0" distL="0" distR="0" wp14:anchorId="39C8A2F7" wp14:editId="2070A2DC">
            <wp:extent cx="2636520" cy="2636520"/>
            <wp:effectExtent l="0" t="0" r="0" b="0"/>
            <wp:docPr id="13310996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099669" name="Picture 133109966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36520" cy="2636520"/>
                    </a:xfrm>
                    <a:prstGeom prst="rect">
                      <a:avLst/>
                    </a:prstGeom>
                  </pic:spPr>
                </pic:pic>
              </a:graphicData>
            </a:graphic>
          </wp:inline>
        </w:drawing>
      </w:r>
      <w:r w:rsidRPr="00E34C49">
        <w:t xml:space="preserve"> </w:t>
      </w:r>
    </w:p>
    <w:p w14:paraId="63FD6E97" w14:textId="77777777" w:rsidR="00D173D6" w:rsidRDefault="00E83BA8" w:rsidP="008716F7">
      <w:r w:rsidRPr="00E83BA8">
        <w:t xml:space="preserve">(A) </w:t>
      </w:r>
      <w:r w:rsidRPr="00E83BA8">
        <w:rPr>
          <w:b/>
          <w:bCs/>
        </w:rPr>
        <w:t>Overall Survival (OS):</w:t>
      </w:r>
      <w:r w:rsidRPr="00E83BA8">
        <w:t xml:space="preserve"> Patients with high EP300 expression demonstrated a relatively improved survival probability compared to the low expression group. However, this difference was not statistically significant (log-rank test, p = 0.12). The hazard ratio (HR = 0.58) suggests a potential protective effect of high EP300 expression, although it did not reach statistical significance (p = 0.12).</w:t>
      </w:r>
    </w:p>
    <w:p w14:paraId="0C88835B" w14:textId="77777777" w:rsidR="008716F7" w:rsidRDefault="00E34C49" w:rsidP="00E83BA8">
      <w:pPr>
        <w:ind w:left="1440" w:firstLine="720"/>
      </w:pPr>
      <w:r>
        <w:rPr>
          <w:noProof/>
        </w:rPr>
        <w:drawing>
          <wp:inline distT="0" distB="0" distL="0" distR="0" wp14:anchorId="4622DE47" wp14:editId="3E38B47B">
            <wp:extent cx="2606040" cy="2606040"/>
            <wp:effectExtent l="0" t="0" r="3810" b="3810"/>
            <wp:docPr id="8042550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6040" cy="2606040"/>
                    </a:xfrm>
                    <a:prstGeom prst="rect">
                      <a:avLst/>
                    </a:prstGeom>
                    <a:noFill/>
                    <a:ln>
                      <a:noFill/>
                    </a:ln>
                  </pic:spPr>
                </pic:pic>
              </a:graphicData>
            </a:graphic>
          </wp:inline>
        </w:drawing>
      </w:r>
    </w:p>
    <w:p w14:paraId="6C23EE22" w14:textId="77777777" w:rsidR="00E83BA8" w:rsidRPr="00E83BA8" w:rsidRDefault="00E83BA8" w:rsidP="00E83BA8">
      <w:r w:rsidRPr="00E83BA8">
        <w:t xml:space="preserve">(B) </w:t>
      </w:r>
      <w:r w:rsidRPr="00E83BA8">
        <w:rPr>
          <w:b/>
          <w:bCs/>
        </w:rPr>
        <w:t>Disease-Free Survival (DFS):</w:t>
      </w:r>
      <w:r w:rsidRPr="00E83BA8">
        <w:t xml:space="preserve"> A similar trend was observed, with the high EP300 group showing better disease-free survival compared to the low expression group. Nevertheless, the difference was not statistically significant (log-rank test, p = 0.32). The hazard ratio (HR = 0.69) indicates a reduced risk of disease progression associated with high EP300 expression, though not statistically significant (p = 0.32).</w:t>
      </w:r>
    </w:p>
    <w:p w14:paraId="39737168" w14:textId="77777777" w:rsidR="00E83BA8" w:rsidRDefault="00E83BA8" w:rsidP="008716F7"/>
    <w:p w14:paraId="1CD28191" w14:textId="77777777" w:rsidR="00E34C49" w:rsidRDefault="00E34C49" w:rsidP="008716F7"/>
    <w:p w14:paraId="52C168E6" w14:textId="77777777" w:rsidR="00E83BA8" w:rsidRDefault="00E83BA8" w:rsidP="008716F7"/>
    <w:p w14:paraId="60E2157F" w14:textId="77777777" w:rsidR="00E83BA8" w:rsidRDefault="00E34C49" w:rsidP="00E83BA8">
      <w:pPr>
        <w:ind w:left="2160"/>
      </w:pPr>
      <w:r>
        <w:rPr>
          <w:noProof/>
        </w:rPr>
        <w:drawing>
          <wp:inline distT="0" distB="0" distL="0" distR="0" wp14:anchorId="2D689BD7" wp14:editId="1B950049">
            <wp:extent cx="2758440" cy="2758440"/>
            <wp:effectExtent l="0" t="0" r="3810" b="3810"/>
            <wp:docPr id="9538320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8440" cy="2758440"/>
                    </a:xfrm>
                    <a:prstGeom prst="rect">
                      <a:avLst/>
                    </a:prstGeom>
                    <a:noFill/>
                    <a:ln>
                      <a:noFill/>
                    </a:ln>
                  </pic:spPr>
                </pic:pic>
              </a:graphicData>
            </a:graphic>
          </wp:inline>
        </w:drawing>
      </w:r>
    </w:p>
    <w:p w14:paraId="5C5F9016" w14:textId="77777777" w:rsidR="00E83BA8" w:rsidRPr="00E83BA8" w:rsidRDefault="00E83BA8" w:rsidP="00E83BA8">
      <w:pPr>
        <w:rPr>
          <w:b/>
          <w:bCs/>
        </w:rPr>
      </w:pPr>
      <w:r w:rsidRPr="00E83BA8">
        <w:rPr>
          <w:b/>
          <w:bCs/>
        </w:rPr>
        <w:t xml:space="preserve">Figure </w:t>
      </w:r>
      <w:r>
        <w:rPr>
          <w:b/>
          <w:bCs/>
        </w:rPr>
        <w:t>10</w:t>
      </w:r>
      <w:r w:rsidRPr="00E83BA8">
        <w:rPr>
          <w:b/>
          <w:bCs/>
        </w:rPr>
        <w:t>. Kaplan–Meier Overall Survival (OS) Analysis</w:t>
      </w:r>
    </w:p>
    <w:p w14:paraId="59278BDC" w14:textId="77777777" w:rsidR="00E83BA8" w:rsidRPr="00E83BA8" w:rsidRDefault="00E83BA8" w:rsidP="00E83BA8">
      <w:r w:rsidRPr="00E83BA8">
        <w:t>Kaplan–Meier overall survival curves comparing patients with high and low expression levels of EP300 and ITGAM. The red curves represent high-expression groups, whereas the blue curves indicate low-expression groups. Survival differences were assessed using the log-rank test. Patients with higher EP300 and ITGAM expression exhibited comparatively better overall survival trends; however, the differences were not statistically significant (</w:t>
      </w:r>
      <w:r w:rsidRPr="00E83BA8">
        <w:rPr>
          <w:i/>
          <w:iCs/>
        </w:rPr>
        <w:t>p</w:t>
      </w:r>
      <w:r w:rsidRPr="00E83BA8">
        <w:t xml:space="preserve"> &gt; 0.05). Hazard ratios (HRs), log-rank </w:t>
      </w:r>
      <w:r w:rsidRPr="00E83BA8">
        <w:rPr>
          <w:i/>
          <w:iCs/>
        </w:rPr>
        <w:t>p</w:t>
      </w:r>
      <w:r w:rsidRPr="00E83BA8">
        <w:t>-values, and sample numbers for each group are indicated within the plots. Tick marks denote censored observations.</w:t>
      </w:r>
    </w:p>
    <w:p w14:paraId="5D2D5807" w14:textId="77777777" w:rsidR="00E83BA8" w:rsidRPr="00E83BA8" w:rsidRDefault="00F8428D" w:rsidP="00E83BA8">
      <w:r>
        <w:rPr>
          <w:noProof/>
        </w:rPr>
      </w:r>
      <w:r w:rsidR="00F8428D">
        <w:rPr>
          <w:noProof/>
        </w:rPr>
        <w:pict w14:anchorId="6E31F7AE">
          <v:rect id="_x0000_i1040" style="width:0;height:1.5pt" o:hralign="center" o:hrstd="t" o:hr="t" fillcolor="#a0a0a0" stroked="f"/>
        </w:pict>
      </w:r>
    </w:p>
    <w:p w14:paraId="2F96EDF8" w14:textId="77777777" w:rsidR="00E83BA8" w:rsidRDefault="00E83BA8" w:rsidP="008716F7"/>
    <w:p w14:paraId="4C340C60" w14:textId="77777777" w:rsidR="00E34C49" w:rsidRDefault="00E34C49" w:rsidP="00E83BA8">
      <w:pPr>
        <w:ind w:left="1440" w:firstLine="720"/>
      </w:pPr>
      <w:r>
        <w:rPr>
          <w:noProof/>
        </w:rPr>
        <w:drawing>
          <wp:inline distT="0" distB="0" distL="0" distR="0" wp14:anchorId="34BF6A08" wp14:editId="28B3FA45">
            <wp:extent cx="2773680" cy="2773680"/>
            <wp:effectExtent l="0" t="0" r="7620" b="7620"/>
            <wp:docPr id="15364476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3680" cy="2773680"/>
                    </a:xfrm>
                    <a:prstGeom prst="rect">
                      <a:avLst/>
                    </a:prstGeom>
                    <a:noFill/>
                    <a:ln>
                      <a:noFill/>
                    </a:ln>
                  </pic:spPr>
                </pic:pic>
              </a:graphicData>
            </a:graphic>
          </wp:inline>
        </w:drawing>
      </w:r>
    </w:p>
    <w:p w14:paraId="03CB8B15" w14:textId="77777777" w:rsidR="00E83BA8" w:rsidRPr="00E83BA8" w:rsidRDefault="00E83BA8" w:rsidP="00E83BA8">
      <w:pPr>
        <w:rPr>
          <w:b/>
          <w:bCs/>
        </w:rPr>
      </w:pPr>
      <w:r w:rsidRPr="00E83BA8">
        <w:rPr>
          <w:b/>
          <w:bCs/>
        </w:rPr>
        <w:t xml:space="preserve">Figure </w:t>
      </w:r>
      <w:r>
        <w:rPr>
          <w:b/>
          <w:bCs/>
        </w:rPr>
        <w:t>11</w:t>
      </w:r>
      <w:r w:rsidRPr="00E83BA8">
        <w:rPr>
          <w:b/>
          <w:bCs/>
        </w:rPr>
        <w:t>. Kaplan–Meier Disease-Free Survival (DFS) Analysis</w:t>
      </w:r>
    </w:p>
    <w:p w14:paraId="32A34DB1" w14:textId="77777777" w:rsidR="00E83BA8" w:rsidRPr="00E83BA8" w:rsidRDefault="00E83BA8" w:rsidP="00E83BA8">
      <w:r w:rsidRPr="00E83BA8">
        <w:t>Kaplan–Meier disease-free survival curves showing the association between EP300 and ITGAM expression levels and disease-free survival outcomes. High-expression groups are represented in red and low-expression groups in blue. Statistical significance was evaluated using the log-rank test. The high-expression groups demonstrated relatively improved disease-free survival compared with low-expression groups, although the differences were not statistically significant (</w:t>
      </w:r>
      <w:r w:rsidRPr="00E83BA8">
        <w:rPr>
          <w:i/>
          <w:iCs/>
        </w:rPr>
        <w:t>p</w:t>
      </w:r>
      <w:r w:rsidRPr="00E83BA8">
        <w:t xml:space="preserve"> &gt; 0.05). Hazard ratios (HRs), log-rank </w:t>
      </w:r>
      <w:r w:rsidRPr="00E83BA8">
        <w:rPr>
          <w:i/>
          <w:iCs/>
        </w:rPr>
        <w:t>p</w:t>
      </w:r>
      <w:r w:rsidRPr="00E83BA8">
        <w:t>-values, and group sample sizes are provided in the respective plots. Tick marks indicate censored cases.</w:t>
      </w:r>
    </w:p>
    <w:p w14:paraId="3DE84775" w14:textId="77777777" w:rsidR="00E83BA8" w:rsidRDefault="00E83BA8" w:rsidP="008716F7"/>
    <w:p w14:paraId="130A2A46" w14:textId="77777777" w:rsidR="00E34C49" w:rsidRDefault="00E34C49" w:rsidP="008716F7"/>
    <w:p w14:paraId="08047FF2" w14:textId="77777777" w:rsidR="00E83BA8" w:rsidRDefault="00E34C49" w:rsidP="000D666E">
      <w:pPr>
        <w:ind w:left="1440" w:firstLine="720"/>
      </w:pPr>
      <w:r>
        <w:rPr>
          <w:noProof/>
        </w:rPr>
        <w:drawing>
          <wp:inline distT="0" distB="0" distL="0" distR="0" wp14:anchorId="08CEF891" wp14:editId="2CBEA45B">
            <wp:extent cx="2819400" cy="2819400"/>
            <wp:effectExtent l="0" t="0" r="0" b="0"/>
            <wp:docPr id="17238848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r w:rsidRPr="00E34C49">
        <w:t xml:space="preserve"> </w:t>
      </w:r>
    </w:p>
    <w:p w14:paraId="2FAD2974" w14:textId="77777777" w:rsidR="00E83BA8" w:rsidRPr="00E83BA8" w:rsidRDefault="00E83BA8" w:rsidP="00E83BA8">
      <w:pPr>
        <w:rPr>
          <w:b/>
          <w:bCs/>
        </w:rPr>
      </w:pPr>
      <w:r w:rsidRPr="00E83BA8">
        <w:rPr>
          <w:b/>
          <w:bCs/>
        </w:rPr>
        <w:t xml:space="preserve">Figure </w:t>
      </w:r>
      <w:r>
        <w:rPr>
          <w:b/>
          <w:bCs/>
        </w:rPr>
        <w:t>12</w:t>
      </w:r>
      <w:r w:rsidRPr="00E83BA8">
        <w:rPr>
          <w:b/>
          <w:bCs/>
        </w:rPr>
        <w:t>. Kaplan–Meier Disease-Free Survival (DFS) Analysis of SREBF1 Expression</w:t>
      </w:r>
    </w:p>
    <w:p w14:paraId="211C0602" w14:textId="77777777" w:rsidR="00E83BA8" w:rsidRPr="00E83BA8" w:rsidRDefault="00E83BA8" w:rsidP="00E83BA8">
      <w:r w:rsidRPr="00E83BA8">
        <w:t xml:space="preserve">Kaplan–Meier disease-free survival curves comparing patients with high and low SREBF1 expression levels. The red curve represents the high-expression group, whereas the blue curve indicates the low-expression group. Patients with elevated SREBF1 expression demonstrated relatively improved disease-free survival compared with the low-expression group. However, the difference was not statistically significant (log-rank </w:t>
      </w:r>
      <w:r w:rsidRPr="00E83BA8">
        <w:rPr>
          <w:i/>
          <w:iCs/>
        </w:rPr>
        <w:t>p</w:t>
      </w:r>
      <w:r w:rsidRPr="00E83BA8">
        <w:t xml:space="preserve"> = 0.49). The hazard ratio (HR) for the high-expression group was 0.78. Tick marks indicate censored observations.</w:t>
      </w:r>
    </w:p>
    <w:p w14:paraId="4B1F3D6A" w14:textId="77777777" w:rsidR="00E83BA8" w:rsidRPr="00E83BA8" w:rsidRDefault="00F8428D" w:rsidP="00E83BA8">
      <w:r>
        <w:rPr>
          <w:noProof/>
        </w:rPr>
      </w:r>
      <w:r w:rsidR="00F8428D">
        <w:rPr>
          <w:noProof/>
        </w:rPr>
        <w:pict w14:anchorId="1D7A28B3">
          <v:rect id="_x0000_i1041" style="width:0;height:1.5pt" o:hralign="center" o:hrstd="t" o:hr="t" fillcolor="#a0a0a0" stroked="f"/>
        </w:pict>
      </w:r>
    </w:p>
    <w:p w14:paraId="0883D850" w14:textId="77777777" w:rsidR="00E83BA8" w:rsidRDefault="00E83BA8" w:rsidP="008716F7"/>
    <w:p w14:paraId="450E2F82" w14:textId="77777777" w:rsidR="00E34C49" w:rsidRDefault="00E34C49" w:rsidP="00E83BA8">
      <w:pPr>
        <w:ind w:left="1440" w:firstLine="720"/>
        <w:rPr>
          <w:b/>
          <w:bCs/>
        </w:rPr>
      </w:pPr>
      <w:r>
        <w:rPr>
          <w:noProof/>
        </w:rPr>
        <w:drawing>
          <wp:inline distT="0" distB="0" distL="0" distR="0" wp14:anchorId="6559C2FA" wp14:editId="3552D9FA">
            <wp:extent cx="2834640" cy="2834640"/>
            <wp:effectExtent l="0" t="0" r="3810" b="3810"/>
            <wp:docPr id="17262747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4640" cy="2834640"/>
                    </a:xfrm>
                    <a:prstGeom prst="rect">
                      <a:avLst/>
                    </a:prstGeom>
                    <a:noFill/>
                    <a:ln>
                      <a:noFill/>
                    </a:ln>
                  </pic:spPr>
                </pic:pic>
              </a:graphicData>
            </a:graphic>
          </wp:inline>
        </w:drawing>
      </w:r>
    </w:p>
    <w:p w14:paraId="4C415BC7" w14:textId="77777777" w:rsidR="00E83BA8" w:rsidRPr="00E83BA8" w:rsidRDefault="00E83BA8" w:rsidP="00E83BA8">
      <w:pPr>
        <w:rPr>
          <w:b/>
          <w:bCs/>
        </w:rPr>
      </w:pPr>
      <w:r w:rsidRPr="00E83BA8">
        <w:rPr>
          <w:b/>
          <w:bCs/>
        </w:rPr>
        <w:t xml:space="preserve">Figure </w:t>
      </w:r>
      <w:r>
        <w:rPr>
          <w:b/>
          <w:bCs/>
        </w:rPr>
        <w:t>13</w:t>
      </w:r>
      <w:r w:rsidRPr="00E83BA8">
        <w:rPr>
          <w:b/>
          <w:bCs/>
        </w:rPr>
        <w:t>. Kaplan–Meier Overall Survival (OS) Analysis of SREBF1 Expression</w:t>
      </w:r>
    </w:p>
    <w:p w14:paraId="026ABB10" w14:textId="77777777" w:rsidR="008716F7" w:rsidRPr="00E83BA8" w:rsidRDefault="00E83BA8" w:rsidP="005C0781">
      <w:r w:rsidRPr="00E83BA8">
        <w:t xml:space="preserve">Kaplan–Meier overall survival curves illustrating the association between SREBF1 expression levels and overall survival outcomes. High SREBF1 expression (red curve) showed a trend toward better overall survival compared with low expression (blue curve). Statistical analysis using the log-rank test revealed no significant difference between the groups (log-rank </w:t>
      </w:r>
      <w:r w:rsidRPr="00E83BA8">
        <w:rPr>
          <w:i/>
          <w:iCs/>
        </w:rPr>
        <w:t>p</w:t>
      </w:r>
      <w:r w:rsidRPr="00E83BA8">
        <w:t xml:space="preserve"> = 0.19). The hazard ratio (HR) for the high-expression group was 0.63. Tick marks denote censored cases.</w:t>
      </w:r>
    </w:p>
    <w:p w14:paraId="5396F927" w14:textId="77777777" w:rsidR="005C0781" w:rsidRPr="005C0781" w:rsidRDefault="00F8428D" w:rsidP="005C0781">
      <w:r>
        <w:rPr>
          <w:noProof/>
        </w:rPr>
      </w:r>
      <w:r w:rsidR="00F8428D">
        <w:rPr>
          <w:noProof/>
        </w:rPr>
        <w:pict w14:anchorId="6EA3F6DC">
          <v:rect id="_x0000_i1042" style="width:0;height:1.5pt" o:hralign="center" o:hrstd="t" o:hr="t" fillcolor="#a0a0a0" stroked="f"/>
        </w:pict>
      </w:r>
    </w:p>
    <w:p w14:paraId="61E12AAE" w14:textId="77777777" w:rsidR="005C0781" w:rsidRPr="005C0781" w:rsidRDefault="005C0781" w:rsidP="005C0781">
      <w:pPr>
        <w:rPr>
          <w:b/>
          <w:bCs/>
        </w:rPr>
      </w:pPr>
      <w:r w:rsidRPr="005C0781">
        <w:rPr>
          <w:b/>
          <w:bCs/>
        </w:rPr>
        <w:t>4. Discussion</w:t>
      </w:r>
    </w:p>
    <w:p w14:paraId="162F3A11" w14:textId="77777777" w:rsidR="00A626EB" w:rsidRDefault="00A626EB">
      <w:pPr>
        <w:pStyle w:val="NormalWeb"/>
        <w:rPr>
          <w:kern w:val="0"/>
          <w14:ligatures w14:val="none"/>
        </w:rPr>
      </w:pPr>
      <w:r>
        <w:t>This study employed an integrated bioinformatics and machine learning framework to identify potential molecular biomarkers associated with uterine carcinosarcoma (UCS), a rare and highly aggressive gynecological malignancy characterized by poor prognosis and limited therapeutic options. By combining differential gene expression analysis, protein–protein interaction (PPI) network analysis, survival analysis, and machine learning approaches, several candidate hub genes with potential diagnostic and prognostic relevance were identified.</w:t>
      </w:r>
    </w:p>
    <w:p w14:paraId="2CD36463" w14:textId="77777777" w:rsidR="00A626EB" w:rsidRDefault="00A626EB">
      <w:pPr>
        <w:pStyle w:val="NormalWeb"/>
      </w:pPr>
      <w:r>
        <w:t xml:space="preserve">A total of 2,266 differentially expressed genes (DEGs) were identified between UCS and normal tissue samples, including 1,218 upregulated and 1,048 </w:t>
      </w:r>
      <w:proofErr w:type="spellStart"/>
      <w:r>
        <w:t>downregulated</w:t>
      </w:r>
      <w:proofErr w:type="spellEnd"/>
      <w:r>
        <w:t xml:space="preserve"> genes. Functional enrichment and network analyses revealed significant involvement of pathways associated with </w:t>
      </w:r>
      <w:proofErr w:type="spellStart"/>
      <w:r>
        <w:t>tumor</w:t>
      </w:r>
      <w:proofErr w:type="spellEnd"/>
      <w:r>
        <w:t xml:space="preserve"> progression, immune regulation, cell proliferation, and epigenetic modification. These findings are consistent with previous reports indicating that </w:t>
      </w:r>
      <w:proofErr w:type="spellStart"/>
      <w:r>
        <w:t>dysregulated</w:t>
      </w:r>
      <w:proofErr w:type="spellEnd"/>
      <w:r>
        <w:t xml:space="preserve"> </w:t>
      </w:r>
      <w:proofErr w:type="spellStart"/>
      <w:r>
        <w:t>signaling</w:t>
      </w:r>
      <w:proofErr w:type="spellEnd"/>
      <w:r>
        <w:t xml:space="preserve"> pathways and alterations in the </w:t>
      </w:r>
      <w:proofErr w:type="spellStart"/>
      <w:r>
        <w:t>tumor</w:t>
      </w:r>
      <w:proofErr w:type="spellEnd"/>
      <w:r>
        <w:t xml:space="preserve"> microenvironment play critical roles in UCS pathogenesis.</w:t>
      </w:r>
    </w:p>
    <w:p w14:paraId="44BEE502" w14:textId="77777777" w:rsidR="00A626EB" w:rsidRDefault="00A626EB">
      <w:pPr>
        <w:pStyle w:val="NormalWeb"/>
      </w:pPr>
      <w:r>
        <w:t xml:space="preserve">Among the identified hub genes, STAT3 demonstrated the highest connectivity within the PPI network, suggesting a central regulatory role in UCS progression. STAT3 is a well-established transcription factor involved in the JAK–STAT </w:t>
      </w:r>
      <w:proofErr w:type="spellStart"/>
      <w:r>
        <w:t>signaling</w:t>
      </w:r>
      <w:proofErr w:type="spellEnd"/>
      <w:r>
        <w:t xml:space="preserve"> pathway and has been implicated in multiple oncogenic processes, including </w:t>
      </w:r>
      <w:proofErr w:type="spellStart"/>
      <w:r>
        <w:t>tumor</w:t>
      </w:r>
      <w:proofErr w:type="spellEnd"/>
      <w:r>
        <w:t xml:space="preserve"> proliferation, angiogenesis, immune evasion, and metastasis. Persistent activation of STAT3 has been reported in several malignancies and is frequently associated with aggressive </w:t>
      </w:r>
      <w:proofErr w:type="spellStart"/>
      <w:r>
        <w:t>tumor</w:t>
      </w:r>
      <w:proofErr w:type="spellEnd"/>
      <w:r>
        <w:t xml:space="preserve"> </w:t>
      </w:r>
      <w:proofErr w:type="spellStart"/>
      <w:r>
        <w:t>behavior</w:t>
      </w:r>
      <w:proofErr w:type="spellEnd"/>
      <w:r>
        <w:t xml:space="preserve"> and poor clinical outcomes. Although survival analysis in the present study did not demonstrate statistically significant associations, elevated STAT3 expression showed a trend toward poorer overall survival, indicating its potential prognostic relevance in UCS.</w:t>
      </w:r>
    </w:p>
    <w:p w14:paraId="6A645CA9" w14:textId="77777777" w:rsidR="00A626EB" w:rsidRDefault="00A626EB">
      <w:pPr>
        <w:pStyle w:val="NormalWeb"/>
      </w:pPr>
      <w:r>
        <w:t xml:space="preserve">EP300 was also identified as a significant hub gene. EP300 encodes a histone acetyltransferase involved in chromatin </w:t>
      </w:r>
      <w:proofErr w:type="spellStart"/>
      <w:r>
        <w:t>remodeling</w:t>
      </w:r>
      <w:proofErr w:type="spellEnd"/>
      <w:r>
        <w:t xml:space="preserve"> and transcriptional regulation. Aberrant EP300 expression has been linked to epigenetic dysregulation, uncontrolled cell proliferation, and </w:t>
      </w:r>
      <w:proofErr w:type="spellStart"/>
      <w:r>
        <w:t>tumor</w:t>
      </w:r>
      <w:proofErr w:type="spellEnd"/>
      <w:r>
        <w:t xml:space="preserve"> development in various cancers. In the current study, higher EP300 expression demonstrated a trend toward improved overall survival and disease-free survival, suggesting a possible protective role. Although these findings did not reach statistical significance, they support the hypothesis that epigenetic regulatory mechanisms contribute to UCS progression.</w:t>
      </w:r>
    </w:p>
    <w:p w14:paraId="27439E8E" w14:textId="77777777" w:rsidR="00A626EB" w:rsidRDefault="00A626EB">
      <w:pPr>
        <w:pStyle w:val="NormalWeb"/>
      </w:pPr>
      <w:r>
        <w:t xml:space="preserve">The immune-associated gene ITGAM emerged as another important hub gene identified through network analysis. ITGAM is involved in leukocyte adhesion, migration, and modulation of inflammatory responses within the </w:t>
      </w:r>
      <w:proofErr w:type="spellStart"/>
      <w:r>
        <w:t>tumor</w:t>
      </w:r>
      <w:proofErr w:type="spellEnd"/>
      <w:r>
        <w:t xml:space="preserve"> microenvironment. Increasing evidence suggests that immune-related pathways significantly influence cancer progression and therapeutic response. The identification of ITGAM in this study highlights the potential contribution of immune microenvironment dysregulation in UCS pathogenesis and may provide insights into future immunotherapeutic strategies.</w:t>
      </w:r>
    </w:p>
    <w:p w14:paraId="68267B49" w14:textId="77777777" w:rsidR="00A626EB" w:rsidRDefault="00A626EB">
      <w:pPr>
        <w:pStyle w:val="NormalWeb"/>
      </w:pPr>
      <w:r>
        <w:t xml:space="preserve">Additionally, SREBF1 was identified as a hub gene potentially associated with metabolic reprogramming in UCS. SREBF1 functions as a transcriptional regulator of lipid biosynthesis and metabolic homeostasis. Altered lipid metabolism is increasingly recognized as a hallmark of cancer and contributes to </w:t>
      </w:r>
      <w:proofErr w:type="spellStart"/>
      <w:r>
        <w:t>tumor</w:t>
      </w:r>
      <w:proofErr w:type="spellEnd"/>
      <w:r>
        <w:t xml:space="preserve"> growth, survival, and metastasis. The observed association between SREBF1 expression and survival outcomes suggests that metabolic dysregulation may play an important role in UCS development.</w:t>
      </w:r>
    </w:p>
    <w:p w14:paraId="27548739" w14:textId="77777777" w:rsidR="00A626EB" w:rsidRDefault="00A626EB">
      <w:pPr>
        <w:pStyle w:val="NormalWeb"/>
      </w:pPr>
      <w:r>
        <w:t xml:space="preserve">An important strength of the present study is the integration of machine learning techniques with conventional bioinformatics analysis. The Random Forest classifier demonstrated high predictive performance, achieving an accuracy of 94.73% and a ROC-AUC value of 0.936. These findings indicate strong discriminatory capability between </w:t>
      </w:r>
      <w:proofErr w:type="spellStart"/>
      <w:r>
        <w:t>tumor</w:t>
      </w:r>
      <w:proofErr w:type="spellEnd"/>
      <w:r>
        <w:t xml:space="preserve"> and normal samples and support the potential utility of the identified gene signatures as diagnostic biomarkers. The incorporation of machine learning approaches enhances the robustness and translational relevance of biomarker discovery compared with traditional DEG-based analyses alone.</w:t>
      </w:r>
    </w:p>
    <w:p w14:paraId="70D4582A" w14:textId="77777777" w:rsidR="00A626EB" w:rsidRDefault="00A626EB">
      <w:pPr>
        <w:pStyle w:val="NormalWeb"/>
      </w:pPr>
      <w:r>
        <w:t>The functional enrichment analyses further supported the biological significance of the identified genes by revealing enrichment in pathways related to immune response, signal transduction, transcriptional regulation, and cancer-associated cellular processes. These findings are consistent with previous studies demonstrating the complex interplay between immune dysregulation, epigenetic modification, and metabolic alterations in aggressive malignancies.</w:t>
      </w:r>
    </w:p>
    <w:p w14:paraId="1D4747E2" w14:textId="77777777" w:rsidR="00A626EB" w:rsidRDefault="00A626EB">
      <w:pPr>
        <w:pStyle w:val="NormalWeb"/>
      </w:pPr>
      <w:r>
        <w:t>Despite these promising findings, several limitations of the present study should be acknowledged. First, the analysis was based primarily on a single GEO dataset with a relatively limited sample size, which may affect the generalizability and statistical robustness of the results. Second, although survival analyses suggested potential prognostic relevance, most associations did not achieve statistical significance. Third, the study lacked external validation using independent datasets such as TCGA or experimental validation methods including quantitative PCR, western blotting, or immunohistochemistry. Consequently, the identified biomarkers should be considered candidate biomarkers requiring further validation.</w:t>
      </w:r>
    </w:p>
    <w:p w14:paraId="529D6FE8" w14:textId="77777777" w:rsidR="00A626EB" w:rsidRDefault="00A626EB">
      <w:pPr>
        <w:pStyle w:val="NormalWeb"/>
      </w:pPr>
      <w:r>
        <w:t>Future studies should focus on validating these findings using larger independent cohorts and experimental approaches to confirm the biological and clinical significance of the identified hub genes. Integration of transcriptomic data with proteomic, epigenetic, and clinical information may further improve the understanding of UCS molecular mechanisms. In addition, exploration of drug–gene interactions and pathway-targeted therapies may provide valuable insights for the development of personalized therapeutic strategies for UCS patients.</w:t>
      </w:r>
    </w:p>
    <w:p w14:paraId="7CDB0A11" w14:textId="77777777" w:rsidR="00A626EB" w:rsidRDefault="00A626EB">
      <w:pPr>
        <w:pStyle w:val="NormalWeb"/>
      </w:pPr>
      <w:r>
        <w:t xml:space="preserve">In summary, the present study identified STAT3, EP300, ITGAM, and SREBF1 as potential molecular biomarkers associated with uterine </w:t>
      </w:r>
      <w:proofErr w:type="spellStart"/>
      <w:r>
        <w:t>carcinosarcoma</w:t>
      </w:r>
      <w:proofErr w:type="spellEnd"/>
      <w:r>
        <w:t xml:space="preserve"> progression through an integrated bioinformatics and machine learning framework. These findings contribute to the growing understanding of UCS molecular pathogenesis and provide a foundation for future translational and experimental investigations.</w:t>
      </w:r>
    </w:p>
    <w:p w14:paraId="7A1E38DD" w14:textId="77777777" w:rsidR="00781E1E" w:rsidRPr="00781E1E" w:rsidRDefault="00F8428D" w:rsidP="00781E1E">
      <w:r>
        <w:rPr>
          <w:noProof/>
        </w:rPr>
      </w:r>
      <w:r w:rsidR="00F8428D">
        <w:rPr>
          <w:noProof/>
        </w:rPr>
        <w:pict w14:anchorId="5F22C4FC">
          <v:rect id="_x0000_i1043" style="width:0;height:1.5pt" o:hralign="center" o:hrstd="t" o:hr="t" fillcolor="#a0a0a0" stroked="f"/>
        </w:pict>
      </w:r>
    </w:p>
    <w:p w14:paraId="74787EE0" w14:textId="77777777" w:rsidR="00781E1E" w:rsidRPr="00781E1E" w:rsidRDefault="00781E1E" w:rsidP="00781E1E">
      <w:pPr>
        <w:rPr>
          <w:b/>
          <w:bCs/>
        </w:rPr>
      </w:pPr>
      <w:r w:rsidRPr="00781E1E">
        <w:rPr>
          <w:b/>
          <w:bCs/>
        </w:rPr>
        <w:t>5. Conclusion</w:t>
      </w:r>
    </w:p>
    <w:p w14:paraId="4DA85CAC" w14:textId="77777777" w:rsidR="00781E1E" w:rsidRPr="00781E1E" w:rsidRDefault="00781E1E" w:rsidP="00781E1E">
      <w:r w:rsidRPr="00781E1E">
        <w:t xml:space="preserve">This study presents a comprehensive integrative framework combining bioinformatics and machine learning approaches to identify potential biomarkers in uterine carcinosarcoma. Key hub genes, including STAT3, EP300, ITGAM, and SREBF1, were identified as candidates with significant diagnostic and biological relevance. The high predictive performance of the machine learning model further supports their potential utility in distinguishing </w:t>
      </w:r>
      <w:proofErr w:type="spellStart"/>
      <w:r w:rsidRPr="00781E1E">
        <w:t>tumor</w:t>
      </w:r>
      <w:proofErr w:type="spellEnd"/>
      <w:r w:rsidRPr="00781E1E">
        <w:t xml:space="preserve"> from normal samples.</w:t>
      </w:r>
    </w:p>
    <w:p w14:paraId="4EF811B8" w14:textId="77777777" w:rsidR="00781E1E" w:rsidRPr="00781E1E" w:rsidRDefault="00781E1E" w:rsidP="00781E1E">
      <w:r w:rsidRPr="00781E1E">
        <w:t>Although the findings provide valuable insights into the molecular mechanisms underlying UCS, further validation through experimental and clinical studies is essential. The proposed approach offers a promising foundation for future research aimed at improving early diagnosis and developing targeted therapeutic strategies for this aggressive malignancy.</w:t>
      </w:r>
    </w:p>
    <w:p w14:paraId="1DCC9484" w14:textId="77777777" w:rsidR="00781E1E" w:rsidRPr="00781E1E" w:rsidRDefault="00F8428D" w:rsidP="00781E1E">
      <w:r>
        <w:rPr>
          <w:noProof/>
        </w:rPr>
      </w:r>
      <w:r w:rsidR="00F8428D">
        <w:rPr>
          <w:noProof/>
        </w:rPr>
        <w:pict w14:anchorId="135353EB">
          <v:rect id="_x0000_i1044" style="width:0;height:1.5pt" o:hralign="center" o:hrstd="t" o:hr="t" fillcolor="#a0a0a0" stroked="f"/>
        </w:pict>
      </w:r>
    </w:p>
    <w:p w14:paraId="4C6A492B" w14:textId="77777777" w:rsidR="00CA7AC1" w:rsidRPr="003B6101" w:rsidRDefault="00A5303F">
      <w:pPr>
        <w:pStyle w:val="Heading1"/>
        <w:rPr>
          <w:b/>
          <w:bCs/>
          <w:color w:val="auto"/>
          <w:sz w:val="24"/>
          <w:szCs w:val="24"/>
        </w:rPr>
      </w:pPr>
      <w:r w:rsidRPr="003B6101">
        <w:rPr>
          <w:b/>
          <w:bCs/>
          <w:color w:val="auto"/>
          <w:sz w:val="24"/>
          <w:szCs w:val="24"/>
        </w:rPr>
        <w:t>Ethics Statement</w:t>
      </w:r>
    </w:p>
    <w:p w14:paraId="2485DFD3" w14:textId="77777777" w:rsidR="00CA7AC1" w:rsidRDefault="00A5303F">
      <w:r>
        <w:t>This study utilized publicly available datasets from the GEO database; therefore, ethical approval and informed consent were not required.</w:t>
      </w:r>
    </w:p>
    <w:p w14:paraId="3EE85607" w14:textId="77777777" w:rsidR="00CA7AC1" w:rsidRPr="003B6101" w:rsidRDefault="00A5303F">
      <w:pPr>
        <w:pStyle w:val="Heading1"/>
        <w:rPr>
          <w:b/>
          <w:bCs/>
          <w:color w:val="auto"/>
          <w:sz w:val="24"/>
          <w:szCs w:val="24"/>
        </w:rPr>
      </w:pPr>
      <w:r w:rsidRPr="003B6101">
        <w:rPr>
          <w:b/>
          <w:bCs/>
          <w:color w:val="auto"/>
          <w:sz w:val="24"/>
          <w:szCs w:val="24"/>
        </w:rPr>
        <w:t>Data Availability</w:t>
      </w:r>
    </w:p>
    <w:p w14:paraId="7239231B" w14:textId="77777777" w:rsidR="00CA7AC1" w:rsidRDefault="00A5303F">
      <w:r>
        <w:t>The datasets analyzed during the current study are publicly available in the GEO repository under accession number GSE122697.</w:t>
      </w:r>
    </w:p>
    <w:p w14:paraId="1504B77A" w14:textId="77777777" w:rsidR="00CA7AC1" w:rsidRPr="003B6101" w:rsidRDefault="00A5303F">
      <w:pPr>
        <w:pStyle w:val="Heading1"/>
        <w:rPr>
          <w:rFonts w:asciiTheme="minorHAnsi" w:hAnsiTheme="minorHAnsi"/>
          <w:b/>
          <w:bCs/>
          <w:color w:val="auto"/>
          <w:sz w:val="24"/>
          <w:szCs w:val="24"/>
        </w:rPr>
      </w:pPr>
      <w:r w:rsidRPr="003B6101">
        <w:rPr>
          <w:rFonts w:asciiTheme="minorHAnsi" w:hAnsiTheme="minorHAnsi"/>
          <w:b/>
          <w:bCs/>
          <w:color w:val="auto"/>
          <w:sz w:val="24"/>
          <w:szCs w:val="24"/>
        </w:rPr>
        <w:t>Author Contributions</w:t>
      </w:r>
    </w:p>
    <w:p w14:paraId="70FF6FC0" w14:textId="77777777" w:rsidR="00CA7AC1" w:rsidRDefault="00A5303F">
      <w:r>
        <w:t>Gauri Suresh performed bioinformatics analysis, data interpretation, and manuscript preparation. Mahima Kashyap contributed to methodology and machine learning analysis. Nisha Singh supervised the study and reviewed the manuscript.</w:t>
      </w:r>
    </w:p>
    <w:p w14:paraId="126F0DF1" w14:textId="77777777" w:rsidR="00CA7AC1" w:rsidRPr="003B6101" w:rsidRDefault="00A5303F">
      <w:pPr>
        <w:pStyle w:val="Heading1"/>
        <w:rPr>
          <w:rFonts w:asciiTheme="minorHAnsi" w:hAnsiTheme="minorHAnsi"/>
          <w:b/>
          <w:bCs/>
          <w:color w:val="auto"/>
          <w:sz w:val="24"/>
          <w:szCs w:val="24"/>
        </w:rPr>
      </w:pPr>
      <w:r w:rsidRPr="003B6101">
        <w:rPr>
          <w:rFonts w:asciiTheme="minorHAnsi" w:hAnsiTheme="minorHAnsi"/>
          <w:b/>
          <w:bCs/>
          <w:color w:val="auto"/>
          <w:sz w:val="24"/>
          <w:szCs w:val="24"/>
        </w:rPr>
        <w:t>Conflict of Interest</w:t>
      </w:r>
    </w:p>
    <w:p w14:paraId="49768D53" w14:textId="77777777" w:rsidR="00CA7AC1" w:rsidRDefault="00A5303F">
      <w:r>
        <w:t>The authors declare no conflict of interest.</w:t>
      </w:r>
    </w:p>
    <w:p w14:paraId="64187A86" w14:textId="77777777" w:rsidR="00CA7AC1" w:rsidRPr="003B6101" w:rsidRDefault="00A5303F">
      <w:pPr>
        <w:pStyle w:val="Heading1"/>
        <w:rPr>
          <w:rFonts w:asciiTheme="minorHAnsi" w:hAnsiTheme="minorHAnsi"/>
          <w:b/>
          <w:bCs/>
          <w:color w:val="auto"/>
          <w:sz w:val="24"/>
          <w:szCs w:val="24"/>
        </w:rPr>
      </w:pPr>
      <w:r w:rsidRPr="003B6101">
        <w:rPr>
          <w:rFonts w:asciiTheme="minorHAnsi" w:hAnsiTheme="minorHAnsi"/>
          <w:b/>
          <w:bCs/>
          <w:color w:val="auto"/>
          <w:sz w:val="24"/>
          <w:szCs w:val="24"/>
        </w:rPr>
        <w:t>Funding</w:t>
      </w:r>
    </w:p>
    <w:p w14:paraId="1A214A90" w14:textId="77777777" w:rsidR="00CA7AC1" w:rsidRDefault="00A5303F">
      <w:r>
        <w:t>The authors received no specific funding for this work.</w:t>
      </w:r>
    </w:p>
    <w:p w14:paraId="0A362EAA" w14:textId="77777777" w:rsidR="00541958" w:rsidRPr="008D63B2" w:rsidRDefault="005C0781" w:rsidP="008D63B2">
      <w:pPr>
        <w:rPr>
          <w:b/>
          <w:bCs/>
        </w:rPr>
      </w:pPr>
      <w:r w:rsidRPr="005C0781">
        <w:rPr>
          <w:b/>
          <w:bCs/>
        </w:rPr>
        <w:t>6. Referenc</w:t>
      </w:r>
      <w:r w:rsidR="008D63B2">
        <w:rPr>
          <w:b/>
          <w:bCs/>
        </w:rPr>
        <w:t>es</w:t>
      </w:r>
    </w:p>
    <w:p w14:paraId="5BA8D3A6" w14:textId="77777777" w:rsidR="00541958" w:rsidRDefault="005F6D53">
      <w:r>
        <w:t xml:space="preserve">Amant, F., Moerman, P., Neven, P., Timmerman, D., Van </w:t>
      </w:r>
      <w:proofErr w:type="spellStart"/>
      <w:r>
        <w:t>Limbergen</w:t>
      </w:r>
      <w:proofErr w:type="spellEnd"/>
      <w:r>
        <w:t xml:space="preserve">, E., &amp; </w:t>
      </w:r>
      <w:proofErr w:type="spellStart"/>
      <w:r>
        <w:t>Vergote</w:t>
      </w:r>
      <w:proofErr w:type="spellEnd"/>
      <w:r>
        <w:t>, I. (2005). Endometrial cancer. The Lancet, 366(9484), 491–505. https://doi.org/10.1016/S0140-6736(05)67063-8</w:t>
      </w:r>
    </w:p>
    <w:p w14:paraId="76CC615E" w14:textId="77777777" w:rsidR="00541958" w:rsidRDefault="005F6D53">
      <w:r>
        <w:t>Ashburner, M., et al. (2000). Gene ontology. Nature Genetics, 25(1), 25–29. https://doi.org/10.1038/75556</w:t>
      </w:r>
    </w:p>
    <w:p w14:paraId="19C039BA" w14:textId="77777777" w:rsidR="00541958" w:rsidRDefault="005F6D53">
      <w:r>
        <w:t>Bader, G. D., &amp; Hogue, C. W. V. (2003). MCODE method. BMC Bioinformatics, 4, 2. https://doi.org/10.1186/1471-2105-4-2</w:t>
      </w:r>
    </w:p>
    <w:p w14:paraId="7E7361AB" w14:textId="77777777" w:rsidR="00541958" w:rsidRDefault="005F6D53">
      <w:r>
        <w:t>Barrett, T., et al. (2013). NCBI GEO update. Nucleic Acids Research, 41(D1), D991–D995. https://doi.org/10.1093/nar/gks1193</w:t>
      </w:r>
    </w:p>
    <w:p w14:paraId="2B76D9CE" w14:textId="77777777" w:rsidR="00541958" w:rsidRDefault="005F6D53">
      <w:proofErr w:type="spellStart"/>
      <w:r>
        <w:t>Breiman</w:t>
      </w:r>
      <w:proofErr w:type="spellEnd"/>
      <w:r>
        <w:t>, L. (2001). Random forests. Machine Learning, 45(1), 5–32. https://doi.org/10.1023/A:1010933404324</w:t>
      </w:r>
    </w:p>
    <w:p w14:paraId="098E70E8" w14:textId="77777777" w:rsidR="00541958" w:rsidRDefault="005F6D53">
      <w:r>
        <w:t xml:space="preserve">Cantrell, L. A., &amp; Blank, S. V. (2010). UCS review. </w:t>
      </w:r>
      <w:proofErr w:type="spellStart"/>
      <w:r>
        <w:t>Gynecologic</w:t>
      </w:r>
      <w:proofErr w:type="spellEnd"/>
      <w:r>
        <w:t xml:space="preserve"> Oncology, 119(3), 476–482. https://doi.org/10.1016/j.ygyno.2010.07.011</w:t>
      </w:r>
    </w:p>
    <w:p w14:paraId="388E292E" w14:textId="77777777" w:rsidR="00541958" w:rsidRDefault="005F6D53">
      <w:proofErr w:type="spellStart"/>
      <w:r>
        <w:t>Cherniack</w:t>
      </w:r>
      <w:proofErr w:type="spellEnd"/>
      <w:r>
        <w:t>, A. D., et al. (2017). UCS molecular characterization. Cancer Cell, 31(3), 411–423. https://doi.org/10.1016/j.ccell.2017.02.010</w:t>
      </w:r>
    </w:p>
    <w:p w14:paraId="40CEACB1" w14:textId="77777777" w:rsidR="00541958" w:rsidRDefault="005F6D53">
      <w:r>
        <w:t xml:space="preserve">Cortes, C., &amp; </w:t>
      </w:r>
      <w:proofErr w:type="spellStart"/>
      <w:r>
        <w:t>Vapnik</w:t>
      </w:r>
      <w:proofErr w:type="spellEnd"/>
      <w:r>
        <w:t>, V. (1995). SVM. Machine Learning, 20(3), 273–297. https://doi.org/10.1007/BF00994018</w:t>
      </w:r>
    </w:p>
    <w:p w14:paraId="53C3DA1E" w14:textId="77777777" w:rsidR="00541958" w:rsidRDefault="005F6D53">
      <w:r>
        <w:t>Cruz, J. A., &amp; Wishart, D. S. (2006). ML in cancer. Bioinformatics, 22(10), 1215–1222. https://doi.org/10.1093/bioinformatics/btl091</w:t>
      </w:r>
    </w:p>
    <w:p w14:paraId="1B93863F" w14:textId="77777777" w:rsidR="00541958" w:rsidRDefault="005F6D53">
      <w:r>
        <w:t>Edgar, R., et al. (2002). GEO database. Nucleic Acids Research, 30(1), 207–210. https://doi.org/10.1093/nar/30.1.207</w:t>
      </w:r>
    </w:p>
    <w:p w14:paraId="0591CE18" w14:textId="77777777" w:rsidR="00541958" w:rsidRDefault="005F6D53">
      <w:r>
        <w:t>Esteva, A., et al. (2019). ML in healthcare. Nature Medicine, 25(1), 24–29. https://doi.org/10.1038/s41591-018-0316-z</w:t>
      </w:r>
    </w:p>
    <w:p w14:paraId="459C32D4" w14:textId="77777777" w:rsidR="00541958" w:rsidRDefault="005F6D53">
      <w:r>
        <w:t>Goodman, R. H., &amp; Smolik, S. (2000). CBP/p300. Genes &amp; Development, 14(13), 1553–1577. https://doi.org/10.1101/gad.14.13.1553</w:t>
      </w:r>
    </w:p>
    <w:p w14:paraId="1456CD21" w14:textId="77777777" w:rsidR="00541958" w:rsidRDefault="005F6D53">
      <w:r>
        <w:t>Hanahan, D., &amp; Weinberg, R. A. (2011). Hallmarks of cancer. Cell, 144(5), 646–674. https://doi.org/10.1016/j.cell.2011.02.013</w:t>
      </w:r>
    </w:p>
    <w:p w14:paraId="610823DB" w14:textId="77777777" w:rsidR="00541958" w:rsidRDefault="005F6D53">
      <w:r>
        <w:t>Hasin, Y., et al. (2017). Multi-omics. Genome Biology, 18, 83. https://doi.org/10.1186/s13059-017-1215-1</w:t>
      </w:r>
    </w:p>
    <w:p w14:paraId="10548398" w14:textId="77777777" w:rsidR="00541958" w:rsidRDefault="005F6D53">
      <w:r>
        <w:t>Huang, D. W., et al. (2009). DAVID tools. Nature Protocols, 4(1), 44–57. https://doi.org/10.1038/nprot.2008.211</w:t>
      </w:r>
    </w:p>
    <w:p w14:paraId="15491B70" w14:textId="77777777" w:rsidR="00541958" w:rsidRDefault="005F6D53">
      <w:r>
        <w:t>Hynes, R. O. (2002). Integrins. Cell, 110(6), 673–687. https://doi.org/10.1016/S0092-8674(02)00971-6</w:t>
      </w:r>
    </w:p>
    <w:p w14:paraId="30AE5A86" w14:textId="77777777" w:rsidR="00541958" w:rsidRDefault="005F6D53">
      <w:proofErr w:type="spellStart"/>
      <w:r>
        <w:t>Kanehisa</w:t>
      </w:r>
      <w:proofErr w:type="spellEnd"/>
      <w:r>
        <w:t>, M., et al. (2021). KEGG database. Nucleic Acids Research, 49(D1), D545–D551. https://doi.org/10.1093/nar/gkaa970</w:t>
      </w:r>
    </w:p>
    <w:p w14:paraId="2BD3A16B" w14:textId="77777777" w:rsidR="00541958" w:rsidRDefault="005F6D53">
      <w:r>
        <w:t>Kourou, K., et al. (2015). ML cancer prediction. CSBJ, 13, 8–17. https://doi.org/10.1016/j.csbj.2014.11.005</w:t>
      </w:r>
    </w:p>
    <w:p w14:paraId="70E45E6F" w14:textId="77777777" w:rsidR="00541958" w:rsidRDefault="005F6D53">
      <w:r>
        <w:t>Levine, D. A. (2013). Endometrial carcinoma genomics. Nature, 497, 67–73. https://doi.org/10.1038/nature12113</w:t>
      </w:r>
    </w:p>
    <w:p w14:paraId="0407BCFE" w14:textId="77777777" w:rsidR="00541958" w:rsidRDefault="005F6D53">
      <w:r>
        <w:t>Libbrecht, M. W., &amp; Noble, W. S. (2015). ML genomics. Nat Rev Genet, 16(6), 321–332. https://doi.org/10.1038/nrg3920</w:t>
      </w:r>
    </w:p>
    <w:p w14:paraId="37EA08B5" w14:textId="77777777" w:rsidR="00541958" w:rsidRDefault="005F6D53">
      <w:r>
        <w:t>Li, T., et al. (2017). TIMER. Cancer Research, 77(21), e108–e110. https://doi.org/10.1158/0008-5472.CAN-17-0307</w:t>
      </w:r>
    </w:p>
    <w:p w14:paraId="285CD695" w14:textId="77777777" w:rsidR="00541958" w:rsidRDefault="005F6D53">
      <w:r>
        <w:t>Love, M. I., et al. (2014). DESeq2. Genome Biology, 15, 550. https://doi.org/10.1186/s13059-014-0550-8</w:t>
      </w:r>
    </w:p>
    <w:p w14:paraId="0CA0C8E8" w14:textId="77777777" w:rsidR="00541958" w:rsidRDefault="005F6D53">
      <w:r>
        <w:t>McConechy, M. K., et al. (2015). UCS profiling. J Pathol, 237(3), 357–368. https://doi.org/10.1002/path.4576</w:t>
      </w:r>
    </w:p>
    <w:p w14:paraId="0F48174B" w14:textId="77777777" w:rsidR="00541958" w:rsidRDefault="005F6D53">
      <w:r>
        <w:t xml:space="preserve">Ritchie, M. E., et al. (2015). </w:t>
      </w:r>
      <w:proofErr w:type="spellStart"/>
      <w:r>
        <w:t>Limma</w:t>
      </w:r>
      <w:proofErr w:type="spellEnd"/>
      <w:r>
        <w:t>. Nucleic Acids Research, 43(7), e47. https://doi.org/10.1093/nar/gkv007</w:t>
      </w:r>
    </w:p>
    <w:p w14:paraId="5BB255C3" w14:textId="77777777" w:rsidR="00541958" w:rsidRDefault="005F6D53">
      <w:r>
        <w:t xml:space="preserve">Robinson, M. D., et al. (2010). </w:t>
      </w:r>
      <w:proofErr w:type="spellStart"/>
      <w:r>
        <w:t>edgeR</w:t>
      </w:r>
      <w:proofErr w:type="spellEnd"/>
      <w:r>
        <w:t>. Bioinformatics, 26(1), 139–140. https://doi.org/10.1093/bioinformatics/btp616</w:t>
      </w:r>
    </w:p>
    <w:p w14:paraId="6390F88C" w14:textId="77777777" w:rsidR="00541958" w:rsidRDefault="005F6D53">
      <w:r>
        <w:t xml:space="preserve">Shannon, P., et al. (2003). </w:t>
      </w:r>
      <w:proofErr w:type="spellStart"/>
      <w:r>
        <w:t>Cytoscape</w:t>
      </w:r>
      <w:proofErr w:type="spellEnd"/>
      <w:r>
        <w:t>. Genome Research, 13(11), 2498–2504. https://doi.org/10.1101/gr.1239303</w:t>
      </w:r>
    </w:p>
    <w:p w14:paraId="4B9C037A" w14:textId="77777777" w:rsidR="00541958" w:rsidRDefault="005F6D53">
      <w:r>
        <w:t>Siegel, R. L., et al. (2023). Cancer statistics. CA Cancer J Clin, 73(1), 17–48. https://doi.org/10.3322/caac.21763</w:t>
      </w:r>
    </w:p>
    <w:p w14:paraId="3B3E3962" w14:textId="77777777" w:rsidR="00541958" w:rsidRDefault="005F6D53">
      <w:r>
        <w:t>Subramanian, A., et al. (2005). GSEA. PNAS, 102(43), 15545–15550. https://doi.org/10.1073/pnas.0506580102</w:t>
      </w:r>
    </w:p>
    <w:p w14:paraId="5D2C4B2D" w14:textId="77777777" w:rsidR="00541958" w:rsidRDefault="005F6D53">
      <w:r>
        <w:t>Szklarczyk, D., et al. (2021). STRING. Nucleic Acids Research, 49(D1), D605–D612. https://doi.org/10.1093/nar/gkaa1074</w:t>
      </w:r>
    </w:p>
    <w:p w14:paraId="074CF0BE" w14:textId="77777777" w:rsidR="00541958" w:rsidRDefault="005F6D53">
      <w:r>
        <w:t>Tang, Z., et al. (2017). GEPIA. Nucleic Acids Research, 45(W1), W98–W102. https://doi.org/10.1093/nar/gkx247</w:t>
      </w:r>
    </w:p>
    <w:p w14:paraId="2DBC5203" w14:textId="77777777" w:rsidR="00541958" w:rsidRDefault="005F6D53">
      <w:r>
        <w:t>Witten, I. H., et al. (2016). Data mining. Morgan Kaufmann.</w:t>
      </w:r>
    </w:p>
    <w:p w14:paraId="2CA2FE47" w14:textId="77777777" w:rsidR="00541958" w:rsidRDefault="005F6D53">
      <w:r>
        <w:t>Yu, H., et al. (2009). STAT3. Nat Rev Cancer, 9(11), 798–809. https://doi.org/10.1038/nrc2734</w:t>
      </w:r>
    </w:p>
    <w:p w14:paraId="0401C4AF" w14:textId="77777777" w:rsidR="00541958" w:rsidRDefault="005F6D53">
      <w:r>
        <w:t xml:space="preserve">Zhou, Y., et al. (2019). </w:t>
      </w:r>
      <w:proofErr w:type="spellStart"/>
      <w:r>
        <w:t>Metascape</w:t>
      </w:r>
      <w:proofErr w:type="spellEnd"/>
      <w:r>
        <w:t>. Nat Commun, 10, 1523. https://doi.org/10.1038/s41467-019-09234-6</w:t>
      </w:r>
    </w:p>
    <w:p w14:paraId="4A18A0F2" w14:textId="02747399" w:rsidR="000B36B9" w:rsidRDefault="000B36B9"/>
    <w:sectPr w:rsidR="000B36B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10A37"/>
    <w:multiLevelType w:val="multilevel"/>
    <w:tmpl w:val="4438A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EA7044"/>
    <w:multiLevelType w:val="multilevel"/>
    <w:tmpl w:val="6A5A7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89604A"/>
    <w:multiLevelType w:val="hybridMultilevel"/>
    <w:tmpl w:val="27C40ED8"/>
    <w:lvl w:ilvl="0" w:tplc="D0C21C2C">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15:restartNumberingAfterBreak="0">
    <w:nsid w:val="1B2F1763"/>
    <w:multiLevelType w:val="multilevel"/>
    <w:tmpl w:val="E0CED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505960"/>
    <w:multiLevelType w:val="multilevel"/>
    <w:tmpl w:val="1D5CD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1D54E1"/>
    <w:multiLevelType w:val="multilevel"/>
    <w:tmpl w:val="ED849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374BC5"/>
    <w:multiLevelType w:val="multilevel"/>
    <w:tmpl w:val="33628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15072"/>
    <w:multiLevelType w:val="hybridMultilevel"/>
    <w:tmpl w:val="4D0656C8"/>
    <w:lvl w:ilvl="0" w:tplc="9C3C1336">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EAD4EBF"/>
    <w:multiLevelType w:val="multilevel"/>
    <w:tmpl w:val="82FEB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B34987"/>
    <w:multiLevelType w:val="multilevel"/>
    <w:tmpl w:val="113205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642316"/>
    <w:multiLevelType w:val="multilevel"/>
    <w:tmpl w:val="555E5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263D8F"/>
    <w:multiLevelType w:val="multilevel"/>
    <w:tmpl w:val="CF8CD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804A64"/>
    <w:multiLevelType w:val="multilevel"/>
    <w:tmpl w:val="3774E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647D4C"/>
    <w:multiLevelType w:val="multilevel"/>
    <w:tmpl w:val="1F1CC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2A508C"/>
    <w:multiLevelType w:val="multilevel"/>
    <w:tmpl w:val="BFE42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457896"/>
    <w:multiLevelType w:val="multilevel"/>
    <w:tmpl w:val="E168D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DC123E"/>
    <w:multiLevelType w:val="multilevel"/>
    <w:tmpl w:val="02B2A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B2173D7"/>
    <w:multiLevelType w:val="multilevel"/>
    <w:tmpl w:val="7DB04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C5518C"/>
    <w:multiLevelType w:val="hybridMultilevel"/>
    <w:tmpl w:val="C4964EEC"/>
    <w:lvl w:ilvl="0" w:tplc="99664E2E">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24165694">
    <w:abstractNumId w:val="4"/>
  </w:num>
  <w:num w:numId="2" w16cid:durableId="538973145">
    <w:abstractNumId w:val="17"/>
  </w:num>
  <w:num w:numId="3" w16cid:durableId="1196384857">
    <w:abstractNumId w:val="3"/>
  </w:num>
  <w:num w:numId="4" w16cid:durableId="803430676">
    <w:abstractNumId w:val="6"/>
  </w:num>
  <w:num w:numId="5" w16cid:durableId="69549815">
    <w:abstractNumId w:val="1"/>
  </w:num>
  <w:num w:numId="6" w16cid:durableId="542863263">
    <w:abstractNumId w:val="13"/>
  </w:num>
  <w:num w:numId="7" w16cid:durableId="2025283879">
    <w:abstractNumId w:val="16"/>
  </w:num>
  <w:num w:numId="8" w16cid:durableId="1375885729">
    <w:abstractNumId w:val="14"/>
  </w:num>
  <w:num w:numId="9" w16cid:durableId="1797210924">
    <w:abstractNumId w:val="12"/>
  </w:num>
  <w:num w:numId="10" w16cid:durableId="653531718">
    <w:abstractNumId w:val="10"/>
  </w:num>
  <w:num w:numId="11" w16cid:durableId="1550264456">
    <w:abstractNumId w:val="5"/>
  </w:num>
  <w:num w:numId="12" w16cid:durableId="1272397399">
    <w:abstractNumId w:val="8"/>
  </w:num>
  <w:num w:numId="13" w16cid:durableId="2087989528">
    <w:abstractNumId w:val="15"/>
  </w:num>
  <w:num w:numId="14" w16cid:durableId="52586582">
    <w:abstractNumId w:val="9"/>
  </w:num>
  <w:num w:numId="15" w16cid:durableId="247427748">
    <w:abstractNumId w:val="0"/>
  </w:num>
  <w:num w:numId="16" w16cid:durableId="748233609">
    <w:abstractNumId w:val="11"/>
  </w:num>
  <w:num w:numId="17" w16cid:durableId="1680618424">
    <w:abstractNumId w:val="18"/>
  </w:num>
  <w:num w:numId="18" w16cid:durableId="865678518">
    <w:abstractNumId w:val="2"/>
  </w:num>
  <w:num w:numId="19" w16cid:durableId="19871228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86"/>
  <w:proofState w:spelling="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781"/>
    <w:rsid w:val="000B36B9"/>
    <w:rsid w:val="000C077E"/>
    <w:rsid w:val="000C26A1"/>
    <w:rsid w:val="000D666E"/>
    <w:rsid w:val="0013589D"/>
    <w:rsid w:val="00182874"/>
    <w:rsid w:val="001A2AFC"/>
    <w:rsid w:val="00206BC8"/>
    <w:rsid w:val="00322849"/>
    <w:rsid w:val="00395B8C"/>
    <w:rsid w:val="003B6101"/>
    <w:rsid w:val="004524C6"/>
    <w:rsid w:val="004F2BD8"/>
    <w:rsid w:val="00541958"/>
    <w:rsid w:val="005C0781"/>
    <w:rsid w:val="005F6D53"/>
    <w:rsid w:val="00676B1A"/>
    <w:rsid w:val="006A4965"/>
    <w:rsid w:val="006B4DA0"/>
    <w:rsid w:val="006D25F0"/>
    <w:rsid w:val="007763AF"/>
    <w:rsid w:val="00781E1E"/>
    <w:rsid w:val="00832A8D"/>
    <w:rsid w:val="00856A5A"/>
    <w:rsid w:val="008716F7"/>
    <w:rsid w:val="008D63B2"/>
    <w:rsid w:val="00A24101"/>
    <w:rsid w:val="00A626EB"/>
    <w:rsid w:val="00B30C49"/>
    <w:rsid w:val="00B87F1A"/>
    <w:rsid w:val="00BB6EC1"/>
    <w:rsid w:val="00C4162B"/>
    <w:rsid w:val="00CA392A"/>
    <w:rsid w:val="00CA627C"/>
    <w:rsid w:val="00CA7AC1"/>
    <w:rsid w:val="00CF0549"/>
    <w:rsid w:val="00D173D6"/>
    <w:rsid w:val="00D317DA"/>
    <w:rsid w:val="00D5561D"/>
    <w:rsid w:val="00D64377"/>
    <w:rsid w:val="00E33F92"/>
    <w:rsid w:val="00E34C49"/>
    <w:rsid w:val="00E83BA8"/>
    <w:rsid w:val="00ED0C40"/>
    <w:rsid w:val="00F2494A"/>
    <w:rsid w:val="00F8428D"/>
    <w:rsid w:val="00FF51F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4:docId w14:val="10905246"/>
  <w15:chartTrackingRefBased/>
  <w15:docId w15:val="{57567CB5-370E-4504-843B-667BA6AE1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078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C078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C078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C078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C078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C078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078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078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078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078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C078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C078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C078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C078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C078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078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078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0781"/>
    <w:rPr>
      <w:rFonts w:eastAsiaTheme="majorEastAsia" w:cstheme="majorBidi"/>
      <w:color w:val="272727" w:themeColor="text1" w:themeTint="D8"/>
    </w:rPr>
  </w:style>
  <w:style w:type="paragraph" w:styleId="Title">
    <w:name w:val="Title"/>
    <w:basedOn w:val="Normal"/>
    <w:next w:val="Normal"/>
    <w:link w:val="TitleChar"/>
    <w:uiPriority w:val="10"/>
    <w:qFormat/>
    <w:rsid w:val="005C07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07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078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078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0781"/>
    <w:pPr>
      <w:spacing w:before="160"/>
      <w:jc w:val="center"/>
    </w:pPr>
    <w:rPr>
      <w:i/>
      <w:iCs/>
      <w:color w:val="404040" w:themeColor="text1" w:themeTint="BF"/>
    </w:rPr>
  </w:style>
  <w:style w:type="character" w:customStyle="1" w:styleId="QuoteChar">
    <w:name w:val="Quote Char"/>
    <w:basedOn w:val="DefaultParagraphFont"/>
    <w:link w:val="Quote"/>
    <w:uiPriority w:val="29"/>
    <w:rsid w:val="005C0781"/>
    <w:rPr>
      <w:i/>
      <w:iCs/>
      <w:color w:val="404040" w:themeColor="text1" w:themeTint="BF"/>
    </w:rPr>
  </w:style>
  <w:style w:type="paragraph" w:styleId="ListParagraph">
    <w:name w:val="List Paragraph"/>
    <w:basedOn w:val="Normal"/>
    <w:uiPriority w:val="34"/>
    <w:qFormat/>
    <w:rsid w:val="005C0781"/>
    <w:pPr>
      <w:ind w:left="720"/>
      <w:contextualSpacing/>
    </w:pPr>
  </w:style>
  <w:style w:type="character" w:styleId="IntenseEmphasis">
    <w:name w:val="Intense Emphasis"/>
    <w:basedOn w:val="DefaultParagraphFont"/>
    <w:uiPriority w:val="21"/>
    <w:qFormat/>
    <w:rsid w:val="005C0781"/>
    <w:rPr>
      <w:i/>
      <w:iCs/>
      <w:color w:val="0F4761" w:themeColor="accent1" w:themeShade="BF"/>
    </w:rPr>
  </w:style>
  <w:style w:type="paragraph" w:styleId="IntenseQuote">
    <w:name w:val="Intense Quote"/>
    <w:basedOn w:val="Normal"/>
    <w:next w:val="Normal"/>
    <w:link w:val="IntenseQuoteChar"/>
    <w:uiPriority w:val="30"/>
    <w:qFormat/>
    <w:rsid w:val="005C07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0781"/>
    <w:rPr>
      <w:i/>
      <w:iCs/>
      <w:color w:val="0F4761" w:themeColor="accent1" w:themeShade="BF"/>
    </w:rPr>
  </w:style>
  <w:style w:type="character" w:styleId="IntenseReference">
    <w:name w:val="Intense Reference"/>
    <w:basedOn w:val="DefaultParagraphFont"/>
    <w:uiPriority w:val="32"/>
    <w:qFormat/>
    <w:rsid w:val="005C0781"/>
    <w:rPr>
      <w:b/>
      <w:bCs/>
      <w:smallCaps/>
      <w:color w:val="0F4761" w:themeColor="accent1" w:themeShade="BF"/>
      <w:spacing w:val="5"/>
    </w:rPr>
  </w:style>
  <w:style w:type="paragraph" w:styleId="NormalWeb">
    <w:name w:val="Normal (Web)"/>
    <w:basedOn w:val="Normal"/>
    <w:uiPriority w:val="99"/>
    <w:semiHidden/>
    <w:unhideWhenUsed/>
    <w:rsid w:val="001A2AFC"/>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 /><Relationship Id="rId13" Type="http://schemas.openxmlformats.org/officeDocument/2006/relationships/image" Target="media/image9.jpeg" /><Relationship Id="rId18" Type="http://schemas.openxmlformats.org/officeDocument/2006/relationships/image" Target="media/image14.jpeg" /><Relationship Id="rId3" Type="http://schemas.openxmlformats.org/officeDocument/2006/relationships/settings" Target="settings.xml" /><Relationship Id="rId21" Type="http://schemas.openxmlformats.org/officeDocument/2006/relationships/theme" Target="theme/theme1.xml" /><Relationship Id="rId7" Type="http://schemas.openxmlformats.org/officeDocument/2006/relationships/image" Target="media/image3.png" /><Relationship Id="rId12" Type="http://schemas.openxmlformats.org/officeDocument/2006/relationships/image" Target="media/image8.jpeg" /><Relationship Id="rId17" Type="http://schemas.openxmlformats.org/officeDocument/2006/relationships/image" Target="media/image13.jpeg" /><Relationship Id="rId2" Type="http://schemas.openxmlformats.org/officeDocument/2006/relationships/styles" Target="styles.xml" /><Relationship Id="rId16" Type="http://schemas.openxmlformats.org/officeDocument/2006/relationships/image" Target="media/image12.jpeg" /><Relationship Id="rId20"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image" Target="media/image2.png" /><Relationship Id="rId11" Type="http://schemas.openxmlformats.org/officeDocument/2006/relationships/image" Target="media/image7.png" /><Relationship Id="rId5" Type="http://schemas.openxmlformats.org/officeDocument/2006/relationships/image" Target="media/image1.png" /><Relationship Id="rId15" Type="http://schemas.openxmlformats.org/officeDocument/2006/relationships/image" Target="media/image11.jpeg" /><Relationship Id="rId10" Type="http://schemas.openxmlformats.org/officeDocument/2006/relationships/image" Target="media/image6.png" /><Relationship Id="rId19" Type="http://schemas.openxmlformats.org/officeDocument/2006/relationships/image" Target="media/image15.jpeg" /><Relationship Id="rId4" Type="http://schemas.openxmlformats.org/officeDocument/2006/relationships/webSettings" Target="webSettings.xml" /><Relationship Id="rId9" Type="http://schemas.openxmlformats.org/officeDocument/2006/relationships/image" Target="media/image5.png" /><Relationship Id="rId14" Type="http://schemas.openxmlformats.org/officeDocument/2006/relationships/image" Target="media/image10.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3614</Words>
  <Characters>20604</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Gauri Suresh</dc:creator>
  <cp:keywords/>
  <dc:description/>
  <cp:lastModifiedBy>Gauri Suresh</cp:lastModifiedBy>
  <cp:revision>2</cp:revision>
  <dcterms:created xsi:type="dcterms:W3CDTF">2026-04-25T02:19:00Z</dcterms:created>
  <dcterms:modified xsi:type="dcterms:W3CDTF">2026-04-25T02:19:00Z</dcterms:modified>
</cp:coreProperties>
</file>