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6EF0" w14:textId="77777777" w:rsidR="00A411F4" w:rsidRPr="001D252E" w:rsidRDefault="00A411F4" w:rsidP="00F44221">
      <w:pPr>
        <w:widowControl w:val="0"/>
        <w:pBdr>
          <w:top w:val="nil"/>
          <w:left w:val="nil"/>
          <w:bottom w:val="nil"/>
          <w:right w:val="nil"/>
          <w:between w:val="nil"/>
        </w:pBdr>
        <w:spacing w:line="240" w:lineRule="auto"/>
        <w:rPr>
          <w:rFonts w:eastAsia="Arial"/>
          <w:color w:val="000000" w:themeColor="text1"/>
          <w:sz w:val="28"/>
          <w:szCs w:val="28"/>
        </w:rPr>
      </w:pPr>
    </w:p>
    <w:tbl>
      <w:tblPr>
        <w:tblStyle w:val="a"/>
        <w:tblW w:w="4856" w:type="pct"/>
        <w:tblLayout w:type="fixed"/>
        <w:tblLook w:val="0400" w:firstRow="0" w:lastRow="0" w:firstColumn="0" w:lastColumn="0" w:noHBand="0" w:noVBand="1"/>
      </w:tblPr>
      <w:tblGrid>
        <w:gridCol w:w="336"/>
        <w:gridCol w:w="320"/>
        <w:gridCol w:w="9497"/>
        <w:gridCol w:w="235"/>
      </w:tblGrid>
      <w:tr w:rsidR="006F163E" w:rsidRPr="001D252E" w14:paraId="43E01256" w14:textId="77777777" w:rsidTr="00413C46">
        <w:trPr>
          <w:trHeight w:val="2134"/>
        </w:trPr>
        <w:tc>
          <w:tcPr>
            <w:tcW w:w="5000" w:type="pct"/>
            <w:gridSpan w:val="4"/>
          </w:tcPr>
          <w:p w14:paraId="513F2BB8" w14:textId="2FF5D634" w:rsidR="003113DD" w:rsidRPr="001D252E" w:rsidRDefault="00C44ACD" w:rsidP="00F44221">
            <w:pPr>
              <w:pBdr>
                <w:top w:val="nil"/>
                <w:left w:val="nil"/>
                <w:bottom w:val="nil"/>
                <w:right w:val="nil"/>
                <w:between w:val="nil"/>
              </w:pBdr>
              <w:spacing w:line="240" w:lineRule="auto"/>
              <w:jc w:val="center"/>
              <w:rPr>
                <w:rFonts w:eastAsia="Georgia"/>
                <w:b/>
                <w:bCs/>
                <w:color w:val="000000" w:themeColor="text1"/>
                <w:sz w:val="36"/>
                <w:szCs w:val="36"/>
                <w:lang w:val="fil-PH"/>
              </w:rPr>
            </w:pPr>
            <w:bookmarkStart w:id="0" w:name="_Hlk91407808"/>
            <w:r w:rsidRPr="001D252E">
              <w:rPr>
                <w:rFonts w:eastAsia="Georgia"/>
                <w:b/>
                <w:bCs/>
                <w:color w:val="000000" w:themeColor="text1"/>
                <w:sz w:val="36"/>
                <w:szCs w:val="36"/>
                <w:lang w:val="fil-PH"/>
              </w:rPr>
              <w:t>Factors Influencing The Numerical and Reading Abilities of Grade 3 Learners In Selected Elementary Schools</w:t>
            </w:r>
          </w:p>
          <w:p w14:paraId="0C1EBBD6" w14:textId="77777777" w:rsidR="003113DD" w:rsidRPr="001D252E" w:rsidRDefault="003113DD" w:rsidP="00F44221">
            <w:pPr>
              <w:pBdr>
                <w:top w:val="nil"/>
                <w:left w:val="nil"/>
                <w:bottom w:val="nil"/>
                <w:right w:val="nil"/>
                <w:between w:val="nil"/>
              </w:pBdr>
              <w:spacing w:line="240" w:lineRule="auto"/>
              <w:ind w:left="311" w:hanging="198"/>
              <w:jc w:val="center"/>
              <w:rPr>
                <w:b/>
                <w:bCs/>
                <w:color w:val="000000" w:themeColor="text1"/>
                <w:sz w:val="28"/>
                <w:szCs w:val="28"/>
                <w:lang w:val="en-PH"/>
              </w:rPr>
            </w:pPr>
          </w:p>
          <w:p w14:paraId="751BBF66" w14:textId="1E645D42" w:rsidR="003113DD" w:rsidRPr="00F44221" w:rsidRDefault="00C44ACD" w:rsidP="00F44221">
            <w:pPr>
              <w:pBdr>
                <w:top w:val="nil"/>
                <w:left w:val="nil"/>
                <w:bottom w:val="nil"/>
                <w:right w:val="nil"/>
                <w:between w:val="nil"/>
              </w:pBdr>
              <w:spacing w:line="240" w:lineRule="auto"/>
              <w:ind w:left="311" w:hanging="198"/>
              <w:jc w:val="center"/>
              <w:rPr>
                <w:color w:val="000000" w:themeColor="text1"/>
                <w:lang w:val="en-PH"/>
              </w:rPr>
            </w:pPr>
            <w:proofErr w:type="spellStart"/>
            <w:r w:rsidRPr="00F44221">
              <w:rPr>
                <w:color w:val="000000" w:themeColor="text1"/>
                <w:lang w:val="en-PH"/>
              </w:rPr>
              <w:t/>
            </w:r>
            <w:proofErr w:type="spellEnd"/>
            <w:r w:rsidRPr="00F44221">
              <w:rPr>
                <w:color w:val="000000" w:themeColor="text1"/>
                <w:lang w:val="en-PH"/>
              </w:rPr>
              <w:t xml:space="preserve"/>
            </w:r>
            <w:r w:rsidR="004252B6">
              <w:rPr>
                <w:color w:val="000000" w:themeColor="text1"/>
                <w:lang w:val="en-PH"/>
              </w:rPr>
              <w:t xml:space="preserve"/>
            </w:r>
            <w:r w:rsidRPr="00F44221">
              <w:rPr>
                <w:color w:val="000000" w:themeColor="text1"/>
                <w:lang w:val="en-PH"/>
              </w:rPr>
              <w:t/>
            </w:r>
            <w:bookmarkEnd w:id="0"/>
          </w:p>
          <w:p w14:paraId="53998715" w14:textId="47D0874A" w:rsidR="00751EAC" w:rsidRPr="001D252E" w:rsidRDefault="001D252E" w:rsidP="00F44221">
            <w:pPr>
              <w:pBdr>
                <w:top w:val="nil"/>
                <w:left w:val="nil"/>
                <w:bottom w:val="nil"/>
                <w:right w:val="nil"/>
                <w:between w:val="nil"/>
              </w:pBdr>
              <w:spacing w:line="240" w:lineRule="auto"/>
              <w:jc w:val="center"/>
              <w:rPr>
                <w:color w:val="000000" w:themeColor="text1"/>
                <w:sz w:val="28"/>
                <w:szCs w:val="28"/>
                <w:lang w:val="en-PH"/>
              </w:rPr>
            </w:pPr>
            <w:bookmarkStart w:id="1" w:name="_Hlk145846107"/>
            <w:r w:rsidRPr="00F44221">
              <w:rPr>
                <w:rFonts w:eastAsia="Georgia"/>
                <w:color w:val="000000" w:themeColor="text1"/>
                <w:vertAlign w:val="superscript"/>
                <w:lang w:val="en-PH"/>
              </w:rPr>
              <w:t/>
            </w:r>
            <w:r w:rsidRPr="00F44221">
              <w:rPr>
                <w:rFonts w:eastAsia="Georgia"/>
                <w:color w:val="000000" w:themeColor="text1"/>
                <w:lang w:val="en-PH"/>
              </w:rPr>
              <w:t xml:space="preserve"/>
            </w:r>
            <w:r w:rsidRPr="00F44221">
              <w:rPr>
                <w:rFonts w:eastAsia="Georgia"/>
                <w:color w:val="000000" w:themeColor="text1"/>
              </w:rPr>
              <w:t/>
            </w:r>
            <w:bookmarkEnd w:id="1"/>
            <w:r w:rsidR="00413C46" w:rsidRPr="00F44221">
              <w:rPr>
                <w:rFonts w:eastAsia="Georgia"/>
                <w:color w:val="000000" w:themeColor="text1"/>
              </w:rPr>
              <w:t xml:space="preserve"/>
            </w:r>
          </w:p>
        </w:tc>
      </w:tr>
      <w:tr w:rsidR="006F163E" w:rsidRPr="001D252E" w14:paraId="6AE0CB9C" w14:textId="77777777" w:rsidTr="00413C46">
        <w:trPr>
          <w:gridAfter w:val="1"/>
          <w:wAfter w:w="114" w:type="pct"/>
          <w:trHeight w:val="369"/>
        </w:trPr>
        <w:tc>
          <w:tcPr>
            <w:tcW w:w="162" w:type="pct"/>
          </w:tcPr>
          <w:p w14:paraId="6F568774" w14:textId="77777777" w:rsidR="003113DD" w:rsidRPr="001D252E" w:rsidRDefault="003113DD" w:rsidP="00F44221">
            <w:pPr>
              <w:pBdr>
                <w:top w:val="nil"/>
                <w:left w:val="nil"/>
                <w:bottom w:val="nil"/>
                <w:right w:val="nil"/>
                <w:between w:val="nil"/>
              </w:pBdr>
              <w:spacing w:line="240" w:lineRule="auto"/>
              <w:rPr>
                <w:rFonts w:eastAsia="Georgia"/>
                <w:b/>
                <w:color w:val="000000" w:themeColor="text1"/>
                <w:sz w:val="28"/>
                <w:szCs w:val="28"/>
              </w:rPr>
            </w:pPr>
          </w:p>
        </w:tc>
        <w:tc>
          <w:tcPr>
            <w:tcW w:w="154" w:type="pct"/>
          </w:tcPr>
          <w:p w14:paraId="72279519" w14:textId="77777777" w:rsidR="003113DD" w:rsidRPr="001D252E" w:rsidRDefault="003113DD" w:rsidP="00F44221">
            <w:pPr>
              <w:pBdr>
                <w:top w:val="nil"/>
                <w:left w:val="nil"/>
                <w:bottom w:val="nil"/>
                <w:right w:val="nil"/>
                <w:between w:val="nil"/>
              </w:pBdr>
              <w:spacing w:line="240" w:lineRule="auto"/>
              <w:rPr>
                <w:rFonts w:eastAsia="Georgia"/>
                <w:b/>
                <w:color w:val="000000" w:themeColor="text1"/>
                <w:sz w:val="28"/>
                <w:szCs w:val="28"/>
              </w:rPr>
            </w:pPr>
          </w:p>
        </w:tc>
        <w:tc>
          <w:tcPr>
            <w:tcW w:w="4571" w:type="pct"/>
          </w:tcPr>
          <w:p w14:paraId="062C41B1" w14:textId="60A23276" w:rsidR="003113DD" w:rsidRPr="001D252E" w:rsidRDefault="003113DD" w:rsidP="00F44221">
            <w:pPr>
              <w:pBdr>
                <w:top w:val="nil"/>
                <w:left w:val="nil"/>
                <w:bottom w:val="nil"/>
                <w:right w:val="nil"/>
                <w:between w:val="nil"/>
              </w:pBdr>
              <w:spacing w:line="240" w:lineRule="auto"/>
              <w:rPr>
                <w:rFonts w:eastAsia="Georgia"/>
                <w:b/>
                <w:color w:val="000000" w:themeColor="text1"/>
                <w:sz w:val="28"/>
                <w:szCs w:val="28"/>
              </w:rPr>
            </w:pPr>
          </w:p>
        </w:tc>
      </w:tr>
    </w:tbl>
    <w:p w14:paraId="45EC6679" w14:textId="7C5BE8F3" w:rsidR="0087283C" w:rsidRPr="00971CE4" w:rsidRDefault="00971CE4" w:rsidP="00F44221">
      <w:pPr>
        <w:spacing w:line="240" w:lineRule="auto"/>
        <w:jc w:val="left"/>
        <w:rPr>
          <w:rFonts w:eastAsia="Georgia"/>
          <w:b/>
          <w:iCs/>
          <w:color w:val="000000" w:themeColor="text1"/>
          <w:sz w:val="28"/>
          <w:szCs w:val="28"/>
        </w:rPr>
      </w:pPr>
      <w:r w:rsidRPr="00971CE4">
        <w:rPr>
          <w:rFonts w:eastAsia="Georgia"/>
          <w:b/>
          <w:iCs/>
          <w:color w:val="000000" w:themeColor="text1"/>
          <w:sz w:val="28"/>
          <w:szCs w:val="28"/>
        </w:rPr>
        <w:t>ABSTRACT</w:t>
      </w:r>
    </w:p>
    <w:p w14:paraId="0E6746EB" w14:textId="77777777" w:rsidR="00413C46" w:rsidRDefault="00413C46" w:rsidP="00F44221">
      <w:pPr>
        <w:spacing w:line="240" w:lineRule="auto"/>
        <w:rPr>
          <w:rFonts w:eastAsia="Georgia"/>
          <w:b/>
          <w:iCs/>
          <w:color w:val="000000" w:themeColor="text1"/>
          <w:sz w:val="28"/>
          <w:szCs w:val="28"/>
        </w:rPr>
      </w:pPr>
    </w:p>
    <w:p w14:paraId="2E39D47D" w14:textId="77777777" w:rsidR="00413C46" w:rsidRPr="00413C46" w:rsidRDefault="00413C46" w:rsidP="00F44221">
      <w:pPr>
        <w:spacing w:line="240" w:lineRule="auto"/>
        <w:ind w:firstLine="720"/>
        <w:rPr>
          <w:rFonts w:eastAsia="Georgia"/>
          <w:bCs/>
          <w:iCs/>
          <w:color w:val="000000" w:themeColor="text1"/>
        </w:rPr>
      </w:pPr>
      <w:r w:rsidRPr="00413C46">
        <w:rPr>
          <w:rFonts w:eastAsia="Georgia"/>
          <w:bCs/>
          <w:iCs/>
          <w:color w:val="000000" w:themeColor="text1"/>
        </w:rPr>
        <w:t>This study evaluated the numerical and reading abilities of Grade 3 learners in rural and urban schools in Caramoan South District. Specifically, it aimed to (1) determine the numerical and reading abilities of Grade 3 learners across urban and rural school categories; (2) assess the physical learning environment in terms of school buildings, building condition, building materials, room condition, number of makeshift rooms, usable furniture, and other school facilities; (3) determine the social environment in terms of parental involvement and peer influence; (4) describe the socio-economic status of learners in terms of parents’ educational attainment, family income, and family size; and (5) examine the influence of physical learning environment, social environment, socio-economic status, and school location on learners’ numerical and reading abilities. A two-stage sampling design was employed, using stratified random sampling to classify schools into urban and rural categories, followed by simple random sampling to select Grade 3 learner-respondents, ensuring proportional representation across school settings.</w:t>
      </w:r>
    </w:p>
    <w:p w14:paraId="7B9980BF" w14:textId="77777777" w:rsidR="00413C46" w:rsidRPr="00413C46" w:rsidRDefault="00413C46" w:rsidP="00F44221">
      <w:pPr>
        <w:spacing w:line="240" w:lineRule="auto"/>
        <w:ind w:firstLine="720"/>
        <w:rPr>
          <w:rFonts w:eastAsia="Georgia"/>
          <w:bCs/>
          <w:iCs/>
          <w:color w:val="000000" w:themeColor="text1"/>
        </w:rPr>
      </w:pPr>
      <w:r w:rsidRPr="00413C46">
        <w:rPr>
          <w:rFonts w:eastAsia="Georgia"/>
          <w:bCs/>
          <w:iCs/>
          <w:color w:val="000000" w:themeColor="text1"/>
        </w:rPr>
        <w:t>Data were gathered using a structured researcher-made questionnaire and secondary data from standardized assessments. The data were analyzed using descriptive statistics and Linear Mixed Models to account for clustering of learners within schools. Results revealed that the physical learning environment had a significant negative effect on numerical abilities, while parental involvement and school location were significant predictors. In addition, family size showed a negative significant relationship with numeracy. For reading abilities, only the physical learning environment emerged as a significant factor, while other variables were not statistically significant.</w:t>
      </w:r>
    </w:p>
    <w:p w14:paraId="5EE49C36" w14:textId="0266710D" w:rsidR="00413C46" w:rsidRDefault="00413C46" w:rsidP="00F44221">
      <w:pPr>
        <w:spacing w:line="240" w:lineRule="auto"/>
        <w:ind w:firstLine="720"/>
        <w:rPr>
          <w:rFonts w:eastAsia="Georgia"/>
          <w:bCs/>
          <w:iCs/>
          <w:color w:val="000000" w:themeColor="text1"/>
        </w:rPr>
      </w:pPr>
      <w:r>
        <w:rPr>
          <w:rFonts w:eastAsia="Georgia"/>
          <w:bCs/>
          <w:iCs/>
          <w:color w:val="000000" w:themeColor="text1"/>
        </w:rPr>
        <w:t>T</w:t>
      </w:r>
      <w:r w:rsidRPr="00413C46">
        <w:rPr>
          <w:rFonts w:eastAsia="Georgia"/>
          <w:bCs/>
          <w:iCs/>
          <w:color w:val="000000" w:themeColor="text1"/>
        </w:rPr>
        <w:t>he findings indicate that both school-based and home-based factors influence learners’ academic performance in numeracy and reading. It is concluded that improving school facilities and strengthening parental involvement are essential in enhancing learner outcomes. The study recommends that education stakeholders prioritize upgrading physical learning conditions, enhance family engagement programs, and implement targeted interventions for learners with low numeracy and reading performance.</w:t>
      </w:r>
    </w:p>
    <w:p w14:paraId="123B5EB9" w14:textId="77777777" w:rsidR="00F44221" w:rsidRPr="00413C46" w:rsidRDefault="00F44221" w:rsidP="00F44221">
      <w:pPr>
        <w:spacing w:line="240" w:lineRule="auto"/>
        <w:rPr>
          <w:rFonts w:eastAsia="Georgia"/>
          <w:bCs/>
          <w:iCs/>
          <w:color w:val="000000" w:themeColor="text1"/>
        </w:rPr>
      </w:pPr>
    </w:p>
    <w:p w14:paraId="3C524A59" w14:textId="1060C5EC" w:rsidR="00413C46" w:rsidRDefault="0026764D" w:rsidP="00F44221">
      <w:pPr>
        <w:spacing w:line="240" w:lineRule="auto"/>
        <w:rPr>
          <w:rFonts w:eastAsia="Georgia"/>
          <w:bCs/>
          <w:i/>
          <w:color w:val="000000" w:themeColor="text1"/>
        </w:rPr>
      </w:pPr>
      <w:r w:rsidRPr="00F44221">
        <w:rPr>
          <w:rFonts w:eastAsia="Georgia"/>
          <w:b/>
          <w:iCs/>
          <w:color w:val="000000" w:themeColor="text1"/>
        </w:rPr>
        <w:t>Keywords:</w:t>
      </w:r>
      <w:r w:rsidRPr="0026764D">
        <w:rPr>
          <w:rFonts w:eastAsia="Georgia"/>
          <w:bCs/>
          <w:i/>
          <w:color w:val="000000" w:themeColor="text1"/>
        </w:rPr>
        <w:t xml:space="preserve"> </w:t>
      </w:r>
      <w:r w:rsidRPr="00F44221">
        <w:rPr>
          <w:rFonts w:eastAsia="Georgia"/>
          <w:bCs/>
          <w:iCs/>
          <w:color w:val="000000" w:themeColor="text1"/>
        </w:rPr>
        <w:t>numerical ability, reading ability, physical learning environment, parental involvement, socio-economic status</w:t>
      </w:r>
    </w:p>
    <w:p w14:paraId="7DF3414B" w14:textId="77777777" w:rsidR="00433632" w:rsidRPr="0026764D" w:rsidRDefault="00433632" w:rsidP="00F44221">
      <w:pPr>
        <w:spacing w:line="240" w:lineRule="auto"/>
        <w:rPr>
          <w:rFonts w:eastAsia="Georgia"/>
          <w:bCs/>
          <w:i/>
          <w:color w:val="000000" w:themeColor="text1"/>
        </w:rPr>
      </w:pPr>
    </w:p>
    <w:p w14:paraId="742F7B1D" w14:textId="549201D9" w:rsidR="00A91171" w:rsidRDefault="00971CE4" w:rsidP="00F44221">
      <w:pPr>
        <w:spacing w:line="240" w:lineRule="auto"/>
        <w:rPr>
          <w:rFonts w:eastAsia="Georgia"/>
          <w:b/>
          <w:iCs/>
          <w:color w:val="000000" w:themeColor="text1"/>
          <w:sz w:val="28"/>
          <w:szCs w:val="28"/>
        </w:rPr>
      </w:pPr>
      <w:r w:rsidRPr="001D252E">
        <w:rPr>
          <w:rFonts w:eastAsia="Georgia"/>
          <w:b/>
          <w:iCs/>
          <w:color w:val="000000" w:themeColor="text1"/>
          <w:sz w:val="28"/>
          <w:szCs w:val="28"/>
        </w:rPr>
        <w:t>INTRODUCTION</w:t>
      </w:r>
      <w:bookmarkStart w:id="2" w:name="OLE_LINK1"/>
      <w:bookmarkStart w:id="3" w:name="OLE_LINK2"/>
    </w:p>
    <w:p w14:paraId="62CE75F0" w14:textId="77777777" w:rsidR="00F44221" w:rsidRDefault="00F44221" w:rsidP="00F44221">
      <w:pPr>
        <w:spacing w:line="240" w:lineRule="auto"/>
        <w:rPr>
          <w:rFonts w:eastAsia="Georgia"/>
          <w:b/>
          <w:iCs/>
          <w:color w:val="000000" w:themeColor="text1"/>
          <w:sz w:val="28"/>
          <w:szCs w:val="28"/>
        </w:rPr>
      </w:pPr>
    </w:p>
    <w:bookmarkEnd w:id="2"/>
    <w:bookmarkEnd w:id="3"/>
    <w:p w14:paraId="1C1DB675" w14:textId="3AED6D76" w:rsidR="00F44221" w:rsidRPr="00F44221" w:rsidRDefault="00E46208" w:rsidP="00F44221">
      <w:pPr>
        <w:spacing w:line="240" w:lineRule="auto"/>
        <w:rPr>
          <w:rFonts w:eastAsia="Georgia"/>
          <w:bCs/>
          <w:iCs/>
          <w:color w:val="000000" w:themeColor="text1"/>
          <w:lang w:bidi="en-US"/>
        </w:rPr>
      </w:pPr>
      <w:r w:rsidRPr="00F44221">
        <w:rPr>
          <w:rFonts w:eastAsia="Georgia"/>
          <w:bCs/>
          <w:iCs/>
          <w:color w:val="000000" w:themeColor="text1"/>
          <w:lang w:bidi="en-US"/>
        </w:rPr>
        <w:t>Poor performance in numeracy and reading continues to be a pressing educational concern in the Philippines, as consistently reflected in both national and international assessments. Recent reports, including the Second Congressional Commission on Education (EDCOM II), reveal that many Filipino learners continue to struggle with grade-level competencies despite literacy and numeracy interventions (</w:t>
      </w:r>
      <w:proofErr w:type="spellStart"/>
      <w:r w:rsidRPr="00F44221">
        <w:rPr>
          <w:rFonts w:eastAsia="Georgia"/>
          <w:bCs/>
          <w:iCs/>
          <w:color w:val="000000" w:themeColor="text1"/>
          <w:lang w:bidi="en-US"/>
        </w:rPr>
        <w:t>Loquere</w:t>
      </w:r>
      <w:proofErr w:type="spellEnd"/>
      <w:r w:rsidRPr="00F44221">
        <w:rPr>
          <w:rFonts w:eastAsia="Georgia"/>
          <w:bCs/>
          <w:iCs/>
          <w:color w:val="000000" w:themeColor="text1"/>
          <w:lang w:bidi="en-US"/>
        </w:rPr>
        <w:t xml:space="preserve"> et al., 2026). Numeracy and reading are foundational skills that significantly influence learners’ academic achievement and their ability to function effectively in society (Minoza et al., 2025; Pratiwi et al., 2025). Deficiencies in these competencies may lead to long-term academic difficulties and limited social participation (</w:t>
      </w:r>
      <w:proofErr w:type="spellStart"/>
      <w:r w:rsidRPr="00F44221">
        <w:rPr>
          <w:rFonts w:eastAsia="Georgia"/>
          <w:bCs/>
          <w:iCs/>
          <w:color w:val="000000" w:themeColor="text1"/>
          <w:lang w:bidi="en-US"/>
        </w:rPr>
        <w:t>Lusaran</w:t>
      </w:r>
      <w:proofErr w:type="spellEnd"/>
      <w:r w:rsidRPr="00F44221">
        <w:rPr>
          <w:rFonts w:eastAsia="Georgia"/>
          <w:bCs/>
          <w:iCs/>
          <w:color w:val="000000" w:themeColor="text1"/>
          <w:lang w:bidi="en-US"/>
        </w:rPr>
        <w:t xml:space="preserve"> et al., 2026).</w:t>
      </w:r>
    </w:p>
    <w:p w14:paraId="1E5C03E9" w14:textId="77777777" w:rsidR="00E46208" w:rsidRPr="00F44221" w:rsidRDefault="00E46208" w:rsidP="00F44221">
      <w:pPr>
        <w:spacing w:line="240" w:lineRule="auto"/>
        <w:ind w:firstLine="720"/>
        <w:rPr>
          <w:rFonts w:eastAsia="Georgia"/>
          <w:bCs/>
          <w:iCs/>
          <w:color w:val="000000" w:themeColor="text1"/>
          <w:lang w:bidi="en-US"/>
        </w:rPr>
      </w:pPr>
      <w:r w:rsidRPr="00F44221">
        <w:rPr>
          <w:rFonts w:eastAsia="Georgia"/>
          <w:bCs/>
          <w:iCs/>
          <w:color w:val="000000" w:themeColor="text1"/>
          <w:lang w:bidi="en-US"/>
        </w:rPr>
        <w:t>Numeracy refers to the ability to understand and apply mathematical concepts in solving everyday problems, including interpreting numerical data, performing basic operations, and applying mathematical reasoning in real-life contexts (</w:t>
      </w:r>
      <w:proofErr w:type="spellStart"/>
      <w:r w:rsidRPr="00F44221">
        <w:rPr>
          <w:rFonts w:eastAsia="Georgia"/>
          <w:bCs/>
          <w:iCs/>
          <w:color w:val="000000" w:themeColor="text1"/>
          <w:lang w:bidi="en-US"/>
        </w:rPr>
        <w:t>Suciyati</w:t>
      </w:r>
      <w:proofErr w:type="spellEnd"/>
      <w:r w:rsidRPr="00F44221">
        <w:rPr>
          <w:rFonts w:eastAsia="Georgia"/>
          <w:bCs/>
          <w:iCs/>
          <w:color w:val="000000" w:themeColor="text1"/>
          <w:lang w:bidi="en-US"/>
        </w:rPr>
        <w:t xml:space="preserve"> et al., 2022). Reading is a foundational literacy skill that enables learners to comprehend texts, acquire information, and build knowledge necessary for academic success. Early reading </w:t>
      </w:r>
      <w:r w:rsidRPr="00F44221">
        <w:rPr>
          <w:rFonts w:eastAsia="Georgia"/>
          <w:bCs/>
          <w:iCs/>
          <w:color w:val="000000" w:themeColor="text1"/>
          <w:lang w:bidi="en-US"/>
        </w:rPr>
        <w:lastRenderedPageBreak/>
        <w:t>development involves letter recognition, syllable decoding, and sentence construction (Lubis, 2024; Rahayu &amp; Daud, 2024).</w:t>
      </w:r>
    </w:p>
    <w:p w14:paraId="4B0EC36E" w14:textId="77777777" w:rsidR="00E46208" w:rsidRPr="00F44221" w:rsidRDefault="00E46208" w:rsidP="00F44221">
      <w:pPr>
        <w:spacing w:line="240" w:lineRule="auto"/>
        <w:ind w:firstLine="720"/>
        <w:rPr>
          <w:rFonts w:eastAsia="Georgia"/>
          <w:bCs/>
          <w:iCs/>
          <w:color w:val="000000" w:themeColor="text1"/>
          <w:lang w:bidi="en-US"/>
        </w:rPr>
      </w:pPr>
      <w:r w:rsidRPr="00F44221">
        <w:rPr>
          <w:rFonts w:eastAsia="Georgia"/>
          <w:bCs/>
          <w:iCs/>
          <w:color w:val="000000" w:themeColor="text1"/>
          <w:lang w:bidi="en-US"/>
        </w:rPr>
        <w:t xml:space="preserve">International assessment results further highlight these concerns. The </w:t>
      </w:r>
      <w:proofErr w:type="spellStart"/>
      <w:r w:rsidRPr="00F44221">
        <w:rPr>
          <w:rFonts w:eastAsia="Georgia"/>
          <w:bCs/>
          <w:iCs/>
          <w:color w:val="000000" w:themeColor="text1"/>
          <w:lang w:bidi="en-US"/>
        </w:rPr>
        <w:t>Programme</w:t>
      </w:r>
      <w:proofErr w:type="spellEnd"/>
      <w:r w:rsidRPr="00F44221">
        <w:rPr>
          <w:rFonts w:eastAsia="Georgia"/>
          <w:bCs/>
          <w:iCs/>
          <w:color w:val="000000" w:themeColor="text1"/>
          <w:lang w:bidi="en-US"/>
        </w:rPr>
        <w:t xml:space="preserve"> for International Student Assessment (PISA) 2022 revealed that Filipino students performed below the OECD average in both reading and mathematics, ranking 77th out of 81 participating countries and last in Southeast Asia (OECD, 2023; Minoza et al., 2025). Similar trends from previous assessments indicate minimal improvement over time (</w:t>
      </w:r>
      <w:proofErr w:type="spellStart"/>
      <w:r w:rsidRPr="00F44221">
        <w:rPr>
          <w:rFonts w:eastAsia="Georgia"/>
          <w:bCs/>
          <w:iCs/>
          <w:color w:val="000000" w:themeColor="text1"/>
          <w:lang w:bidi="en-US"/>
        </w:rPr>
        <w:t>Acido</w:t>
      </w:r>
      <w:proofErr w:type="spellEnd"/>
      <w:r w:rsidRPr="00F44221">
        <w:rPr>
          <w:rFonts w:eastAsia="Georgia"/>
          <w:bCs/>
          <w:iCs/>
          <w:color w:val="000000" w:themeColor="text1"/>
          <w:lang w:bidi="en-US"/>
        </w:rPr>
        <w:t xml:space="preserve"> et al., 2023), suggesting persistent challenges in foundational learning outcomes.</w:t>
      </w:r>
    </w:p>
    <w:p w14:paraId="106C3F3C" w14:textId="77777777" w:rsidR="00E46208" w:rsidRPr="00F44221" w:rsidRDefault="00E46208" w:rsidP="00F44221">
      <w:pPr>
        <w:spacing w:line="240" w:lineRule="auto"/>
        <w:rPr>
          <w:rFonts w:eastAsia="Georgia"/>
          <w:bCs/>
          <w:iCs/>
          <w:color w:val="000000" w:themeColor="text1"/>
          <w:lang w:bidi="en-US"/>
        </w:rPr>
      </w:pPr>
      <w:r w:rsidRPr="00F44221">
        <w:rPr>
          <w:rFonts w:eastAsia="Georgia"/>
          <w:bCs/>
          <w:iCs/>
          <w:color w:val="000000" w:themeColor="text1"/>
          <w:lang w:bidi="en-US"/>
        </w:rPr>
        <w:t>In response, the Department of Education (DepEd) implemented several interventions, including the Basic Education Learning Continuity Plan (BE-LCP) during the COVID-19 pandemic (DepEd Order No. 12, s. 2020). This was followed by the 8-Week Learning Recovery Curriculum for Grades 1 to 3 in Region V (Regional Memorandum No. 104, s. 2022). Schools also adopted the Most Essential Learning Competencies (MELCs) and utilized assessment tools such as the Comprehensive Rapid Literacy Assessment (CRLA) and the Albay Numeracy Assessment Tool (ALNAT) to monitor learner progress (</w:t>
      </w:r>
      <w:proofErr w:type="spellStart"/>
      <w:r w:rsidRPr="00F44221">
        <w:rPr>
          <w:rFonts w:eastAsia="Georgia"/>
          <w:bCs/>
          <w:iCs/>
          <w:color w:val="000000" w:themeColor="text1"/>
          <w:lang w:bidi="en-US"/>
        </w:rPr>
        <w:t>Miña</w:t>
      </w:r>
      <w:proofErr w:type="spellEnd"/>
      <w:r w:rsidRPr="00F44221">
        <w:rPr>
          <w:rFonts w:eastAsia="Georgia"/>
          <w:bCs/>
          <w:iCs/>
          <w:color w:val="000000" w:themeColor="text1"/>
          <w:lang w:bidi="en-US"/>
        </w:rPr>
        <w:t xml:space="preserve"> &amp; Caballes, 2023).</w:t>
      </w:r>
    </w:p>
    <w:p w14:paraId="23C2A655" w14:textId="77777777" w:rsidR="00E46208" w:rsidRPr="00F44221" w:rsidRDefault="00E46208" w:rsidP="00F44221">
      <w:pPr>
        <w:spacing w:line="240" w:lineRule="auto"/>
        <w:ind w:firstLine="720"/>
        <w:rPr>
          <w:rFonts w:eastAsia="Georgia"/>
          <w:bCs/>
          <w:iCs/>
          <w:color w:val="000000" w:themeColor="text1"/>
          <w:lang w:bidi="en-US"/>
        </w:rPr>
      </w:pPr>
      <w:r w:rsidRPr="00F44221">
        <w:rPr>
          <w:rFonts w:eastAsia="Georgia"/>
          <w:bCs/>
          <w:iCs/>
          <w:color w:val="000000" w:themeColor="text1"/>
          <w:lang w:bidi="en-US"/>
        </w:rPr>
        <w:t>At the local level, Caramoan South District has shown gradual improvement in numeracy and reading performance over recent school years. However, learners remain under the “Needs Major Support” category in numeracy, while literacy outcomes show fluctuating results based on CRLA assessments. These trends indicate that despite interventions, foundational learning gaps persist.</w:t>
      </w:r>
    </w:p>
    <w:p w14:paraId="7D73D3EE" w14:textId="77777777" w:rsidR="00E46208" w:rsidRPr="00F44221" w:rsidRDefault="00E46208" w:rsidP="00F44221">
      <w:pPr>
        <w:spacing w:line="240" w:lineRule="auto"/>
        <w:ind w:firstLine="720"/>
        <w:rPr>
          <w:rFonts w:eastAsia="Georgia"/>
          <w:bCs/>
          <w:iCs/>
          <w:color w:val="000000" w:themeColor="text1"/>
          <w:lang w:bidi="en-US"/>
        </w:rPr>
      </w:pPr>
      <w:r w:rsidRPr="00F44221">
        <w:rPr>
          <w:rFonts w:eastAsia="Georgia"/>
          <w:bCs/>
          <w:iCs/>
          <w:color w:val="000000" w:themeColor="text1"/>
          <w:lang w:bidi="en-US"/>
        </w:rPr>
        <w:t>Existing literature suggests that academic performance is influenced not only by cognitive ability but also by contextual factors such as physical learning environment, social environment, and socio-economic status (Lucas et al., 2021). Physical school conditions affect learning achievement (</w:t>
      </w:r>
      <w:proofErr w:type="spellStart"/>
      <w:r w:rsidRPr="00F44221">
        <w:rPr>
          <w:rFonts w:eastAsia="Georgia"/>
          <w:bCs/>
          <w:iCs/>
          <w:color w:val="000000" w:themeColor="text1"/>
          <w:lang w:bidi="en-US"/>
        </w:rPr>
        <w:t>Sarı</w:t>
      </w:r>
      <w:proofErr w:type="spellEnd"/>
      <w:r w:rsidRPr="00F44221">
        <w:rPr>
          <w:rFonts w:eastAsia="Georgia"/>
          <w:bCs/>
          <w:iCs/>
          <w:color w:val="000000" w:themeColor="text1"/>
          <w:lang w:bidi="en-US"/>
        </w:rPr>
        <w:t xml:space="preserve"> &amp; Çelik, 2021), while social relationships contribute to engagement and motivation (Wang et al., 2022). Socio-economic status is also strongly associated with academic outcomes (Kim &amp; Park, 2023). However, limited research has examined the combined influence of these variables on foundational numeracy and reading skills, particularly in urban and rural contexts.</w:t>
      </w:r>
    </w:p>
    <w:p w14:paraId="5F96557C" w14:textId="77777777" w:rsidR="00E46208" w:rsidRPr="00F44221" w:rsidRDefault="00E46208" w:rsidP="00F44221">
      <w:pPr>
        <w:spacing w:line="240" w:lineRule="auto"/>
        <w:ind w:firstLine="720"/>
        <w:rPr>
          <w:rFonts w:eastAsia="Georgia"/>
          <w:bCs/>
          <w:iCs/>
          <w:color w:val="000000" w:themeColor="text1"/>
          <w:lang w:bidi="en-US"/>
        </w:rPr>
      </w:pPr>
      <w:r w:rsidRPr="00F44221">
        <w:rPr>
          <w:rFonts w:eastAsia="Georgia"/>
          <w:bCs/>
          <w:iCs/>
          <w:color w:val="000000" w:themeColor="text1"/>
          <w:lang w:bidi="en-US"/>
        </w:rPr>
        <w:t>This study addresses this gap by examining how physical learning environment, social environment, socio-economic status, and school location influence the numeracy and reading abilities of Grade 3 learners in Caramoan South District.</w:t>
      </w:r>
    </w:p>
    <w:p w14:paraId="7EF53C13" w14:textId="77777777" w:rsidR="00877C61" w:rsidRPr="001D252E" w:rsidRDefault="00877C61" w:rsidP="00F44221">
      <w:pPr>
        <w:spacing w:line="240" w:lineRule="auto"/>
        <w:rPr>
          <w:rFonts w:eastAsia="Georgia"/>
          <w:b/>
          <w:iCs/>
          <w:color w:val="000000" w:themeColor="text1"/>
          <w:sz w:val="28"/>
          <w:szCs w:val="28"/>
        </w:rPr>
      </w:pPr>
    </w:p>
    <w:p w14:paraId="40F34E67" w14:textId="702F292F" w:rsidR="00647B4A" w:rsidRPr="001D252E" w:rsidRDefault="00971CE4" w:rsidP="00F44221">
      <w:pPr>
        <w:spacing w:line="240" w:lineRule="auto"/>
        <w:rPr>
          <w:rFonts w:eastAsia="Georgia"/>
          <w:b/>
          <w:iCs/>
          <w:color w:val="000000" w:themeColor="text1"/>
          <w:sz w:val="28"/>
          <w:szCs w:val="28"/>
        </w:rPr>
      </w:pPr>
      <w:r w:rsidRPr="001D252E">
        <w:rPr>
          <w:rFonts w:eastAsia="Georgia"/>
          <w:b/>
          <w:iCs/>
          <w:color w:val="000000" w:themeColor="text1"/>
          <w:sz w:val="28"/>
          <w:szCs w:val="28"/>
        </w:rPr>
        <w:t>METHODOLOGY</w:t>
      </w:r>
    </w:p>
    <w:p w14:paraId="7883AF24" w14:textId="77777777" w:rsidR="00740736" w:rsidRPr="001D252E" w:rsidRDefault="00740736" w:rsidP="00F44221">
      <w:pPr>
        <w:spacing w:line="240" w:lineRule="auto"/>
        <w:rPr>
          <w:rFonts w:eastAsia="Georgia"/>
          <w:b/>
          <w:iCs/>
          <w:color w:val="000000" w:themeColor="text1"/>
          <w:sz w:val="28"/>
          <w:szCs w:val="28"/>
        </w:rPr>
      </w:pPr>
    </w:p>
    <w:p w14:paraId="7B2D50EE" w14:textId="4194B141" w:rsidR="00E46208" w:rsidRPr="00547912" w:rsidRDefault="00E46208" w:rsidP="00F44221">
      <w:pPr>
        <w:spacing w:line="240" w:lineRule="auto"/>
        <w:ind w:firstLine="720"/>
        <w:rPr>
          <w:rFonts w:eastAsia="Georgia"/>
          <w:bCs/>
          <w:iCs/>
          <w:color w:val="000000" w:themeColor="text1"/>
        </w:rPr>
      </w:pPr>
      <w:r w:rsidRPr="00547912">
        <w:rPr>
          <w:rFonts w:eastAsia="Georgia"/>
          <w:bCs/>
          <w:iCs/>
          <w:color w:val="000000" w:themeColor="text1"/>
        </w:rPr>
        <w:t>This study employed a quantitative descriptive-correlational research design to determine the reading and numeracy abilities of Grade 3 learners and examine their relationship with physical learning environment, social environment, socio-economic status, and school location. This design is appropriate for identifying relationships among variables without manipulating conditions (Creswell, 2008).</w:t>
      </w:r>
    </w:p>
    <w:p w14:paraId="3D00DB5C" w14:textId="77777777" w:rsidR="00E46208" w:rsidRPr="00547912" w:rsidRDefault="00E46208" w:rsidP="00F44221">
      <w:pPr>
        <w:spacing w:line="240" w:lineRule="auto"/>
        <w:ind w:firstLine="720"/>
        <w:rPr>
          <w:rFonts w:eastAsia="Georgia"/>
          <w:bCs/>
          <w:iCs/>
          <w:color w:val="000000" w:themeColor="text1"/>
        </w:rPr>
      </w:pPr>
      <w:r w:rsidRPr="00547912">
        <w:rPr>
          <w:rFonts w:eastAsia="Georgia"/>
          <w:bCs/>
          <w:iCs/>
          <w:color w:val="000000" w:themeColor="text1"/>
        </w:rPr>
        <w:t>The study was conducted in Caramoan South District, Division of Camarines Sur, Philippines, which consists of both urban and rural elementary schools. Six schools (three urban and three rural) were selected from a total of 17 schools in the district. The study covered 427 Grade 3 learners, allowing comparison across different school settings.</w:t>
      </w:r>
    </w:p>
    <w:p w14:paraId="5B377B57" w14:textId="77777777" w:rsidR="00E46208" w:rsidRPr="00547912" w:rsidRDefault="00E46208" w:rsidP="00F44221">
      <w:pPr>
        <w:spacing w:line="240" w:lineRule="auto"/>
        <w:ind w:firstLine="720"/>
        <w:rPr>
          <w:rFonts w:eastAsia="Georgia"/>
          <w:bCs/>
          <w:iCs/>
          <w:color w:val="000000" w:themeColor="text1"/>
        </w:rPr>
      </w:pPr>
      <w:r w:rsidRPr="00547912">
        <w:rPr>
          <w:rFonts w:eastAsia="Georgia"/>
          <w:bCs/>
          <w:iCs/>
          <w:color w:val="000000" w:themeColor="text1"/>
        </w:rPr>
        <w:t>The study used a two-stage sampling technique. First, stratified random sampling was used to classify schools into urban and rural groups. Second, simple random sampling was used to select Grade 3 learners from the chosen schools.</w:t>
      </w:r>
    </w:p>
    <w:p w14:paraId="7A83A6F9" w14:textId="77777777" w:rsidR="00E46208" w:rsidRPr="00547912" w:rsidRDefault="00E46208" w:rsidP="00F44221">
      <w:pPr>
        <w:spacing w:line="240" w:lineRule="auto"/>
        <w:ind w:firstLine="720"/>
        <w:rPr>
          <w:rFonts w:eastAsia="Georgia"/>
          <w:bCs/>
          <w:iCs/>
          <w:color w:val="000000" w:themeColor="text1"/>
        </w:rPr>
      </w:pPr>
      <w:r w:rsidRPr="00547912">
        <w:rPr>
          <w:rFonts w:eastAsia="Georgia"/>
          <w:bCs/>
          <w:iCs/>
          <w:color w:val="000000" w:themeColor="text1"/>
        </w:rPr>
        <w:t>Using Yamane’s formula, a sample size of 207 was computed. The final sample consisted of 204 respondents (143 urban and 61 rural learners).</w:t>
      </w:r>
    </w:p>
    <w:p w14:paraId="68E2F5BB" w14:textId="77777777" w:rsidR="00E46208" w:rsidRPr="00547912" w:rsidRDefault="00E46208" w:rsidP="00F44221">
      <w:pPr>
        <w:spacing w:line="240" w:lineRule="auto"/>
        <w:ind w:firstLine="720"/>
        <w:rPr>
          <w:rFonts w:eastAsia="Georgia"/>
          <w:bCs/>
          <w:iCs/>
          <w:color w:val="000000" w:themeColor="text1"/>
        </w:rPr>
      </w:pPr>
      <w:r w:rsidRPr="00547912">
        <w:rPr>
          <w:rFonts w:eastAsia="Georgia"/>
          <w:bCs/>
          <w:iCs/>
          <w:color w:val="000000" w:themeColor="text1"/>
        </w:rPr>
        <w:t>Data were collected using:</w:t>
      </w:r>
    </w:p>
    <w:p w14:paraId="65F9E56B" w14:textId="77777777" w:rsidR="00E46208" w:rsidRPr="00547912" w:rsidRDefault="00E46208" w:rsidP="00F44221">
      <w:pPr>
        <w:numPr>
          <w:ilvl w:val="0"/>
          <w:numId w:val="4"/>
        </w:numPr>
        <w:spacing w:line="240" w:lineRule="auto"/>
        <w:rPr>
          <w:rFonts w:eastAsia="Georgia"/>
          <w:bCs/>
          <w:iCs/>
          <w:color w:val="000000" w:themeColor="text1"/>
        </w:rPr>
      </w:pPr>
      <w:r w:rsidRPr="00547912">
        <w:rPr>
          <w:rFonts w:eastAsia="Georgia"/>
          <w:bCs/>
          <w:iCs/>
          <w:color w:val="000000" w:themeColor="text1"/>
        </w:rPr>
        <w:t xml:space="preserve">CRLA (Comprehensive Rapid Literacy Assessment) for reading ability </w:t>
      </w:r>
    </w:p>
    <w:p w14:paraId="3EE31595" w14:textId="77777777" w:rsidR="00E46208" w:rsidRPr="00547912" w:rsidRDefault="00E46208" w:rsidP="00F44221">
      <w:pPr>
        <w:numPr>
          <w:ilvl w:val="0"/>
          <w:numId w:val="4"/>
        </w:numPr>
        <w:spacing w:line="240" w:lineRule="auto"/>
        <w:rPr>
          <w:rFonts w:eastAsia="Georgia"/>
          <w:bCs/>
          <w:iCs/>
          <w:color w:val="000000" w:themeColor="text1"/>
        </w:rPr>
      </w:pPr>
      <w:r w:rsidRPr="00547912">
        <w:rPr>
          <w:rFonts w:eastAsia="Georgia"/>
          <w:bCs/>
          <w:iCs/>
          <w:color w:val="000000" w:themeColor="text1"/>
        </w:rPr>
        <w:t xml:space="preserve">ALNAT (Albay Numeracy Assessment Tool) for numeracy ability </w:t>
      </w:r>
    </w:p>
    <w:p w14:paraId="28BFDB8F" w14:textId="77777777" w:rsidR="00E46208" w:rsidRPr="00547912" w:rsidRDefault="00E46208" w:rsidP="00F44221">
      <w:pPr>
        <w:numPr>
          <w:ilvl w:val="0"/>
          <w:numId w:val="4"/>
        </w:numPr>
        <w:spacing w:line="240" w:lineRule="auto"/>
        <w:rPr>
          <w:rFonts w:eastAsia="Georgia"/>
          <w:bCs/>
          <w:iCs/>
          <w:color w:val="000000" w:themeColor="text1"/>
        </w:rPr>
      </w:pPr>
      <w:r w:rsidRPr="00547912">
        <w:rPr>
          <w:rFonts w:eastAsia="Georgia"/>
          <w:bCs/>
          <w:iCs/>
          <w:color w:val="000000" w:themeColor="text1"/>
        </w:rPr>
        <w:t xml:space="preserve">A validated researcher-made questionnaire for social environment and socio-economic status </w:t>
      </w:r>
    </w:p>
    <w:p w14:paraId="6356BC09" w14:textId="77777777" w:rsidR="00E46208" w:rsidRPr="00547912" w:rsidRDefault="00E46208" w:rsidP="00F44221">
      <w:pPr>
        <w:spacing w:line="240" w:lineRule="auto"/>
        <w:ind w:firstLine="720"/>
        <w:rPr>
          <w:rFonts w:eastAsia="Georgia"/>
          <w:bCs/>
          <w:iCs/>
          <w:color w:val="000000" w:themeColor="text1"/>
        </w:rPr>
      </w:pPr>
      <w:r w:rsidRPr="00547912">
        <w:rPr>
          <w:rFonts w:eastAsia="Georgia"/>
          <w:bCs/>
          <w:iCs/>
          <w:color w:val="000000" w:themeColor="text1"/>
        </w:rPr>
        <w:t>The questionnaire obtained a CVI of 0.933 and showed acceptable reliability using Cronbach’s alpha (0.700–0.791 across constructs).</w:t>
      </w:r>
    </w:p>
    <w:p w14:paraId="079084BF" w14:textId="77777777" w:rsidR="00E46208" w:rsidRPr="00547912" w:rsidRDefault="00E46208" w:rsidP="00F44221">
      <w:pPr>
        <w:spacing w:line="240" w:lineRule="auto"/>
        <w:ind w:firstLine="720"/>
        <w:rPr>
          <w:rFonts w:eastAsia="Georgia"/>
          <w:bCs/>
          <w:iCs/>
          <w:color w:val="000000" w:themeColor="text1"/>
        </w:rPr>
      </w:pPr>
      <w:r w:rsidRPr="00547912">
        <w:rPr>
          <w:rFonts w:eastAsia="Georgia"/>
          <w:bCs/>
          <w:iCs/>
          <w:color w:val="000000" w:themeColor="text1"/>
        </w:rPr>
        <w:t>Data were collected after securing permissions from DepEd authorities and school heads. Secondary data (CRLA, ALNAT, NSBI) were retrieved from schools, while questionnaire data were gathered through Google Forms. All data were encoded and prepared for analysis.</w:t>
      </w:r>
    </w:p>
    <w:p w14:paraId="7A42FD95" w14:textId="77777777" w:rsidR="00E46208" w:rsidRPr="00547912" w:rsidRDefault="00E46208" w:rsidP="00F44221">
      <w:pPr>
        <w:spacing w:line="240" w:lineRule="auto"/>
        <w:ind w:firstLine="720"/>
        <w:rPr>
          <w:rFonts w:eastAsia="Georgia"/>
          <w:bCs/>
          <w:iCs/>
          <w:color w:val="000000" w:themeColor="text1"/>
        </w:rPr>
      </w:pPr>
      <w:r w:rsidRPr="00547912">
        <w:rPr>
          <w:rFonts w:eastAsia="Georgia"/>
          <w:bCs/>
          <w:iCs/>
          <w:color w:val="000000" w:themeColor="text1"/>
        </w:rPr>
        <w:t>Descriptive statistics (frequency, percentage, mean, weighted mean, and standard deviation) were used to describe variables. Inferential analysis included multiple regression and Linear Mixed Models (LMM).</w:t>
      </w:r>
    </w:p>
    <w:p w14:paraId="77074319" w14:textId="77777777" w:rsidR="00E46208" w:rsidRPr="00547912" w:rsidRDefault="00E46208" w:rsidP="00F44221">
      <w:pPr>
        <w:spacing w:line="240" w:lineRule="auto"/>
        <w:ind w:firstLine="720"/>
        <w:rPr>
          <w:rFonts w:eastAsia="Georgia"/>
          <w:bCs/>
          <w:iCs/>
          <w:color w:val="000000" w:themeColor="text1"/>
        </w:rPr>
      </w:pPr>
      <w:r w:rsidRPr="00547912">
        <w:rPr>
          <w:rFonts w:eastAsia="Georgia"/>
          <w:bCs/>
          <w:iCs/>
          <w:color w:val="000000" w:themeColor="text1"/>
        </w:rPr>
        <w:lastRenderedPageBreak/>
        <w:t>Although multiple regression was initially applied, the Durbin–Watson result (1.03) indicated autocorrelation, violating independence assumptions. Therefore, Linear Mixed Models were used as the final analysis to account for clustering of learners within schools and to provide more reliable estimates. Statistical significance was set at 0.05 alpha.</w:t>
      </w:r>
    </w:p>
    <w:p w14:paraId="3281C6F4" w14:textId="5D8D5578" w:rsidR="009D1EBB" w:rsidRPr="00547912" w:rsidRDefault="009D1EBB" w:rsidP="00F44221">
      <w:pPr>
        <w:spacing w:line="240" w:lineRule="auto"/>
        <w:ind w:firstLine="720"/>
        <w:rPr>
          <w:rFonts w:eastAsia="Georgia"/>
          <w:bCs/>
          <w:iCs/>
          <w:color w:val="000000" w:themeColor="text1"/>
        </w:rPr>
      </w:pPr>
      <w:r w:rsidRPr="00547912">
        <w:rPr>
          <w:rFonts w:eastAsia="Georgia"/>
          <w:bCs/>
          <w:iCs/>
          <w:color w:val="000000" w:themeColor="text1"/>
        </w:rPr>
        <w:t>Ethical approval was obtained from the appropriate educational authorities prior to data collection. Permissions were secured from the Schools District Office and participating school heads.</w:t>
      </w:r>
    </w:p>
    <w:p w14:paraId="0511DBDF" w14:textId="1F959EB8" w:rsidR="00971CE4" w:rsidRPr="00547912" w:rsidRDefault="009D1EBB" w:rsidP="00F44221">
      <w:pPr>
        <w:spacing w:line="240" w:lineRule="auto"/>
        <w:ind w:firstLine="720"/>
        <w:rPr>
          <w:rFonts w:eastAsia="Georgia"/>
          <w:bCs/>
          <w:iCs/>
          <w:color w:val="000000" w:themeColor="text1"/>
        </w:rPr>
      </w:pPr>
      <w:r w:rsidRPr="00547912">
        <w:rPr>
          <w:rFonts w:eastAsia="Georgia"/>
          <w:bCs/>
          <w:iCs/>
          <w:color w:val="000000" w:themeColor="text1"/>
        </w:rPr>
        <w:t>Informed consent was ensured, and participation was voluntary. Confidentiality and anonymity of respondents were strictly maintained. All data were used solely for academic purposes and stored securely to protect respondent information.</w:t>
      </w:r>
    </w:p>
    <w:p w14:paraId="5E670D85" w14:textId="77777777" w:rsidR="00F44221" w:rsidRPr="00547912" w:rsidRDefault="00F44221" w:rsidP="00F44221">
      <w:pPr>
        <w:spacing w:line="240" w:lineRule="auto"/>
        <w:ind w:firstLine="720"/>
        <w:rPr>
          <w:rFonts w:eastAsia="Georgia"/>
          <w:bCs/>
          <w:iCs/>
          <w:color w:val="000000" w:themeColor="text1"/>
        </w:rPr>
      </w:pPr>
    </w:p>
    <w:p w14:paraId="6FF0C5D3" w14:textId="6BAA7330" w:rsidR="006C100A" w:rsidRDefault="00971CE4" w:rsidP="00F44221">
      <w:pPr>
        <w:spacing w:line="240" w:lineRule="auto"/>
        <w:rPr>
          <w:rFonts w:eastAsia="Georgia"/>
          <w:b/>
          <w:iCs/>
          <w:color w:val="000000" w:themeColor="text1"/>
          <w:sz w:val="28"/>
          <w:szCs w:val="28"/>
        </w:rPr>
      </w:pPr>
      <w:r w:rsidRPr="00971CE4">
        <w:rPr>
          <w:rFonts w:eastAsia="Georgia"/>
          <w:b/>
          <w:iCs/>
          <w:color w:val="000000" w:themeColor="text1"/>
          <w:sz w:val="28"/>
          <w:szCs w:val="28"/>
        </w:rPr>
        <w:t>RESULTS</w:t>
      </w:r>
    </w:p>
    <w:p w14:paraId="3B897D8E" w14:textId="77777777" w:rsidR="00F44221" w:rsidRDefault="00F44221" w:rsidP="00F44221">
      <w:pPr>
        <w:spacing w:line="240" w:lineRule="auto"/>
        <w:rPr>
          <w:rFonts w:eastAsia="Georgia"/>
          <w:b/>
          <w:iCs/>
          <w:color w:val="000000" w:themeColor="text1"/>
          <w:sz w:val="28"/>
          <w:szCs w:val="28"/>
        </w:rPr>
      </w:pPr>
    </w:p>
    <w:p w14:paraId="524C1021" w14:textId="5655406E" w:rsidR="00971CE4" w:rsidRPr="00971CE4" w:rsidRDefault="00971CE4" w:rsidP="00F44221">
      <w:pPr>
        <w:spacing w:line="240" w:lineRule="auto"/>
        <w:rPr>
          <w:rFonts w:eastAsia="Georgia"/>
          <w:b/>
          <w:iCs/>
          <w:color w:val="000000" w:themeColor="text1"/>
        </w:rPr>
      </w:pPr>
      <w:r w:rsidRPr="00971CE4">
        <w:rPr>
          <w:rFonts w:eastAsia="Georgia"/>
          <w:b/>
          <w:iCs/>
          <w:color w:val="000000" w:themeColor="text1"/>
        </w:rPr>
        <w:t>Numerical Ability</w:t>
      </w:r>
    </w:p>
    <w:p w14:paraId="209C0E7B" w14:textId="4F34C569" w:rsidR="009D1EBB" w:rsidRPr="001D252E" w:rsidRDefault="009D1EBB" w:rsidP="00F44221">
      <w:pPr>
        <w:pBdr>
          <w:top w:val="nil"/>
          <w:left w:val="nil"/>
          <w:bottom w:val="nil"/>
          <w:right w:val="nil"/>
          <w:between w:val="nil"/>
        </w:pBdr>
        <w:spacing w:line="240" w:lineRule="auto"/>
        <w:ind w:firstLine="562"/>
        <w:rPr>
          <w:rFonts w:eastAsia="Georgia"/>
          <w:bCs/>
          <w:iCs/>
          <w:color w:val="000000" w:themeColor="text1"/>
          <w:sz w:val="28"/>
          <w:szCs w:val="28"/>
          <w:lang w:bidi="en-US"/>
        </w:rPr>
      </w:pPr>
      <w:r w:rsidRPr="001D252E">
        <w:rPr>
          <w:rFonts w:eastAsia="Georgia"/>
          <w:bCs/>
          <w:iCs/>
          <w:color w:val="000000" w:themeColor="text1"/>
          <w:sz w:val="28"/>
          <w:szCs w:val="28"/>
          <w:lang w:bidi="en-US"/>
        </w:rPr>
        <w:t xml:space="preserve">Table 1 presents the numerical ability levels of Grade 3 learners in urban and rural schools based on ALNAT results, showing a consistently low level of numeracy proficiency across both settings. </w:t>
      </w:r>
    </w:p>
    <w:p w14:paraId="6EFDC470" w14:textId="77777777" w:rsidR="0052629D" w:rsidRPr="001D252E" w:rsidRDefault="0052629D" w:rsidP="00F44221">
      <w:pPr>
        <w:pBdr>
          <w:top w:val="nil"/>
          <w:left w:val="nil"/>
          <w:bottom w:val="nil"/>
          <w:right w:val="nil"/>
          <w:between w:val="nil"/>
        </w:pBdr>
        <w:spacing w:line="240" w:lineRule="auto"/>
        <w:ind w:firstLine="567"/>
        <w:rPr>
          <w:rFonts w:eastAsia="Georgia"/>
          <w:bCs/>
          <w:iCs/>
          <w:color w:val="000000" w:themeColor="text1"/>
          <w:sz w:val="28"/>
          <w:szCs w:val="28"/>
          <w:lang w:bidi="en-US"/>
        </w:rPr>
      </w:pPr>
    </w:p>
    <w:p w14:paraId="641FBF81" w14:textId="2C40CAF4" w:rsidR="0052629D" w:rsidRPr="00547912" w:rsidRDefault="0052629D" w:rsidP="00F44221">
      <w:pPr>
        <w:pBdr>
          <w:top w:val="nil"/>
          <w:left w:val="nil"/>
          <w:bottom w:val="nil"/>
          <w:right w:val="nil"/>
          <w:between w:val="nil"/>
        </w:pBdr>
        <w:spacing w:line="240" w:lineRule="auto"/>
        <w:rPr>
          <w:rFonts w:eastAsia="Georgia"/>
          <w:b/>
          <w:iCs/>
          <w:color w:val="000000" w:themeColor="text1"/>
          <w:lang w:bidi="en-US"/>
        </w:rPr>
      </w:pPr>
      <w:r w:rsidRPr="00547912">
        <w:rPr>
          <w:rFonts w:eastAsia="Georgia"/>
          <w:b/>
          <w:iCs/>
          <w:color w:val="000000" w:themeColor="text1"/>
          <w:lang w:bidi="en-US"/>
        </w:rPr>
        <w:t xml:space="preserve">Table 1. </w:t>
      </w:r>
      <w:r w:rsidR="009D1EBB" w:rsidRPr="00547912">
        <w:rPr>
          <w:rFonts w:eastAsia="Georgia"/>
          <w:b/>
          <w:iCs/>
          <w:color w:val="000000" w:themeColor="text1"/>
          <w:lang w:bidi="en-US"/>
        </w:rPr>
        <w:t>Numerical Ability Level of Grade 3 Learners based on Albay Numeracy Assessment Tool (ALNAT) in Urban and Rural Schools</w:t>
      </w:r>
    </w:p>
    <w:tbl>
      <w:tblPr>
        <w:tblStyle w:val="TableGrid1"/>
        <w:tblW w:w="0" w:type="auto"/>
        <w:tblLook w:val="04A0" w:firstRow="1" w:lastRow="0" w:firstColumn="1" w:lastColumn="0" w:noHBand="0" w:noVBand="1"/>
      </w:tblPr>
      <w:tblGrid>
        <w:gridCol w:w="2735"/>
        <w:gridCol w:w="1842"/>
        <w:gridCol w:w="2048"/>
        <w:gridCol w:w="1832"/>
        <w:gridCol w:w="2047"/>
      </w:tblGrid>
      <w:tr w:rsidR="009D1EBB" w:rsidRPr="00547912" w14:paraId="4426B756" w14:textId="77777777" w:rsidTr="00547912">
        <w:trPr>
          <w:trHeight w:val="276"/>
        </w:trPr>
        <w:tc>
          <w:tcPr>
            <w:tcW w:w="2735" w:type="dxa"/>
            <w:vMerge w:val="restart"/>
          </w:tcPr>
          <w:p w14:paraId="44F147C0" w14:textId="77777777" w:rsidR="009D1EBB" w:rsidRPr="00547912" w:rsidRDefault="009D1EBB" w:rsidP="00547912">
            <w:pPr>
              <w:pStyle w:val="NoSpacing"/>
              <w:jc w:val="center"/>
              <w:rPr>
                <w:rFonts w:ascii="Times New Roman" w:hAnsi="Times New Roman" w:cs="Times New Roman"/>
                <w:b/>
                <w:bCs/>
              </w:rPr>
            </w:pPr>
            <w:r w:rsidRPr="00547912">
              <w:rPr>
                <w:rFonts w:ascii="Times New Roman" w:hAnsi="Times New Roman" w:cs="Times New Roman"/>
                <w:b/>
                <w:bCs/>
              </w:rPr>
              <w:t>Numeracy Level</w:t>
            </w:r>
          </w:p>
        </w:tc>
        <w:tc>
          <w:tcPr>
            <w:tcW w:w="3890" w:type="dxa"/>
            <w:gridSpan w:val="2"/>
          </w:tcPr>
          <w:p w14:paraId="775A6CC2" w14:textId="77777777" w:rsidR="009D1EBB" w:rsidRPr="00547912" w:rsidRDefault="009D1EBB" w:rsidP="00547912">
            <w:pPr>
              <w:pStyle w:val="NoSpacing"/>
              <w:jc w:val="center"/>
              <w:rPr>
                <w:rFonts w:ascii="Times New Roman" w:hAnsi="Times New Roman" w:cs="Times New Roman"/>
                <w:b/>
                <w:bCs/>
              </w:rPr>
            </w:pPr>
            <w:r w:rsidRPr="00547912">
              <w:rPr>
                <w:rFonts w:ascii="Times New Roman" w:hAnsi="Times New Roman" w:cs="Times New Roman"/>
                <w:b/>
                <w:bCs/>
              </w:rPr>
              <w:t>Urban School</w:t>
            </w:r>
          </w:p>
        </w:tc>
        <w:tc>
          <w:tcPr>
            <w:tcW w:w="3879" w:type="dxa"/>
            <w:gridSpan w:val="2"/>
          </w:tcPr>
          <w:p w14:paraId="630B50C6" w14:textId="77777777" w:rsidR="009D1EBB" w:rsidRPr="00547912" w:rsidRDefault="009D1EBB" w:rsidP="00547912">
            <w:pPr>
              <w:pStyle w:val="NoSpacing"/>
              <w:jc w:val="center"/>
              <w:rPr>
                <w:rFonts w:ascii="Times New Roman" w:hAnsi="Times New Roman" w:cs="Times New Roman"/>
                <w:b/>
                <w:bCs/>
              </w:rPr>
            </w:pPr>
            <w:r w:rsidRPr="00547912">
              <w:rPr>
                <w:rFonts w:ascii="Times New Roman" w:hAnsi="Times New Roman" w:cs="Times New Roman"/>
                <w:b/>
                <w:bCs/>
              </w:rPr>
              <w:t>Rural School</w:t>
            </w:r>
          </w:p>
        </w:tc>
      </w:tr>
      <w:tr w:rsidR="009D1EBB" w:rsidRPr="00547912" w14:paraId="5CF0FDD4" w14:textId="77777777" w:rsidTr="00547912">
        <w:trPr>
          <w:trHeight w:val="262"/>
        </w:trPr>
        <w:tc>
          <w:tcPr>
            <w:tcW w:w="2735" w:type="dxa"/>
            <w:vMerge/>
          </w:tcPr>
          <w:p w14:paraId="1C543E4E" w14:textId="77777777" w:rsidR="009D1EBB" w:rsidRPr="00547912" w:rsidRDefault="009D1EBB" w:rsidP="00547912">
            <w:pPr>
              <w:pStyle w:val="NoSpacing"/>
              <w:jc w:val="both"/>
              <w:rPr>
                <w:rFonts w:ascii="Times New Roman" w:hAnsi="Times New Roman" w:cs="Times New Roman"/>
              </w:rPr>
            </w:pPr>
          </w:p>
        </w:tc>
        <w:tc>
          <w:tcPr>
            <w:tcW w:w="1842" w:type="dxa"/>
          </w:tcPr>
          <w:p w14:paraId="66E6E491" w14:textId="77777777" w:rsidR="009D1EBB" w:rsidRPr="00547912" w:rsidRDefault="009D1EBB" w:rsidP="00547912">
            <w:pPr>
              <w:pStyle w:val="NoSpacing"/>
              <w:jc w:val="center"/>
              <w:rPr>
                <w:rFonts w:ascii="Times New Roman" w:hAnsi="Times New Roman" w:cs="Times New Roman"/>
                <w:i/>
                <w:iCs/>
              </w:rPr>
            </w:pPr>
            <w:r w:rsidRPr="00547912">
              <w:rPr>
                <w:rFonts w:ascii="Times New Roman" w:hAnsi="Times New Roman" w:cs="Times New Roman"/>
                <w:i/>
                <w:iCs/>
              </w:rPr>
              <w:t>f</w:t>
            </w:r>
          </w:p>
        </w:tc>
        <w:tc>
          <w:tcPr>
            <w:tcW w:w="2047" w:type="dxa"/>
          </w:tcPr>
          <w:p w14:paraId="42DB6B4A" w14:textId="77777777" w:rsidR="009D1EBB" w:rsidRPr="00547912" w:rsidRDefault="009D1EBB" w:rsidP="00547912">
            <w:pPr>
              <w:pStyle w:val="NoSpacing"/>
              <w:jc w:val="center"/>
              <w:rPr>
                <w:rFonts w:ascii="Times New Roman" w:hAnsi="Times New Roman" w:cs="Times New Roman"/>
                <w:i/>
                <w:iCs/>
              </w:rPr>
            </w:pPr>
            <w:r w:rsidRPr="00547912">
              <w:rPr>
                <w:rFonts w:ascii="Times New Roman" w:hAnsi="Times New Roman" w:cs="Times New Roman"/>
                <w:i/>
                <w:iCs/>
              </w:rPr>
              <w:t>%</w:t>
            </w:r>
          </w:p>
        </w:tc>
        <w:tc>
          <w:tcPr>
            <w:tcW w:w="1832" w:type="dxa"/>
          </w:tcPr>
          <w:p w14:paraId="76AFBCD6" w14:textId="77777777" w:rsidR="009D1EBB" w:rsidRPr="00547912" w:rsidRDefault="009D1EBB" w:rsidP="00547912">
            <w:pPr>
              <w:pStyle w:val="NoSpacing"/>
              <w:jc w:val="center"/>
              <w:rPr>
                <w:rFonts w:ascii="Times New Roman" w:hAnsi="Times New Roman" w:cs="Times New Roman"/>
                <w:i/>
                <w:iCs/>
              </w:rPr>
            </w:pPr>
            <w:r w:rsidRPr="00547912">
              <w:rPr>
                <w:rFonts w:ascii="Times New Roman" w:hAnsi="Times New Roman" w:cs="Times New Roman"/>
                <w:i/>
                <w:iCs/>
              </w:rPr>
              <w:t>f</w:t>
            </w:r>
          </w:p>
        </w:tc>
        <w:tc>
          <w:tcPr>
            <w:tcW w:w="2047" w:type="dxa"/>
          </w:tcPr>
          <w:p w14:paraId="4EEC5E78" w14:textId="77777777" w:rsidR="009D1EBB" w:rsidRPr="00547912" w:rsidRDefault="009D1EBB" w:rsidP="00547912">
            <w:pPr>
              <w:pStyle w:val="NoSpacing"/>
              <w:jc w:val="center"/>
              <w:rPr>
                <w:rFonts w:ascii="Times New Roman" w:hAnsi="Times New Roman" w:cs="Times New Roman"/>
                <w:i/>
                <w:iCs/>
              </w:rPr>
            </w:pPr>
            <w:r w:rsidRPr="00547912">
              <w:rPr>
                <w:rFonts w:ascii="Times New Roman" w:hAnsi="Times New Roman" w:cs="Times New Roman"/>
                <w:i/>
                <w:iCs/>
              </w:rPr>
              <w:t>%</w:t>
            </w:r>
          </w:p>
        </w:tc>
      </w:tr>
      <w:tr w:rsidR="009D1EBB" w:rsidRPr="00547912" w14:paraId="02E8CB08" w14:textId="77777777" w:rsidTr="00547912">
        <w:trPr>
          <w:trHeight w:val="53"/>
        </w:trPr>
        <w:tc>
          <w:tcPr>
            <w:tcW w:w="2735" w:type="dxa"/>
          </w:tcPr>
          <w:p w14:paraId="24469EDC" w14:textId="77777777" w:rsidR="009D1EBB" w:rsidRPr="00547912" w:rsidRDefault="009D1EBB" w:rsidP="00547912">
            <w:pPr>
              <w:pStyle w:val="NoSpacing"/>
              <w:jc w:val="both"/>
              <w:rPr>
                <w:rFonts w:ascii="Times New Roman" w:hAnsi="Times New Roman" w:cs="Times New Roman"/>
              </w:rPr>
            </w:pPr>
            <w:r w:rsidRPr="00547912">
              <w:rPr>
                <w:rFonts w:ascii="Times New Roman" w:hAnsi="Times New Roman" w:cs="Times New Roman"/>
              </w:rPr>
              <w:t>Transforming</w:t>
            </w:r>
          </w:p>
        </w:tc>
        <w:tc>
          <w:tcPr>
            <w:tcW w:w="1842" w:type="dxa"/>
          </w:tcPr>
          <w:p w14:paraId="44492687"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1</w:t>
            </w:r>
          </w:p>
        </w:tc>
        <w:tc>
          <w:tcPr>
            <w:tcW w:w="2047" w:type="dxa"/>
          </w:tcPr>
          <w:p w14:paraId="4557E342"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0.69%</w:t>
            </w:r>
          </w:p>
        </w:tc>
        <w:tc>
          <w:tcPr>
            <w:tcW w:w="1832" w:type="dxa"/>
          </w:tcPr>
          <w:p w14:paraId="57B62920"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0</w:t>
            </w:r>
          </w:p>
        </w:tc>
        <w:tc>
          <w:tcPr>
            <w:tcW w:w="2047" w:type="dxa"/>
          </w:tcPr>
          <w:p w14:paraId="02549BC7"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0%</w:t>
            </w:r>
          </w:p>
        </w:tc>
      </w:tr>
      <w:tr w:rsidR="009D1EBB" w:rsidRPr="00547912" w14:paraId="31193544" w14:textId="77777777" w:rsidTr="00547912">
        <w:trPr>
          <w:trHeight w:val="188"/>
        </w:trPr>
        <w:tc>
          <w:tcPr>
            <w:tcW w:w="2735" w:type="dxa"/>
          </w:tcPr>
          <w:p w14:paraId="37C1AC0E" w14:textId="77777777" w:rsidR="009D1EBB" w:rsidRPr="00547912" w:rsidRDefault="009D1EBB" w:rsidP="00547912">
            <w:pPr>
              <w:pStyle w:val="NoSpacing"/>
              <w:jc w:val="both"/>
              <w:rPr>
                <w:rFonts w:ascii="Times New Roman" w:hAnsi="Times New Roman" w:cs="Times New Roman"/>
              </w:rPr>
            </w:pPr>
            <w:r w:rsidRPr="00547912">
              <w:rPr>
                <w:rFonts w:ascii="Times New Roman" w:hAnsi="Times New Roman" w:cs="Times New Roman"/>
              </w:rPr>
              <w:t>Developing</w:t>
            </w:r>
          </w:p>
        </w:tc>
        <w:tc>
          <w:tcPr>
            <w:tcW w:w="1842" w:type="dxa"/>
          </w:tcPr>
          <w:p w14:paraId="1BF25DC4"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10</w:t>
            </w:r>
          </w:p>
        </w:tc>
        <w:tc>
          <w:tcPr>
            <w:tcW w:w="2047" w:type="dxa"/>
          </w:tcPr>
          <w:p w14:paraId="3C03DB61"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6.89%</w:t>
            </w:r>
          </w:p>
        </w:tc>
        <w:tc>
          <w:tcPr>
            <w:tcW w:w="1832" w:type="dxa"/>
          </w:tcPr>
          <w:p w14:paraId="7B03F466"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0</w:t>
            </w:r>
          </w:p>
        </w:tc>
        <w:tc>
          <w:tcPr>
            <w:tcW w:w="2047" w:type="dxa"/>
          </w:tcPr>
          <w:p w14:paraId="61C3D6ED"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0%</w:t>
            </w:r>
          </w:p>
        </w:tc>
      </w:tr>
      <w:tr w:rsidR="009D1EBB" w:rsidRPr="00547912" w14:paraId="230F76E4" w14:textId="77777777" w:rsidTr="00547912">
        <w:trPr>
          <w:trHeight w:val="177"/>
        </w:trPr>
        <w:tc>
          <w:tcPr>
            <w:tcW w:w="2735" w:type="dxa"/>
          </w:tcPr>
          <w:p w14:paraId="2F1D2C26" w14:textId="77777777" w:rsidR="009D1EBB" w:rsidRPr="00547912" w:rsidRDefault="009D1EBB" w:rsidP="00547912">
            <w:pPr>
              <w:pStyle w:val="NoSpacing"/>
              <w:jc w:val="both"/>
              <w:rPr>
                <w:rFonts w:ascii="Times New Roman" w:hAnsi="Times New Roman" w:cs="Times New Roman"/>
              </w:rPr>
            </w:pPr>
            <w:r w:rsidRPr="00547912">
              <w:rPr>
                <w:rFonts w:ascii="Times New Roman" w:hAnsi="Times New Roman" w:cs="Times New Roman"/>
              </w:rPr>
              <w:t>Emerging</w:t>
            </w:r>
          </w:p>
        </w:tc>
        <w:tc>
          <w:tcPr>
            <w:tcW w:w="1842" w:type="dxa"/>
          </w:tcPr>
          <w:p w14:paraId="0D337B5C"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7</w:t>
            </w:r>
          </w:p>
        </w:tc>
        <w:tc>
          <w:tcPr>
            <w:tcW w:w="2047" w:type="dxa"/>
          </w:tcPr>
          <w:p w14:paraId="0B102BD4"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4.83%</w:t>
            </w:r>
          </w:p>
        </w:tc>
        <w:tc>
          <w:tcPr>
            <w:tcW w:w="1832" w:type="dxa"/>
          </w:tcPr>
          <w:p w14:paraId="066E085C"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1</w:t>
            </w:r>
          </w:p>
        </w:tc>
        <w:tc>
          <w:tcPr>
            <w:tcW w:w="2047" w:type="dxa"/>
          </w:tcPr>
          <w:p w14:paraId="46436892"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1.59%</w:t>
            </w:r>
          </w:p>
        </w:tc>
      </w:tr>
      <w:tr w:rsidR="009D1EBB" w:rsidRPr="00547912" w14:paraId="109D6761" w14:textId="77777777" w:rsidTr="00547912">
        <w:trPr>
          <w:trHeight w:val="177"/>
        </w:trPr>
        <w:tc>
          <w:tcPr>
            <w:tcW w:w="2735" w:type="dxa"/>
          </w:tcPr>
          <w:p w14:paraId="2350D81B" w14:textId="77777777" w:rsidR="009D1EBB" w:rsidRPr="00547912" w:rsidRDefault="009D1EBB" w:rsidP="00547912">
            <w:pPr>
              <w:pStyle w:val="NoSpacing"/>
              <w:jc w:val="both"/>
              <w:rPr>
                <w:rFonts w:ascii="Times New Roman" w:hAnsi="Times New Roman" w:cs="Times New Roman"/>
              </w:rPr>
            </w:pPr>
            <w:r w:rsidRPr="00547912">
              <w:rPr>
                <w:rFonts w:ascii="Times New Roman" w:hAnsi="Times New Roman" w:cs="Times New Roman"/>
              </w:rPr>
              <w:t>Anchoring</w:t>
            </w:r>
          </w:p>
        </w:tc>
        <w:tc>
          <w:tcPr>
            <w:tcW w:w="1842" w:type="dxa"/>
          </w:tcPr>
          <w:p w14:paraId="6F7F3E06"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14</w:t>
            </w:r>
          </w:p>
        </w:tc>
        <w:tc>
          <w:tcPr>
            <w:tcW w:w="2047" w:type="dxa"/>
          </w:tcPr>
          <w:p w14:paraId="7F7B718C"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9.66%</w:t>
            </w:r>
          </w:p>
        </w:tc>
        <w:tc>
          <w:tcPr>
            <w:tcW w:w="1832" w:type="dxa"/>
          </w:tcPr>
          <w:p w14:paraId="3DC0145A"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4</w:t>
            </w:r>
          </w:p>
        </w:tc>
        <w:tc>
          <w:tcPr>
            <w:tcW w:w="2047" w:type="dxa"/>
          </w:tcPr>
          <w:p w14:paraId="0CD98A5A"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6.35%</w:t>
            </w:r>
          </w:p>
        </w:tc>
      </w:tr>
      <w:tr w:rsidR="009D1EBB" w:rsidRPr="00547912" w14:paraId="0DF8C3FA" w14:textId="77777777" w:rsidTr="00547912">
        <w:trPr>
          <w:trHeight w:val="177"/>
        </w:trPr>
        <w:tc>
          <w:tcPr>
            <w:tcW w:w="2735" w:type="dxa"/>
          </w:tcPr>
          <w:p w14:paraId="0193AF10" w14:textId="77777777" w:rsidR="009D1EBB" w:rsidRPr="00547912" w:rsidRDefault="009D1EBB" w:rsidP="00547912">
            <w:pPr>
              <w:pStyle w:val="NoSpacing"/>
              <w:jc w:val="both"/>
              <w:rPr>
                <w:rFonts w:ascii="Times New Roman" w:hAnsi="Times New Roman" w:cs="Times New Roman"/>
              </w:rPr>
            </w:pPr>
            <w:r w:rsidRPr="00547912">
              <w:rPr>
                <w:rFonts w:ascii="Times New Roman" w:hAnsi="Times New Roman" w:cs="Times New Roman"/>
              </w:rPr>
              <w:t>Needs Major Support</w:t>
            </w:r>
          </w:p>
        </w:tc>
        <w:tc>
          <w:tcPr>
            <w:tcW w:w="1842" w:type="dxa"/>
          </w:tcPr>
          <w:p w14:paraId="19AF9C7B"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113</w:t>
            </w:r>
          </w:p>
        </w:tc>
        <w:tc>
          <w:tcPr>
            <w:tcW w:w="2047" w:type="dxa"/>
          </w:tcPr>
          <w:p w14:paraId="0112DFD9"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77.93%</w:t>
            </w:r>
          </w:p>
        </w:tc>
        <w:tc>
          <w:tcPr>
            <w:tcW w:w="1832" w:type="dxa"/>
          </w:tcPr>
          <w:p w14:paraId="4C22398C"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58</w:t>
            </w:r>
          </w:p>
        </w:tc>
        <w:tc>
          <w:tcPr>
            <w:tcW w:w="2047" w:type="dxa"/>
          </w:tcPr>
          <w:p w14:paraId="58068A69" w14:textId="77777777" w:rsidR="009D1EBB" w:rsidRPr="00547912" w:rsidRDefault="009D1EBB" w:rsidP="00547912">
            <w:pPr>
              <w:pStyle w:val="NoSpacing"/>
              <w:jc w:val="center"/>
              <w:rPr>
                <w:rFonts w:ascii="Times New Roman" w:hAnsi="Times New Roman" w:cs="Times New Roman"/>
              </w:rPr>
            </w:pPr>
            <w:r w:rsidRPr="00547912">
              <w:rPr>
                <w:rFonts w:ascii="Times New Roman" w:hAnsi="Times New Roman" w:cs="Times New Roman"/>
              </w:rPr>
              <w:t>92.06%</w:t>
            </w:r>
          </w:p>
        </w:tc>
      </w:tr>
    </w:tbl>
    <w:p w14:paraId="14C152D6" w14:textId="4DD11FB3" w:rsidR="00971CE4" w:rsidRPr="001D252E" w:rsidRDefault="00177301" w:rsidP="00A37A8D">
      <w:pPr>
        <w:pBdr>
          <w:top w:val="nil"/>
          <w:left w:val="nil"/>
          <w:bottom w:val="nil"/>
          <w:right w:val="nil"/>
          <w:between w:val="nil"/>
        </w:pBdr>
        <w:tabs>
          <w:tab w:val="center" w:pos="5631"/>
        </w:tabs>
        <w:spacing w:line="240" w:lineRule="auto"/>
        <w:rPr>
          <w:rFonts w:eastAsia="Georgia"/>
          <w:bCs/>
          <w:iCs/>
          <w:color w:val="000000" w:themeColor="text1"/>
          <w:sz w:val="28"/>
          <w:szCs w:val="28"/>
          <w:lang w:val="en-PH" w:bidi="en-US"/>
        </w:rPr>
      </w:pPr>
      <w:r w:rsidRPr="00547912">
        <w:rPr>
          <w:rFonts w:eastAsia="Georgia"/>
          <w:bCs/>
          <w:i/>
          <w:iCs/>
          <w:color w:val="000000" w:themeColor="text1"/>
          <w:lang w:val="en-PH" w:bidi="en-US"/>
        </w:rPr>
        <w:t>Note</w:t>
      </w:r>
      <w:r w:rsidRPr="00547912">
        <w:rPr>
          <w:rFonts w:eastAsia="Georgia"/>
          <w:bCs/>
          <w:iCs/>
          <w:color w:val="000000" w:themeColor="text1"/>
          <w:lang w:val="en-PH" w:bidi="en-US"/>
        </w:rPr>
        <w:t>. f = frequency; % = percentage</w:t>
      </w:r>
      <w:r w:rsidR="00971CE4">
        <w:rPr>
          <w:rFonts w:eastAsia="Georgia"/>
          <w:bCs/>
          <w:iCs/>
          <w:color w:val="000000" w:themeColor="text1"/>
          <w:sz w:val="28"/>
          <w:szCs w:val="28"/>
          <w:lang w:val="en-PH" w:bidi="en-US"/>
        </w:rPr>
        <w:tab/>
      </w:r>
    </w:p>
    <w:p w14:paraId="25E05A9E" w14:textId="651E1323" w:rsidR="002750BC" w:rsidRDefault="00177301" w:rsidP="00A37A8D">
      <w:pPr>
        <w:pBdr>
          <w:top w:val="nil"/>
          <w:left w:val="nil"/>
          <w:bottom w:val="nil"/>
          <w:right w:val="nil"/>
          <w:between w:val="nil"/>
        </w:pBdr>
        <w:spacing w:line="240" w:lineRule="auto"/>
        <w:ind w:firstLine="562"/>
        <w:rPr>
          <w:rFonts w:eastAsia="Georgia"/>
          <w:bCs/>
          <w:iCs/>
          <w:noProof/>
          <w:color w:val="000000" w:themeColor="text1"/>
          <w:lang w:bidi="en-US"/>
        </w:rPr>
      </w:pPr>
      <w:r w:rsidRPr="00547912">
        <w:rPr>
          <w:rFonts w:eastAsia="Georgia"/>
          <w:bCs/>
          <w:iCs/>
          <w:color w:val="000000" w:themeColor="text1"/>
          <w:lang w:bidi="en-US"/>
        </w:rPr>
        <w:t xml:space="preserve">In urban schools, most learners (77.93%) fall under the Needs Major Support category, indicating significant difficulty in mastering foundational numeracy skills and a strong need for instructional intervention. Only a small proportion reached higher performance levels, with 9.66% classified as Anchoring, 4.83% as Emerging, and 6.89% as Developing, while only one learner (0.69%) reached the Transforming level. Although this indicates that a few learners are achieving above the expected level, the overall distribution suggests that numeracy performance in urban schools remains largely weak and </w:t>
      </w:r>
      <w:proofErr w:type="spellStart"/>
      <w:proofErr w:type="gramStart"/>
      <w:r w:rsidRPr="00547912">
        <w:rPr>
          <w:rFonts w:eastAsia="Georgia"/>
          <w:bCs/>
          <w:iCs/>
          <w:color w:val="000000" w:themeColor="text1"/>
          <w:lang w:bidi="en-US"/>
        </w:rPr>
        <w:t>underdeveloped.A</w:t>
      </w:r>
      <w:proofErr w:type="spellEnd"/>
      <w:proofErr w:type="gramEnd"/>
      <w:r w:rsidRPr="00547912">
        <w:rPr>
          <w:rFonts w:eastAsia="Georgia"/>
          <w:bCs/>
          <w:iCs/>
          <w:color w:val="000000" w:themeColor="text1"/>
          <w:lang w:bidi="en-US"/>
        </w:rPr>
        <w:t xml:space="preserve"> more critical pattern is observed in rural schools, where an overwhelming 92.06% of learners are classified under Needs Major Support. Only 6.35% are at the Anchoring level and 1.59% at the Emerging level, while no learners reached the Developing or Transforming levels. This indicates a more severe numeracy gap in rural areas, where learners remain concentrated at the lowest proficiency level with minimal progression. Overall, the results show that Grade 3 learners in both urban and rural schools have low numeracy performance, with rural schools demonstrating more pronounced deficiencies and a stronger need for targeted intervention.</w:t>
      </w:r>
      <w:r w:rsidR="00A37A8D" w:rsidRPr="00A37A8D">
        <w:rPr>
          <w:rFonts w:eastAsia="Georgia"/>
          <w:bCs/>
          <w:iCs/>
          <w:noProof/>
          <w:color w:val="000000" w:themeColor="text1"/>
          <w:lang w:bidi="en-US"/>
        </w:rPr>
        <w:t xml:space="preserve"> </w:t>
      </w:r>
    </w:p>
    <w:p w14:paraId="788A7C75" w14:textId="77777777" w:rsidR="00A37A8D" w:rsidRPr="00547912" w:rsidRDefault="00A37A8D" w:rsidP="00A37A8D">
      <w:pPr>
        <w:pBdr>
          <w:top w:val="nil"/>
          <w:left w:val="nil"/>
          <w:bottom w:val="nil"/>
          <w:right w:val="nil"/>
          <w:between w:val="nil"/>
        </w:pBdr>
        <w:spacing w:line="240" w:lineRule="auto"/>
        <w:ind w:firstLine="562"/>
        <w:rPr>
          <w:rFonts w:eastAsia="Georgia"/>
          <w:bCs/>
          <w:iCs/>
          <w:color w:val="000000" w:themeColor="text1"/>
          <w:lang w:bidi="en-US"/>
        </w:rPr>
      </w:pPr>
    </w:p>
    <w:p w14:paraId="529B4BDC" w14:textId="751A44D4" w:rsidR="002750BC" w:rsidRPr="00A37A8D" w:rsidRDefault="002750BC" w:rsidP="00A37A8D">
      <w:pPr>
        <w:pBdr>
          <w:top w:val="nil"/>
          <w:left w:val="nil"/>
          <w:bottom w:val="nil"/>
          <w:right w:val="nil"/>
          <w:between w:val="nil"/>
        </w:pBdr>
        <w:spacing w:line="240" w:lineRule="auto"/>
        <w:rPr>
          <w:rFonts w:eastAsia="Georgia"/>
          <w:b/>
          <w:iCs/>
          <w:color w:val="000000" w:themeColor="text1"/>
          <w:lang w:bidi="en-US"/>
        </w:rPr>
      </w:pPr>
      <w:r w:rsidRPr="00A37A8D">
        <w:rPr>
          <w:rFonts w:eastAsia="Georgia"/>
          <w:b/>
          <w:iCs/>
          <w:color w:val="000000" w:themeColor="text1"/>
          <w:lang w:bidi="en-US"/>
        </w:rPr>
        <w:t>Figure 1. Frequency Distribution of Grade 3 Learners’ Numerical Ability based on ALNAT Scores</w:t>
      </w:r>
    </w:p>
    <w:p w14:paraId="4A47A11E" w14:textId="2A5CAE77" w:rsidR="00EE7C51" w:rsidRPr="00547912" w:rsidRDefault="00A37A8D" w:rsidP="00A37A8D">
      <w:pPr>
        <w:pBdr>
          <w:top w:val="nil"/>
          <w:left w:val="nil"/>
          <w:bottom w:val="nil"/>
          <w:right w:val="nil"/>
          <w:between w:val="nil"/>
        </w:pBdr>
        <w:tabs>
          <w:tab w:val="left" w:pos="3248"/>
        </w:tabs>
        <w:spacing w:line="240" w:lineRule="auto"/>
        <w:ind w:firstLine="567"/>
        <w:jc w:val="left"/>
        <w:rPr>
          <w:rFonts w:eastAsia="Georgia"/>
          <w:bCs/>
          <w:iCs/>
          <w:noProof/>
          <w:color w:val="000000" w:themeColor="text1"/>
          <w:lang w:bidi="en-US"/>
        </w:rPr>
      </w:pPr>
      <w:r w:rsidRPr="00547912">
        <w:rPr>
          <w:rFonts w:eastAsia="Georgia"/>
          <w:bCs/>
          <w:iCs/>
          <w:noProof/>
          <w:color w:val="000000" w:themeColor="text1"/>
          <w:lang w:bidi="en-US"/>
        </w:rPr>
        <w:drawing>
          <wp:inline distT="0" distB="0" distL="0" distR="0" wp14:anchorId="409DCA52" wp14:editId="00678362">
            <wp:extent cx="3571433" cy="2013263"/>
            <wp:effectExtent l="0" t="0" r="0" b="6350"/>
            <wp:docPr id="891062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5384" cy="2021127"/>
                    </a:xfrm>
                    <a:prstGeom prst="rect">
                      <a:avLst/>
                    </a:prstGeom>
                    <a:noFill/>
                  </pic:spPr>
                </pic:pic>
              </a:graphicData>
            </a:graphic>
          </wp:inline>
        </w:drawing>
      </w:r>
      <w:r w:rsidR="00971CE4" w:rsidRPr="00547912">
        <w:rPr>
          <w:rFonts w:eastAsia="Georgia"/>
          <w:bCs/>
          <w:iCs/>
          <w:noProof/>
          <w:color w:val="000000" w:themeColor="text1"/>
          <w:lang w:bidi="en-US"/>
        </w:rPr>
        <w:tab/>
      </w:r>
    </w:p>
    <w:p w14:paraId="4B16A08C" w14:textId="77777777" w:rsidR="00177301" w:rsidRPr="001D252E" w:rsidRDefault="00177301" w:rsidP="00F44221">
      <w:pPr>
        <w:pBdr>
          <w:top w:val="nil"/>
          <w:left w:val="nil"/>
          <w:bottom w:val="nil"/>
          <w:right w:val="nil"/>
          <w:between w:val="nil"/>
        </w:pBdr>
        <w:spacing w:line="240" w:lineRule="auto"/>
        <w:ind w:firstLine="567"/>
        <w:rPr>
          <w:rFonts w:eastAsia="Georgia"/>
          <w:bCs/>
          <w:iCs/>
          <w:color w:val="000000" w:themeColor="text1"/>
          <w:sz w:val="28"/>
          <w:szCs w:val="28"/>
          <w:lang w:bidi="en-US"/>
        </w:rPr>
      </w:pPr>
    </w:p>
    <w:p w14:paraId="3E1A088E" w14:textId="77777777" w:rsidR="00177301" w:rsidRPr="00A37A8D" w:rsidRDefault="00177301" w:rsidP="00F44221">
      <w:pPr>
        <w:pBdr>
          <w:top w:val="nil"/>
          <w:left w:val="nil"/>
          <w:bottom w:val="nil"/>
          <w:right w:val="nil"/>
          <w:between w:val="nil"/>
        </w:pBdr>
        <w:spacing w:line="240" w:lineRule="auto"/>
        <w:ind w:firstLine="562"/>
        <w:rPr>
          <w:rFonts w:eastAsia="Georgia"/>
          <w:bCs/>
          <w:iCs/>
          <w:noProof/>
          <w:color w:val="000000" w:themeColor="text1"/>
          <w:lang w:bidi="en-US"/>
        </w:rPr>
      </w:pPr>
      <w:r w:rsidRPr="00A37A8D">
        <w:rPr>
          <w:rFonts w:eastAsia="Georgia"/>
          <w:bCs/>
          <w:iCs/>
          <w:noProof/>
          <w:color w:val="000000" w:themeColor="text1"/>
          <w:lang w:bidi="en-US"/>
        </w:rPr>
        <w:lastRenderedPageBreak/>
        <w:t>Figure 1 distribution shows that the largest number of learners scored within the 41–50 range (33 learners), followed closely by the 31–40 range (31 learners). These clusters indicate that a substantial proportion of learners demonstrate only partial mastery of the assessed numeracy competencies, suggesting that most learners are operating within low to moderate performance levels.</w:t>
      </w:r>
    </w:p>
    <w:p w14:paraId="07C7066E" w14:textId="77777777" w:rsidR="00177301" w:rsidRPr="00A37A8D" w:rsidRDefault="00177301" w:rsidP="00F44221">
      <w:pPr>
        <w:pBdr>
          <w:top w:val="nil"/>
          <w:left w:val="nil"/>
          <w:bottom w:val="nil"/>
          <w:right w:val="nil"/>
          <w:between w:val="nil"/>
        </w:pBdr>
        <w:spacing w:line="240" w:lineRule="auto"/>
        <w:ind w:firstLine="562"/>
        <w:rPr>
          <w:rFonts w:eastAsia="Georgia"/>
          <w:bCs/>
          <w:iCs/>
          <w:noProof/>
          <w:color w:val="000000" w:themeColor="text1"/>
          <w:lang w:bidi="en-US"/>
        </w:rPr>
      </w:pPr>
      <w:r w:rsidRPr="00A37A8D">
        <w:rPr>
          <w:rFonts w:eastAsia="Georgia"/>
          <w:bCs/>
          <w:iCs/>
          <w:noProof/>
          <w:color w:val="000000" w:themeColor="text1"/>
          <w:lang w:bidi="en-US"/>
        </w:rPr>
        <w:t>A smaller group of learners achieved higher scores, with 26 learners falling within the 81–90 range and 15 learners in the 91–100 range. This indicates that only a limited proportion of learners reached advanced numeracy proficiency, reflecting that high-level mastery of ALNAT competencies is not yet widely achieved among Grade 3 learners.</w:t>
      </w:r>
    </w:p>
    <w:p w14:paraId="1D40695C" w14:textId="59580AB1" w:rsidR="00177301" w:rsidRPr="00A37A8D" w:rsidRDefault="00177301" w:rsidP="00F44221">
      <w:pPr>
        <w:pBdr>
          <w:top w:val="nil"/>
          <w:left w:val="nil"/>
          <w:bottom w:val="nil"/>
          <w:right w:val="nil"/>
          <w:between w:val="nil"/>
        </w:pBdr>
        <w:spacing w:line="240" w:lineRule="auto"/>
        <w:ind w:firstLine="562"/>
        <w:rPr>
          <w:rFonts w:eastAsia="Georgia"/>
          <w:bCs/>
          <w:iCs/>
          <w:noProof/>
          <w:color w:val="000000" w:themeColor="text1"/>
          <w:lang w:bidi="en-US"/>
        </w:rPr>
      </w:pPr>
      <w:r w:rsidRPr="00A37A8D">
        <w:rPr>
          <w:rFonts w:eastAsia="Georgia"/>
          <w:bCs/>
          <w:iCs/>
          <w:noProof/>
          <w:color w:val="000000" w:themeColor="text1"/>
          <w:lang w:bidi="en-US"/>
        </w:rPr>
        <w:t>On the lower end of the distribution, 17 learners scored within the 21–30 range, while no learners were recorded in the 0–10 range. Although this shows the absence of extreme low scores, it still reflects gaps in foundational numeracy skills. Overall, the distribution suggests that most learners are concentrated in the low to moderate performance levels, with only a few demonstrating advanced competency.</w:t>
      </w:r>
    </w:p>
    <w:p w14:paraId="298AC38E" w14:textId="73D5905C" w:rsidR="004D11F9" w:rsidRDefault="004D11F9" w:rsidP="00A37A8D">
      <w:pPr>
        <w:pBdr>
          <w:top w:val="nil"/>
          <w:left w:val="nil"/>
          <w:bottom w:val="nil"/>
          <w:right w:val="nil"/>
          <w:between w:val="nil"/>
        </w:pBdr>
        <w:spacing w:line="240" w:lineRule="auto"/>
        <w:rPr>
          <w:rFonts w:eastAsia="Georgia"/>
          <w:bCs/>
          <w:iCs/>
          <w:color w:val="000000" w:themeColor="text1"/>
          <w:lang w:bidi="en-US"/>
        </w:rPr>
      </w:pPr>
    </w:p>
    <w:p w14:paraId="7769D245" w14:textId="0344F468" w:rsidR="00A37A8D" w:rsidRPr="00A37A8D" w:rsidRDefault="00A37A8D" w:rsidP="00A37A8D">
      <w:pPr>
        <w:pBdr>
          <w:top w:val="nil"/>
          <w:left w:val="nil"/>
          <w:bottom w:val="nil"/>
          <w:right w:val="nil"/>
          <w:between w:val="nil"/>
        </w:pBdr>
        <w:spacing w:line="240" w:lineRule="auto"/>
        <w:rPr>
          <w:rFonts w:eastAsia="Georgia"/>
          <w:b/>
          <w:iCs/>
          <w:color w:val="000000" w:themeColor="text1"/>
          <w:lang w:bidi="en-US"/>
        </w:rPr>
      </w:pPr>
      <w:r w:rsidRPr="00A37A8D">
        <w:rPr>
          <w:rFonts w:eastAsia="Georgia"/>
          <w:b/>
          <w:iCs/>
          <w:color w:val="000000" w:themeColor="text1"/>
          <w:lang w:bidi="en-US"/>
        </w:rPr>
        <w:t>Reading Ability</w:t>
      </w:r>
    </w:p>
    <w:p w14:paraId="19F552B3" w14:textId="08EC782A" w:rsidR="00EE7C51" w:rsidRPr="00A37A8D" w:rsidRDefault="00EE7C51" w:rsidP="00F44221">
      <w:pPr>
        <w:pBdr>
          <w:top w:val="nil"/>
          <w:left w:val="nil"/>
          <w:bottom w:val="nil"/>
          <w:right w:val="nil"/>
          <w:between w:val="nil"/>
        </w:pBdr>
        <w:spacing w:line="240" w:lineRule="auto"/>
        <w:ind w:firstLine="562"/>
        <w:rPr>
          <w:rFonts w:eastAsia="Georgia"/>
          <w:bCs/>
          <w:iCs/>
          <w:color w:val="000000" w:themeColor="text1"/>
          <w:lang w:bidi="en-US"/>
        </w:rPr>
      </w:pPr>
      <w:r w:rsidRPr="00A37A8D">
        <w:rPr>
          <w:rFonts w:eastAsia="Georgia"/>
          <w:bCs/>
          <w:iCs/>
          <w:color w:val="000000" w:themeColor="text1"/>
          <w:lang w:bidi="en-US"/>
        </w:rPr>
        <w:t xml:space="preserve">Table 2 presents the reading ability levels of Grade 3 learners in urban and rural schools based on CRLA results, showing clear differences in reading proficiency across school locations. </w:t>
      </w:r>
    </w:p>
    <w:p w14:paraId="2937CAB9" w14:textId="77777777" w:rsidR="00177301" w:rsidRPr="00A37A8D" w:rsidRDefault="00177301" w:rsidP="00F44221">
      <w:pPr>
        <w:pBdr>
          <w:top w:val="nil"/>
          <w:left w:val="nil"/>
          <w:bottom w:val="nil"/>
          <w:right w:val="nil"/>
          <w:between w:val="nil"/>
        </w:pBdr>
        <w:spacing w:line="240" w:lineRule="auto"/>
        <w:ind w:firstLine="567"/>
        <w:rPr>
          <w:rFonts w:eastAsia="Georgia"/>
          <w:bCs/>
          <w:iCs/>
          <w:color w:val="000000" w:themeColor="text1"/>
          <w:lang w:bidi="en-US"/>
        </w:rPr>
      </w:pPr>
    </w:p>
    <w:p w14:paraId="29A41D07" w14:textId="014C1385" w:rsidR="00177301" w:rsidRPr="00A37A8D" w:rsidRDefault="00177301" w:rsidP="00F44221">
      <w:pPr>
        <w:pBdr>
          <w:top w:val="nil"/>
          <w:left w:val="nil"/>
          <w:bottom w:val="nil"/>
          <w:right w:val="nil"/>
          <w:between w:val="nil"/>
        </w:pBdr>
        <w:spacing w:line="240" w:lineRule="auto"/>
        <w:rPr>
          <w:rFonts w:eastAsia="Georgia"/>
          <w:b/>
          <w:iCs/>
          <w:color w:val="000000" w:themeColor="text1"/>
          <w:lang w:bidi="en-US"/>
        </w:rPr>
      </w:pPr>
      <w:r w:rsidRPr="00A37A8D">
        <w:rPr>
          <w:rFonts w:eastAsia="Georgia"/>
          <w:b/>
          <w:iCs/>
          <w:color w:val="000000" w:themeColor="text1"/>
          <w:lang w:bidi="en-US"/>
        </w:rPr>
        <w:t>Table 2. Reading Ability Level of Grade 3 Learners based on Comprehensive Rapid Literacy Assessment (CRLA) in Urban and Rural Schools</w:t>
      </w:r>
    </w:p>
    <w:tbl>
      <w:tblPr>
        <w:tblStyle w:val="TableGrid1"/>
        <w:tblW w:w="0" w:type="auto"/>
        <w:tblLook w:val="04A0" w:firstRow="1" w:lastRow="0" w:firstColumn="1" w:lastColumn="0" w:noHBand="0" w:noVBand="1"/>
      </w:tblPr>
      <w:tblGrid>
        <w:gridCol w:w="2770"/>
        <w:gridCol w:w="1893"/>
        <w:gridCol w:w="1523"/>
        <w:gridCol w:w="1810"/>
        <w:gridCol w:w="1929"/>
      </w:tblGrid>
      <w:tr w:rsidR="00EE7C51" w:rsidRPr="009A7579" w14:paraId="73FBB809" w14:textId="77777777" w:rsidTr="009A7579">
        <w:trPr>
          <w:trHeight w:val="276"/>
        </w:trPr>
        <w:tc>
          <w:tcPr>
            <w:tcW w:w="2770" w:type="dxa"/>
            <w:vMerge w:val="restart"/>
          </w:tcPr>
          <w:p w14:paraId="72A9036E"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
                <w:bCs/>
                <w:iCs/>
                <w:color w:val="000000" w:themeColor="text1"/>
                <w:sz w:val="24"/>
                <w:szCs w:val="24"/>
                <w:lang w:bidi="en-US"/>
              </w:rPr>
            </w:pPr>
            <w:r w:rsidRPr="009A7579">
              <w:rPr>
                <w:rFonts w:ascii="Times New Roman" w:eastAsia="Georgia" w:hAnsi="Times New Roman"/>
                <w:b/>
                <w:bCs/>
                <w:iCs/>
                <w:color w:val="000000" w:themeColor="text1"/>
                <w:sz w:val="24"/>
                <w:szCs w:val="24"/>
                <w:lang w:bidi="en-US"/>
              </w:rPr>
              <w:t>Reading Level</w:t>
            </w:r>
          </w:p>
        </w:tc>
        <w:tc>
          <w:tcPr>
            <w:tcW w:w="3335" w:type="dxa"/>
            <w:gridSpan w:val="2"/>
          </w:tcPr>
          <w:p w14:paraId="58F57591"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
                <w:bCs/>
                <w:iCs/>
                <w:color w:val="000000" w:themeColor="text1"/>
                <w:sz w:val="24"/>
                <w:szCs w:val="24"/>
                <w:lang w:bidi="en-US"/>
              </w:rPr>
            </w:pPr>
            <w:r w:rsidRPr="009A7579">
              <w:rPr>
                <w:rFonts w:ascii="Times New Roman" w:eastAsia="Georgia" w:hAnsi="Times New Roman"/>
                <w:b/>
                <w:bCs/>
                <w:iCs/>
                <w:color w:val="000000" w:themeColor="text1"/>
                <w:sz w:val="24"/>
                <w:szCs w:val="24"/>
                <w:lang w:bidi="en-US"/>
              </w:rPr>
              <w:t>Urban School</w:t>
            </w:r>
          </w:p>
        </w:tc>
        <w:tc>
          <w:tcPr>
            <w:tcW w:w="3739" w:type="dxa"/>
            <w:gridSpan w:val="2"/>
          </w:tcPr>
          <w:p w14:paraId="5BAC1703"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
                <w:bCs/>
                <w:iCs/>
                <w:color w:val="000000" w:themeColor="text1"/>
                <w:sz w:val="24"/>
                <w:szCs w:val="24"/>
                <w:lang w:bidi="en-US"/>
              </w:rPr>
            </w:pPr>
            <w:r w:rsidRPr="009A7579">
              <w:rPr>
                <w:rFonts w:ascii="Times New Roman" w:eastAsia="Georgia" w:hAnsi="Times New Roman"/>
                <w:b/>
                <w:bCs/>
                <w:iCs/>
                <w:color w:val="000000" w:themeColor="text1"/>
                <w:sz w:val="24"/>
                <w:szCs w:val="24"/>
                <w:lang w:bidi="en-US"/>
              </w:rPr>
              <w:t>Rural School</w:t>
            </w:r>
          </w:p>
        </w:tc>
      </w:tr>
      <w:tr w:rsidR="00EE7C51" w:rsidRPr="009A7579" w14:paraId="438C0711" w14:textId="77777777" w:rsidTr="009A7579">
        <w:trPr>
          <w:trHeight w:val="264"/>
        </w:trPr>
        <w:tc>
          <w:tcPr>
            <w:tcW w:w="2770" w:type="dxa"/>
            <w:vMerge/>
          </w:tcPr>
          <w:p w14:paraId="1AD02B55"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
                <w:bCs/>
                <w:iCs/>
                <w:color w:val="000000" w:themeColor="text1"/>
                <w:sz w:val="24"/>
                <w:szCs w:val="24"/>
                <w:lang w:bidi="en-US"/>
              </w:rPr>
            </w:pPr>
          </w:p>
        </w:tc>
        <w:tc>
          <w:tcPr>
            <w:tcW w:w="1893" w:type="dxa"/>
          </w:tcPr>
          <w:p w14:paraId="3F1B0B4F"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
                <w:bCs/>
                <w:i/>
                <w:iCs/>
                <w:color w:val="000000" w:themeColor="text1"/>
                <w:sz w:val="24"/>
                <w:szCs w:val="24"/>
                <w:lang w:bidi="en-US"/>
              </w:rPr>
            </w:pPr>
            <w:r w:rsidRPr="009A7579">
              <w:rPr>
                <w:rFonts w:ascii="Times New Roman" w:eastAsia="Georgia" w:hAnsi="Times New Roman"/>
                <w:b/>
                <w:bCs/>
                <w:i/>
                <w:iCs/>
                <w:color w:val="000000" w:themeColor="text1"/>
                <w:sz w:val="24"/>
                <w:szCs w:val="24"/>
                <w:lang w:bidi="en-US"/>
              </w:rPr>
              <w:t>f</w:t>
            </w:r>
          </w:p>
        </w:tc>
        <w:tc>
          <w:tcPr>
            <w:tcW w:w="1442" w:type="dxa"/>
          </w:tcPr>
          <w:p w14:paraId="0B8DAEB8"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
                <w:bCs/>
                <w:i/>
                <w:iCs/>
                <w:color w:val="000000" w:themeColor="text1"/>
                <w:sz w:val="24"/>
                <w:szCs w:val="24"/>
                <w:lang w:bidi="en-US"/>
              </w:rPr>
            </w:pPr>
            <w:r w:rsidRPr="009A7579">
              <w:rPr>
                <w:rFonts w:ascii="Times New Roman" w:eastAsia="Georgia" w:hAnsi="Times New Roman"/>
                <w:b/>
                <w:bCs/>
                <w:i/>
                <w:iCs/>
                <w:color w:val="000000" w:themeColor="text1"/>
                <w:sz w:val="24"/>
                <w:szCs w:val="24"/>
                <w:lang w:bidi="en-US"/>
              </w:rPr>
              <w:t>%</w:t>
            </w:r>
          </w:p>
        </w:tc>
        <w:tc>
          <w:tcPr>
            <w:tcW w:w="1810" w:type="dxa"/>
          </w:tcPr>
          <w:p w14:paraId="5574743A"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
                <w:bCs/>
                <w:i/>
                <w:iCs/>
                <w:color w:val="000000" w:themeColor="text1"/>
                <w:sz w:val="24"/>
                <w:szCs w:val="24"/>
                <w:lang w:bidi="en-US"/>
              </w:rPr>
            </w:pPr>
            <w:r w:rsidRPr="009A7579">
              <w:rPr>
                <w:rFonts w:ascii="Times New Roman" w:eastAsia="Georgia" w:hAnsi="Times New Roman"/>
                <w:b/>
                <w:bCs/>
                <w:i/>
                <w:iCs/>
                <w:color w:val="000000" w:themeColor="text1"/>
                <w:sz w:val="24"/>
                <w:szCs w:val="24"/>
                <w:lang w:bidi="en-US"/>
              </w:rPr>
              <w:t>f</w:t>
            </w:r>
          </w:p>
        </w:tc>
        <w:tc>
          <w:tcPr>
            <w:tcW w:w="1929" w:type="dxa"/>
          </w:tcPr>
          <w:p w14:paraId="6F9BB56D"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
                <w:bCs/>
                <w:i/>
                <w:iCs/>
                <w:color w:val="000000" w:themeColor="text1"/>
                <w:sz w:val="24"/>
                <w:szCs w:val="24"/>
                <w:lang w:bidi="en-US"/>
              </w:rPr>
            </w:pPr>
            <w:r w:rsidRPr="009A7579">
              <w:rPr>
                <w:rFonts w:ascii="Times New Roman" w:eastAsia="Georgia" w:hAnsi="Times New Roman"/>
                <w:b/>
                <w:bCs/>
                <w:i/>
                <w:iCs/>
                <w:color w:val="000000" w:themeColor="text1"/>
                <w:sz w:val="24"/>
                <w:szCs w:val="24"/>
                <w:lang w:bidi="en-US"/>
              </w:rPr>
              <w:t>%</w:t>
            </w:r>
          </w:p>
        </w:tc>
      </w:tr>
      <w:tr w:rsidR="00EE7C51" w:rsidRPr="009A7579" w14:paraId="1CE974BD" w14:textId="77777777" w:rsidTr="009A7579">
        <w:trPr>
          <w:trHeight w:val="366"/>
        </w:trPr>
        <w:tc>
          <w:tcPr>
            <w:tcW w:w="2770" w:type="dxa"/>
          </w:tcPr>
          <w:p w14:paraId="6DF7E360" w14:textId="77777777" w:rsidR="00EE7C51" w:rsidRPr="009A7579" w:rsidRDefault="00EE7C51" w:rsidP="00A37A8D">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Grade Level Ready</w:t>
            </w:r>
          </w:p>
        </w:tc>
        <w:tc>
          <w:tcPr>
            <w:tcW w:w="1893" w:type="dxa"/>
          </w:tcPr>
          <w:p w14:paraId="59DACFA9"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65</w:t>
            </w:r>
          </w:p>
        </w:tc>
        <w:tc>
          <w:tcPr>
            <w:tcW w:w="1442" w:type="dxa"/>
          </w:tcPr>
          <w:p w14:paraId="3A5D74EA"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44.83%</w:t>
            </w:r>
          </w:p>
        </w:tc>
        <w:tc>
          <w:tcPr>
            <w:tcW w:w="1810" w:type="dxa"/>
          </w:tcPr>
          <w:p w14:paraId="2E5B0BC7"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10</w:t>
            </w:r>
          </w:p>
        </w:tc>
        <w:tc>
          <w:tcPr>
            <w:tcW w:w="1929" w:type="dxa"/>
          </w:tcPr>
          <w:p w14:paraId="75DF91CE"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15.87%</w:t>
            </w:r>
          </w:p>
        </w:tc>
      </w:tr>
      <w:tr w:rsidR="00EE7C51" w:rsidRPr="009A7579" w14:paraId="7366652F" w14:textId="77777777" w:rsidTr="009A7579">
        <w:trPr>
          <w:trHeight w:val="176"/>
        </w:trPr>
        <w:tc>
          <w:tcPr>
            <w:tcW w:w="2770" w:type="dxa"/>
          </w:tcPr>
          <w:p w14:paraId="43303586" w14:textId="77777777" w:rsidR="00EE7C51" w:rsidRPr="009A7579" w:rsidRDefault="00EE7C51" w:rsidP="00A37A8D">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Transitioning</w:t>
            </w:r>
          </w:p>
        </w:tc>
        <w:tc>
          <w:tcPr>
            <w:tcW w:w="1893" w:type="dxa"/>
          </w:tcPr>
          <w:p w14:paraId="2B823EBB"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71</w:t>
            </w:r>
          </w:p>
        </w:tc>
        <w:tc>
          <w:tcPr>
            <w:tcW w:w="1442" w:type="dxa"/>
          </w:tcPr>
          <w:p w14:paraId="3EAD58BC"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48.96%</w:t>
            </w:r>
          </w:p>
        </w:tc>
        <w:tc>
          <w:tcPr>
            <w:tcW w:w="1810" w:type="dxa"/>
          </w:tcPr>
          <w:p w14:paraId="1B32051B"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47</w:t>
            </w:r>
          </w:p>
        </w:tc>
        <w:tc>
          <w:tcPr>
            <w:tcW w:w="1929" w:type="dxa"/>
          </w:tcPr>
          <w:p w14:paraId="68FAAA5B"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74.60%</w:t>
            </w:r>
          </w:p>
        </w:tc>
      </w:tr>
      <w:tr w:rsidR="00EE7C51" w:rsidRPr="009A7579" w14:paraId="2E747302" w14:textId="77777777" w:rsidTr="009A7579">
        <w:trPr>
          <w:trHeight w:val="186"/>
        </w:trPr>
        <w:tc>
          <w:tcPr>
            <w:tcW w:w="2770" w:type="dxa"/>
          </w:tcPr>
          <w:p w14:paraId="3A44AD24" w14:textId="77777777" w:rsidR="00EE7C51" w:rsidRPr="009A7579" w:rsidRDefault="00EE7C51" w:rsidP="00A37A8D">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Developing</w:t>
            </w:r>
          </w:p>
        </w:tc>
        <w:tc>
          <w:tcPr>
            <w:tcW w:w="1893" w:type="dxa"/>
          </w:tcPr>
          <w:p w14:paraId="77B31BA9"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7</w:t>
            </w:r>
          </w:p>
        </w:tc>
        <w:tc>
          <w:tcPr>
            <w:tcW w:w="1442" w:type="dxa"/>
          </w:tcPr>
          <w:p w14:paraId="2D391D94"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4.83%</w:t>
            </w:r>
          </w:p>
        </w:tc>
        <w:tc>
          <w:tcPr>
            <w:tcW w:w="1810" w:type="dxa"/>
          </w:tcPr>
          <w:p w14:paraId="033081EC"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5</w:t>
            </w:r>
          </w:p>
        </w:tc>
        <w:tc>
          <w:tcPr>
            <w:tcW w:w="1929" w:type="dxa"/>
          </w:tcPr>
          <w:p w14:paraId="76F4F553"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7.94%</w:t>
            </w:r>
          </w:p>
        </w:tc>
      </w:tr>
      <w:tr w:rsidR="00EE7C51" w:rsidRPr="009A7579" w14:paraId="1FFDC9CF" w14:textId="77777777" w:rsidTr="009A7579">
        <w:trPr>
          <w:trHeight w:val="176"/>
        </w:trPr>
        <w:tc>
          <w:tcPr>
            <w:tcW w:w="2770" w:type="dxa"/>
          </w:tcPr>
          <w:p w14:paraId="446CD5E3" w14:textId="77777777" w:rsidR="00EE7C51" w:rsidRPr="009A7579" w:rsidRDefault="00EE7C51" w:rsidP="00A37A8D">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High Emerging</w:t>
            </w:r>
          </w:p>
        </w:tc>
        <w:tc>
          <w:tcPr>
            <w:tcW w:w="1893" w:type="dxa"/>
          </w:tcPr>
          <w:p w14:paraId="1E564E38"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2</w:t>
            </w:r>
          </w:p>
        </w:tc>
        <w:tc>
          <w:tcPr>
            <w:tcW w:w="1442" w:type="dxa"/>
          </w:tcPr>
          <w:p w14:paraId="70036B45"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1.38%</w:t>
            </w:r>
          </w:p>
        </w:tc>
        <w:tc>
          <w:tcPr>
            <w:tcW w:w="1810" w:type="dxa"/>
          </w:tcPr>
          <w:p w14:paraId="4E37275C"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w:t>
            </w:r>
          </w:p>
        </w:tc>
        <w:tc>
          <w:tcPr>
            <w:tcW w:w="1929" w:type="dxa"/>
          </w:tcPr>
          <w:p w14:paraId="34EDC07A"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1.59%</w:t>
            </w:r>
          </w:p>
        </w:tc>
      </w:tr>
      <w:tr w:rsidR="00EE7C51" w:rsidRPr="009A7579" w14:paraId="6B9DC5CF" w14:textId="77777777" w:rsidTr="009A7579">
        <w:trPr>
          <w:trHeight w:val="186"/>
        </w:trPr>
        <w:tc>
          <w:tcPr>
            <w:tcW w:w="2770" w:type="dxa"/>
          </w:tcPr>
          <w:p w14:paraId="6633DA98" w14:textId="77777777" w:rsidR="00EE7C51" w:rsidRPr="009A7579" w:rsidRDefault="00EE7C51" w:rsidP="00A37A8D">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Low Emerging</w:t>
            </w:r>
          </w:p>
        </w:tc>
        <w:tc>
          <w:tcPr>
            <w:tcW w:w="1893" w:type="dxa"/>
          </w:tcPr>
          <w:p w14:paraId="6E55F599"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0</w:t>
            </w:r>
          </w:p>
        </w:tc>
        <w:tc>
          <w:tcPr>
            <w:tcW w:w="1442" w:type="dxa"/>
          </w:tcPr>
          <w:p w14:paraId="72BBDC80"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0%</w:t>
            </w:r>
          </w:p>
        </w:tc>
        <w:tc>
          <w:tcPr>
            <w:tcW w:w="1810" w:type="dxa"/>
          </w:tcPr>
          <w:p w14:paraId="2C070653"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0</w:t>
            </w:r>
          </w:p>
        </w:tc>
        <w:tc>
          <w:tcPr>
            <w:tcW w:w="1929" w:type="dxa"/>
          </w:tcPr>
          <w:p w14:paraId="248A6051" w14:textId="77777777" w:rsidR="00EE7C51" w:rsidRPr="009A7579" w:rsidRDefault="00EE7C51" w:rsidP="00A37A8D">
            <w:pPr>
              <w:pBdr>
                <w:top w:val="nil"/>
                <w:left w:val="nil"/>
                <w:bottom w:val="nil"/>
                <w:right w:val="nil"/>
                <w:between w:val="nil"/>
              </w:pBdr>
              <w:spacing w:line="240" w:lineRule="auto"/>
              <w:ind w:firstLine="567"/>
              <w:jc w:val="center"/>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0%</w:t>
            </w:r>
          </w:p>
        </w:tc>
      </w:tr>
    </w:tbl>
    <w:p w14:paraId="5F74391E" w14:textId="2B9C21FB" w:rsidR="00EE7C51" w:rsidRPr="009A7579" w:rsidRDefault="00177301" w:rsidP="00F44221">
      <w:pPr>
        <w:pBdr>
          <w:top w:val="nil"/>
          <w:left w:val="nil"/>
          <w:bottom w:val="nil"/>
          <w:right w:val="nil"/>
          <w:between w:val="nil"/>
        </w:pBdr>
        <w:spacing w:line="240" w:lineRule="auto"/>
        <w:rPr>
          <w:rFonts w:eastAsia="Georgia"/>
          <w:bCs/>
          <w:iCs/>
          <w:color w:val="000000" w:themeColor="text1"/>
          <w:lang w:val="en-PH" w:bidi="en-US"/>
        </w:rPr>
      </w:pPr>
      <w:r w:rsidRPr="009A7579">
        <w:rPr>
          <w:rFonts w:eastAsia="Georgia"/>
          <w:bCs/>
          <w:i/>
          <w:iCs/>
          <w:color w:val="000000" w:themeColor="text1"/>
          <w:lang w:val="en-PH" w:bidi="en-US"/>
        </w:rPr>
        <w:t>Note</w:t>
      </w:r>
      <w:r w:rsidRPr="009A7579">
        <w:rPr>
          <w:rFonts w:eastAsia="Georgia"/>
          <w:bCs/>
          <w:iCs/>
          <w:color w:val="000000" w:themeColor="text1"/>
          <w:lang w:val="en-PH" w:bidi="en-US"/>
        </w:rPr>
        <w:t>. f = frequency; % = percentage</w:t>
      </w:r>
    </w:p>
    <w:p w14:paraId="3FC77377" w14:textId="77777777" w:rsidR="00177301" w:rsidRPr="001D252E" w:rsidRDefault="00177301" w:rsidP="00F44221">
      <w:pPr>
        <w:pBdr>
          <w:top w:val="nil"/>
          <w:left w:val="nil"/>
          <w:bottom w:val="nil"/>
          <w:right w:val="nil"/>
          <w:between w:val="nil"/>
        </w:pBdr>
        <w:spacing w:line="240" w:lineRule="auto"/>
        <w:rPr>
          <w:rFonts w:eastAsia="Georgia"/>
          <w:bCs/>
          <w:iCs/>
          <w:color w:val="000000" w:themeColor="text1"/>
          <w:sz w:val="28"/>
          <w:szCs w:val="28"/>
          <w:lang w:val="en-PH" w:bidi="en-US"/>
        </w:rPr>
      </w:pPr>
    </w:p>
    <w:p w14:paraId="61E2B032" w14:textId="77777777" w:rsidR="00177301" w:rsidRPr="001D252E" w:rsidRDefault="00177301" w:rsidP="00F44221">
      <w:pPr>
        <w:pBdr>
          <w:top w:val="nil"/>
          <w:left w:val="nil"/>
          <w:bottom w:val="nil"/>
          <w:right w:val="nil"/>
          <w:between w:val="nil"/>
        </w:pBdr>
        <w:spacing w:line="240" w:lineRule="auto"/>
        <w:ind w:firstLine="562"/>
        <w:rPr>
          <w:rFonts w:eastAsia="Georgia"/>
          <w:bCs/>
          <w:iCs/>
          <w:color w:val="000000" w:themeColor="text1"/>
          <w:sz w:val="28"/>
          <w:szCs w:val="28"/>
          <w:lang w:bidi="en-US"/>
        </w:rPr>
      </w:pPr>
      <w:r w:rsidRPr="001D252E">
        <w:rPr>
          <w:rFonts w:eastAsia="Georgia"/>
          <w:bCs/>
          <w:iCs/>
          <w:color w:val="000000" w:themeColor="text1"/>
          <w:sz w:val="28"/>
          <w:szCs w:val="28"/>
          <w:lang w:bidi="en-US"/>
        </w:rPr>
        <w:t>In urban schools, nearly half of the learners (48.96%) are classified under the Transitioning level, while a substantial proportion (44.83%) are already Grade Level Ready. Only a small percentage fall under lower categories, with 4.83% at the Developing level and 1.38% at the High Emerging level, and none under Low Emerging. These results indicate relatively stronger reading performance in urban schools, where many learners have already achieved or are close to achieving grade-level competencies.</w:t>
      </w:r>
    </w:p>
    <w:p w14:paraId="2B4E4225" w14:textId="77777777" w:rsidR="009A7579" w:rsidRDefault="00177301" w:rsidP="00F44221">
      <w:pPr>
        <w:pBdr>
          <w:top w:val="nil"/>
          <w:left w:val="nil"/>
          <w:bottom w:val="nil"/>
          <w:right w:val="nil"/>
          <w:between w:val="nil"/>
        </w:pBdr>
        <w:spacing w:line="240" w:lineRule="auto"/>
        <w:ind w:firstLine="562"/>
        <w:rPr>
          <w:rFonts w:eastAsia="Georgia"/>
          <w:bCs/>
          <w:iCs/>
          <w:color w:val="000000" w:themeColor="text1"/>
          <w:sz w:val="28"/>
          <w:szCs w:val="28"/>
          <w:lang w:bidi="en-US"/>
        </w:rPr>
      </w:pPr>
      <w:r w:rsidRPr="001D252E">
        <w:rPr>
          <w:rFonts w:eastAsia="Georgia"/>
          <w:bCs/>
          <w:iCs/>
          <w:color w:val="000000" w:themeColor="text1"/>
          <w:sz w:val="28"/>
          <w:szCs w:val="28"/>
          <w:lang w:bidi="en-US"/>
        </w:rPr>
        <w:t xml:space="preserve">In rural schools, most learners (74.60%) are classified under the Transitioning level, indicating that the majority are still in the process of developing sufficient reading skills. Only 15.87% are Grade Level Ready, while 7.94% are at the Developing level and 1.59% are at the High Emerging level, with no learners under Low Emerging. </w:t>
      </w:r>
    </w:p>
    <w:p w14:paraId="5F33D0EB" w14:textId="41711C0F" w:rsidR="00177301" w:rsidRPr="001D252E" w:rsidRDefault="00177301" w:rsidP="00F44221">
      <w:pPr>
        <w:pBdr>
          <w:top w:val="nil"/>
          <w:left w:val="nil"/>
          <w:bottom w:val="nil"/>
          <w:right w:val="nil"/>
          <w:between w:val="nil"/>
        </w:pBdr>
        <w:spacing w:line="240" w:lineRule="auto"/>
        <w:ind w:firstLine="562"/>
        <w:rPr>
          <w:rFonts w:eastAsia="Georgia"/>
          <w:bCs/>
          <w:iCs/>
          <w:color w:val="000000" w:themeColor="text1"/>
          <w:sz w:val="28"/>
          <w:szCs w:val="28"/>
          <w:lang w:bidi="en-US"/>
        </w:rPr>
      </w:pPr>
      <w:r w:rsidRPr="001D252E">
        <w:rPr>
          <w:rFonts w:eastAsia="Georgia"/>
          <w:bCs/>
          <w:iCs/>
          <w:color w:val="000000" w:themeColor="text1"/>
          <w:sz w:val="28"/>
          <w:szCs w:val="28"/>
          <w:lang w:bidi="en-US"/>
        </w:rPr>
        <w:t>Overall, both urban and rural schools show that learners are largely in the Transitioning stage, indicating partial mastery of reading competencies; however, urban schools demonstrate better performance due to a higher proportion of Grade Level Ready learners, while rural schools show a stronger concentration of learners who still require further development.</w:t>
      </w:r>
    </w:p>
    <w:p w14:paraId="1A53F81A" w14:textId="213B2C1D" w:rsidR="002750BC" w:rsidRPr="001D252E" w:rsidRDefault="00177301" w:rsidP="00F44221">
      <w:pPr>
        <w:pBdr>
          <w:top w:val="nil"/>
          <w:left w:val="nil"/>
          <w:bottom w:val="nil"/>
          <w:right w:val="nil"/>
          <w:between w:val="nil"/>
        </w:pBdr>
        <w:spacing w:line="240" w:lineRule="auto"/>
        <w:ind w:firstLine="562"/>
        <w:rPr>
          <w:rFonts w:eastAsia="Georgia"/>
          <w:bCs/>
          <w:iCs/>
          <w:color w:val="000000" w:themeColor="text1"/>
          <w:sz w:val="28"/>
          <w:szCs w:val="28"/>
          <w:lang w:bidi="en-US"/>
        </w:rPr>
      </w:pPr>
      <w:r w:rsidRPr="001D252E">
        <w:rPr>
          <w:rFonts w:eastAsia="Georgia"/>
          <w:bCs/>
          <w:iCs/>
          <w:color w:val="000000" w:themeColor="text1"/>
          <w:sz w:val="28"/>
          <w:szCs w:val="28"/>
          <w:lang w:bidi="en-US"/>
        </w:rPr>
        <w:t>Meanwhile, the frequency distribution of CRLA scores (Figure 2) reflects an overall positive trend in reading performance across both school locations.</w:t>
      </w:r>
    </w:p>
    <w:p w14:paraId="5C785F7A" w14:textId="77777777" w:rsidR="002750BC" w:rsidRPr="001D252E" w:rsidRDefault="002750BC" w:rsidP="00F44221">
      <w:pPr>
        <w:pBdr>
          <w:top w:val="nil"/>
          <w:left w:val="nil"/>
          <w:bottom w:val="nil"/>
          <w:right w:val="nil"/>
          <w:between w:val="nil"/>
        </w:pBdr>
        <w:spacing w:line="240" w:lineRule="auto"/>
        <w:ind w:firstLine="567"/>
        <w:rPr>
          <w:rFonts w:eastAsia="Georgia"/>
          <w:bCs/>
          <w:iCs/>
          <w:color w:val="000000" w:themeColor="text1"/>
          <w:sz w:val="28"/>
          <w:szCs w:val="28"/>
          <w:lang w:bidi="en-US"/>
        </w:rPr>
      </w:pPr>
    </w:p>
    <w:p w14:paraId="2C193692" w14:textId="77777777" w:rsidR="009A7579" w:rsidRDefault="009A7579" w:rsidP="00F44221">
      <w:pPr>
        <w:pBdr>
          <w:top w:val="nil"/>
          <w:left w:val="nil"/>
          <w:bottom w:val="nil"/>
          <w:right w:val="nil"/>
          <w:between w:val="nil"/>
        </w:pBdr>
        <w:spacing w:line="240" w:lineRule="auto"/>
        <w:ind w:firstLine="567"/>
        <w:rPr>
          <w:rFonts w:eastAsia="Georgia"/>
          <w:bCs/>
          <w:color w:val="000000" w:themeColor="text1"/>
          <w:sz w:val="28"/>
          <w:szCs w:val="28"/>
          <w:lang w:bidi="en-US"/>
        </w:rPr>
      </w:pPr>
    </w:p>
    <w:p w14:paraId="20FB307D" w14:textId="77777777" w:rsidR="009A7579" w:rsidRDefault="009A7579" w:rsidP="00F44221">
      <w:pPr>
        <w:pBdr>
          <w:top w:val="nil"/>
          <w:left w:val="nil"/>
          <w:bottom w:val="nil"/>
          <w:right w:val="nil"/>
          <w:between w:val="nil"/>
        </w:pBdr>
        <w:spacing w:line="240" w:lineRule="auto"/>
        <w:ind w:firstLine="567"/>
        <w:rPr>
          <w:rFonts w:eastAsia="Georgia"/>
          <w:bCs/>
          <w:color w:val="000000" w:themeColor="text1"/>
          <w:sz w:val="28"/>
          <w:szCs w:val="28"/>
          <w:lang w:bidi="en-US"/>
        </w:rPr>
      </w:pPr>
    </w:p>
    <w:p w14:paraId="481AB630" w14:textId="77777777" w:rsidR="009A7579" w:rsidRDefault="009A7579" w:rsidP="00F44221">
      <w:pPr>
        <w:pBdr>
          <w:top w:val="nil"/>
          <w:left w:val="nil"/>
          <w:bottom w:val="nil"/>
          <w:right w:val="nil"/>
          <w:between w:val="nil"/>
        </w:pBdr>
        <w:spacing w:line="240" w:lineRule="auto"/>
        <w:ind w:firstLine="567"/>
        <w:rPr>
          <w:rFonts w:eastAsia="Georgia"/>
          <w:bCs/>
          <w:color w:val="000000" w:themeColor="text1"/>
          <w:sz w:val="28"/>
          <w:szCs w:val="28"/>
          <w:lang w:bidi="en-US"/>
        </w:rPr>
      </w:pPr>
    </w:p>
    <w:p w14:paraId="0A9D575D" w14:textId="77777777" w:rsidR="009A7579" w:rsidRDefault="009A7579" w:rsidP="00F44221">
      <w:pPr>
        <w:pBdr>
          <w:top w:val="nil"/>
          <w:left w:val="nil"/>
          <w:bottom w:val="nil"/>
          <w:right w:val="nil"/>
          <w:between w:val="nil"/>
        </w:pBdr>
        <w:spacing w:line="240" w:lineRule="auto"/>
        <w:ind w:firstLine="567"/>
        <w:rPr>
          <w:rFonts w:eastAsia="Georgia"/>
          <w:bCs/>
          <w:color w:val="000000" w:themeColor="text1"/>
          <w:sz w:val="28"/>
          <w:szCs w:val="28"/>
          <w:lang w:bidi="en-US"/>
        </w:rPr>
      </w:pPr>
    </w:p>
    <w:p w14:paraId="693D1698" w14:textId="77777777" w:rsidR="009A7579" w:rsidRDefault="009A7579" w:rsidP="00F44221">
      <w:pPr>
        <w:pBdr>
          <w:top w:val="nil"/>
          <w:left w:val="nil"/>
          <w:bottom w:val="nil"/>
          <w:right w:val="nil"/>
          <w:between w:val="nil"/>
        </w:pBdr>
        <w:spacing w:line="240" w:lineRule="auto"/>
        <w:ind w:firstLine="567"/>
        <w:rPr>
          <w:rFonts w:eastAsia="Georgia"/>
          <w:bCs/>
          <w:color w:val="000000" w:themeColor="text1"/>
          <w:lang w:bidi="en-US"/>
        </w:rPr>
      </w:pPr>
    </w:p>
    <w:p w14:paraId="6EEDB08C" w14:textId="69D3464E" w:rsidR="00177301" w:rsidRPr="009A7579" w:rsidRDefault="002750BC" w:rsidP="00F44221">
      <w:pPr>
        <w:pBdr>
          <w:top w:val="nil"/>
          <w:left w:val="nil"/>
          <w:bottom w:val="nil"/>
          <w:right w:val="nil"/>
          <w:between w:val="nil"/>
        </w:pBdr>
        <w:spacing w:line="240" w:lineRule="auto"/>
        <w:ind w:firstLine="567"/>
        <w:rPr>
          <w:rFonts w:eastAsia="Georgia"/>
          <w:b/>
          <w:color w:val="000000" w:themeColor="text1"/>
          <w:lang w:bidi="en-US"/>
        </w:rPr>
      </w:pPr>
      <w:r w:rsidRPr="009A7579">
        <w:rPr>
          <w:rFonts w:eastAsia="Georgia"/>
          <w:b/>
          <w:color w:val="000000" w:themeColor="text1"/>
          <w:lang w:bidi="en-US"/>
        </w:rPr>
        <w:lastRenderedPageBreak/>
        <w:t>Figure 2. Frequency Distribution of Grade 3 Learners’ Reading Ability based on CRLA Scores</w:t>
      </w:r>
    </w:p>
    <w:p w14:paraId="60DA68F1" w14:textId="73EACBF2" w:rsidR="00177301" w:rsidRPr="009A7579" w:rsidRDefault="00971CE4" w:rsidP="00F44221">
      <w:pPr>
        <w:pBdr>
          <w:top w:val="nil"/>
          <w:left w:val="nil"/>
          <w:bottom w:val="nil"/>
          <w:right w:val="nil"/>
          <w:between w:val="nil"/>
        </w:pBdr>
        <w:spacing w:line="240" w:lineRule="auto"/>
        <w:ind w:firstLine="567"/>
        <w:rPr>
          <w:rFonts w:eastAsia="Georgia"/>
          <w:bCs/>
          <w:iCs/>
          <w:color w:val="000000" w:themeColor="text1"/>
          <w:lang w:bidi="en-US"/>
        </w:rPr>
      </w:pPr>
      <w:r w:rsidRPr="009A7579">
        <w:rPr>
          <w:rFonts w:eastAsia="Georgia"/>
          <w:bCs/>
          <w:iCs/>
          <w:noProof/>
          <w:color w:val="000000" w:themeColor="text1"/>
          <w:lang w:bidi="en-US"/>
        </w:rPr>
        <w:drawing>
          <wp:inline distT="0" distB="0" distL="0" distR="0" wp14:anchorId="44035623" wp14:editId="45B0AFB8">
            <wp:extent cx="3258765" cy="2210437"/>
            <wp:effectExtent l="0" t="0" r="0" b="0"/>
            <wp:docPr id="9741074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8765" cy="2210437"/>
                    </a:xfrm>
                    <a:prstGeom prst="rect">
                      <a:avLst/>
                    </a:prstGeom>
                    <a:noFill/>
                  </pic:spPr>
                </pic:pic>
              </a:graphicData>
            </a:graphic>
          </wp:inline>
        </w:drawing>
      </w:r>
    </w:p>
    <w:p w14:paraId="665431C3" w14:textId="77777777" w:rsidR="00971CE4" w:rsidRPr="00971CE4" w:rsidRDefault="00971CE4" w:rsidP="00F44221">
      <w:pPr>
        <w:pBdr>
          <w:top w:val="nil"/>
          <w:left w:val="nil"/>
          <w:bottom w:val="nil"/>
          <w:right w:val="nil"/>
          <w:between w:val="nil"/>
        </w:pBdr>
        <w:spacing w:line="240" w:lineRule="auto"/>
        <w:rPr>
          <w:rFonts w:eastAsia="Georgia"/>
          <w:b/>
          <w:bCs/>
          <w:iCs/>
          <w:color w:val="000000" w:themeColor="text1"/>
          <w:lang w:val="en-PH" w:bidi="en-US"/>
        </w:rPr>
      </w:pPr>
    </w:p>
    <w:p w14:paraId="4B2E7C2C" w14:textId="613EF1F8" w:rsidR="00971CE4" w:rsidRPr="00971CE4" w:rsidRDefault="00971CE4" w:rsidP="00F44221">
      <w:pPr>
        <w:pBdr>
          <w:top w:val="nil"/>
          <w:left w:val="nil"/>
          <w:bottom w:val="nil"/>
          <w:right w:val="nil"/>
          <w:between w:val="nil"/>
        </w:pBdr>
        <w:spacing w:line="240" w:lineRule="auto"/>
        <w:rPr>
          <w:rFonts w:eastAsia="Georgia"/>
          <w:b/>
          <w:bCs/>
          <w:iCs/>
          <w:color w:val="000000" w:themeColor="text1"/>
          <w:lang w:val="en-PH" w:bidi="en-US"/>
        </w:rPr>
      </w:pPr>
      <w:r w:rsidRPr="00971CE4">
        <w:rPr>
          <w:rFonts w:eastAsia="Georgia"/>
          <w:b/>
          <w:bCs/>
          <w:iCs/>
          <w:color w:val="000000" w:themeColor="text1"/>
          <w:lang w:val="en-PH" w:bidi="en-US"/>
        </w:rPr>
        <w:t>Physical Learning Environment</w:t>
      </w:r>
      <w:r>
        <w:rPr>
          <w:rFonts w:eastAsia="Georgia"/>
          <w:b/>
          <w:bCs/>
          <w:iCs/>
          <w:color w:val="000000" w:themeColor="text1"/>
          <w:lang w:val="en-PH" w:bidi="en-US"/>
        </w:rPr>
        <w:t xml:space="preserve"> of Grade 3 Learners in Urban and Rural Schools</w:t>
      </w:r>
    </w:p>
    <w:p w14:paraId="2F366E89" w14:textId="77777777" w:rsidR="00971CE4" w:rsidRPr="001D252E" w:rsidRDefault="00971CE4" w:rsidP="00F44221">
      <w:pPr>
        <w:pBdr>
          <w:top w:val="nil"/>
          <w:left w:val="nil"/>
          <w:bottom w:val="nil"/>
          <w:right w:val="nil"/>
          <w:between w:val="nil"/>
        </w:pBdr>
        <w:spacing w:line="240" w:lineRule="auto"/>
        <w:rPr>
          <w:rFonts w:eastAsia="Georgia"/>
          <w:b/>
          <w:bCs/>
          <w:iCs/>
          <w:color w:val="000000" w:themeColor="text1"/>
          <w:sz w:val="28"/>
          <w:szCs w:val="28"/>
          <w:lang w:val="en-PH" w:bidi="en-US"/>
        </w:rPr>
      </w:pPr>
    </w:p>
    <w:p w14:paraId="5137FBDC" w14:textId="75A37EB1" w:rsidR="00177301" w:rsidRPr="009A7579" w:rsidRDefault="00177301" w:rsidP="00F44221">
      <w:pPr>
        <w:pBdr>
          <w:top w:val="nil"/>
          <w:left w:val="nil"/>
          <w:bottom w:val="nil"/>
          <w:right w:val="nil"/>
          <w:between w:val="nil"/>
        </w:pBdr>
        <w:spacing w:line="240" w:lineRule="auto"/>
        <w:ind w:firstLine="562"/>
        <w:rPr>
          <w:rFonts w:eastAsia="Georgia"/>
          <w:bCs/>
          <w:iCs/>
          <w:color w:val="000000" w:themeColor="text1"/>
          <w:lang w:val="en-PH" w:bidi="en-US"/>
        </w:rPr>
      </w:pPr>
      <w:r w:rsidRPr="009A7579">
        <w:rPr>
          <w:rFonts w:eastAsia="Georgia"/>
          <w:bCs/>
          <w:iCs/>
          <w:color w:val="000000" w:themeColor="text1"/>
          <w:lang w:val="en-PH" w:bidi="en-US"/>
        </w:rPr>
        <w:t xml:space="preserve">Table 3 presents the characteristics of the Physical Learning Environment (PLE) of Grade 3 learners in urban and rural schools based on the National School Building Inventory. </w:t>
      </w:r>
    </w:p>
    <w:p w14:paraId="2CE7F335" w14:textId="77777777" w:rsidR="003C075B" w:rsidRPr="009A7579" w:rsidRDefault="003C075B" w:rsidP="00F44221">
      <w:pPr>
        <w:pBdr>
          <w:top w:val="nil"/>
          <w:left w:val="nil"/>
          <w:bottom w:val="nil"/>
          <w:right w:val="nil"/>
          <w:between w:val="nil"/>
        </w:pBdr>
        <w:spacing w:line="240" w:lineRule="auto"/>
        <w:ind w:firstLine="567"/>
        <w:rPr>
          <w:rFonts w:eastAsia="Georgia"/>
          <w:bCs/>
          <w:iCs/>
          <w:color w:val="000000" w:themeColor="text1"/>
          <w:lang w:val="en-PH" w:bidi="en-US"/>
        </w:rPr>
      </w:pPr>
    </w:p>
    <w:p w14:paraId="6BC60BEC" w14:textId="35D67BC5" w:rsidR="00177301" w:rsidRPr="009A7579" w:rsidRDefault="00F7528C" w:rsidP="00F44221">
      <w:pPr>
        <w:pBdr>
          <w:top w:val="nil"/>
          <w:left w:val="nil"/>
          <w:bottom w:val="nil"/>
          <w:right w:val="nil"/>
          <w:between w:val="nil"/>
        </w:pBdr>
        <w:spacing w:line="240" w:lineRule="auto"/>
        <w:ind w:hanging="90"/>
        <w:rPr>
          <w:rFonts w:eastAsia="Georgia"/>
          <w:b/>
          <w:iCs/>
          <w:color w:val="000000" w:themeColor="text1"/>
          <w:lang w:val="en-PH" w:bidi="en-US"/>
        </w:rPr>
      </w:pPr>
      <w:r w:rsidRPr="009A7579">
        <w:rPr>
          <w:rFonts w:eastAsia="Georgia"/>
          <w:bCs/>
          <w:iCs/>
          <w:color w:val="000000" w:themeColor="text1"/>
          <w:lang w:val="en-PH" w:bidi="en-US"/>
        </w:rPr>
        <w:t xml:space="preserve"> </w:t>
      </w:r>
      <w:r w:rsidR="003C075B" w:rsidRPr="009A7579">
        <w:rPr>
          <w:rFonts w:eastAsia="Georgia"/>
          <w:b/>
          <w:iCs/>
          <w:color w:val="000000" w:themeColor="text1"/>
          <w:lang w:val="en-PH" w:bidi="en-US"/>
        </w:rPr>
        <w:t xml:space="preserve">Table 3. </w:t>
      </w:r>
      <w:r w:rsidR="003C075B" w:rsidRPr="009A7579">
        <w:rPr>
          <w:rFonts w:eastAsia="Georgia"/>
          <w:b/>
          <w:iCs/>
          <w:color w:val="000000" w:themeColor="text1"/>
          <w:lang w:val="en-ID" w:bidi="en-US"/>
        </w:rPr>
        <w:t>Physical Learning Environment of Grade 3 Learners in Urban and Rural Schools based on the National School Building Inventory</w:t>
      </w:r>
    </w:p>
    <w:tbl>
      <w:tblPr>
        <w:tblStyle w:val="TableGrid1"/>
        <w:tblW w:w="10612" w:type="dxa"/>
        <w:tblLayout w:type="fixed"/>
        <w:tblLook w:val="04A0" w:firstRow="1" w:lastRow="0" w:firstColumn="1" w:lastColumn="0" w:noHBand="0" w:noVBand="1"/>
      </w:tblPr>
      <w:tblGrid>
        <w:gridCol w:w="1392"/>
        <w:gridCol w:w="952"/>
        <w:gridCol w:w="1069"/>
        <w:gridCol w:w="1009"/>
        <w:gridCol w:w="1069"/>
        <w:gridCol w:w="1177"/>
        <w:gridCol w:w="1217"/>
        <w:gridCol w:w="1001"/>
        <w:gridCol w:w="806"/>
        <w:gridCol w:w="920"/>
      </w:tblGrid>
      <w:tr w:rsidR="0052062F" w:rsidRPr="009A7579" w14:paraId="10EC8E7D" w14:textId="77777777" w:rsidTr="009A7579">
        <w:trPr>
          <w:trHeight w:val="482"/>
        </w:trPr>
        <w:tc>
          <w:tcPr>
            <w:tcW w:w="1392" w:type="dxa"/>
            <w:noWrap/>
            <w:hideMark/>
          </w:tcPr>
          <w:p w14:paraId="20B708C9" w14:textId="77777777" w:rsidR="0052062F" w:rsidRPr="009A7579" w:rsidRDefault="0052062F" w:rsidP="00F44221">
            <w:pPr>
              <w:spacing w:line="240" w:lineRule="auto"/>
              <w:jc w:val="both"/>
              <w:rPr>
                <w:rFonts w:eastAsia="Calibri"/>
                <w:b/>
                <w:bCs/>
                <w:sz w:val="20"/>
                <w:szCs w:val="20"/>
              </w:rPr>
            </w:pPr>
            <w:r w:rsidRPr="009A7579">
              <w:rPr>
                <w:rFonts w:eastAsia="Calibri"/>
                <w:b/>
                <w:bCs/>
                <w:sz w:val="20"/>
                <w:szCs w:val="20"/>
              </w:rPr>
              <w:t>Schools</w:t>
            </w:r>
          </w:p>
        </w:tc>
        <w:tc>
          <w:tcPr>
            <w:tcW w:w="952" w:type="dxa"/>
            <w:hideMark/>
          </w:tcPr>
          <w:p w14:paraId="28D8C297" w14:textId="77777777" w:rsidR="0052062F" w:rsidRPr="009A7579" w:rsidRDefault="0052062F" w:rsidP="00F44221">
            <w:pPr>
              <w:spacing w:line="240" w:lineRule="auto"/>
              <w:jc w:val="both"/>
              <w:rPr>
                <w:rFonts w:eastAsia="Calibri"/>
                <w:b/>
                <w:bCs/>
                <w:sz w:val="20"/>
                <w:szCs w:val="20"/>
              </w:rPr>
            </w:pPr>
            <w:r w:rsidRPr="009A7579">
              <w:rPr>
                <w:rFonts w:eastAsia="Calibri"/>
                <w:b/>
                <w:bCs/>
                <w:sz w:val="20"/>
                <w:szCs w:val="20"/>
              </w:rPr>
              <w:t>Type of School Building</w:t>
            </w:r>
          </w:p>
        </w:tc>
        <w:tc>
          <w:tcPr>
            <w:tcW w:w="1069" w:type="dxa"/>
            <w:hideMark/>
          </w:tcPr>
          <w:p w14:paraId="1EADDDD8" w14:textId="77777777" w:rsidR="0052062F" w:rsidRPr="009A7579" w:rsidRDefault="0052062F" w:rsidP="00F44221">
            <w:pPr>
              <w:spacing w:line="240" w:lineRule="auto"/>
              <w:jc w:val="both"/>
              <w:rPr>
                <w:rFonts w:eastAsia="Calibri"/>
                <w:b/>
                <w:bCs/>
                <w:sz w:val="20"/>
                <w:szCs w:val="20"/>
              </w:rPr>
            </w:pPr>
            <w:r w:rsidRPr="009A7579">
              <w:rPr>
                <w:rFonts w:eastAsia="Calibri"/>
                <w:b/>
                <w:bCs/>
                <w:sz w:val="20"/>
                <w:szCs w:val="20"/>
              </w:rPr>
              <w:t>Building Condition</w:t>
            </w:r>
          </w:p>
        </w:tc>
        <w:tc>
          <w:tcPr>
            <w:tcW w:w="1009" w:type="dxa"/>
            <w:hideMark/>
          </w:tcPr>
          <w:p w14:paraId="0F2469C9" w14:textId="77777777" w:rsidR="0052062F" w:rsidRPr="009A7579" w:rsidRDefault="0052062F" w:rsidP="00F44221">
            <w:pPr>
              <w:spacing w:line="240" w:lineRule="auto"/>
              <w:jc w:val="both"/>
              <w:rPr>
                <w:rFonts w:eastAsia="Calibri"/>
                <w:b/>
                <w:bCs/>
                <w:sz w:val="20"/>
                <w:szCs w:val="20"/>
              </w:rPr>
            </w:pPr>
            <w:r w:rsidRPr="009A7579">
              <w:rPr>
                <w:rFonts w:eastAsia="Calibri"/>
                <w:b/>
                <w:bCs/>
                <w:sz w:val="20"/>
                <w:szCs w:val="20"/>
              </w:rPr>
              <w:t>Building Materials</w:t>
            </w:r>
          </w:p>
        </w:tc>
        <w:tc>
          <w:tcPr>
            <w:tcW w:w="1069" w:type="dxa"/>
            <w:hideMark/>
          </w:tcPr>
          <w:p w14:paraId="02FAEDFC" w14:textId="77777777" w:rsidR="0052062F" w:rsidRPr="009A7579" w:rsidRDefault="0052062F" w:rsidP="00F44221">
            <w:pPr>
              <w:spacing w:line="240" w:lineRule="auto"/>
              <w:jc w:val="both"/>
              <w:rPr>
                <w:rFonts w:eastAsia="Calibri"/>
                <w:b/>
                <w:bCs/>
                <w:sz w:val="20"/>
                <w:szCs w:val="20"/>
              </w:rPr>
            </w:pPr>
            <w:r w:rsidRPr="009A7579">
              <w:rPr>
                <w:rFonts w:eastAsia="Calibri"/>
                <w:b/>
                <w:bCs/>
                <w:sz w:val="20"/>
                <w:szCs w:val="20"/>
              </w:rPr>
              <w:t>Room Condition</w:t>
            </w:r>
          </w:p>
        </w:tc>
        <w:tc>
          <w:tcPr>
            <w:tcW w:w="1177" w:type="dxa"/>
            <w:hideMark/>
          </w:tcPr>
          <w:p w14:paraId="6F88853B" w14:textId="77777777" w:rsidR="0052062F" w:rsidRPr="009A7579" w:rsidRDefault="0052062F" w:rsidP="00F44221">
            <w:pPr>
              <w:spacing w:line="240" w:lineRule="auto"/>
              <w:jc w:val="both"/>
              <w:rPr>
                <w:rFonts w:eastAsia="Calibri"/>
                <w:b/>
                <w:bCs/>
                <w:sz w:val="20"/>
                <w:szCs w:val="20"/>
              </w:rPr>
            </w:pPr>
            <w:r w:rsidRPr="009A7579">
              <w:rPr>
                <w:rFonts w:eastAsia="Calibri"/>
                <w:b/>
                <w:bCs/>
                <w:sz w:val="20"/>
                <w:szCs w:val="20"/>
              </w:rPr>
              <w:t>No. of Makeshifts Rooms</w:t>
            </w:r>
          </w:p>
        </w:tc>
        <w:tc>
          <w:tcPr>
            <w:tcW w:w="1217" w:type="dxa"/>
            <w:hideMark/>
          </w:tcPr>
          <w:p w14:paraId="636C1A7A" w14:textId="77777777" w:rsidR="0052062F" w:rsidRPr="009A7579" w:rsidRDefault="0052062F" w:rsidP="00F44221">
            <w:pPr>
              <w:spacing w:line="240" w:lineRule="auto"/>
              <w:jc w:val="both"/>
              <w:rPr>
                <w:rFonts w:eastAsia="Calibri"/>
                <w:b/>
                <w:bCs/>
                <w:sz w:val="20"/>
                <w:szCs w:val="20"/>
              </w:rPr>
            </w:pPr>
            <w:r w:rsidRPr="009A7579">
              <w:rPr>
                <w:rFonts w:eastAsia="Calibri"/>
                <w:b/>
                <w:bCs/>
                <w:sz w:val="20"/>
                <w:szCs w:val="20"/>
              </w:rPr>
              <w:t>Usable Furniture</w:t>
            </w:r>
          </w:p>
        </w:tc>
        <w:tc>
          <w:tcPr>
            <w:tcW w:w="1001" w:type="dxa"/>
            <w:hideMark/>
          </w:tcPr>
          <w:p w14:paraId="45409668" w14:textId="77777777" w:rsidR="0052062F" w:rsidRPr="009A7579" w:rsidRDefault="0052062F" w:rsidP="00F44221">
            <w:pPr>
              <w:spacing w:line="240" w:lineRule="auto"/>
              <w:jc w:val="both"/>
              <w:rPr>
                <w:rFonts w:eastAsia="Calibri"/>
                <w:b/>
                <w:bCs/>
                <w:sz w:val="20"/>
                <w:szCs w:val="20"/>
              </w:rPr>
            </w:pPr>
            <w:r w:rsidRPr="009A7579">
              <w:rPr>
                <w:rFonts w:eastAsia="Calibri"/>
                <w:b/>
                <w:bCs/>
                <w:sz w:val="20"/>
                <w:szCs w:val="20"/>
              </w:rPr>
              <w:t>School Facilities</w:t>
            </w:r>
          </w:p>
        </w:tc>
        <w:tc>
          <w:tcPr>
            <w:tcW w:w="806" w:type="dxa"/>
            <w:hideMark/>
          </w:tcPr>
          <w:p w14:paraId="59D6F6AF" w14:textId="77777777" w:rsidR="0052062F" w:rsidRPr="009A7579" w:rsidRDefault="0052062F" w:rsidP="00F44221">
            <w:pPr>
              <w:spacing w:line="240" w:lineRule="auto"/>
              <w:jc w:val="both"/>
              <w:rPr>
                <w:rFonts w:eastAsia="Calibri"/>
                <w:b/>
                <w:bCs/>
                <w:sz w:val="20"/>
                <w:szCs w:val="20"/>
              </w:rPr>
            </w:pPr>
            <w:r w:rsidRPr="009A7579">
              <w:rPr>
                <w:rFonts w:eastAsia="Calibri"/>
                <w:b/>
                <w:bCs/>
                <w:sz w:val="20"/>
                <w:szCs w:val="20"/>
              </w:rPr>
              <w:t>PLE Index</w:t>
            </w:r>
          </w:p>
        </w:tc>
        <w:tc>
          <w:tcPr>
            <w:tcW w:w="920" w:type="dxa"/>
            <w:hideMark/>
          </w:tcPr>
          <w:p w14:paraId="26C28EC9" w14:textId="77777777" w:rsidR="0052062F" w:rsidRPr="009A7579" w:rsidRDefault="0052062F" w:rsidP="00F44221">
            <w:pPr>
              <w:spacing w:line="240" w:lineRule="auto"/>
              <w:jc w:val="both"/>
              <w:rPr>
                <w:rFonts w:eastAsia="Calibri"/>
                <w:b/>
                <w:bCs/>
                <w:sz w:val="20"/>
                <w:szCs w:val="20"/>
              </w:rPr>
            </w:pPr>
            <w:r w:rsidRPr="009A7579">
              <w:rPr>
                <w:rFonts w:eastAsia="Calibri"/>
                <w:b/>
                <w:bCs/>
                <w:sz w:val="20"/>
                <w:szCs w:val="20"/>
              </w:rPr>
              <w:t>Interpretation</w:t>
            </w:r>
          </w:p>
        </w:tc>
      </w:tr>
      <w:tr w:rsidR="0052062F" w:rsidRPr="009A7579" w14:paraId="2A20A3A4" w14:textId="77777777" w:rsidTr="009A7579">
        <w:trPr>
          <w:trHeight w:val="221"/>
        </w:trPr>
        <w:tc>
          <w:tcPr>
            <w:tcW w:w="1392" w:type="dxa"/>
            <w:noWrap/>
            <w:hideMark/>
          </w:tcPr>
          <w:p w14:paraId="5E23003D"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Urban School</w:t>
            </w:r>
          </w:p>
        </w:tc>
        <w:tc>
          <w:tcPr>
            <w:tcW w:w="952" w:type="dxa"/>
            <w:noWrap/>
            <w:hideMark/>
          </w:tcPr>
          <w:p w14:paraId="7FCD1227" w14:textId="77777777" w:rsidR="0052062F" w:rsidRPr="009A7579" w:rsidRDefault="0052062F" w:rsidP="00F44221">
            <w:pPr>
              <w:spacing w:line="240" w:lineRule="auto"/>
              <w:jc w:val="both"/>
              <w:rPr>
                <w:rFonts w:eastAsia="Calibri"/>
                <w:sz w:val="20"/>
                <w:szCs w:val="20"/>
              </w:rPr>
            </w:pPr>
          </w:p>
        </w:tc>
        <w:tc>
          <w:tcPr>
            <w:tcW w:w="1069" w:type="dxa"/>
            <w:noWrap/>
            <w:hideMark/>
          </w:tcPr>
          <w:p w14:paraId="793E54E1" w14:textId="77777777" w:rsidR="0052062F" w:rsidRPr="009A7579" w:rsidRDefault="0052062F" w:rsidP="00F44221">
            <w:pPr>
              <w:spacing w:line="240" w:lineRule="auto"/>
              <w:jc w:val="both"/>
              <w:rPr>
                <w:rFonts w:eastAsia="Calibri"/>
                <w:sz w:val="20"/>
                <w:szCs w:val="20"/>
              </w:rPr>
            </w:pPr>
          </w:p>
        </w:tc>
        <w:tc>
          <w:tcPr>
            <w:tcW w:w="1009" w:type="dxa"/>
            <w:noWrap/>
            <w:hideMark/>
          </w:tcPr>
          <w:p w14:paraId="674B3F89" w14:textId="77777777" w:rsidR="0052062F" w:rsidRPr="009A7579" w:rsidRDefault="0052062F" w:rsidP="00F44221">
            <w:pPr>
              <w:spacing w:line="240" w:lineRule="auto"/>
              <w:jc w:val="both"/>
              <w:rPr>
                <w:rFonts w:eastAsia="Calibri"/>
                <w:sz w:val="20"/>
                <w:szCs w:val="20"/>
              </w:rPr>
            </w:pPr>
          </w:p>
        </w:tc>
        <w:tc>
          <w:tcPr>
            <w:tcW w:w="1069" w:type="dxa"/>
            <w:noWrap/>
            <w:hideMark/>
          </w:tcPr>
          <w:p w14:paraId="4CD15817" w14:textId="77777777" w:rsidR="0052062F" w:rsidRPr="009A7579" w:rsidRDefault="0052062F" w:rsidP="00F44221">
            <w:pPr>
              <w:spacing w:line="240" w:lineRule="auto"/>
              <w:jc w:val="both"/>
              <w:rPr>
                <w:rFonts w:eastAsia="Calibri"/>
                <w:sz w:val="20"/>
                <w:szCs w:val="20"/>
              </w:rPr>
            </w:pPr>
          </w:p>
        </w:tc>
        <w:tc>
          <w:tcPr>
            <w:tcW w:w="1177" w:type="dxa"/>
            <w:noWrap/>
            <w:hideMark/>
          </w:tcPr>
          <w:p w14:paraId="162D44B9" w14:textId="77777777" w:rsidR="0052062F" w:rsidRPr="009A7579" w:rsidRDefault="0052062F" w:rsidP="00F44221">
            <w:pPr>
              <w:spacing w:line="240" w:lineRule="auto"/>
              <w:jc w:val="both"/>
              <w:rPr>
                <w:rFonts w:eastAsia="Calibri"/>
                <w:sz w:val="20"/>
                <w:szCs w:val="20"/>
              </w:rPr>
            </w:pPr>
          </w:p>
        </w:tc>
        <w:tc>
          <w:tcPr>
            <w:tcW w:w="1217" w:type="dxa"/>
            <w:noWrap/>
            <w:hideMark/>
          </w:tcPr>
          <w:p w14:paraId="61B222EE" w14:textId="77777777" w:rsidR="0052062F" w:rsidRPr="009A7579" w:rsidRDefault="0052062F" w:rsidP="00F44221">
            <w:pPr>
              <w:spacing w:line="240" w:lineRule="auto"/>
              <w:jc w:val="both"/>
              <w:rPr>
                <w:rFonts w:eastAsia="Calibri"/>
                <w:sz w:val="20"/>
                <w:szCs w:val="20"/>
              </w:rPr>
            </w:pPr>
          </w:p>
        </w:tc>
        <w:tc>
          <w:tcPr>
            <w:tcW w:w="1001" w:type="dxa"/>
            <w:noWrap/>
            <w:hideMark/>
          </w:tcPr>
          <w:p w14:paraId="09F2E75F" w14:textId="77777777" w:rsidR="0052062F" w:rsidRPr="009A7579" w:rsidRDefault="0052062F" w:rsidP="00F44221">
            <w:pPr>
              <w:spacing w:line="240" w:lineRule="auto"/>
              <w:jc w:val="both"/>
              <w:rPr>
                <w:rFonts w:eastAsia="Calibri"/>
                <w:sz w:val="20"/>
                <w:szCs w:val="20"/>
              </w:rPr>
            </w:pPr>
          </w:p>
        </w:tc>
        <w:tc>
          <w:tcPr>
            <w:tcW w:w="806" w:type="dxa"/>
            <w:noWrap/>
            <w:hideMark/>
          </w:tcPr>
          <w:p w14:paraId="46A2D1FF" w14:textId="77777777" w:rsidR="0052062F" w:rsidRPr="009A7579" w:rsidRDefault="0052062F" w:rsidP="00F44221">
            <w:pPr>
              <w:spacing w:line="240" w:lineRule="auto"/>
              <w:jc w:val="both"/>
              <w:rPr>
                <w:rFonts w:eastAsia="Calibri"/>
                <w:sz w:val="20"/>
                <w:szCs w:val="20"/>
              </w:rPr>
            </w:pPr>
          </w:p>
        </w:tc>
        <w:tc>
          <w:tcPr>
            <w:tcW w:w="920" w:type="dxa"/>
            <w:noWrap/>
            <w:hideMark/>
          </w:tcPr>
          <w:p w14:paraId="6F5EFD19" w14:textId="77777777" w:rsidR="0052062F" w:rsidRPr="009A7579" w:rsidRDefault="0052062F" w:rsidP="00F44221">
            <w:pPr>
              <w:spacing w:line="240" w:lineRule="auto"/>
              <w:jc w:val="both"/>
              <w:rPr>
                <w:rFonts w:eastAsia="Calibri"/>
                <w:sz w:val="20"/>
                <w:szCs w:val="20"/>
              </w:rPr>
            </w:pPr>
          </w:p>
        </w:tc>
      </w:tr>
      <w:tr w:rsidR="0052062F" w:rsidRPr="009A7579" w14:paraId="30A1A88C" w14:textId="77777777" w:rsidTr="009A7579">
        <w:trPr>
          <w:trHeight w:val="221"/>
        </w:trPr>
        <w:tc>
          <w:tcPr>
            <w:tcW w:w="1392" w:type="dxa"/>
            <w:noWrap/>
            <w:hideMark/>
          </w:tcPr>
          <w:p w14:paraId="41329249"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A</w:t>
            </w:r>
          </w:p>
        </w:tc>
        <w:tc>
          <w:tcPr>
            <w:tcW w:w="952" w:type="dxa"/>
            <w:noWrap/>
            <w:hideMark/>
          </w:tcPr>
          <w:p w14:paraId="4C22CDD7"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0.11</w:t>
            </w:r>
          </w:p>
        </w:tc>
        <w:tc>
          <w:tcPr>
            <w:tcW w:w="1069" w:type="dxa"/>
            <w:noWrap/>
            <w:hideMark/>
          </w:tcPr>
          <w:p w14:paraId="6E3F8A58"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0.11</w:t>
            </w:r>
          </w:p>
        </w:tc>
        <w:tc>
          <w:tcPr>
            <w:tcW w:w="1009" w:type="dxa"/>
            <w:noWrap/>
            <w:hideMark/>
          </w:tcPr>
          <w:p w14:paraId="16AB38A0"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0.06</w:t>
            </w:r>
          </w:p>
        </w:tc>
        <w:tc>
          <w:tcPr>
            <w:tcW w:w="1069" w:type="dxa"/>
            <w:noWrap/>
            <w:hideMark/>
          </w:tcPr>
          <w:p w14:paraId="41A7FFE8"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177" w:type="dxa"/>
            <w:noWrap/>
            <w:hideMark/>
          </w:tcPr>
          <w:p w14:paraId="65114072"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217" w:type="dxa"/>
            <w:noWrap/>
            <w:hideMark/>
          </w:tcPr>
          <w:p w14:paraId="61E23519"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001" w:type="dxa"/>
            <w:noWrap/>
            <w:hideMark/>
          </w:tcPr>
          <w:p w14:paraId="3E1BD833"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0.33</w:t>
            </w:r>
          </w:p>
        </w:tc>
        <w:tc>
          <w:tcPr>
            <w:tcW w:w="806" w:type="dxa"/>
            <w:noWrap/>
            <w:hideMark/>
          </w:tcPr>
          <w:p w14:paraId="4D41E761"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0.12</w:t>
            </w:r>
          </w:p>
        </w:tc>
        <w:tc>
          <w:tcPr>
            <w:tcW w:w="920" w:type="dxa"/>
            <w:noWrap/>
            <w:hideMark/>
          </w:tcPr>
          <w:p w14:paraId="74565FAF"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HI</w:t>
            </w:r>
          </w:p>
        </w:tc>
      </w:tr>
      <w:tr w:rsidR="0052062F" w:rsidRPr="009A7579" w14:paraId="313FD6A9" w14:textId="77777777" w:rsidTr="009A7579">
        <w:trPr>
          <w:trHeight w:val="221"/>
        </w:trPr>
        <w:tc>
          <w:tcPr>
            <w:tcW w:w="1392" w:type="dxa"/>
            <w:noWrap/>
            <w:hideMark/>
          </w:tcPr>
          <w:p w14:paraId="44CBD2F5"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B</w:t>
            </w:r>
          </w:p>
        </w:tc>
        <w:tc>
          <w:tcPr>
            <w:tcW w:w="952" w:type="dxa"/>
            <w:noWrap/>
            <w:hideMark/>
          </w:tcPr>
          <w:p w14:paraId="5A68E183"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1069" w:type="dxa"/>
            <w:noWrap/>
            <w:hideMark/>
          </w:tcPr>
          <w:p w14:paraId="04A036A2"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1009" w:type="dxa"/>
            <w:noWrap/>
            <w:hideMark/>
          </w:tcPr>
          <w:p w14:paraId="115CA8BD"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1069" w:type="dxa"/>
            <w:noWrap/>
            <w:hideMark/>
          </w:tcPr>
          <w:p w14:paraId="2AC223DE"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1177" w:type="dxa"/>
            <w:noWrap/>
            <w:hideMark/>
          </w:tcPr>
          <w:p w14:paraId="74E6C0E1"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1217" w:type="dxa"/>
            <w:noWrap/>
            <w:hideMark/>
          </w:tcPr>
          <w:p w14:paraId="538271A5"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1001" w:type="dxa"/>
            <w:noWrap/>
            <w:hideMark/>
          </w:tcPr>
          <w:p w14:paraId="4E4EB529"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806" w:type="dxa"/>
            <w:noWrap/>
            <w:hideMark/>
          </w:tcPr>
          <w:p w14:paraId="3C88C727"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920" w:type="dxa"/>
            <w:noWrap/>
            <w:hideMark/>
          </w:tcPr>
          <w:p w14:paraId="664CF42A"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HA</w:t>
            </w:r>
          </w:p>
        </w:tc>
      </w:tr>
      <w:tr w:rsidR="0052062F" w:rsidRPr="009A7579" w14:paraId="7FD498ED" w14:textId="77777777" w:rsidTr="009A7579">
        <w:trPr>
          <w:trHeight w:val="221"/>
        </w:trPr>
        <w:tc>
          <w:tcPr>
            <w:tcW w:w="1392" w:type="dxa"/>
            <w:noWrap/>
            <w:hideMark/>
          </w:tcPr>
          <w:p w14:paraId="791ADE58"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C</w:t>
            </w:r>
          </w:p>
        </w:tc>
        <w:tc>
          <w:tcPr>
            <w:tcW w:w="952" w:type="dxa"/>
            <w:noWrap/>
            <w:hideMark/>
          </w:tcPr>
          <w:p w14:paraId="16D0C4B7"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069" w:type="dxa"/>
            <w:noWrap/>
            <w:hideMark/>
          </w:tcPr>
          <w:p w14:paraId="621765F0"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009" w:type="dxa"/>
            <w:noWrap/>
            <w:hideMark/>
          </w:tcPr>
          <w:p w14:paraId="36AE90A3"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069" w:type="dxa"/>
            <w:noWrap/>
            <w:hideMark/>
          </w:tcPr>
          <w:p w14:paraId="61EF9EFF"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177" w:type="dxa"/>
            <w:noWrap/>
            <w:hideMark/>
          </w:tcPr>
          <w:p w14:paraId="40B3780D"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0.5</w:t>
            </w:r>
          </w:p>
        </w:tc>
        <w:tc>
          <w:tcPr>
            <w:tcW w:w="1217" w:type="dxa"/>
            <w:noWrap/>
            <w:hideMark/>
          </w:tcPr>
          <w:p w14:paraId="40115547"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001" w:type="dxa"/>
            <w:noWrap/>
            <w:hideMark/>
          </w:tcPr>
          <w:p w14:paraId="7401545D"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806" w:type="dxa"/>
            <w:noWrap/>
            <w:hideMark/>
          </w:tcPr>
          <w:p w14:paraId="720E703D"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0.07</w:t>
            </w:r>
          </w:p>
        </w:tc>
        <w:tc>
          <w:tcPr>
            <w:tcW w:w="920" w:type="dxa"/>
            <w:noWrap/>
            <w:hideMark/>
          </w:tcPr>
          <w:p w14:paraId="2EF4C920"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HI</w:t>
            </w:r>
          </w:p>
        </w:tc>
      </w:tr>
      <w:tr w:rsidR="0052062F" w:rsidRPr="009A7579" w14:paraId="1B8D6128" w14:textId="77777777" w:rsidTr="009A7579">
        <w:trPr>
          <w:trHeight w:val="221"/>
        </w:trPr>
        <w:tc>
          <w:tcPr>
            <w:tcW w:w="1392" w:type="dxa"/>
            <w:noWrap/>
            <w:hideMark/>
          </w:tcPr>
          <w:p w14:paraId="19FBC72B"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Average</w:t>
            </w:r>
          </w:p>
        </w:tc>
        <w:tc>
          <w:tcPr>
            <w:tcW w:w="952" w:type="dxa"/>
            <w:noWrap/>
            <w:hideMark/>
          </w:tcPr>
          <w:p w14:paraId="6B1474E4"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0.37</w:t>
            </w:r>
          </w:p>
        </w:tc>
        <w:tc>
          <w:tcPr>
            <w:tcW w:w="1069" w:type="dxa"/>
            <w:noWrap/>
            <w:hideMark/>
          </w:tcPr>
          <w:p w14:paraId="0AD5387B"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0.37</w:t>
            </w:r>
          </w:p>
        </w:tc>
        <w:tc>
          <w:tcPr>
            <w:tcW w:w="1009" w:type="dxa"/>
            <w:noWrap/>
            <w:hideMark/>
          </w:tcPr>
          <w:p w14:paraId="30E47EA8"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0.35</w:t>
            </w:r>
          </w:p>
        </w:tc>
        <w:tc>
          <w:tcPr>
            <w:tcW w:w="1069" w:type="dxa"/>
            <w:noWrap/>
            <w:hideMark/>
          </w:tcPr>
          <w:p w14:paraId="48DBC0CE"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0.33</w:t>
            </w:r>
          </w:p>
        </w:tc>
        <w:tc>
          <w:tcPr>
            <w:tcW w:w="1177" w:type="dxa"/>
            <w:noWrap/>
            <w:hideMark/>
          </w:tcPr>
          <w:p w14:paraId="31808D82"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0.50</w:t>
            </w:r>
          </w:p>
        </w:tc>
        <w:tc>
          <w:tcPr>
            <w:tcW w:w="1217" w:type="dxa"/>
            <w:noWrap/>
            <w:hideMark/>
          </w:tcPr>
          <w:p w14:paraId="2BC17292"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0.33</w:t>
            </w:r>
          </w:p>
        </w:tc>
        <w:tc>
          <w:tcPr>
            <w:tcW w:w="1001" w:type="dxa"/>
            <w:noWrap/>
            <w:hideMark/>
          </w:tcPr>
          <w:p w14:paraId="37550350"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0.44</w:t>
            </w:r>
          </w:p>
        </w:tc>
        <w:tc>
          <w:tcPr>
            <w:tcW w:w="806" w:type="dxa"/>
            <w:noWrap/>
            <w:hideMark/>
          </w:tcPr>
          <w:p w14:paraId="536CD759"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0.40</w:t>
            </w:r>
          </w:p>
        </w:tc>
        <w:tc>
          <w:tcPr>
            <w:tcW w:w="920" w:type="dxa"/>
            <w:noWrap/>
            <w:hideMark/>
          </w:tcPr>
          <w:p w14:paraId="118E4F85"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MA</w:t>
            </w:r>
          </w:p>
        </w:tc>
      </w:tr>
      <w:tr w:rsidR="0052062F" w:rsidRPr="009A7579" w14:paraId="5189BE44" w14:textId="77777777" w:rsidTr="009A7579">
        <w:trPr>
          <w:trHeight w:val="221"/>
        </w:trPr>
        <w:tc>
          <w:tcPr>
            <w:tcW w:w="1392" w:type="dxa"/>
            <w:noWrap/>
            <w:hideMark/>
          </w:tcPr>
          <w:p w14:paraId="19D50C15"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Rural School</w:t>
            </w:r>
          </w:p>
        </w:tc>
        <w:tc>
          <w:tcPr>
            <w:tcW w:w="952" w:type="dxa"/>
            <w:noWrap/>
            <w:hideMark/>
          </w:tcPr>
          <w:p w14:paraId="1D3D3F39" w14:textId="77777777" w:rsidR="0052062F" w:rsidRPr="009A7579" w:rsidRDefault="0052062F" w:rsidP="00F44221">
            <w:pPr>
              <w:spacing w:line="240" w:lineRule="auto"/>
              <w:jc w:val="both"/>
              <w:rPr>
                <w:rFonts w:eastAsia="Calibri"/>
                <w:sz w:val="20"/>
                <w:szCs w:val="20"/>
              </w:rPr>
            </w:pPr>
          </w:p>
        </w:tc>
        <w:tc>
          <w:tcPr>
            <w:tcW w:w="1069" w:type="dxa"/>
            <w:noWrap/>
            <w:hideMark/>
          </w:tcPr>
          <w:p w14:paraId="51AF2D05" w14:textId="77777777" w:rsidR="0052062F" w:rsidRPr="009A7579" w:rsidRDefault="0052062F" w:rsidP="00F44221">
            <w:pPr>
              <w:spacing w:line="240" w:lineRule="auto"/>
              <w:jc w:val="both"/>
              <w:rPr>
                <w:rFonts w:eastAsia="Calibri"/>
                <w:sz w:val="20"/>
                <w:szCs w:val="20"/>
              </w:rPr>
            </w:pPr>
          </w:p>
        </w:tc>
        <w:tc>
          <w:tcPr>
            <w:tcW w:w="1009" w:type="dxa"/>
            <w:noWrap/>
            <w:hideMark/>
          </w:tcPr>
          <w:p w14:paraId="485F0550" w14:textId="77777777" w:rsidR="0052062F" w:rsidRPr="009A7579" w:rsidRDefault="0052062F" w:rsidP="00F44221">
            <w:pPr>
              <w:spacing w:line="240" w:lineRule="auto"/>
              <w:jc w:val="both"/>
              <w:rPr>
                <w:rFonts w:eastAsia="Calibri"/>
                <w:sz w:val="20"/>
                <w:szCs w:val="20"/>
              </w:rPr>
            </w:pPr>
          </w:p>
        </w:tc>
        <w:tc>
          <w:tcPr>
            <w:tcW w:w="1069" w:type="dxa"/>
            <w:noWrap/>
            <w:hideMark/>
          </w:tcPr>
          <w:p w14:paraId="005BA881" w14:textId="77777777" w:rsidR="0052062F" w:rsidRPr="009A7579" w:rsidRDefault="0052062F" w:rsidP="00F44221">
            <w:pPr>
              <w:spacing w:line="240" w:lineRule="auto"/>
              <w:jc w:val="both"/>
              <w:rPr>
                <w:rFonts w:eastAsia="Calibri"/>
                <w:sz w:val="20"/>
                <w:szCs w:val="20"/>
              </w:rPr>
            </w:pPr>
          </w:p>
        </w:tc>
        <w:tc>
          <w:tcPr>
            <w:tcW w:w="1177" w:type="dxa"/>
            <w:noWrap/>
            <w:hideMark/>
          </w:tcPr>
          <w:p w14:paraId="575C198E" w14:textId="77777777" w:rsidR="0052062F" w:rsidRPr="009A7579" w:rsidRDefault="0052062F" w:rsidP="00F44221">
            <w:pPr>
              <w:spacing w:line="240" w:lineRule="auto"/>
              <w:jc w:val="both"/>
              <w:rPr>
                <w:rFonts w:eastAsia="Calibri"/>
                <w:sz w:val="20"/>
                <w:szCs w:val="20"/>
              </w:rPr>
            </w:pPr>
          </w:p>
        </w:tc>
        <w:tc>
          <w:tcPr>
            <w:tcW w:w="1217" w:type="dxa"/>
            <w:noWrap/>
            <w:hideMark/>
          </w:tcPr>
          <w:p w14:paraId="034D3B60" w14:textId="77777777" w:rsidR="0052062F" w:rsidRPr="009A7579" w:rsidRDefault="0052062F" w:rsidP="00F44221">
            <w:pPr>
              <w:spacing w:line="240" w:lineRule="auto"/>
              <w:jc w:val="both"/>
              <w:rPr>
                <w:rFonts w:eastAsia="Calibri"/>
                <w:sz w:val="20"/>
                <w:szCs w:val="20"/>
              </w:rPr>
            </w:pPr>
          </w:p>
        </w:tc>
        <w:tc>
          <w:tcPr>
            <w:tcW w:w="1001" w:type="dxa"/>
            <w:noWrap/>
            <w:hideMark/>
          </w:tcPr>
          <w:p w14:paraId="44EB8B1F" w14:textId="77777777" w:rsidR="0052062F" w:rsidRPr="009A7579" w:rsidRDefault="0052062F" w:rsidP="00F44221">
            <w:pPr>
              <w:spacing w:line="240" w:lineRule="auto"/>
              <w:jc w:val="both"/>
              <w:rPr>
                <w:rFonts w:eastAsia="Calibri"/>
                <w:sz w:val="20"/>
                <w:szCs w:val="20"/>
              </w:rPr>
            </w:pPr>
          </w:p>
        </w:tc>
        <w:tc>
          <w:tcPr>
            <w:tcW w:w="806" w:type="dxa"/>
            <w:noWrap/>
            <w:hideMark/>
          </w:tcPr>
          <w:p w14:paraId="1B44F56A" w14:textId="77777777" w:rsidR="0052062F" w:rsidRPr="009A7579" w:rsidRDefault="0052062F" w:rsidP="00F44221">
            <w:pPr>
              <w:spacing w:line="240" w:lineRule="auto"/>
              <w:jc w:val="both"/>
              <w:rPr>
                <w:rFonts w:eastAsia="Calibri"/>
                <w:sz w:val="20"/>
                <w:szCs w:val="20"/>
              </w:rPr>
            </w:pPr>
          </w:p>
        </w:tc>
        <w:tc>
          <w:tcPr>
            <w:tcW w:w="920" w:type="dxa"/>
            <w:noWrap/>
            <w:hideMark/>
          </w:tcPr>
          <w:p w14:paraId="3F87A31F" w14:textId="77777777" w:rsidR="0052062F" w:rsidRPr="009A7579" w:rsidRDefault="0052062F" w:rsidP="00F44221">
            <w:pPr>
              <w:spacing w:line="240" w:lineRule="auto"/>
              <w:jc w:val="both"/>
              <w:rPr>
                <w:rFonts w:eastAsia="Calibri"/>
                <w:sz w:val="20"/>
                <w:szCs w:val="20"/>
              </w:rPr>
            </w:pPr>
          </w:p>
        </w:tc>
      </w:tr>
      <w:tr w:rsidR="0052062F" w:rsidRPr="009A7579" w14:paraId="69EF52B0" w14:textId="77777777" w:rsidTr="009A7579">
        <w:trPr>
          <w:trHeight w:val="221"/>
        </w:trPr>
        <w:tc>
          <w:tcPr>
            <w:tcW w:w="1392" w:type="dxa"/>
            <w:noWrap/>
            <w:hideMark/>
          </w:tcPr>
          <w:p w14:paraId="2C552706"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D</w:t>
            </w:r>
          </w:p>
        </w:tc>
        <w:tc>
          <w:tcPr>
            <w:tcW w:w="952" w:type="dxa"/>
            <w:noWrap/>
            <w:hideMark/>
          </w:tcPr>
          <w:p w14:paraId="59C6CF5E"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0.67</w:t>
            </w:r>
          </w:p>
        </w:tc>
        <w:tc>
          <w:tcPr>
            <w:tcW w:w="1069" w:type="dxa"/>
            <w:noWrap/>
            <w:hideMark/>
          </w:tcPr>
          <w:p w14:paraId="3B0E4036"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0.62</w:t>
            </w:r>
          </w:p>
        </w:tc>
        <w:tc>
          <w:tcPr>
            <w:tcW w:w="1009" w:type="dxa"/>
            <w:noWrap/>
            <w:hideMark/>
          </w:tcPr>
          <w:p w14:paraId="2CC22325"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1069" w:type="dxa"/>
            <w:noWrap/>
            <w:hideMark/>
          </w:tcPr>
          <w:p w14:paraId="2ECB1FE1"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0.22</w:t>
            </w:r>
          </w:p>
        </w:tc>
        <w:tc>
          <w:tcPr>
            <w:tcW w:w="1177" w:type="dxa"/>
            <w:noWrap/>
            <w:hideMark/>
          </w:tcPr>
          <w:p w14:paraId="4192C19F"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0.25</w:t>
            </w:r>
          </w:p>
        </w:tc>
        <w:tc>
          <w:tcPr>
            <w:tcW w:w="1217" w:type="dxa"/>
            <w:noWrap/>
            <w:hideMark/>
          </w:tcPr>
          <w:p w14:paraId="361AC428"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001" w:type="dxa"/>
            <w:noWrap/>
            <w:hideMark/>
          </w:tcPr>
          <w:p w14:paraId="3BE412BD"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0.25</w:t>
            </w:r>
          </w:p>
        </w:tc>
        <w:tc>
          <w:tcPr>
            <w:tcW w:w="806" w:type="dxa"/>
            <w:noWrap/>
            <w:hideMark/>
          </w:tcPr>
          <w:p w14:paraId="37AFBF31"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0.43</w:t>
            </w:r>
          </w:p>
        </w:tc>
        <w:tc>
          <w:tcPr>
            <w:tcW w:w="920" w:type="dxa"/>
            <w:noWrap/>
            <w:hideMark/>
          </w:tcPr>
          <w:p w14:paraId="6C468F2B"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MA</w:t>
            </w:r>
          </w:p>
        </w:tc>
      </w:tr>
      <w:tr w:rsidR="0052062F" w:rsidRPr="009A7579" w14:paraId="7A0C438D" w14:textId="77777777" w:rsidTr="009A7579">
        <w:trPr>
          <w:trHeight w:val="221"/>
        </w:trPr>
        <w:tc>
          <w:tcPr>
            <w:tcW w:w="1392" w:type="dxa"/>
            <w:noWrap/>
            <w:hideMark/>
          </w:tcPr>
          <w:p w14:paraId="1D4423B3"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E</w:t>
            </w:r>
          </w:p>
        </w:tc>
        <w:tc>
          <w:tcPr>
            <w:tcW w:w="952" w:type="dxa"/>
            <w:noWrap/>
            <w:hideMark/>
          </w:tcPr>
          <w:p w14:paraId="5A1A43DF"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069" w:type="dxa"/>
            <w:noWrap/>
            <w:hideMark/>
          </w:tcPr>
          <w:p w14:paraId="3CAAA48B"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009" w:type="dxa"/>
            <w:noWrap/>
            <w:hideMark/>
          </w:tcPr>
          <w:p w14:paraId="79773CDD"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0.5</w:t>
            </w:r>
          </w:p>
        </w:tc>
        <w:tc>
          <w:tcPr>
            <w:tcW w:w="1069" w:type="dxa"/>
            <w:noWrap/>
            <w:hideMark/>
          </w:tcPr>
          <w:p w14:paraId="6E66D85A"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177" w:type="dxa"/>
            <w:noWrap/>
            <w:hideMark/>
          </w:tcPr>
          <w:p w14:paraId="7A86EE73"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217" w:type="dxa"/>
            <w:noWrap/>
            <w:hideMark/>
          </w:tcPr>
          <w:p w14:paraId="2576B86D"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001" w:type="dxa"/>
            <w:noWrap/>
            <w:hideMark/>
          </w:tcPr>
          <w:p w14:paraId="568DF0CF"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806" w:type="dxa"/>
            <w:noWrap/>
            <w:hideMark/>
          </w:tcPr>
          <w:p w14:paraId="1E5C0C6B"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0.07</w:t>
            </w:r>
          </w:p>
        </w:tc>
        <w:tc>
          <w:tcPr>
            <w:tcW w:w="920" w:type="dxa"/>
            <w:noWrap/>
            <w:hideMark/>
          </w:tcPr>
          <w:p w14:paraId="4C5528D5"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HI</w:t>
            </w:r>
          </w:p>
        </w:tc>
      </w:tr>
      <w:tr w:rsidR="0052062F" w:rsidRPr="009A7579" w14:paraId="1C63F726" w14:textId="77777777" w:rsidTr="009A7579">
        <w:trPr>
          <w:trHeight w:val="221"/>
        </w:trPr>
        <w:tc>
          <w:tcPr>
            <w:tcW w:w="1392" w:type="dxa"/>
            <w:noWrap/>
            <w:hideMark/>
          </w:tcPr>
          <w:p w14:paraId="43885FB3"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F</w:t>
            </w:r>
          </w:p>
        </w:tc>
        <w:tc>
          <w:tcPr>
            <w:tcW w:w="952" w:type="dxa"/>
            <w:noWrap/>
            <w:hideMark/>
          </w:tcPr>
          <w:p w14:paraId="61CC2A05"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1069" w:type="dxa"/>
            <w:noWrap/>
            <w:hideMark/>
          </w:tcPr>
          <w:p w14:paraId="7074F368"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1009" w:type="dxa"/>
            <w:noWrap/>
            <w:hideMark/>
          </w:tcPr>
          <w:p w14:paraId="51AAC4B5"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w:t>
            </w:r>
          </w:p>
        </w:tc>
        <w:tc>
          <w:tcPr>
            <w:tcW w:w="1069" w:type="dxa"/>
            <w:noWrap/>
            <w:hideMark/>
          </w:tcPr>
          <w:p w14:paraId="1F492B33"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1177" w:type="dxa"/>
            <w:noWrap/>
            <w:hideMark/>
          </w:tcPr>
          <w:p w14:paraId="550AF607"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1217" w:type="dxa"/>
            <w:noWrap/>
            <w:hideMark/>
          </w:tcPr>
          <w:p w14:paraId="208D54B8"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1001" w:type="dxa"/>
            <w:noWrap/>
            <w:hideMark/>
          </w:tcPr>
          <w:p w14:paraId="68F7D914"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1</w:t>
            </w:r>
          </w:p>
        </w:tc>
        <w:tc>
          <w:tcPr>
            <w:tcW w:w="806" w:type="dxa"/>
            <w:noWrap/>
            <w:hideMark/>
          </w:tcPr>
          <w:p w14:paraId="074FC3FD"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0.86</w:t>
            </w:r>
          </w:p>
        </w:tc>
        <w:tc>
          <w:tcPr>
            <w:tcW w:w="920" w:type="dxa"/>
            <w:noWrap/>
            <w:hideMark/>
          </w:tcPr>
          <w:p w14:paraId="1A1E6DB8"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HA</w:t>
            </w:r>
          </w:p>
        </w:tc>
      </w:tr>
      <w:tr w:rsidR="0052062F" w:rsidRPr="009A7579" w14:paraId="4588000C" w14:textId="77777777" w:rsidTr="009A7579">
        <w:trPr>
          <w:trHeight w:val="221"/>
        </w:trPr>
        <w:tc>
          <w:tcPr>
            <w:tcW w:w="1392" w:type="dxa"/>
            <w:noWrap/>
            <w:hideMark/>
          </w:tcPr>
          <w:p w14:paraId="420D3556"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Average</w:t>
            </w:r>
          </w:p>
        </w:tc>
        <w:tc>
          <w:tcPr>
            <w:tcW w:w="952" w:type="dxa"/>
            <w:noWrap/>
            <w:hideMark/>
          </w:tcPr>
          <w:p w14:paraId="0FC3F77E"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0.56</w:t>
            </w:r>
          </w:p>
        </w:tc>
        <w:tc>
          <w:tcPr>
            <w:tcW w:w="1069" w:type="dxa"/>
            <w:noWrap/>
            <w:hideMark/>
          </w:tcPr>
          <w:p w14:paraId="6BFA48AE"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0.54</w:t>
            </w:r>
          </w:p>
        </w:tc>
        <w:tc>
          <w:tcPr>
            <w:tcW w:w="1009" w:type="dxa"/>
            <w:noWrap/>
            <w:hideMark/>
          </w:tcPr>
          <w:p w14:paraId="7BC325FB"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0.50</w:t>
            </w:r>
          </w:p>
        </w:tc>
        <w:tc>
          <w:tcPr>
            <w:tcW w:w="1069" w:type="dxa"/>
            <w:noWrap/>
            <w:hideMark/>
          </w:tcPr>
          <w:p w14:paraId="0895083F"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0.41</w:t>
            </w:r>
          </w:p>
        </w:tc>
        <w:tc>
          <w:tcPr>
            <w:tcW w:w="1177" w:type="dxa"/>
            <w:noWrap/>
            <w:hideMark/>
          </w:tcPr>
          <w:p w14:paraId="586A0851"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0.42</w:t>
            </w:r>
          </w:p>
        </w:tc>
        <w:tc>
          <w:tcPr>
            <w:tcW w:w="1217" w:type="dxa"/>
            <w:noWrap/>
            <w:hideMark/>
          </w:tcPr>
          <w:p w14:paraId="76CDE470"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0.33</w:t>
            </w:r>
          </w:p>
        </w:tc>
        <w:tc>
          <w:tcPr>
            <w:tcW w:w="1001" w:type="dxa"/>
            <w:noWrap/>
            <w:hideMark/>
          </w:tcPr>
          <w:p w14:paraId="53C194CC"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0.42</w:t>
            </w:r>
          </w:p>
        </w:tc>
        <w:tc>
          <w:tcPr>
            <w:tcW w:w="806" w:type="dxa"/>
            <w:noWrap/>
            <w:hideMark/>
          </w:tcPr>
          <w:p w14:paraId="4476368B"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0.45</w:t>
            </w:r>
          </w:p>
        </w:tc>
        <w:tc>
          <w:tcPr>
            <w:tcW w:w="920" w:type="dxa"/>
            <w:noWrap/>
            <w:hideMark/>
          </w:tcPr>
          <w:p w14:paraId="06174393" w14:textId="77777777" w:rsidR="0052062F" w:rsidRPr="009A7579" w:rsidRDefault="0052062F" w:rsidP="00F44221">
            <w:pPr>
              <w:spacing w:line="240" w:lineRule="auto"/>
              <w:jc w:val="both"/>
              <w:rPr>
                <w:rFonts w:eastAsia="Calibri"/>
                <w:sz w:val="20"/>
                <w:szCs w:val="20"/>
              </w:rPr>
            </w:pPr>
            <w:r w:rsidRPr="009A7579">
              <w:rPr>
                <w:rFonts w:eastAsia="Calibri"/>
                <w:sz w:val="20"/>
                <w:szCs w:val="20"/>
              </w:rPr>
              <w:t>MA</w:t>
            </w:r>
          </w:p>
        </w:tc>
      </w:tr>
    </w:tbl>
    <w:p w14:paraId="6EDF4AA3" w14:textId="77777777" w:rsidR="003C075B" w:rsidRPr="009A7579" w:rsidRDefault="003C075B" w:rsidP="009A7579">
      <w:pPr>
        <w:pBdr>
          <w:top w:val="nil"/>
          <w:left w:val="nil"/>
          <w:bottom w:val="nil"/>
          <w:right w:val="nil"/>
          <w:between w:val="nil"/>
        </w:pBdr>
        <w:spacing w:line="240" w:lineRule="auto"/>
        <w:rPr>
          <w:rFonts w:eastAsia="Georgia"/>
          <w:b/>
          <w:bCs/>
          <w:iCs/>
          <w:color w:val="000000" w:themeColor="text1"/>
          <w:lang w:val="en-ID" w:bidi="en-US"/>
        </w:rPr>
      </w:pPr>
      <w:r w:rsidRPr="009A7579">
        <w:rPr>
          <w:rFonts w:eastAsia="Georgia"/>
          <w:bCs/>
          <w:i/>
          <w:iCs/>
          <w:color w:val="000000" w:themeColor="text1"/>
          <w:lang w:val="en-ID" w:bidi="en-US"/>
        </w:rPr>
        <w:t xml:space="preserve">Note. </w:t>
      </w:r>
      <w:r w:rsidRPr="009A7579">
        <w:rPr>
          <w:rFonts w:eastAsia="Georgia"/>
          <w:bCs/>
          <w:iCs/>
          <w:color w:val="000000" w:themeColor="text1"/>
          <w:lang w:val="en-ID" w:bidi="en-US"/>
        </w:rPr>
        <w:t xml:space="preserve">0.80 -1.00 Highly Adequate </w:t>
      </w:r>
      <w:r w:rsidRPr="009A7579">
        <w:rPr>
          <w:rFonts w:eastAsia="Georgia"/>
          <w:b/>
          <w:bCs/>
          <w:iCs/>
          <w:color w:val="000000" w:themeColor="text1"/>
          <w:lang w:val="en-ID" w:bidi="en-US"/>
        </w:rPr>
        <w:t>(HA)</w:t>
      </w:r>
      <w:r w:rsidRPr="009A7579">
        <w:rPr>
          <w:rFonts w:eastAsia="Georgia"/>
          <w:bCs/>
          <w:iCs/>
          <w:color w:val="000000" w:themeColor="text1"/>
          <w:lang w:bidi="en-US"/>
        </w:rPr>
        <w:t xml:space="preserve"> 0.60 – 0.79 Adequate </w:t>
      </w:r>
      <w:r w:rsidRPr="009A7579">
        <w:rPr>
          <w:rFonts w:eastAsia="Georgia"/>
          <w:b/>
          <w:bCs/>
          <w:iCs/>
          <w:color w:val="000000" w:themeColor="text1"/>
          <w:lang w:bidi="en-US"/>
        </w:rPr>
        <w:t>(A)</w:t>
      </w:r>
      <w:r w:rsidRPr="009A7579">
        <w:rPr>
          <w:rFonts w:eastAsia="Georgia"/>
          <w:bCs/>
          <w:iCs/>
          <w:color w:val="000000" w:themeColor="text1"/>
          <w:lang w:bidi="en-US"/>
        </w:rPr>
        <w:t xml:space="preserve"> 0.40 – 0.59 Moderately Adequate </w:t>
      </w:r>
      <w:r w:rsidRPr="009A7579">
        <w:rPr>
          <w:rFonts w:eastAsia="Georgia"/>
          <w:b/>
          <w:bCs/>
          <w:iCs/>
          <w:color w:val="000000" w:themeColor="text1"/>
          <w:lang w:bidi="en-US"/>
        </w:rPr>
        <w:t>(MA)</w:t>
      </w:r>
      <w:r w:rsidRPr="009A7579">
        <w:rPr>
          <w:rFonts w:eastAsia="Georgia"/>
          <w:bCs/>
          <w:iCs/>
          <w:color w:val="000000" w:themeColor="text1"/>
          <w:lang w:bidi="en-US"/>
        </w:rPr>
        <w:t xml:space="preserve"> 0.20 – 0.39 Inadequate </w:t>
      </w:r>
      <w:r w:rsidRPr="009A7579">
        <w:rPr>
          <w:rFonts w:eastAsia="Georgia"/>
          <w:b/>
          <w:bCs/>
          <w:iCs/>
          <w:color w:val="000000" w:themeColor="text1"/>
          <w:lang w:bidi="en-US"/>
        </w:rPr>
        <w:t>(I)</w:t>
      </w:r>
      <w:r w:rsidRPr="009A7579">
        <w:rPr>
          <w:rFonts w:eastAsia="Georgia"/>
          <w:bCs/>
          <w:iCs/>
          <w:color w:val="000000" w:themeColor="text1"/>
          <w:lang w:bidi="en-US"/>
        </w:rPr>
        <w:t xml:space="preserve"> 0.00 – 0.19 – Highly Inadequate </w:t>
      </w:r>
      <w:r w:rsidRPr="009A7579">
        <w:rPr>
          <w:rFonts w:eastAsia="Georgia"/>
          <w:b/>
          <w:bCs/>
          <w:iCs/>
          <w:color w:val="000000" w:themeColor="text1"/>
          <w:lang w:bidi="en-US"/>
        </w:rPr>
        <w:t>(HI)</w:t>
      </w:r>
    </w:p>
    <w:p w14:paraId="0A80A7FE" w14:textId="32C0F058" w:rsidR="003C075B" w:rsidRPr="001D252E" w:rsidRDefault="003C075B" w:rsidP="00F44221">
      <w:pPr>
        <w:pBdr>
          <w:top w:val="nil"/>
          <w:left w:val="nil"/>
          <w:bottom w:val="nil"/>
          <w:right w:val="nil"/>
          <w:between w:val="nil"/>
        </w:pBdr>
        <w:spacing w:line="240" w:lineRule="auto"/>
        <w:ind w:firstLine="567"/>
        <w:rPr>
          <w:rFonts w:eastAsia="Georgia"/>
          <w:bCs/>
          <w:iCs/>
          <w:color w:val="000000" w:themeColor="text1"/>
          <w:sz w:val="28"/>
          <w:szCs w:val="28"/>
          <w:lang w:val="en-PH" w:bidi="en-US"/>
        </w:rPr>
      </w:pPr>
      <w:r w:rsidRPr="001D252E">
        <w:rPr>
          <w:rFonts w:eastAsia="Georgia"/>
          <w:bCs/>
          <w:iCs/>
          <w:color w:val="000000" w:themeColor="text1"/>
          <w:sz w:val="28"/>
          <w:szCs w:val="28"/>
          <w:lang w:val="en-PH" w:bidi="en-US"/>
        </w:rPr>
        <w:tab/>
      </w:r>
    </w:p>
    <w:p w14:paraId="13A082F5" w14:textId="1018A2A7" w:rsidR="00177301" w:rsidRPr="009A7579" w:rsidRDefault="003C075B" w:rsidP="00F44221">
      <w:pPr>
        <w:pBdr>
          <w:top w:val="nil"/>
          <w:left w:val="nil"/>
          <w:bottom w:val="nil"/>
          <w:right w:val="nil"/>
          <w:between w:val="nil"/>
        </w:pBdr>
        <w:spacing w:line="240" w:lineRule="auto"/>
        <w:ind w:firstLine="562"/>
        <w:rPr>
          <w:rFonts w:eastAsia="Georgia"/>
          <w:bCs/>
          <w:iCs/>
          <w:color w:val="000000" w:themeColor="text1"/>
          <w:lang w:bidi="en-US"/>
        </w:rPr>
      </w:pPr>
      <w:r w:rsidRPr="009A7579">
        <w:rPr>
          <w:rFonts w:eastAsia="Georgia"/>
          <w:bCs/>
          <w:iCs/>
          <w:color w:val="000000" w:themeColor="text1"/>
          <w:lang w:val="en-PH" w:bidi="en-US"/>
        </w:rPr>
        <w:t>Apparently, urban schools obtained a mean PLE index of 0.40, while rural schools obtained a slightly higher mean of 0.45. Both values fall under the Moderately Adequate (MA) level, indicating that while basic infrastructure is present, both settings still experience notable limitations in providing fully conducive learning environments. The small difference between the two suggests only marginal variation in overall school conditions.</w:t>
      </w:r>
    </w:p>
    <w:p w14:paraId="7F14197E" w14:textId="77777777" w:rsidR="003C075B" w:rsidRPr="009A7579" w:rsidRDefault="003C075B" w:rsidP="00F44221">
      <w:pPr>
        <w:pBdr>
          <w:top w:val="nil"/>
          <w:left w:val="nil"/>
          <w:bottom w:val="nil"/>
          <w:right w:val="nil"/>
          <w:between w:val="nil"/>
        </w:pBdr>
        <w:spacing w:line="240" w:lineRule="auto"/>
        <w:ind w:firstLine="562"/>
        <w:rPr>
          <w:rFonts w:eastAsia="Georgia"/>
          <w:bCs/>
          <w:iCs/>
          <w:color w:val="000000" w:themeColor="text1"/>
          <w:lang w:val="en-PH" w:bidi="en-US"/>
        </w:rPr>
      </w:pPr>
      <w:r w:rsidRPr="009A7579">
        <w:rPr>
          <w:rFonts w:eastAsia="Georgia"/>
          <w:bCs/>
          <w:iCs/>
          <w:color w:val="000000" w:themeColor="text1"/>
          <w:lang w:val="en-PH" w:bidi="en-US"/>
        </w:rPr>
        <w:t>In terms of specific components, rural schools generally performed better in structural aspects such as type of school building, building condition, and building materials, which were mostly rated as Moderately Adequate. This suggests that some rural schools have comparatively more stable or improved physical structures. However, rural schools also showed weaknesses in room condition, usable furniture, and school facilities, indicating that despite relatively better building structures, internal learning resources remain insufficient.</w:t>
      </w:r>
    </w:p>
    <w:p w14:paraId="3A6CC1BC" w14:textId="4122FF98" w:rsidR="00177301" w:rsidRDefault="003C075B" w:rsidP="00F44221">
      <w:pPr>
        <w:pBdr>
          <w:top w:val="nil"/>
          <w:left w:val="nil"/>
          <w:bottom w:val="nil"/>
          <w:right w:val="nil"/>
          <w:between w:val="nil"/>
        </w:pBdr>
        <w:spacing w:line="240" w:lineRule="auto"/>
        <w:ind w:firstLine="562"/>
        <w:rPr>
          <w:rFonts w:eastAsia="Georgia"/>
          <w:bCs/>
          <w:iCs/>
          <w:color w:val="000000" w:themeColor="text1"/>
          <w:lang w:val="en-PH" w:bidi="en-US"/>
        </w:rPr>
      </w:pPr>
      <w:r w:rsidRPr="009A7579">
        <w:rPr>
          <w:rFonts w:eastAsia="Georgia"/>
          <w:bCs/>
          <w:iCs/>
          <w:color w:val="000000" w:themeColor="text1"/>
          <w:lang w:val="en-PH" w:bidi="en-US"/>
        </w:rPr>
        <w:tab/>
        <w:t>On the other hand, urban schools showed relatively stronger performance in school facilities and the availability of more permanent classroom arrangements. However, similar to rural schools, urban schools also demonstrated deficiencies in room condition and usable furniture, which were consistently rated as Inadequate. This indicates that while some urban schools may have better access to facilities, classroom-level resources and physical learning spaces remain</w:t>
      </w:r>
    </w:p>
    <w:p w14:paraId="02397B5D" w14:textId="77777777" w:rsidR="009A7579" w:rsidRPr="009A7579" w:rsidRDefault="009A7579" w:rsidP="00F44221">
      <w:pPr>
        <w:pBdr>
          <w:top w:val="nil"/>
          <w:left w:val="nil"/>
          <w:bottom w:val="nil"/>
          <w:right w:val="nil"/>
          <w:between w:val="nil"/>
        </w:pBdr>
        <w:spacing w:line="240" w:lineRule="auto"/>
        <w:ind w:firstLine="562"/>
        <w:rPr>
          <w:rFonts w:eastAsia="Georgia"/>
          <w:bCs/>
          <w:iCs/>
          <w:color w:val="000000" w:themeColor="text1"/>
          <w:lang w:val="en-PH" w:bidi="en-US"/>
        </w:rPr>
      </w:pPr>
    </w:p>
    <w:p w14:paraId="744B8D04" w14:textId="77777777" w:rsidR="00971CE4" w:rsidRPr="001D252E" w:rsidRDefault="00971CE4" w:rsidP="00F44221">
      <w:pPr>
        <w:pBdr>
          <w:top w:val="nil"/>
          <w:left w:val="nil"/>
          <w:bottom w:val="nil"/>
          <w:right w:val="nil"/>
          <w:between w:val="nil"/>
        </w:pBdr>
        <w:spacing w:line="240" w:lineRule="auto"/>
        <w:ind w:firstLine="562"/>
        <w:rPr>
          <w:rFonts w:eastAsia="Georgia"/>
          <w:bCs/>
          <w:iCs/>
          <w:color w:val="000000" w:themeColor="text1"/>
          <w:sz w:val="28"/>
          <w:szCs w:val="28"/>
          <w:lang w:val="en-PH" w:bidi="en-US"/>
        </w:rPr>
      </w:pPr>
    </w:p>
    <w:p w14:paraId="6C79FE9E" w14:textId="5EF073AC" w:rsidR="00971CE4" w:rsidRPr="009A7579" w:rsidRDefault="00971CE4" w:rsidP="00F44221">
      <w:pPr>
        <w:pBdr>
          <w:top w:val="nil"/>
          <w:left w:val="nil"/>
          <w:bottom w:val="nil"/>
          <w:right w:val="nil"/>
          <w:between w:val="nil"/>
        </w:pBdr>
        <w:tabs>
          <w:tab w:val="left" w:pos="2252"/>
        </w:tabs>
        <w:spacing w:line="240" w:lineRule="auto"/>
        <w:rPr>
          <w:rFonts w:eastAsia="Georgia"/>
          <w:b/>
          <w:iCs/>
          <w:color w:val="000000" w:themeColor="text1"/>
          <w:lang w:val="en-PH" w:bidi="en-US"/>
        </w:rPr>
      </w:pPr>
      <w:r w:rsidRPr="009A7579">
        <w:rPr>
          <w:rFonts w:eastAsia="Georgia"/>
          <w:b/>
          <w:iCs/>
          <w:color w:val="000000" w:themeColor="text1"/>
          <w:lang w:val="en-PH" w:bidi="en-US"/>
        </w:rPr>
        <w:lastRenderedPageBreak/>
        <w:t>Social Environment</w:t>
      </w:r>
      <w:r w:rsidR="009A7579" w:rsidRPr="009A7579">
        <w:rPr>
          <w:rFonts w:eastAsia="Georgia"/>
          <w:b/>
          <w:iCs/>
          <w:color w:val="000000" w:themeColor="text1"/>
          <w:lang w:val="en-PH" w:bidi="en-US"/>
        </w:rPr>
        <w:t xml:space="preserve"> of </w:t>
      </w:r>
      <w:r w:rsidR="009A7579" w:rsidRPr="009A7579">
        <w:rPr>
          <w:rFonts w:eastAsia="Georgia"/>
          <w:b/>
          <w:bCs/>
          <w:iCs/>
          <w:color w:val="000000" w:themeColor="text1"/>
          <w:lang w:val="en-PH" w:bidi="en-US"/>
        </w:rPr>
        <w:t>Grade 3 Learners in Urban and Rural Schools</w:t>
      </w:r>
    </w:p>
    <w:p w14:paraId="26A0C6EA" w14:textId="77777777" w:rsidR="003C075B" w:rsidRPr="009A7579" w:rsidRDefault="003C075B" w:rsidP="00F44221">
      <w:pPr>
        <w:pBdr>
          <w:top w:val="nil"/>
          <w:left w:val="nil"/>
          <w:bottom w:val="nil"/>
          <w:right w:val="nil"/>
          <w:between w:val="nil"/>
        </w:pBdr>
        <w:spacing w:line="240" w:lineRule="auto"/>
        <w:ind w:firstLine="562"/>
        <w:rPr>
          <w:rFonts w:eastAsia="Georgia"/>
          <w:bCs/>
          <w:iCs/>
          <w:color w:val="000000" w:themeColor="text1"/>
          <w:lang w:val="en-PH" w:bidi="en-US"/>
        </w:rPr>
      </w:pPr>
      <w:r w:rsidRPr="009A7579">
        <w:rPr>
          <w:rFonts w:eastAsia="Georgia"/>
          <w:bCs/>
          <w:iCs/>
          <w:color w:val="000000" w:themeColor="text1"/>
          <w:lang w:val="en-PH" w:bidi="en-US"/>
        </w:rPr>
        <w:t>Table 4 presents the level of parental involvement in numeracy and literacy among Grade 3 learners in urban and rural schools. The results indicate that parental engagement is generally higher in numeracy than in literacy across both school locations, although overall involvement remains only moderate to limited.</w:t>
      </w:r>
    </w:p>
    <w:p w14:paraId="4DC0403B" w14:textId="42BBE3E1" w:rsidR="003C075B" w:rsidRPr="009A7579" w:rsidRDefault="003C075B" w:rsidP="00F44221">
      <w:pPr>
        <w:pBdr>
          <w:top w:val="nil"/>
          <w:left w:val="nil"/>
          <w:bottom w:val="nil"/>
          <w:right w:val="nil"/>
          <w:between w:val="nil"/>
        </w:pBdr>
        <w:spacing w:line="240" w:lineRule="auto"/>
        <w:rPr>
          <w:rFonts w:eastAsia="Georgia"/>
          <w:bCs/>
          <w:iCs/>
          <w:color w:val="000000" w:themeColor="text1"/>
          <w:lang w:val="en-PH" w:bidi="en-US"/>
        </w:rPr>
      </w:pPr>
    </w:p>
    <w:p w14:paraId="39444CCD" w14:textId="111DFB11" w:rsidR="003C075B" w:rsidRPr="009A7579" w:rsidRDefault="003C075B" w:rsidP="00F44221">
      <w:pPr>
        <w:pBdr>
          <w:top w:val="nil"/>
          <w:left w:val="nil"/>
          <w:bottom w:val="nil"/>
          <w:right w:val="nil"/>
          <w:between w:val="nil"/>
        </w:pBdr>
        <w:spacing w:line="240" w:lineRule="auto"/>
        <w:rPr>
          <w:rFonts w:eastAsia="Georgia"/>
          <w:b/>
          <w:color w:val="000000" w:themeColor="text1"/>
          <w:lang w:val="en-ID" w:bidi="en-US"/>
        </w:rPr>
      </w:pPr>
      <w:r w:rsidRPr="009A7579">
        <w:rPr>
          <w:rFonts w:eastAsia="Georgia"/>
          <w:b/>
          <w:color w:val="000000" w:themeColor="text1"/>
          <w:lang w:val="en-ID" w:bidi="en-US"/>
        </w:rPr>
        <w:t>Table 4. Parental Involvement in Numeracy and Literacy of Grade 3 Learners in Urban and Rural School</w:t>
      </w:r>
    </w:p>
    <w:tbl>
      <w:tblPr>
        <w:tblStyle w:val="TableGrid"/>
        <w:tblpPr w:leftFromText="180" w:rightFromText="180" w:vertAnchor="text" w:horzAnchor="margin" w:tblpY="39"/>
        <w:tblW w:w="10530" w:type="dxa"/>
        <w:tblLayout w:type="fixed"/>
        <w:tblLook w:val="04A0" w:firstRow="1" w:lastRow="0" w:firstColumn="1" w:lastColumn="0" w:noHBand="0" w:noVBand="1"/>
      </w:tblPr>
      <w:tblGrid>
        <w:gridCol w:w="4144"/>
        <w:gridCol w:w="1341"/>
        <w:gridCol w:w="1712"/>
        <w:gridCol w:w="1433"/>
        <w:gridCol w:w="1900"/>
      </w:tblGrid>
      <w:tr w:rsidR="00ED44F7" w:rsidRPr="009A7579" w14:paraId="433A4483" w14:textId="77777777" w:rsidTr="005D5A2E">
        <w:trPr>
          <w:trHeight w:val="292"/>
        </w:trPr>
        <w:tc>
          <w:tcPr>
            <w:tcW w:w="4144" w:type="dxa"/>
            <w:vMerge w:val="restart"/>
          </w:tcPr>
          <w:p w14:paraId="21A02FFD" w14:textId="77777777" w:rsidR="00ED44F7" w:rsidRPr="009A7579" w:rsidRDefault="00ED44F7" w:rsidP="00F44221">
            <w:pPr>
              <w:pBdr>
                <w:top w:val="nil"/>
                <w:left w:val="nil"/>
                <w:bottom w:val="nil"/>
                <w:right w:val="nil"/>
                <w:between w:val="nil"/>
              </w:pBdr>
              <w:spacing w:line="240" w:lineRule="auto"/>
              <w:ind w:firstLine="567"/>
              <w:jc w:val="both"/>
              <w:rPr>
                <w:rFonts w:ascii="Times New Roman" w:eastAsia="Georgia" w:hAnsi="Times New Roman" w:cs="Times New Roman"/>
                <w:b/>
                <w:bCs/>
                <w:iCs/>
                <w:color w:val="000000" w:themeColor="text1"/>
                <w:sz w:val="24"/>
                <w:szCs w:val="24"/>
                <w:lang w:val="en-US" w:bidi="en-US"/>
              </w:rPr>
            </w:pPr>
            <w:r w:rsidRPr="009A7579">
              <w:rPr>
                <w:rFonts w:ascii="Times New Roman" w:eastAsia="Georgia" w:hAnsi="Times New Roman" w:cs="Times New Roman"/>
                <w:b/>
                <w:bCs/>
                <w:iCs/>
                <w:color w:val="000000" w:themeColor="text1"/>
                <w:sz w:val="24"/>
                <w:szCs w:val="24"/>
                <w:lang w:val="en-US" w:bidi="en-US"/>
              </w:rPr>
              <w:t>Indicators</w:t>
            </w:r>
          </w:p>
        </w:tc>
        <w:tc>
          <w:tcPr>
            <w:tcW w:w="3053" w:type="dxa"/>
            <w:gridSpan w:val="2"/>
          </w:tcPr>
          <w:p w14:paraId="195DB123" w14:textId="77777777" w:rsidR="00ED44F7" w:rsidRPr="009A7579" w:rsidRDefault="00ED44F7" w:rsidP="00F44221">
            <w:pPr>
              <w:pBdr>
                <w:top w:val="nil"/>
                <w:left w:val="nil"/>
                <w:bottom w:val="nil"/>
                <w:right w:val="nil"/>
                <w:between w:val="nil"/>
              </w:pBdr>
              <w:spacing w:line="240" w:lineRule="auto"/>
              <w:ind w:firstLine="567"/>
              <w:jc w:val="both"/>
              <w:rPr>
                <w:rFonts w:ascii="Times New Roman" w:eastAsia="Georgia" w:hAnsi="Times New Roman" w:cs="Times New Roman"/>
                <w:b/>
                <w:bCs/>
                <w:iCs/>
                <w:color w:val="000000" w:themeColor="text1"/>
                <w:sz w:val="24"/>
                <w:szCs w:val="24"/>
                <w:lang w:val="en-US" w:bidi="en-US"/>
              </w:rPr>
            </w:pPr>
            <w:r w:rsidRPr="009A7579">
              <w:rPr>
                <w:rFonts w:ascii="Times New Roman" w:eastAsia="Georgia" w:hAnsi="Times New Roman" w:cs="Times New Roman"/>
                <w:b/>
                <w:bCs/>
                <w:iCs/>
                <w:color w:val="000000" w:themeColor="text1"/>
                <w:sz w:val="24"/>
                <w:szCs w:val="24"/>
                <w:lang w:val="en-US" w:bidi="en-US"/>
              </w:rPr>
              <w:t>Urban School</w:t>
            </w:r>
          </w:p>
        </w:tc>
        <w:tc>
          <w:tcPr>
            <w:tcW w:w="3333" w:type="dxa"/>
            <w:gridSpan w:val="2"/>
          </w:tcPr>
          <w:p w14:paraId="3A615658" w14:textId="77777777" w:rsidR="00ED44F7" w:rsidRPr="009A7579" w:rsidRDefault="00ED44F7" w:rsidP="00F44221">
            <w:pPr>
              <w:pBdr>
                <w:top w:val="nil"/>
                <w:left w:val="nil"/>
                <w:bottom w:val="nil"/>
                <w:right w:val="nil"/>
                <w:between w:val="nil"/>
              </w:pBdr>
              <w:spacing w:line="240" w:lineRule="auto"/>
              <w:ind w:firstLine="567"/>
              <w:jc w:val="both"/>
              <w:rPr>
                <w:rFonts w:ascii="Times New Roman" w:eastAsia="Georgia" w:hAnsi="Times New Roman" w:cs="Times New Roman"/>
                <w:b/>
                <w:bCs/>
                <w:iCs/>
                <w:color w:val="000000" w:themeColor="text1"/>
                <w:sz w:val="24"/>
                <w:szCs w:val="24"/>
                <w:lang w:val="en-US" w:bidi="en-US"/>
              </w:rPr>
            </w:pPr>
            <w:r w:rsidRPr="009A7579">
              <w:rPr>
                <w:rFonts w:ascii="Times New Roman" w:eastAsia="Georgia" w:hAnsi="Times New Roman" w:cs="Times New Roman"/>
                <w:b/>
                <w:bCs/>
                <w:iCs/>
                <w:color w:val="000000" w:themeColor="text1"/>
                <w:sz w:val="24"/>
                <w:szCs w:val="24"/>
                <w:lang w:val="en-US" w:bidi="en-US"/>
              </w:rPr>
              <w:t>Rural School</w:t>
            </w:r>
          </w:p>
        </w:tc>
      </w:tr>
      <w:tr w:rsidR="00ED44F7" w:rsidRPr="009A7579" w14:paraId="31D6402B" w14:textId="77777777" w:rsidTr="009A7579">
        <w:trPr>
          <w:trHeight w:val="274"/>
        </w:trPr>
        <w:tc>
          <w:tcPr>
            <w:tcW w:w="4144" w:type="dxa"/>
            <w:vMerge/>
          </w:tcPr>
          <w:p w14:paraId="2D632790" w14:textId="77777777" w:rsidR="00ED44F7" w:rsidRPr="009A7579" w:rsidRDefault="00ED44F7" w:rsidP="00F44221">
            <w:pPr>
              <w:pBdr>
                <w:top w:val="nil"/>
                <w:left w:val="nil"/>
                <w:bottom w:val="nil"/>
                <w:right w:val="nil"/>
                <w:between w:val="nil"/>
              </w:pBdr>
              <w:spacing w:line="240" w:lineRule="auto"/>
              <w:ind w:firstLine="567"/>
              <w:jc w:val="both"/>
              <w:rPr>
                <w:rFonts w:ascii="Times New Roman" w:eastAsia="Georgia" w:hAnsi="Times New Roman" w:cs="Times New Roman"/>
                <w:b/>
                <w:bCs/>
                <w:iCs/>
                <w:color w:val="000000" w:themeColor="text1"/>
                <w:sz w:val="24"/>
                <w:szCs w:val="24"/>
                <w:lang w:val="en-US" w:bidi="en-US"/>
              </w:rPr>
            </w:pPr>
          </w:p>
        </w:tc>
        <w:tc>
          <w:tcPr>
            <w:tcW w:w="1341" w:type="dxa"/>
          </w:tcPr>
          <w:p w14:paraId="4FF18E36" w14:textId="77777777" w:rsidR="00ED44F7" w:rsidRPr="009A7579" w:rsidRDefault="00ED44F7" w:rsidP="009A7579">
            <w:pPr>
              <w:pBdr>
                <w:top w:val="nil"/>
                <w:left w:val="nil"/>
                <w:bottom w:val="nil"/>
                <w:right w:val="nil"/>
                <w:between w:val="nil"/>
              </w:pBdr>
              <w:spacing w:line="240" w:lineRule="auto"/>
              <w:jc w:val="center"/>
              <w:rPr>
                <w:rFonts w:ascii="Times New Roman" w:eastAsia="Georgia" w:hAnsi="Times New Roman" w:cs="Times New Roman"/>
                <w:b/>
                <w:bCs/>
                <w:i/>
                <w:iCs/>
                <w:color w:val="000000" w:themeColor="text1"/>
                <w:sz w:val="24"/>
                <w:szCs w:val="24"/>
                <w:lang w:val="en-US" w:bidi="en-US"/>
              </w:rPr>
            </w:pPr>
            <w:r w:rsidRPr="009A7579">
              <w:rPr>
                <w:rFonts w:ascii="Times New Roman" w:eastAsia="Georgia" w:hAnsi="Times New Roman" w:cs="Times New Roman"/>
                <w:b/>
                <w:bCs/>
                <w:i/>
                <w:iCs/>
                <w:color w:val="000000" w:themeColor="text1"/>
                <w:sz w:val="24"/>
                <w:szCs w:val="24"/>
                <w:lang w:val="en-US" w:bidi="en-US"/>
              </w:rPr>
              <w:t>Mean</w:t>
            </w:r>
          </w:p>
        </w:tc>
        <w:tc>
          <w:tcPr>
            <w:tcW w:w="1712" w:type="dxa"/>
          </w:tcPr>
          <w:p w14:paraId="00E991BA" w14:textId="77777777" w:rsidR="00ED44F7" w:rsidRPr="009A7579" w:rsidRDefault="00ED44F7" w:rsidP="009A7579">
            <w:pPr>
              <w:pBdr>
                <w:top w:val="nil"/>
                <w:left w:val="nil"/>
                <w:bottom w:val="nil"/>
                <w:right w:val="nil"/>
                <w:between w:val="nil"/>
              </w:pBdr>
              <w:spacing w:line="240" w:lineRule="auto"/>
              <w:jc w:val="center"/>
              <w:rPr>
                <w:rFonts w:ascii="Times New Roman" w:eastAsia="Georgia" w:hAnsi="Times New Roman" w:cs="Times New Roman"/>
                <w:b/>
                <w:bCs/>
                <w:i/>
                <w:iCs/>
                <w:color w:val="000000" w:themeColor="text1"/>
                <w:sz w:val="24"/>
                <w:szCs w:val="24"/>
                <w:lang w:val="en-US" w:bidi="en-US"/>
              </w:rPr>
            </w:pPr>
            <w:r w:rsidRPr="009A7579">
              <w:rPr>
                <w:rFonts w:ascii="Times New Roman" w:eastAsia="Georgia" w:hAnsi="Times New Roman" w:cs="Times New Roman"/>
                <w:b/>
                <w:bCs/>
                <w:i/>
                <w:iCs/>
                <w:color w:val="000000" w:themeColor="text1"/>
                <w:sz w:val="24"/>
                <w:szCs w:val="24"/>
                <w:lang w:val="en-US" w:bidi="en-US"/>
              </w:rPr>
              <w:t>Interpretation</w:t>
            </w:r>
          </w:p>
        </w:tc>
        <w:tc>
          <w:tcPr>
            <w:tcW w:w="1433" w:type="dxa"/>
          </w:tcPr>
          <w:p w14:paraId="1B883376" w14:textId="77777777" w:rsidR="00ED44F7" w:rsidRPr="009A7579" w:rsidRDefault="00ED44F7" w:rsidP="009A7579">
            <w:pPr>
              <w:pBdr>
                <w:top w:val="nil"/>
                <w:left w:val="nil"/>
                <w:bottom w:val="nil"/>
                <w:right w:val="nil"/>
                <w:between w:val="nil"/>
              </w:pBdr>
              <w:spacing w:line="240" w:lineRule="auto"/>
              <w:jc w:val="center"/>
              <w:rPr>
                <w:rFonts w:ascii="Times New Roman" w:eastAsia="Georgia" w:hAnsi="Times New Roman" w:cs="Times New Roman"/>
                <w:b/>
                <w:bCs/>
                <w:i/>
                <w:iCs/>
                <w:color w:val="000000" w:themeColor="text1"/>
                <w:sz w:val="24"/>
                <w:szCs w:val="24"/>
                <w:lang w:val="en-US" w:bidi="en-US"/>
              </w:rPr>
            </w:pPr>
            <w:r w:rsidRPr="009A7579">
              <w:rPr>
                <w:rFonts w:ascii="Times New Roman" w:eastAsia="Georgia" w:hAnsi="Times New Roman" w:cs="Times New Roman"/>
                <w:b/>
                <w:bCs/>
                <w:i/>
                <w:iCs/>
                <w:color w:val="000000" w:themeColor="text1"/>
                <w:sz w:val="24"/>
                <w:szCs w:val="24"/>
                <w:lang w:val="en-US" w:bidi="en-US"/>
              </w:rPr>
              <w:t>Mean</w:t>
            </w:r>
          </w:p>
        </w:tc>
        <w:tc>
          <w:tcPr>
            <w:tcW w:w="1900" w:type="dxa"/>
          </w:tcPr>
          <w:p w14:paraId="532AF3C2" w14:textId="77777777" w:rsidR="00ED44F7" w:rsidRPr="009A7579" w:rsidRDefault="00ED44F7" w:rsidP="009A7579">
            <w:pPr>
              <w:pBdr>
                <w:top w:val="nil"/>
                <w:left w:val="nil"/>
                <w:bottom w:val="nil"/>
                <w:right w:val="nil"/>
                <w:between w:val="nil"/>
              </w:pBdr>
              <w:spacing w:line="240" w:lineRule="auto"/>
              <w:jc w:val="center"/>
              <w:rPr>
                <w:rFonts w:ascii="Times New Roman" w:eastAsia="Georgia" w:hAnsi="Times New Roman" w:cs="Times New Roman"/>
                <w:b/>
                <w:bCs/>
                <w:i/>
                <w:iCs/>
                <w:color w:val="000000" w:themeColor="text1"/>
                <w:sz w:val="24"/>
                <w:szCs w:val="24"/>
                <w:lang w:val="en-US" w:bidi="en-US"/>
              </w:rPr>
            </w:pPr>
            <w:r w:rsidRPr="009A7579">
              <w:rPr>
                <w:rFonts w:ascii="Times New Roman" w:eastAsia="Georgia" w:hAnsi="Times New Roman" w:cs="Times New Roman"/>
                <w:b/>
                <w:bCs/>
                <w:i/>
                <w:iCs/>
                <w:color w:val="000000" w:themeColor="text1"/>
                <w:sz w:val="24"/>
                <w:szCs w:val="24"/>
                <w:lang w:val="en-US" w:bidi="en-US"/>
              </w:rPr>
              <w:t>Interpretation</w:t>
            </w:r>
          </w:p>
        </w:tc>
      </w:tr>
      <w:tr w:rsidR="00ED44F7" w:rsidRPr="009A7579" w14:paraId="612196F8" w14:textId="77777777" w:rsidTr="009A7579">
        <w:trPr>
          <w:trHeight w:val="224"/>
        </w:trPr>
        <w:tc>
          <w:tcPr>
            <w:tcW w:w="4144" w:type="dxa"/>
          </w:tcPr>
          <w:p w14:paraId="036875F6" w14:textId="77777777" w:rsidR="00ED44F7" w:rsidRPr="009A7579" w:rsidRDefault="00ED44F7" w:rsidP="00F44221">
            <w:pPr>
              <w:numPr>
                <w:ilvl w:val="0"/>
                <w:numId w:val="5"/>
              </w:numPr>
              <w:pBdr>
                <w:top w:val="nil"/>
                <w:left w:val="nil"/>
                <w:bottom w:val="nil"/>
                <w:right w:val="nil"/>
                <w:between w:val="nil"/>
              </w:pBdr>
              <w:spacing w:line="240" w:lineRule="auto"/>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Parents teach basic operations</w:t>
            </w:r>
          </w:p>
        </w:tc>
        <w:tc>
          <w:tcPr>
            <w:tcW w:w="1341" w:type="dxa"/>
          </w:tcPr>
          <w:p w14:paraId="598204A8"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3.18</w:t>
            </w:r>
          </w:p>
        </w:tc>
        <w:tc>
          <w:tcPr>
            <w:tcW w:w="1712" w:type="dxa"/>
          </w:tcPr>
          <w:p w14:paraId="6BF973E6"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N</w:t>
            </w:r>
          </w:p>
        </w:tc>
        <w:tc>
          <w:tcPr>
            <w:tcW w:w="1433" w:type="dxa"/>
          </w:tcPr>
          <w:p w14:paraId="5BE03AB6"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3.21</w:t>
            </w:r>
          </w:p>
        </w:tc>
        <w:tc>
          <w:tcPr>
            <w:tcW w:w="1900" w:type="dxa"/>
          </w:tcPr>
          <w:p w14:paraId="44393135"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N</w:t>
            </w:r>
          </w:p>
        </w:tc>
      </w:tr>
      <w:tr w:rsidR="00ED44F7" w:rsidRPr="009A7579" w14:paraId="61EF2045" w14:textId="77777777" w:rsidTr="009A7579">
        <w:trPr>
          <w:trHeight w:val="47"/>
        </w:trPr>
        <w:tc>
          <w:tcPr>
            <w:tcW w:w="4144" w:type="dxa"/>
          </w:tcPr>
          <w:p w14:paraId="60A98454" w14:textId="77777777" w:rsidR="00ED44F7" w:rsidRPr="009A7579" w:rsidRDefault="00ED44F7" w:rsidP="00F44221">
            <w:pPr>
              <w:numPr>
                <w:ilvl w:val="0"/>
                <w:numId w:val="5"/>
              </w:numPr>
              <w:pBdr>
                <w:top w:val="nil"/>
                <w:left w:val="nil"/>
                <w:bottom w:val="nil"/>
                <w:right w:val="nil"/>
                <w:between w:val="nil"/>
              </w:pBdr>
              <w:spacing w:line="240" w:lineRule="auto"/>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Parents prepare simple math activities</w:t>
            </w:r>
          </w:p>
        </w:tc>
        <w:tc>
          <w:tcPr>
            <w:tcW w:w="1341" w:type="dxa"/>
          </w:tcPr>
          <w:p w14:paraId="62467B5B"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2.92</w:t>
            </w:r>
          </w:p>
        </w:tc>
        <w:tc>
          <w:tcPr>
            <w:tcW w:w="1712" w:type="dxa"/>
          </w:tcPr>
          <w:p w14:paraId="44F74107"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N</w:t>
            </w:r>
          </w:p>
        </w:tc>
        <w:tc>
          <w:tcPr>
            <w:tcW w:w="1433" w:type="dxa"/>
          </w:tcPr>
          <w:p w14:paraId="5C8683C1"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2.60</w:t>
            </w:r>
          </w:p>
        </w:tc>
        <w:tc>
          <w:tcPr>
            <w:tcW w:w="1900" w:type="dxa"/>
          </w:tcPr>
          <w:p w14:paraId="2F7977A1"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D</w:t>
            </w:r>
          </w:p>
        </w:tc>
      </w:tr>
      <w:tr w:rsidR="00ED44F7" w:rsidRPr="009A7579" w14:paraId="2260920C" w14:textId="77777777" w:rsidTr="009A7579">
        <w:trPr>
          <w:trHeight w:val="238"/>
        </w:trPr>
        <w:tc>
          <w:tcPr>
            <w:tcW w:w="4144" w:type="dxa"/>
          </w:tcPr>
          <w:p w14:paraId="2DB5ED88" w14:textId="77777777" w:rsidR="00ED44F7" w:rsidRPr="009A7579" w:rsidRDefault="00ED44F7" w:rsidP="00F44221">
            <w:pPr>
              <w:numPr>
                <w:ilvl w:val="0"/>
                <w:numId w:val="5"/>
              </w:numPr>
              <w:pBdr>
                <w:top w:val="nil"/>
                <w:left w:val="nil"/>
                <w:bottom w:val="nil"/>
                <w:right w:val="nil"/>
                <w:between w:val="nil"/>
              </w:pBdr>
              <w:spacing w:line="240" w:lineRule="auto"/>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Parents help with math assignments</w:t>
            </w:r>
          </w:p>
        </w:tc>
        <w:tc>
          <w:tcPr>
            <w:tcW w:w="1341" w:type="dxa"/>
          </w:tcPr>
          <w:p w14:paraId="3766348D"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3.06</w:t>
            </w:r>
          </w:p>
        </w:tc>
        <w:tc>
          <w:tcPr>
            <w:tcW w:w="1712" w:type="dxa"/>
          </w:tcPr>
          <w:p w14:paraId="66FADD43"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N</w:t>
            </w:r>
          </w:p>
        </w:tc>
        <w:tc>
          <w:tcPr>
            <w:tcW w:w="1433" w:type="dxa"/>
          </w:tcPr>
          <w:p w14:paraId="41073D97"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2.87</w:t>
            </w:r>
          </w:p>
        </w:tc>
        <w:tc>
          <w:tcPr>
            <w:tcW w:w="1900" w:type="dxa"/>
          </w:tcPr>
          <w:p w14:paraId="4DD2930F"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N</w:t>
            </w:r>
          </w:p>
        </w:tc>
      </w:tr>
      <w:tr w:rsidR="00ED44F7" w:rsidRPr="009A7579" w14:paraId="06BC347D" w14:textId="77777777" w:rsidTr="009A7579">
        <w:trPr>
          <w:trHeight w:val="224"/>
        </w:trPr>
        <w:tc>
          <w:tcPr>
            <w:tcW w:w="4144" w:type="dxa"/>
          </w:tcPr>
          <w:p w14:paraId="6DCFA9E7" w14:textId="77777777" w:rsidR="00ED44F7" w:rsidRPr="009A7579" w:rsidRDefault="00ED44F7" w:rsidP="00F44221">
            <w:pPr>
              <w:numPr>
                <w:ilvl w:val="0"/>
                <w:numId w:val="5"/>
              </w:numPr>
              <w:pBdr>
                <w:top w:val="nil"/>
                <w:left w:val="nil"/>
                <w:bottom w:val="nil"/>
                <w:right w:val="nil"/>
                <w:between w:val="nil"/>
              </w:pBdr>
              <w:spacing w:line="240" w:lineRule="auto"/>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Parents help solve math problems</w:t>
            </w:r>
          </w:p>
        </w:tc>
        <w:tc>
          <w:tcPr>
            <w:tcW w:w="1341" w:type="dxa"/>
          </w:tcPr>
          <w:p w14:paraId="52B5F110"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3.13</w:t>
            </w:r>
          </w:p>
        </w:tc>
        <w:tc>
          <w:tcPr>
            <w:tcW w:w="1712" w:type="dxa"/>
          </w:tcPr>
          <w:p w14:paraId="28EDCD41"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N</w:t>
            </w:r>
          </w:p>
        </w:tc>
        <w:tc>
          <w:tcPr>
            <w:tcW w:w="1433" w:type="dxa"/>
          </w:tcPr>
          <w:p w14:paraId="45E7F34E"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2.93</w:t>
            </w:r>
          </w:p>
        </w:tc>
        <w:tc>
          <w:tcPr>
            <w:tcW w:w="1900" w:type="dxa"/>
          </w:tcPr>
          <w:p w14:paraId="6E6DD61E"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N</w:t>
            </w:r>
          </w:p>
        </w:tc>
      </w:tr>
      <w:tr w:rsidR="00ED44F7" w:rsidRPr="009A7579" w14:paraId="78A26E6D" w14:textId="77777777" w:rsidTr="009A7579">
        <w:trPr>
          <w:trHeight w:val="224"/>
        </w:trPr>
        <w:tc>
          <w:tcPr>
            <w:tcW w:w="4144" w:type="dxa"/>
          </w:tcPr>
          <w:p w14:paraId="7D364EFC" w14:textId="77777777" w:rsidR="00ED44F7" w:rsidRPr="009A7579" w:rsidRDefault="00ED44F7" w:rsidP="00F44221">
            <w:pPr>
              <w:numPr>
                <w:ilvl w:val="0"/>
                <w:numId w:val="5"/>
              </w:numPr>
              <w:pBdr>
                <w:top w:val="nil"/>
                <w:left w:val="nil"/>
                <w:bottom w:val="nil"/>
                <w:right w:val="nil"/>
                <w:between w:val="nil"/>
              </w:pBdr>
              <w:spacing w:line="240" w:lineRule="auto"/>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Parents sing counting songs</w:t>
            </w:r>
          </w:p>
        </w:tc>
        <w:tc>
          <w:tcPr>
            <w:tcW w:w="1341" w:type="dxa"/>
          </w:tcPr>
          <w:p w14:paraId="278126DD"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2.27</w:t>
            </w:r>
          </w:p>
        </w:tc>
        <w:tc>
          <w:tcPr>
            <w:tcW w:w="1712" w:type="dxa"/>
          </w:tcPr>
          <w:p w14:paraId="20BCB5F1"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D</w:t>
            </w:r>
          </w:p>
        </w:tc>
        <w:tc>
          <w:tcPr>
            <w:tcW w:w="1433" w:type="dxa"/>
          </w:tcPr>
          <w:p w14:paraId="029CA73C"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1.82</w:t>
            </w:r>
          </w:p>
        </w:tc>
        <w:tc>
          <w:tcPr>
            <w:tcW w:w="1900" w:type="dxa"/>
          </w:tcPr>
          <w:p w14:paraId="4EC8639D"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D</w:t>
            </w:r>
          </w:p>
        </w:tc>
      </w:tr>
      <w:tr w:rsidR="00ED44F7" w:rsidRPr="009A7579" w14:paraId="19BD76A1" w14:textId="77777777" w:rsidTr="009A7579">
        <w:trPr>
          <w:trHeight w:val="238"/>
        </w:trPr>
        <w:tc>
          <w:tcPr>
            <w:tcW w:w="4144" w:type="dxa"/>
          </w:tcPr>
          <w:p w14:paraId="0A734E20" w14:textId="77777777" w:rsidR="00ED44F7" w:rsidRPr="009A7579" w:rsidRDefault="00ED44F7" w:rsidP="00F44221">
            <w:pPr>
              <w:numPr>
                <w:ilvl w:val="0"/>
                <w:numId w:val="5"/>
              </w:numPr>
              <w:pBdr>
                <w:top w:val="nil"/>
                <w:left w:val="nil"/>
                <w:bottom w:val="nil"/>
                <w:right w:val="nil"/>
                <w:between w:val="nil"/>
              </w:pBdr>
              <w:spacing w:line="240" w:lineRule="auto"/>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Parents read stories to me</w:t>
            </w:r>
          </w:p>
        </w:tc>
        <w:tc>
          <w:tcPr>
            <w:tcW w:w="1341" w:type="dxa"/>
          </w:tcPr>
          <w:p w14:paraId="0488E54A"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1.62</w:t>
            </w:r>
          </w:p>
        </w:tc>
        <w:tc>
          <w:tcPr>
            <w:tcW w:w="1712" w:type="dxa"/>
          </w:tcPr>
          <w:p w14:paraId="12D0FC30"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SD</w:t>
            </w:r>
          </w:p>
        </w:tc>
        <w:tc>
          <w:tcPr>
            <w:tcW w:w="1433" w:type="dxa"/>
          </w:tcPr>
          <w:p w14:paraId="766768AB"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1.72</w:t>
            </w:r>
          </w:p>
        </w:tc>
        <w:tc>
          <w:tcPr>
            <w:tcW w:w="1900" w:type="dxa"/>
          </w:tcPr>
          <w:p w14:paraId="782760E7"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SD</w:t>
            </w:r>
          </w:p>
        </w:tc>
      </w:tr>
      <w:tr w:rsidR="00ED44F7" w:rsidRPr="009A7579" w14:paraId="1433BCBD" w14:textId="77777777" w:rsidTr="009A7579">
        <w:trPr>
          <w:trHeight w:val="180"/>
        </w:trPr>
        <w:tc>
          <w:tcPr>
            <w:tcW w:w="4144" w:type="dxa"/>
          </w:tcPr>
          <w:p w14:paraId="147CC9F2" w14:textId="77777777" w:rsidR="00ED44F7" w:rsidRPr="009A7579" w:rsidRDefault="00ED44F7" w:rsidP="00F44221">
            <w:pPr>
              <w:numPr>
                <w:ilvl w:val="0"/>
                <w:numId w:val="5"/>
              </w:numPr>
              <w:pBdr>
                <w:top w:val="nil"/>
                <w:left w:val="nil"/>
                <w:bottom w:val="nil"/>
                <w:right w:val="nil"/>
                <w:between w:val="nil"/>
              </w:pBdr>
              <w:spacing w:line="240" w:lineRule="auto"/>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Parents encourage reading books</w:t>
            </w:r>
          </w:p>
        </w:tc>
        <w:tc>
          <w:tcPr>
            <w:tcW w:w="1341" w:type="dxa"/>
          </w:tcPr>
          <w:p w14:paraId="125BF905"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3.51</w:t>
            </w:r>
          </w:p>
        </w:tc>
        <w:tc>
          <w:tcPr>
            <w:tcW w:w="1712" w:type="dxa"/>
          </w:tcPr>
          <w:p w14:paraId="6D6CFFD1"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A</w:t>
            </w:r>
          </w:p>
        </w:tc>
        <w:tc>
          <w:tcPr>
            <w:tcW w:w="1433" w:type="dxa"/>
          </w:tcPr>
          <w:p w14:paraId="099EEE50"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3.12</w:t>
            </w:r>
          </w:p>
        </w:tc>
        <w:tc>
          <w:tcPr>
            <w:tcW w:w="1900" w:type="dxa"/>
          </w:tcPr>
          <w:p w14:paraId="3129306E"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N</w:t>
            </w:r>
          </w:p>
        </w:tc>
      </w:tr>
      <w:tr w:rsidR="00ED44F7" w:rsidRPr="009A7579" w14:paraId="284A1694" w14:textId="77777777" w:rsidTr="009A7579">
        <w:trPr>
          <w:trHeight w:val="224"/>
        </w:trPr>
        <w:tc>
          <w:tcPr>
            <w:tcW w:w="4144" w:type="dxa"/>
          </w:tcPr>
          <w:p w14:paraId="1FDC4ACC" w14:textId="77777777" w:rsidR="00ED44F7" w:rsidRPr="009A7579" w:rsidRDefault="00ED44F7" w:rsidP="00F44221">
            <w:pPr>
              <w:numPr>
                <w:ilvl w:val="0"/>
                <w:numId w:val="5"/>
              </w:numPr>
              <w:pBdr>
                <w:top w:val="nil"/>
                <w:left w:val="nil"/>
                <w:bottom w:val="nil"/>
                <w:right w:val="nil"/>
                <w:between w:val="nil"/>
              </w:pBdr>
              <w:spacing w:line="240" w:lineRule="auto"/>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Parents help read stories independently</w:t>
            </w:r>
          </w:p>
        </w:tc>
        <w:tc>
          <w:tcPr>
            <w:tcW w:w="1341" w:type="dxa"/>
          </w:tcPr>
          <w:p w14:paraId="612E270F"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3.16</w:t>
            </w:r>
          </w:p>
        </w:tc>
        <w:tc>
          <w:tcPr>
            <w:tcW w:w="1712" w:type="dxa"/>
          </w:tcPr>
          <w:p w14:paraId="429D5812"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N</w:t>
            </w:r>
          </w:p>
        </w:tc>
        <w:tc>
          <w:tcPr>
            <w:tcW w:w="1433" w:type="dxa"/>
          </w:tcPr>
          <w:p w14:paraId="29487A6A"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2.91</w:t>
            </w:r>
          </w:p>
        </w:tc>
        <w:tc>
          <w:tcPr>
            <w:tcW w:w="1900" w:type="dxa"/>
          </w:tcPr>
          <w:p w14:paraId="5C8D001C"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N</w:t>
            </w:r>
          </w:p>
        </w:tc>
      </w:tr>
      <w:tr w:rsidR="00ED44F7" w:rsidRPr="009A7579" w14:paraId="30CD7A51" w14:textId="77777777" w:rsidTr="009A7579">
        <w:trPr>
          <w:trHeight w:val="224"/>
        </w:trPr>
        <w:tc>
          <w:tcPr>
            <w:tcW w:w="4144" w:type="dxa"/>
          </w:tcPr>
          <w:p w14:paraId="3D50EE87" w14:textId="77777777" w:rsidR="00ED44F7" w:rsidRPr="009A7579" w:rsidRDefault="00ED44F7" w:rsidP="00F44221">
            <w:pPr>
              <w:numPr>
                <w:ilvl w:val="0"/>
                <w:numId w:val="5"/>
              </w:numPr>
              <w:pBdr>
                <w:top w:val="nil"/>
                <w:left w:val="nil"/>
                <w:bottom w:val="nil"/>
                <w:right w:val="nil"/>
                <w:between w:val="nil"/>
              </w:pBdr>
              <w:spacing w:line="240" w:lineRule="auto"/>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Parents encourage writing stories</w:t>
            </w:r>
          </w:p>
        </w:tc>
        <w:tc>
          <w:tcPr>
            <w:tcW w:w="1341" w:type="dxa"/>
          </w:tcPr>
          <w:p w14:paraId="64DB84D0"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2.16</w:t>
            </w:r>
          </w:p>
        </w:tc>
        <w:tc>
          <w:tcPr>
            <w:tcW w:w="1712" w:type="dxa"/>
          </w:tcPr>
          <w:p w14:paraId="5482FC3F"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SD</w:t>
            </w:r>
          </w:p>
        </w:tc>
        <w:tc>
          <w:tcPr>
            <w:tcW w:w="1433" w:type="dxa"/>
          </w:tcPr>
          <w:p w14:paraId="4013F12D"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1.93</w:t>
            </w:r>
          </w:p>
        </w:tc>
        <w:tc>
          <w:tcPr>
            <w:tcW w:w="1900" w:type="dxa"/>
          </w:tcPr>
          <w:p w14:paraId="58182197"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D</w:t>
            </w:r>
          </w:p>
        </w:tc>
      </w:tr>
      <w:tr w:rsidR="00ED44F7" w:rsidRPr="009A7579" w14:paraId="3C749E09" w14:textId="77777777" w:rsidTr="009A7579">
        <w:trPr>
          <w:trHeight w:val="238"/>
        </w:trPr>
        <w:tc>
          <w:tcPr>
            <w:tcW w:w="4144" w:type="dxa"/>
          </w:tcPr>
          <w:p w14:paraId="55DA54CF" w14:textId="77777777" w:rsidR="00ED44F7" w:rsidRPr="009A7579" w:rsidRDefault="00ED44F7" w:rsidP="00F44221">
            <w:pPr>
              <w:numPr>
                <w:ilvl w:val="0"/>
                <w:numId w:val="5"/>
              </w:numPr>
              <w:pBdr>
                <w:top w:val="nil"/>
                <w:left w:val="nil"/>
                <w:bottom w:val="nil"/>
                <w:right w:val="nil"/>
                <w:between w:val="nil"/>
              </w:pBdr>
              <w:spacing w:line="240" w:lineRule="auto"/>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Parents play word games</w:t>
            </w:r>
          </w:p>
        </w:tc>
        <w:tc>
          <w:tcPr>
            <w:tcW w:w="1341" w:type="dxa"/>
          </w:tcPr>
          <w:p w14:paraId="33F46BCE"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1.87</w:t>
            </w:r>
          </w:p>
        </w:tc>
        <w:tc>
          <w:tcPr>
            <w:tcW w:w="1712" w:type="dxa"/>
          </w:tcPr>
          <w:p w14:paraId="42D8992C"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SD</w:t>
            </w:r>
          </w:p>
        </w:tc>
        <w:tc>
          <w:tcPr>
            <w:tcW w:w="1433" w:type="dxa"/>
          </w:tcPr>
          <w:p w14:paraId="0A7916F0"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2.36</w:t>
            </w:r>
          </w:p>
        </w:tc>
        <w:tc>
          <w:tcPr>
            <w:tcW w:w="1900" w:type="dxa"/>
          </w:tcPr>
          <w:p w14:paraId="6271A284"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Cs/>
                <w:iCs/>
                <w:color w:val="000000" w:themeColor="text1"/>
                <w:sz w:val="24"/>
                <w:szCs w:val="24"/>
                <w:lang w:val="en-US" w:bidi="en-US"/>
              </w:rPr>
            </w:pPr>
            <w:r w:rsidRPr="009A7579">
              <w:rPr>
                <w:rFonts w:ascii="Times New Roman" w:eastAsia="Georgia" w:hAnsi="Times New Roman" w:cs="Times New Roman"/>
                <w:bCs/>
                <w:iCs/>
                <w:color w:val="000000" w:themeColor="text1"/>
                <w:sz w:val="24"/>
                <w:szCs w:val="24"/>
                <w:lang w:val="en-US" w:bidi="en-US"/>
              </w:rPr>
              <w:t>D</w:t>
            </w:r>
          </w:p>
        </w:tc>
      </w:tr>
      <w:tr w:rsidR="00ED44F7" w:rsidRPr="009A7579" w14:paraId="72935F6A" w14:textId="77777777" w:rsidTr="009A7579">
        <w:trPr>
          <w:trHeight w:val="224"/>
        </w:trPr>
        <w:tc>
          <w:tcPr>
            <w:tcW w:w="4144" w:type="dxa"/>
          </w:tcPr>
          <w:p w14:paraId="60DF9150" w14:textId="77777777" w:rsidR="00ED44F7" w:rsidRPr="009A7579" w:rsidRDefault="00ED44F7" w:rsidP="009A7579">
            <w:pPr>
              <w:pBdr>
                <w:top w:val="nil"/>
                <w:left w:val="nil"/>
                <w:bottom w:val="nil"/>
                <w:right w:val="nil"/>
                <w:between w:val="nil"/>
              </w:pBdr>
              <w:spacing w:line="240" w:lineRule="auto"/>
              <w:ind w:firstLine="567"/>
              <w:jc w:val="center"/>
              <w:rPr>
                <w:rFonts w:ascii="Times New Roman" w:eastAsia="Georgia" w:hAnsi="Times New Roman" w:cs="Times New Roman"/>
                <w:b/>
                <w:iCs/>
                <w:color w:val="000000" w:themeColor="text1"/>
                <w:sz w:val="24"/>
                <w:szCs w:val="24"/>
                <w:vertAlign w:val="subscript"/>
                <w:lang w:val="en-US" w:bidi="en-US"/>
              </w:rPr>
            </w:pPr>
            <w:proofErr w:type="spellStart"/>
            <w:r w:rsidRPr="009A7579">
              <w:rPr>
                <w:rFonts w:ascii="Times New Roman" w:eastAsia="Georgia" w:hAnsi="Times New Roman" w:cs="Times New Roman"/>
                <w:b/>
                <w:iCs/>
                <w:color w:val="000000" w:themeColor="text1"/>
                <w:sz w:val="24"/>
                <w:szCs w:val="24"/>
                <w:lang w:val="en-US" w:bidi="en-US"/>
              </w:rPr>
              <w:t>x̄</w:t>
            </w:r>
            <w:r w:rsidRPr="009A7579">
              <w:rPr>
                <w:rFonts w:ascii="Times New Roman" w:eastAsia="Georgia" w:hAnsi="Times New Roman" w:cs="Times New Roman"/>
                <w:b/>
                <w:iCs/>
                <w:color w:val="000000" w:themeColor="text1"/>
                <w:sz w:val="24"/>
                <w:szCs w:val="24"/>
                <w:vertAlign w:val="subscript"/>
                <w:lang w:val="en-US" w:bidi="en-US"/>
              </w:rPr>
              <w:t>Numeracy</w:t>
            </w:r>
            <w:proofErr w:type="spellEnd"/>
          </w:p>
        </w:tc>
        <w:tc>
          <w:tcPr>
            <w:tcW w:w="1341" w:type="dxa"/>
          </w:tcPr>
          <w:p w14:paraId="7BD6A64A"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
                <w:iCs/>
                <w:color w:val="000000" w:themeColor="text1"/>
                <w:sz w:val="24"/>
                <w:szCs w:val="24"/>
                <w:lang w:val="en-US" w:bidi="en-US"/>
              </w:rPr>
            </w:pPr>
            <w:r w:rsidRPr="009A7579">
              <w:rPr>
                <w:rFonts w:ascii="Times New Roman" w:eastAsia="Georgia" w:hAnsi="Times New Roman" w:cs="Times New Roman"/>
                <w:b/>
                <w:iCs/>
                <w:color w:val="000000" w:themeColor="text1"/>
                <w:sz w:val="24"/>
                <w:szCs w:val="24"/>
                <w:lang w:val="en-US" w:bidi="en-US"/>
              </w:rPr>
              <w:t>2.91</w:t>
            </w:r>
          </w:p>
        </w:tc>
        <w:tc>
          <w:tcPr>
            <w:tcW w:w="1712" w:type="dxa"/>
          </w:tcPr>
          <w:p w14:paraId="74B66B3A"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
                <w:iCs/>
                <w:color w:val="000000" w:themeColor="text1"/>
                <w:sz w:val="24"/>
                <w:szCs w:val="24"/>
                <w:lang w:val="en-US" w:bidi="en-US"/>
              </w:rPr>
            </w:pPr>
            <w:r w:rsidRPr="009A7579">
              <w:rPr>
                <w:rFonts w:ascii="Times New Roman" w:eastAsia="Georgia" w:hAnsi="Times New Roman" w:cs="Times New Roman"/>
                <w:b/>
                <w:iCs/>
                <w:color w:val="000000" w:themeColor="text1"/>
                <w:sz w:val="24"/>
                <w:szCs w:val="24"/>
                <w:lang w:val="en-US" w:bidi="en-US"/>
              </w:rPr>
              <w:t>N</w:t>
            </w:r>
          </w:p>
        </w:tc>
        <w:tc>
          <w:tcPr>
            <w:tcW w:w="1433" w:type="dxa"/>
          </w:tcPr>
          <w:p w14:paraId="153C8423"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
                <w:iCs/>
                <w:color w:val="000000" w:themeColor="text1"/>
                <w:sz w:val="24"/>
                <w:szCs w:val="24"/>
                <w:lang w:val="en-US" w:bidi="en-US"/>
              </w:rPr>
            </w:pPr>
            <w:r w:rsidRPr="009A7579">
              <w:rPr>
                <w:rFonts w:ascii="Times New Roman" w:eastAsia="Georgia" w:hAnsi="Times New Roman" w:cs="Times New Roman"/>
                <w:b/>
                <w:iCs/>
                <w:color w:val="000000" w:themeColor="text1"/>
                <w:sz w:val="24"/>
                <w:szCs w:val="24"/>
                <w:lang w:val="en-US" w:bidi="en-US"/>
              </w:rPr>
              <w:t>2.69</w:t>
            </w:r>
          </w:p>
        </w:tc>
        <w:tc>
          <w:tcPr>
            <w:tcW w:w="1900" w:type="dxa"/>
          </w:tcPr>
          <w:p w14:paraId="4DA5F420"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
                <w:iCs/>
                <w:color w:val="000000" w:themeColor="text1"/>
                <w:sz w:val="24"/>
                <w:szCs w:val="24"/>
                <w:lang w:val="en-US" w:bidi="en-US"/>
              </w:rPr>
            </w:pPr>
            <w:r w:rsidRPr="009A7579">
              <w:rPr>
                <w:rFonts w:ascii="Times New Roman" w:eastAsia="Georgia" w:hAnsi="Times New Roman" w:cs="Times New Roman"/>
                <w:b/>
                <w:iCs/>
                <w:color w:val="000000" w:themeColor="text1"/>
                <w:sz w:val="24"/>
                <w:szCs w:val="24"/>
                <w:lang w:val="en-US" w:bidi="en-US"/>
              </w:rPr>
              <w:t>N</w:t>
            </w:r>
          </w:p>
        </w:tc>
      </w:tr>
      <w:tr w:rsidR="00ED44F7" w:rsidRPr="009A7579" w14:paraId="6C19A97D" w14:textId="77777777" w:rsidTr="009A7579">
        <w:trPr>
          <w:trHeight w:val="224"/>
        </w:trPr>
        <w:tc>
          <w:tcPr>
            <w:tcW w:w="4144" w:type="dxa"/>
          </w:tcPr>
          <w:p w14:paraId="1AC06603" w14:textId="77777777" w:rsidR="00ED44F7" w:rsidRPr="009A7579" w:rsidRDefault="00ED44F7" w:rsidP="009A7579">
            <w:pPr>
              <w:pBdr>
                <w:top w:val="nil"/>
                <w:left w:val="nil"/>
                <w:bottom w:val="nil"/>
                <w:right w:val="nil"/>
                <w:between w:val="nil"/>
              </w:pBdr>
              <w:spacing w:line="240" w:lineRule="auto"/>
              <w:ind w:firstLine="567"/>
              <w:jc w:val="center"/>
              <w:rPr>
                <w:rFonts w:ascii="Times New Roman" w:eastAsia="Georgia" w:hAnsi="Times New Roman" w:cs="Times New Roman"/>
                <w:b/>
                <w:iCs/>
                <w:color w:val="000000" w:themeColor="text1"/>
                <w:sz w:val="24"/>
                <w:szCs w:val="24"/>
                <w:vertAlign w:val="subscript"/>
                <w:lang w:val="en-US" w:bidi="en-US"/>
              </w:rPr>
            </w:pPr>
            <w:proofErr w:type="spellStart"/>
            <w:r w:rsidRPr="009A7579">
              <w:rPr>
                <w:rFonts w:ascii="Times New Roman" w:eastAsia="Georgia" w:hAnsi="Times New Roman" w:cs="Times New Roman"/>
                <w:b/>
                <w:iCs/>
                <w:color w:val="000000" w:themeColor="text1"/>
                <w:sz w:val="24"/>
                <w:szCs w:val="24"/>
                <w:lang w:val="en-US" w:bidi="en-US"/>
              </w:rPr>
              <w:t>x̄</w:t>
            </w:r>
            <w:r w:rsidRPr="009A7579">
              <w:rPr>
                <w:rFonts w:ascii="Times New Roman" w:eastAsia="Georgia" w:hAnsi="Times New Roman" w:cs="Times New Roman"/>
                <w:b/>
                <w:iCs/>
                <w:color w:val="000000" w:themeColor="text1"/>
                <w:sz w:val="24"/>
                <w:szCs w:val="24"/>
                <w:vertAlign w:val="subscript"/>
                <w:lang w:val="en-US" w:bidi="en-US"/>
              </w:rPr>
              <w:t>Literacy</w:t>
            </w:r>
            <w:proofErr w:type="spellEnd"/>
          </w:p>
        </w:tc>
        <w:tc>
          <w:tcPr>
            <w:tcW w:w="1341" w:type="dxa"/>
          </w:tcPr>
          <w:p w14:paraId="62164858"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
                <w:iCs/>
                <w:color w:val="000000" w:themeColor="text1"/>
                <w:sz w:val="24"/>
                <w:szCs w:val="24"/>
                <w:lang w:val="en-US" w:bidi="en-US"/>
              </w:rPr>
            </w:pPr>
            <w:r w:rsidRPr="009A7579">
              <w:rPr>
                <w:rFonts w:ascii="Times New Roman" w:eastAsia="Georgia" w:hAnsi="Times New Roman" w:cs="Times New Roman"/>
                <w:b/>
                <w:iCs/>
                <w:color w:val="000000" w:themeColor="text1"/>
                <w:sz w:val="24"/>
                <w:szCs w:val="24"/>
                <w:lang w:val="en-US" w:bidi="en-US"/>
              </w:rPr>
              <w:t>2.47</w:t>
            </w:r>
          </w:p>
        </w:tc>
        <w:tc>
          <w:tcPr>
            <w:tcW w:w="1712" w:type="dxa"/>
          </w:tcPr>
          <w:p w14:paraId="0BE24E36"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
                <w:iCs/>
                <w:color w:val="000000" w:themeColor="text1"/>
                <w:sz w:val="24"/>
                <w:szCs w:val="24"/>
                <w:lang w:val="en-US" w:bidi="en-US"/>
              </w:rPr>
            </w:pPr>
            <w:r w:rsidRPr="009A7579">
              <w:rPr>
                <w:rFonts w:ascii="Times New Roman" w:eastAsia="Georgia" w:hAnsi="Times New Roman" w:cs="Times New Roman"/>
                <w:b/>
                <w:iCs/>
                <w:color w:val="000000" w:themeColor="text1"/>
                <w:sz w:val="24"/>
                <w:szCs w:val="24"/>
                <w:lang w:val="en-US" w:bidi="en-US"/>
              </w:rPr>
              <w:t>D</w:t>
            </w:r>
          </w:p>
        </w:tc>
        <w:tc>
          <w:tcPr>
            <w:tcW w:w="1433" w:type="dxa"/>
          </w:tcPr>
          <w:p w14:paraId="03DF12DC"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
                <w:iCs/>
                <w:color w:val="000000" w:themeColor="text1"/>
                <w:sz w:val="24"/>
                <w:szCs w:val="24"/>
                <w:lang w:val="en-US" w:bidi="en-US"/>
              </w:rPr>
            </w:pPr>
            <w:r w:rsidRPr="009A7579">
              <w:rPr>
                <w:rFonts w:ascii="Times New Roman" w:eastAsia="Georgia" w:hAnsi="Times New Roman" w:cs="Times New Roman"/>
                <w:b/>
                <w:iCs/>
                <w:color w:val="000000" w:themeColor="text1"/>
                <w:sz w:val="24"/>
                <w:szCs w:val="24"/>
                <w:lang w:val="en-US" w:bidi="en-US"/>
              </w:rPr>
              <w:t>2.41</w:t>
            </w:r>
          </w:p>
        </w:tc>
        <w:tc>
          <w:tcPr>
            <w:tcW w:w="1900" w:type="dxa"/>
          </w:tcPr>
          <w:p w14:paraId="1FE33FF7" w14:textId="77777777" w:rsidR="00ED44F7" w:rsidRPr="009A7579" w:rsidRDefault="00ED44F7" w:rsidP="009A7579">
            <w:pPr>
              <w:pBdr>
                <w:top w:val="nil"/>
                <w:left w:val="nil"/>
                <w:bottom w:val="nil"/>
                <w:right w:val="nil"/>
                <w:between w:val="nil"/>
              </w:pBdr>
              <w:spacing w:line="240" w:lineRule="auto"/>
              <w:ind w:firstLine="567"/>
              <w:jc w:val="both"/>
              <w:rPr>
                <w:rFonts w:ascii="Times New Roman" w:eastAsia="Georgia" w:hAnsi="Times New Roman" w:cs="Times New Roman"/>
                <w:b/>
                <w:iCs/>
                <w:color w:val="000000" w:themeColor="text1"/>
                <w:sz w:val="24"/>
                <w:szCs w:val="24"/>
                <w:lang w:val="en-US" w:bidi="en-US"/>
              </w:rPr>
            </w:pPr>
            <w:r w:rsidRPr="009A7579">
              <w:rPr>
                <w:rFonts w:ascii="Times New Roman" w:eastAsia="Georgia" w:hAnsi="Times New Roman" w:cs="Times New Roman"/>
                <w:b/>
                <w:iCs/>
                <w:color w:val="000000" w:themeColor="text1"/>
                <w:sz w:val="24"/>
                <w:szCs w:val="24"/>
                <w:lang w:val="en-US" w:bidi="en-US"/>
              </w:rPr>
              <w:t>D</w:t>
            </w:r>
          </w:p>
        </w:tc>
      </w:tr>
    </w:tbl>
    <w:p w14:paraId="156C2393" w14:textId="77777777" w:rsidR="002750BC" w:rsidRPr="009A7579" w:rsidRDefault="002750BC" w:rsidP="009A7579">
      <w:pPr>
        <w:pBdr>
          <w:top w:val="nil"/>
          <w:left w:val="nil"/>
          <w:bottom w:val="nil"/>
          <w:right w:val="nil"/>
          <w:between w:val="nil"/>
        </w:pBdr>
        <w:spacing w:line="240" w:lineRule="auto"/>
        <w:rPr>
          <w:rFonts w:eastAsia="Georgia"/>
          <w:bCs/>
          <w:iCs/>
          <w:color w:val="000000" w:themeColor="text1"/>
          <w:lang w:val="en-ID" w:bidi="en-US"/>
        </w:rPr>
      </w:pPr>
      <w:r w:rsidRPr="009A7579">
        <w:rPr>
          <w:rFonts w:eastAsia="Georgia"/>
          <w:bCs/>
          <w:i/>
          <w:iCs/>
          <w:color w:val="000000" w:themeColor="text1"/>
          <w:lang w:val="en-ID" w:bidi="en-US"/>
        </w:rPr>
        <w:t>Note.</w:t>
      </w:r>
      <w:r w:rsidRPr="009A7579">
        <w:rPr>
          <w:rFonts w:eastAsia="Georgia"/>
          <w:b/>
          <w:bCs/>
          <w:i/>
          <w:iCs/>
          <w:color w:val="000000" w:themeColor="text1"/>
          <w:lang w:val="en-ID" w:bidi="en-US"/>
        </w:rPr>
        <w:t xml:space="preserve">  </w:t>
      </w:r>
      <w:r w:rsidRPr="009A7579">
        <w:rPr>
          <w:rFonts w:eastAsia="Georgia"/>
          <w:bCs/>
          <w:iCs/>
          <w:color w:val="000000" w:themeColor="text1"/>
          <w:lang w:bidi="en-US"/>
        </w:rPr>
        <w:t>4.21–5.</w:t>
      </w:r>
      <w:proofErr w:type="gramStart"/>
      <w:r w:rsidRPr="009A7579">
        <w:rPr>
          <w:rFonts w:eastAsia="Georgia"/>
          <w:bCs/>
          <w:iCs/>
          <w:color w:val="000000" w:themeColor="text1"/>
          <w:lang w:bidi="en-US"/>
        </w:rPr>
        <w:t>00  Highly</w:t>
      </w:r>
      <w:proofErr w:type="gramEnd"/>
      <w:r w:rsidRPr="009A7579">
        <w:rPr>
          <w:rFonts w:eastAsia="Georgia"/>
          <w:bCs/>
          <w:iCs/>
          <w:color w:val="000000" w:themeColor="text1"/>
          <w:lang w:bidi="en-US"/>
        </w:rPr>
        <w:t xml:space="preserve"> Agree </w:t>
      </w:r>
      <w:r w:rsidRPr="009A7579">
        <w:rPr>
          <w:rFonts w:eastAsia="Georgia"/>
          <w:b/>
          <w:bCs/>
          <w:iCs/>
          <w:color w:val="000000" w:themeColor="text1"/>
          <w:lang w:bidi="en-US"/>
        </w:rPr>
        <w:t>(HA)</w:t>
      </w:r>
      <w:r w:rsidRPr="009A7579">
        <w:rPr>
          <w:rFonts w:eastAsia="Georgia"/>
          <w:bCs/>
          <w:iCs/>
          <w:color w:val="000000" w:themeColor="text1"/>
          <w:lang w:bidi="en-US"/>
        </w:rPr>
        <w:t xml:space="preserve"> 3.41–4.20 Agree </w:t>
      </w:r>
      <w:r w:rsidRPr="009A7579">
        <w:rPr>
          <w:rFonts w:eastAsia="Georgia"/>
          <w:b/>
          <w:bCs/>
          <w:iCs/>
          <w:color w:val="000000" w:themeColor="text1"/>
          <w:lang w:bidi="en-US"/>
        </w:rPr>
        <w:t>(A)</w:t>
      </w:r>
      <w:r w:rsidRPr="009A7579">
        <w:rPr>
          <w:rFonts w:eastAsia="Georgia"/>
          <w:bCs/>
          <w:iCs/>
          <w:color w:val="000000" w:themeColor="text1"/>
          <w:lang w:bidi="en-US"/>
        </w:rPr>
        <w:t xml:space="preserve"> 2.61–3.40 </w:t>
      </w:r>
      <w:proofErr w:type="gramStart"/>
      <w:r w:rsidRPr="009A7579">
        <w:rPr>
          <w:rFonts w:eastAsia="Georgia"/>
          <w:bCs/>
          <w:iCs/>
          <w:color w:val="000000" w:themeColor="text1"/>
          <w:lang w:bidi="en-US"/>
        </w:rPr>
        <w:t xml:space="preserve">Neutral  </w:t>
      </w:r>
      <w:r w:rsidRPr="009A7579">
        <w:rPr>
          <w:rFonts w:eastAsia="Georgia"/>
          <w:b/>
          <w:bCs/>
          <w:iCs/>
          <w:color w:val="000000" w:themeColor="text1"/>
          <w:lang w:bidi="en-US"/>
        </w:rPr>
        <w:t>(</w:t>
      </w:r>
      <w:proofErr w:type="gramEnd"/>
      <w:r w:rsidRPr="009A7579">
        <w:rPr>
          <w:rFonts w:eastAsia="Georgia"/>
          <w:b/>
          <w:bCs/>
          <w:iCs/>
          <w:color w:val="000000" w:themeColor="text1"/>
          <w:lang w:bidi="en-US"/>
        </w:rPr>
        <w:t>N)</w:t>
      </w:r>
      <w:r w:rsidRPr="009A7579">
        <w:rPr>
          <w:rFonts w:eastAsia="Georgia"/>
          <w:bCs/>
          <w:iCs/>
          <w:color w:val="000000" w:themeColor="text1"/>
          <w:lang w:bidi="en-US"/>
        </w:rPr>
        <w:t xml:space="preserve"> 1.81–2.60 </w:t>
      </w:r>
      <w:proofErr w:type="spellStart"/>
      <w:r w:rsidRPr="009A7579">
        <w:rPr>
          <w:rFonts w:eastAsia="Georgia"/>
          <w:bCs/>
          <w:iCs/>
          <w:color w:val="000000" w:themeColor="text1"/>
          <w:lang w:bidi="en-US"/>
        </w:rPr>
        <w:t>Disagre</w:t>
      </w:r>
      <w:proofErr w:type="spellEnd"/>
      <w:r w:rsidRPr="009A7579">
        <w:rPr>
          <w:rFonts w:eastAsia="Georgia"/>
          <w:bCs/>
          <w:iCs/>
          <w:color w:val="000000" w:themeColor="text1"/>
          <w:lang w:bidi="en-US"/>
        </w:rPr>
        <w:t xml:space="preserve"> </w:t>
      </w:r>
      <w:r w:rsidRPr="009A7579">
        <w:rPr>
          <w:rFonts w:eastAsia="Georgia"/>
          <w:b/>
          <w:bCs/>
          <w:iCs/>
          <w:color w:val="000000" w:themeColor="text1"/>
          <w:lang w:bidi="en-US"/>
        </w:rPr>
        <w:t>(D)</w:t>
      </w:r>
      <w:r w:rsidRPr="009A7579">
        <w:rPr>
          <w:rFonts w:eastAsia="Georgia"/>
          <w:bCs/>
          <w:iCs/>
          <w:color w:val="000000" w:themeColor="text1"/>
          <w:lang w:bidi="en-US"/>
        </w:rPr>
        <w:t xml:space="preserve"> 1.00–1.</w:t>
      </w:r>
      <w:proofErr w:type="gramStart"/>
      <w:r w:rsidRPr="009A7579">
        <w:rPr>
          <w:rFonts w:eastAsia="Georgia"/>
          <w:bCs/>
          <w:iCs/>
          <w:color w:val="000000" w:themeColor="text1"/>
          <w:lang w:bidi="en-US"/>
        </w:rPr>
        <w:t>80  Strongly</w:t>
      </w:r>
      <w:proofErr w:type="gramEnd"/>
      <w:r w:rsidRPr="009A7579">
        <w:rPr>
          <w:rFonts w:eastAsia="Georgia"/>
          <w:bCs/>
          <w:iCs/>
          <w:color w:val="000000" w:themeColor="text1"/>
          <w:lang w:bidi="en-US"/>
        </w:rPr>
        <w:t xml:space="preserve"> Disagree </w:t>
      </w:r>
      <w:r w:rsidRPr="009A7579">
        <w:rPr>
          <w:rFonts w:eastAsia="Georgia"/>
          <w:b/>
          <w:bCs/>
          <w:iCs/>
          <w:color w:val="000000" w:themeColor="text1"/>
          <w:lang w:bidi="en-US"/>
        </w:rPr>
        <w:t>(SD)</w:t>
      </w:r>
    </w:p>
    <w:p w14:paraId="2A1CC052" w14:textId="77777777" w:rsidR="00971CE4" w:rsidRPr="009A7579" w:rsidRDefault="00971CE4" w:rsidP="00F44221">
      <w:pPr>
        <w:pBdr>
          <w:top w:val="nil"/>
          <w:left w:val="nil"/>
          <w:bottom w:val="nil"/>
          <w:right w:val="nil"/>
          <w:between w:val="nil"/>
        </w:pBdr>
        <w:spacing w:line="240" w:lineRule="auto"/>
        <w:ind w:firstLine="562"/>
        <w:rPr>
          <w:rFonts w:eastAsia="Georgia"/>
          <w:bCs/>
          <w:iCs/>
          <w:color w:val="000000" w:themeColor="text1"/>
          <w:lang w:bidi="en-US"/>
        </w:rPr>
      </w:pPr>
    </w:p>
    <w:p w14:paraId="79C276FF" w14:textId="49E9D1A7" w:rsidR="002750BC" w:rsidRPr="009A7579" w:rsidRDefault="002750BC" w:rsidP="00F44221">
      <w:pPr>
        <w:pBdr>
          <w:top w:val="nil"/>
          <w:left w:val="nil"/>
          <w:bottom w:val="nil"/>
          <w:right w:val="nil"/>
          <w:between w:val="nil"/>
        </w:pBdr>
        <w:spacing w:line="240" w:lineRule="auto"/>
        <w:ind w:firstLine="562"/>
        <w:rPr>
          <w:rFonts w:eastAsia="Georgia"/>
          <w:bCs/>
          <w:iCs/>
          <w:color w:val="000000" w:themeColor="text1"/>
          <w:lang w:bidi="en-US"/>
        </w:rPr>
      </w:pPr>
      <w:r w:rsidRPr="009A7579">
        <w:rPr>
          <w:rFonts w:eastAsia="Georgia"/>
          <w:bCs/>
          <w:iCs/>
          <w:color w:val="000000" w:themeColor="text1"/>
          <w:lang w:bidi="en-US"/>
        </w:rPr>
        <w:t>In urban schools, parental involvement in numeracy obtained a mean score of 2.91, interpreted as Neutral, indicating that parents occasionally support learners through activities such as teaching basic operations, helping with assignments, and assisting in problem-solving. In contrast, literacy support in urban schools obtained a lower mean score of 2.47, interpreted as Disagree, suggesting limited parental engagement in reading- and writing-related activities at home.</w:t>
      </w:r>
    </w:p>
    <w:p w14:paraId="33CCD3DE" w14:textId="77777777" w:rsidR="002750BC" w:rsidRPr="009A7579" w:rsidRDefault="002750BC" w:rsidP="00F44221">
      <w:pPr>
        <w:pBdr>
          <w:top w:val="nil"/>
          <w:left w:val="nil"/>
          <w:bottom w:val="nil"/>
          <w:right w:val="nil"/>
          <w:between w:val="nil"/>
        </w:pBdr>
        <w:spacing w:line="240" w:lineRule="auto"/>
        <w:ind w:firstLine="562"/>
        <w:rPr>
          <w:rFonts w:eastAsia="Georgia"/>
          <w:bCs/>
          <w:iCs/>
          <w:color w:val="000000" w:themeColor="text1"/>
          <w:lang w:bidi="en-US"/>
        </w:rPr>
      </w:pPr>
      <w:r w:rsidRPr="009A7579">
        <w:rPr>
          <w:rFonts w:eastAsia="Georgia"/>
          <w:bCs/>
          <w:iCs/>
          <w:color w:val="000000" w:themeColor="text1"/>
          <w:lang w:bidi="en-US"/>
        </w:rPr>
        <w:t xml:space="preserve">A similar pattern is observed in rural schools, where numeracy recorded a mean of 2.69 (Neutral), while literacy obtained a mean of 2.41 (Disagree). This indicates that although rural parents provide some level of support in numeracy tasks, their involvement in literacy activities remains minimal. </w:t>
      </w:r>
    </w:p>
    <w:p w14:paraId="0813C3B7" w14:textId="6AFFAED2" w:rsidR="0045501C" w:rsidRPr="009A7579" w:rsidRDefault="002750BC" w:rsidP="00F44221">
      <w:pPr>
        <w:pBdr>
          <w:top w:val="nil"/>
          <w:left w:val="nil"/>
          <w:bottom w:val="nil"/>
          <w:right w:val="nil"/>
          <w:between w:val="nil"/>
        </w:pBdr>
        <w:spacing w:line="240" w:lineRule="auto"/>
        <w:ind w:firstLine="562"/>
        <w:rPr>
          <w:rFonts w:eastAsia="Georgia"/>
          <w:bCs/>
          <w:iCs/>
          <w:color w:val="000000" w:themeColor="text1"/>
          <w:lang w:bidi="en-US"/>
        </w:rPr>
      </w:pPr>
      <w:r w:rsidRPr="009A7579">
        <w:rPr>
          <w:rFonts w:eastAsia="Georgia"/>
          <w:bCs/>
          <w:iCs/>
          <w:color w:val="000000" w:themeColor="text1"/>
          <w:lang w:bidi="en-US"/>
        </w:rPr>
        <w:t>Overall, the findings as illustrated in Figure 3 showed that parental involvement is relatively stronger in numeracy-related activities compared to literacy in both urban and rural settings. This suggests that parents may feel more confident in assisting with basic mathematical tasks than in reading and writing activities</w:t>
      </w:r>
      <w:r w:rsidR="00971CE4" w:rsidRPr="009A7579">
        <w:rPr>
          <w:rFonts w:eastAsia="Georgia"/>
          <w:bCs/>
          <w:iCs/>
          <w:color w:val="000000" w:themeColor="text1"/>
          <w:lang w:bidi="en-US"/>
        </w:rPr>
        <w:t>.</w:t>
      </w:r>
    </w:p>
    <w:p w14:paraId="30326AFF" w14:textId="36C3C616" w:rsidR="002750BC" w:rsidRPr="009A7579" w:rsidRDefault="002750BC" w:rsidP="009A7579">
      <w:pPr>
        <w:pBdr>
          <w:top w:val="nil"/>
          <w:left w:val="nil"/>
          <w:bottom w:val="nil"/>
          <w:right w:val="nil"/>
          <w:between w:val="nil"/>
        </w:pBdr>
        <w:spacing w:line="240" w:lineRule="auto"/>
        <w:rPr>
          <w:rFonts w:eastAsia="Georgia"/>
          <w:bCs/>
          <w:iCs/>
          <w:color w:val="000000" w:themeColor="text1"/>
          <w:lang w:bidi="en-US"/>
        </w:rPr>
      </w:pPr>
    </w:p>
    <w:p w14:paraId="65C1587A" w14:textId="3A25A599" w:rsidR="003C075B" w:rsidRPr="009A7579" w:rsidRDefault="002750BC" w:rsidP="00F44221">
      <w:pPr>
        <w:pBdr>
          <w:top w:val="nil"/>
          <w:left w:val="nil"/>
          <w:bottom w:val="nil"/>
          <w:right w:val="nil"/>
          <w:between w:val="nil"/>
        </w:pBdr>
        <w:spacing w:line="240" w:lineRule="auto"/>
        <w:rPr>
          <w:rFonts w:eastAsia="Georgia"/>
          <w:b/>
          <w:color w:val="000000" w:themeColor="text1"/>
          <w:lang w:bidi="en-US"/>
        </w:rPr>
      </w:pPr>
      <w:r w:rsidRPr="009A7579">
        <w:rPr>
          <w:rFonts w:eastAsia="Georgia"/>
          <w:b/>
          <w:color w:val="000000" w:themeColor="text1"/>
          <w:lang w:bidi="en-US"/>
        </w:rPr>
        <w:t>Figure 3. Parental Involvement in Numeracy and Literacy of Grade Learners in Urban and Rural Schools</w:t>
      </w:r>
    </w:p>
    <w:p w14:paraId="36DF1883" w14:textId="514EB8B8" w:rsidR="002750BC" w:rsidRPr="009A7579" w:rsidRDefault="009A7579" w:rsidP="00F44221">
      <w:pPr>
        <w:pBdr>
          <w:top w:val="nil"/>
          <w:left w:val="nil"/>
          <w:bottom w:val="nil"/>
          <w:right w:val="nil"/>
          <w:between w:val="nil"/>
        </w:pBdr>
        <w:spacing w:line="240" w:lineRule="auto"/>
        <w:ind w:firstLine="567"/>
        <w:rPr>
          <w:rFonts w:eastAsia="Georgia"/>
          <w:bCs/>
          <w:iCs/>
          <w:color w:val="000000" w:themeColor="text1"/>
          <w:lang w:val="en-PH" w:bidi="en-US"/>
        </w:rPr>
      </w:pPr>
      <w:r w:rsidRPr="009A7579">
        <w:rPr>
          <w:rFonts w:eastAsia="Georgia"/>
          <w:bCs/>
          <w:iCs/>
          <w:noProof/>
          <w:color w:val="000000" w:themeColor="text1"/>
          <w:lang w:val="en-PH" w:bidi="en-US"/>
        </w:rPr>
        <w:drawing>
          <wp:inline distT="0" distB="0" distL="0" distR="0" wp14:anchorId="23A3B5C6" wp14:editId="13EEE131">
            <wp:extent cx="3286125" cy="2431457"/>
            <wp:effectExtent l="0" t="0" r="0" b="6985"/>
            <wp:docPr id="16667073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6125" cy="2431457"/>
                    </a:xfrm>
                    <a:prstGeom prst="rect">
                      <a:avLst/>
                    </a:prstGeom>
                    <a:noFill/>
                  </pic:spPr>
                </pic:pic>
              </a:graphicData>
            </a:graphic>
          </wp:inline>
        </w:drawing>
      </w:r>
    </w:p>
    <w:p w14:paraId="20B9F1DE" w14:textId="735E2D9E" w:rsidR="002750BC" w:rsidRPr="009A7579" w:rsidRDefault="002750BC" w:rsidP="00F44221">
      <w:pPr>
        <w:pBdr>
          <w:top w:val="nil"/>
          <w:left w:val="nil"/>
          <w:bottom w:val="nil"/>
          <w:right w:val="nil"/>
          <w:between w:val="nil"/>
        </w:pBdr>
        <w:spacing w:line="240" w:lineRule="auto"/>
        <w:ind w:firstLine="567"/>
        <w:rPr>
          <w:rFonts w:eastAsia="Georgia"/>
          <w:bCs/>
          <w:iCs/>
          <w:color w:val="000000" w:themeColor="text1"/>
          <w:lang w:val="en-PH" w:bidi="en-US"/>
        </w:rPr>
      </w:pPr>
    </w:p>
    <w:p w14:paraId="72258106" w14:textId="23D3AACF" w:rsidR="005D5A2E" w:rsidRDefault="00ED44F7" w:rsidP="009A7579">
      <w:pPr>
        <w:pBdr>
          <w:top w:val="nil"/>
          <w:left w:val="nil"/>
          <w:bottom w:val="nil"/>
          <w:right w:val="nil"/>
          <w:between w:val="nil"/>
        </w:pBdr>
        <w:spacing w:line="240" w:lineRule="auto"/>
        <w:rPr>
          <w:rFonts w:eastAsia="Georgia"/>
          <w:bCs/>
          <w:iCs/>
          <w:color w:val="000000" w:themeColor="text1"/>
          <w:lang w:val="en-PH" w:bidi="en-US"/>
        </w:rPr>
      </w:pPr>
      <w:r w:rsidRPr="009A7579">
        <w:rPr>
          <w:rFonts w:eastAsia="Georgia"/>
          <w:bCs/>
          <w:iCs/>
          <w:color w:val="000000" w:themeColor="text1"/>
          <w:lang w:val="en-PH" w:bidi="en-US"/>
        </w:rPr>
        <w:lastRenderedPageBreak/>
        <w:t xml:space="preserve">Table 5 presents the level of peer influence on the numeracy and literacy development of Grade 3 learners in urban and rural schools. </w:t>
      </w:r>
    </w:p>
    <w:p w14:paraId="7C4FE32E" w14:textId="77777777" w:rsidR="009A7579" w:rsidRPr="009A7579" w:rsidRDefault="009A7579" w:rsidP="009A7579">
      <w:pPr>
        <w:pBdr>
          <w:top w:val="nil"/>
          <w:left w:val="nil"/>
          <w:bottom w:val="nil"/>
          <w:right w:val="nil"/>
          <w:between w:val="nil"/>
        </w:pBdr>
        <w:spacing w:line="240" w:lineRule="auto"/>
        <w:rPr>
          <w:rFonts w:eastAsia="Georgia"/>
          <w:bCs/>
          <w:iCs/>
          <w:color w:val="000000" w:themeColor="text1"/>
          <w:lang w:val="en-PH" w:bidi="en-US"/>
        </w:rPr>
      </w:pPr>
    </w:p>
    <w:p w14:paraId="3441828E" w14:textId="33B52419" w:rsidR="005D5A2E" w:rsidRPr="009A7579" w:rsidRDefault="005D5A2E" w:rsidP="00F44221">
      <w:pPr>
        <w:pBdr>
          <w:top w:val="nil"/>
          <w:left w:val="nil"/>
          <w:bottom w:val="nil"/>
          <w:right w:val="nil"/>
          <w:between w:val="nil"/>
        </w:pBdr>
        <w:spacing w:line="240" w:lineRule="auto"/>
        <w:rPr>
          <w:rFonts w:eastAsia="Georgia"/>
          <w:b/>
          <w:color w:val="000000" w:themeColor="text1"/>
          <w:lang w:val="en-ID" w:bidi="en-US"/>
        </w:rPr>
      </w:pPr>
      <w:r w:rsidRPr="009A7579">
        <w:rPr>
          <w:rFonts w:eastAsia="Georgia"/>
          <w:b/>
          <w:color w:val="000000" w:themeColor="text1"/>
          <w:lang w:val="en-ID" w:bidi="en-US"/>
        </w:rPr>
        <w:t xml:space="preserve">Table 5. Peer </w:t>
      </w:r>
      <w:proofErr w:type="spellStart"/>
      <w:r w:rsidRPr="009A7579">
        <w:rPr>
          <w:rFonts w:eastAsia="Georgia"/>
          <w:b/>
          <w:color w:val="000000" w:themeColor="text1"/>
          <w:lang w:val="en-ID" w:bidi="en-US"/>
        </w:rPr>
        <w:t>Influncet</w:t>
      </w:r>
      <w:proofErr w:type="spellEnd"/>
      <w:r w:rsidRPr="009A7579">
        <w:rPr>
          <w:rFonts w:eastAsia="Georgia"/>
          <w:b/>
          <w:color w:val="000000" w:themeColor="text1"/>
          <w:lang w:val="en-ID" w:bidi="en-US"/>
        </w:rPr>
        <w:t xml:space="preserve"> in Numeracy and Literacy of Grade 3 Learners in Urban and Rural School</w:t>
      </w:r>
    </w:p>
    <w:tbl>
      <w:tblPr>
        <w:tblStyle w:val="TableGrid1"/>
        <w:tblpPr w:leftFromText="180" w:rightFromText="180" w:vertAnchor="text" w:horzAnchor="margin" w:tblpY="98"/>
        <w:tblW w:w="10483" w:type="dxa"/>
        <w:tblLayout w:type="fixed"/>
        <w:tblLook w:val="04A0" w:firstRow="1" w:lastRow="0" w:firstColumn="1" w:lastColumn="0" w:noHBand="0" w:noVBand="1"/>
      </w:tblPr>
      <w:tblGrid>
        <w:gridCol w:w="4415"/>
        <w:gridCol w:w="1428"/>
        <w:gridCol w:w="1890"/>
        <w:gridCol w:w="961"/>
        <w:gridCol w:w="1789"/>
      </w:tblGrid>
      <w:tr w:rsidR="009A7579" w:rsidRPr="009A7579" w14:paraId="36968B61" w14:textId="77777777" w:rsidTr="009A7579">
        <w:trPr>
          <w:trHeight w:val="384"/>
        </w:trPr>
        <w:tc>
          <w:tcPr>
            <w:tcW w:w="4415" w:type="dxa"/>
            <w:vMerge w:val="restart"/>
          </w:tcPr>
          <w:p w14:paraId="5326CFA5" w14:textId="77777777" w:rsidR="009A7579" w:rsidRPr="009A7579" w:rsidRDefault="009A7579" w:rsidP="009A7579">
            <w:pPr>
              <w:spacing w:line="240" w:lineRule="auto"/>
              <w:jc w:val="both"/>
              <w:rPr>
                <w:rFonts w:ascii="Times New Roman" w:hAnsi="Times New Roman"/>
                <w:b/>
                <w:bCs/>
                <w:sz w:val="24"/>
                <w:szCs w:val="24"/>
              </w:rPr>
            </w:pPr>
            <w:r w:rsidRPr="009A7579">
              <w:rPr>
                <w:rFonts w:ascii="Times New Roman" w:hAnsi="Times New Roman"/>
                <w:b/>
                <w:bCs/>
                <w:sz w:val="24"/>
                <w:szCs w:val="24"/>
              </w:rPr>
              <w:t>Indicators</w:t>
            </w:r>
          </w:p>
        </w:tc>
        <w:tc>
          <w:tcPr>
            <w:tcW w:w="3318" w:type="dxa"/>
            <w:gridSpan w:val="2"/>
          </w:tcPr>
          <w:p w14:paraId="12F8CCA1" w14:textId="77777777" w:rsidR="009A7579" w:rsidRPr="009A7579" w:rsidRDefault="009A7579" w:rsidP="009A7579">
            <w:pPr>
              <w:spacing w:line="240" w:lineRule="auto"/>
              <w:jc w:val="both"/>
              <w:rPr>
                <w:rFonts w:ascii="Times New Roman" w:hAnsi="Times New Roman"/>
                <w:b/>
                <w:bCs/>
                <w:sz w:val="24"/>
                <w:szCs w:val="24"/>
              </w:rPr>
            </w:pPr>
            <w:r w:rsidRPr="009A7579">
              <w:rPr>
                <w:rFonts w:ascii="Times New Roman" w:hAnsi="Times New Roman"/>
                <w:b/>
                <w:bCs/>
                <w:sz w:val="24"/>
                <w:szCs w:val="24"/>
              </w:rPr>
              <w:t>Urban School</w:t>
            </w:r>
          </w:p>
        </w:tc>
        <w:tc>
          <w:tcPr>
            <w:tcW w:w="2750" w:type="dxa"/>
            <w:gridSpan w:val="2"/>
          </w:tcPr>
          <w:p w14:paraId="6DCEEE3D" w14:textId="77777777" w:rsidR="009A7579" w:rsidRPr="009A7579" w:rsidRDefault="009A7579" w:rsidP="009A7579">
            <w:pPr>
              <w:spacing w:line="240" w:lineRule="auto"/>
              <w:jc w:val="both"/>
              <w:rPr>
                <w:rFonts w:ascii="Times New Roman" w:hAnsi="Times New Roman"/>
                <w:b/>
                <w:bCs/>
                <w:sz w:val="24"/>
                <w:szCs w:val="24"/>
              </w:rPr>
            </w:pPr>
            <w:r w:rsidRPr="009A7579">
              <w:rPr>
                <w:rFonts w:ascii="Times New Roman" w:hAnsi="Times New Roman"/>
                <w:b/>
                <w:bCs/>
                <w:sz w:val="24"/>
                <w:szCs w:val="24"/>
              </w:rPr>
              <w:t>Rural School</w:t>
            </w:r>
          </w:p>
        </w:tc>
      </w:tr>
      <w:tr w:rsidR="009A7579" w:rsidRPr="009A7579" w14:paraId="4C74DACE" w14:textId="77777777" w:rsidTr="009A7579">
        <w:trPr>
          <w:trHeight w:val="371"/>
        </w:trPr>
        <w:tc>
          <w:tcPr>
            <w:tcW w:w="4415" w:type="dxa"/>
            <w:vMerge/>
          </w:tcPr>
          <w:p w14:paraId="486DCD66" w14:textId="77777777" w:rsidR="009A7579" w:rsidRPr="009A7579" w:rsidRDefault="009A7579" w:rsidP="009A7579">
            <w:pPr>
              <w:spacing w:line="240" w:lineRule="auto"/>
              <w:jc w:val="both"/>
              <w:rPr>
                <w:rFonts w:ascii="Times New Roman" w:hAnsi="Times New Roman"/>
                <w:sz w:val="24"/>
                <w:szCs w:val="24"/>
              </w:rPr>
            </w:pPr>
          </w:p>
        </w:tc>
        <w:tc>
          <w:tcPr>
            <w:tcW w:w="1428" w:type="dxa"/>
          </w:tcPr>
          <w:p w14:paraId="376D8EA2" w14:textId="77777777" w:rsidR="009A7579" w:rsidRPr="009A7579" w:rsidRDefault="009A7579" w:rsidP="009A7579">
            <w:pPr>
              <w:spacing w:line="240" w:lineRule="auto"/>
              <w:jc w:val="center"/>
              <w:rPr>
                <w:rFonts w:ascii="Times New Roman" w:hAnsi="Times New Roman"/>
                <w:i/>
                <w:iCs/>
                <w:sz w:val="24"/>
                <w:szCs w:val="24"/>
              </w:rPr>
            </w:pPr>
            <w:r w:rsidRPr="009A7579">
              <w:rPr>
                <w:rFonts w:ascii="Times New Roman" w:hAnsi="Times New Roman"/>
                <w:i/>
                <w:iCs/>
                <w:sz w:val="24"/>
                <w:szCs w:val="24"/>
              </w:rPr>
              <w:t>Mean</w:t>
            </w:r>
          </w:p>
        </w:tc>
        <w:tc>
          <w:tcPr>
            <w:tcW w:w="1890" w:type="dxa"/>
          </w:tcPr>
          <w:p w14:paraId="0105A8C2" w14:textId="77777777" w:rsidR="009A7579" w:rsidRPr="009A7579" w:rsidRDefault="009A7579" w:rsidP="009A7579">
            <w:pPr>
              <w:spacing w:line="240" w:lineRule="auto"/>
              <w:jc w:val="center"/>
              <w:rPr>
                <w:rFonts w:ascii="Times New Roman" w:hAnsi="Times New Roman"/>
                <w:i/>
                <w:iCs/>
                <w:sz w:val="24"/>
                <w:szCs w:val="24"/>
              </w:rPr>
            </w:pPr>
            <w:r w:rsidRPr="009A7579">
              <w:rPr>
                <w:rFonts w:ascii="Times New Roman" w:hAnsi="Times New Roman"/>
                <w:i/>
                <w:iCs/>
                <w:sz w:val="24"/>
                <w:szCs w:val="24"/>
              </w:rPr>
              <w:t>Interpretation</w:t>
            </w:r>
          </w:p>
        </w:tc>
        <w:tc>
          <w:tcPr>
            <w:tcW w:w="961" w:type="dxa"/>
          </w:tcPr>
          <w:p w14:paraId="5127CE07" w14:textId="77777777" w:rsidR="009A7579" w:rsidRPr="009A7579" w:rsidRDefault="009A7579" w:rsidP="009A7579">
            <w:pPr>
              <w:spacing w:line="240" w:lineRule="auto"/>
              <w:jc w:val="center"/>
              <w:rPr>
                <w:rFonts w:ascii="Times New Roman" w:hAnsi="Times New Roman"/>
                <w:i/>
                <w:iCs/>
                <w:sz w:val="24"/>
                <w:szCs w:val="24"/>
              </w:rPr>
            </w:pPr>
            <w:r w:rsidRPr="009A7579">
              <w:rPr>
                <w:rFonts w:ascii="Times New Roman" w:hAnsi="Times New Roman"/>
                <w:i/>
                <w:iCs/>
                <w:sz w:val="24"/>
                <w:szCs w:val="24"/>
              </w:rPr>
              <w:t>Mean</w:t>
            </w:r>
          </w:p>
        </w:tc>
        <w:tc>
          <w:tcPr>
            <w:tcW w:w="1789" w:type="dxa"/>
          </w:tcPr>
          <w:p w14:paraId="7F17BB2E" w14:textId="77777777" w:rsidR="009A7579" w:rsidRPr="009A7579" w:rsidRDefault="009A7579" w:rsidP="009A7579">
            <w:pPr>
              <w:spacing w:line="240" w:lineRule="auto"/>
              <w:jc w:val="center"/>
              <w:rPr>
                <w:rFonts w:ascii="Times New Roman" w:hAnsi="Times New Roman"/>
                <w:i/>
                <w:iCs/>
                <w:sz w:val="24"/>
                <w:szCs w:val="24"/>
              </w:rPr>
            </w:pPr>
            <w:r w:rsidRPr="009A7579">
              <w:rPr>
                <w:rFonts w:ascii="Times New Roman" w:hAnsi="Times New Roman"/>
                <w:i/>
                <w:iCs/>
                <w:sz w:val="24"/>
                <w:szCs w:val="24"/>
              </w:rPr>
              <w:t>Interpretation</w:t>
            </w:r>
          </w:p>
        </w:tc>
      </w:tr>
      <w:tr w:rsidR="009A7579" w:rsidRPr="009A7579" w14:paraId="121D951B" w14:textId="77777777" w:rsidTr="009A7579">
        <w:trPr>
          <w:trHeight w:val="232"/>
        </w:trPr>
        <w:tc>
          <w:tcPr>
            <w:tcW w:w="4415" w:type="dxa"/>
          </w:tcPr>
          <w:p w14:paraId="39FAFDDB" w14:textId="77777777" w:rsidR="009A7579" w:rsidRPr="009A7579" w:rsidRDefault="009A7579" w:rsidP="009A7579">
            <w:pPr>
              <w:numPr>
                <w:ilvl w:val="0"/>
                <w:numId w:val="6"/>
              </w:numPr>
              <w:spacing w:line="240" w:lineRule="auto"/>
              <w:ind w:left="348"/>
              <w:jc w:val="both"/>
              <w:rPr>
                <w:rFonts w:ascii="Times New Roman" w:hAnsi="Times New Roman"/>
                <w:sz w:val="24"/>
                <w:szCs w:val="24"/>
              </w:rPr>
            </w:pPr>
            <w:r w:rsidRPr="009A7579">
              <w:rPr>
                <w:rFonts w:ascii="Times New Roman" w:hAnsi="Times New Roman"/>
                <w:sz w:val="24"/>
                <w:szCs w:val="24"/>
              </w:rPr>
              <w:t>Working with friends helps me understand</w:t>
            </w:r>
          </w:p>
        </w:tc>
        <w:tc>
          <w:tcPr>
            <w:tcW w:w="1428" w:type="dxa"/>
          </w:tcPr>
          <w:p w14:paraId="6CE99F69"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3.12</w:t>
            </w:r>
          </w:p>
        </w:tc>
        <w:tc>
          <w:tcPr>
            <w:tcW w:w="1890" w:type="dxa"/>
          </w:tcPr>
          <w:p w14:paraId="59956BB7"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N</w:t>
            </w:r>
          </w:p>
        </w:tc>
        <w:tc>
          <w:tcPr>
            <w:tcW w:w="961" w:type="dxa"/>
          </w:tcPr>
          <w:p w14:paraId="54522CF6"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3.21</w:t>
            </w:r>
          </w:p>
        </w:tc>
        <w:tc>
          <w:tcPr>
            <w:tcW w:w="1789" w:type="dxa"/>
          </w:tcPr>
          <w:p w14:paraId="6F93BF44"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N</w:t>
            </w:r>
          </w:p>
        </w:tc>
      </w:tr>
      <w:tr w:rsidR="009A7579" w:rsidRPr="009A7579" w14:paraId="2A1D3F5B" w14:textId="77777777" w:rsidTr="009A7579">
        <w:trPr>
          <w:trHeight w:val="81"/>
        </w:trPr>
        <w:tc>
          <w:tcPr>
            <w:tcW w:w="4415" w:type="dxa"/>
          </w:tcPr>
          <w:p w14:paraId="13EDFAF6" w14:textId="77777777" w:rsidR="009A7579" w:rsidRPr="009A7579" w:rsidRDefault="009A7579" w:rsidP="009A7579">
            <w:pPr>
              <w:numPr>
                <w:ilvl w:val="0"/>
                <w:numId w:val="6"/>
              </w:numPr>
              <w:spacing w:line="240" w:lineRule="auto"/>
              <w:ind w:left="348"/>
              <w:jc w:val="both"/>
              <w:rPr>
                <w:rFonts w:ascii="Times New Roman" w:hAnsi="Times New Roman"/>
                <w:sz w:val="24"/>
                <w:szCs w:val="24"/>
              </w:rPr>
            </w:pPr>
            <w:r w:rsidRPr="009A7579">
              <w:rPr>
                <w:rFonts w:ascii="Times New Roman" w:hAnsi="Times New Roman"/>
                <w:sz w:val="24"/>
                <w:szCs w:val="24"/>
              </w:rPr>
              <w:t>Friends encourage me to practice</w:t>
            </w:r>
          </w:p>
        </w:tc>
        <w:tc>
          <w:tcPr>
            <w:tcW w:w="1428" w:type="dxa"/>
          </w:tcPr>
          <w:p w14:paraId="2BC17427"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2.92</w:t>
            </w:r>
          </w:p>
        </w:tc>
        <w:tc>
          <w:tcPr>
            <w:tcW w:w="1890" w:type="dxa"/>
          </w:tcPr>
          <w:p w14:paraId="3791CC44"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N</w:t>
            </w:r>
          </w:p>
        </w:tc>
        <w:tc>
          <w:tcPr>
            <w:tcW w:w="961" w:type="dxa"/>
          </w:tcPr>
          <w:p w14:paraId="6F562D35"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3.02</w:t>
            </w:r>
          </w:p>
        </w:tc>
        <w:tc>
          <w:tcPr>
            <w:tcW w:w="1789" w:type="dxa"/>
          </w:tcPr>
          <w:p w14:paraId="581148A8"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N</w:t>
            </w:r>
          </w:p>
        </w:tc>
      </w:tr>
      <w:tr w:rsidR="009A7579" w:rsidRPr="009A7579" w14:paraId="5271EE01" w14:textId="77777777" w:rsidTr="009A7579">
        <w:trPr>
          <w:trHeight w:val="248"/>
        </w:trPr>
        <w:tc>
          <w:tcPr>
            <w:tcW w:w="4415" w:type="dxa"/>
          </w:tcPr>
          <w:p w14:paraId="3F14563B" w14:textId="77777777" w:rsidR="009A7579" w:rsidRPr="009A7579" w:rsidRDefault="009A7579" w:rsidP="009A7579">
            <w:pPr>
              <w:numPr>
                <w:ilvl w:val="0"/>
                <w:numId w:val="6"/>
              </w:numPr>
              <w:spacing w:line="240" w:lineRule="auto"/>
              <w:ind w:left="348"/>
              <w:jc w:val="both"/>
              <w:rPr>
                <w:rFonts w:ascii="Times New Roman" w:hAnsi="Times New Roman"/>
                <w:sz w:val="24"/>
                <w:szCs w:val="24"/>
              </w:rPr>
            </w:pPr>
            <w:r w:rsidRPr="009A7579">
              <w:rPr>
                <w:rFonts w:ascii="Times New Roman" w:hAnsi="Times New Roman"/>
                <w:sz w:val="24"/>
                <w:szCs w:val="24"/>
              </w:rPr>
              <w:t>Seeing peers perform well encourages me</w:t>
            </w:r>
          </w:p>
        </w:tc>
        <w:tc>
          <w:tcPr>
            <w:tcW w:w="1428" w:type="dxa"/>
          </w:tcPr>
          <w:p w14:paraId="0A3CFCEA"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3.02</w:t>
            </w:r>
          </w:p>
        </w:tc>
        <w:tc>
          <w:tcPr>
            <w:tcW w:w="1890" w:type="dxa"/>
          </w:tcPr>
          <w:p w14:paraId="60BF4A90"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N</w:t>
            </w:r>
          </w:p>
        </w:tc>
        <w:tc>
          <w:tcPr>
            <w:tcW w:w="961" w:type="dxa"/>
          </w:tcPr>
          <w:p w14:paraId="259C60F0"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3.60</w:t>
            </w:r>
          </w:p>
        </w:tc>
        <w:tc>
          <w:tcPr>
            <w:tcW w:w="1789" w:type="dxa"/>
          </w:tcPr>
          <w:p w14:paraId="7B3F9CDE"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A</w:t>
            </w:r>
          </w:p>
        </w:tc>
      </w:tr>
      <w:tr w:rsidR="009A7579" w:rsidRPr="009A7579" w14:paraId="29386A93" w14:textId="77777777" w:rsidTr="009A7579">
        <w:trPr>
          <w:trHeight w:val="248"/>
        </w:trPr>
        <w:tc>
          <w:tcPr>
            <w:tcW w:w="4415" w:type="dxa"/>
          </w:tcPr>
          <w:p w14:paraId="77C471DA" w14:textId="77777777" w:rsidR="009A7579" w:rsidRPr="009A7579" w:rsidRDefault="009A7579" w:rsidP="009A7579">
            <w:pPr>
              <w:numPr>
                <w:ilvl w:val="0"/>
                <w:numId w:val="6"/>
              </w:numPr>
              <w:spacing w:line="240" w:lineRule="auto"/>
              <w:ind w:left="348"/>
              <w:jc w:val="both"/>
              <w:rPr>
                <w:rFonts w:ascii="Times New Roman" w:hAnsi="Times New Roman"/>
                <w:sz w:val="24"/>
                <w:szCs w:val="24"/>
              </w:rPr>
            </w:pPr>
            <w:r w:rsidRPr="009A7579">
              <w:rPr>
                <w:rFonts w:ascii="Times New Roman" w:hAnsi="Times New Roman"/>
                <w:sz w:val="24"/>
                <w:szCs w:val="24"/>
              </w:rPr>
              <w:t>Prefer solving problems with friends</w:t>
            </w:r>
          </w:p>
        </w:tc>
        <w:tc>
          <w:tcPr>
            <w:tcW w:w="1428" w:type="dxa"/>
          </w:tcPr>
          <w:p w14:paraId="4650C210"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3.70</w:t>
            </w:r>
          </w:p>
        </w:tc>
        <w:tc>
          <w:tcPr>
            <w:tcW w:w="1890" w:type="dxa"/>
          </w:tcPr>
          <w:p w14:paraId="2331C20C"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A</w:t>
            </w:r>
          </w:p>
        </w:tc>
        <w:tc>
          <w:tcPr>
            <w:tcW w:w="961" w:type="dxa"/>
          </w:tcPr>
          <w:p w14:paraId="46EDFEDB"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3.50</w:t>
            </w:r>
          </w:p>
        </w:tc>
        <w:tc>
          <w:tcPr>
            <w:tcW w:w="1789" w:type="dxa"/>
          </w:tcPr>
          <w:p w14:paraId="3356EFC0"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A</w:t>
            </w:r>
          </w:p>
        </w:tc>
      </w:tr>
      <w:tr w:rsidR="009A7579" w:rsidRPr="009A7579" w14:paraId="00D038F3" w14:textId="77777777" w:rsidTr="009A7579">
        <w:trPr>
          <w:trHeight w:val="232"/>
        </w:trPr>
        <w:tc>
          <w:tcPr>
            <w:tcW w:w="4415" w:type="dxa"/>
          </w:tcPr>
          <w:p w14:paraId="745D4A5D" w14:textId="77777777" w:rsidR="009A7579" w:rsidRPr="009A7579" w:rsidRDefault="009A7579" w:rsidP="009A7579">
            <w:pPr>
              <w:numPr>
                <w:ilvl w:val="0"/>
                <w:numId w:val="6"/>
              </w:numPr>
              <w:spacing w:line="240" w:lineRule="auto"/>
              <w:ind w:left="348"/>
              <w:jc w:val="both"/>
              <w:rPr>
                <w:rFonts w:ascii="Times New Roman" w:hAnsi="Times New Roman"/>
                <w:sz w:val="24"/>
                <w:szCs w:val="24"/>
              </w:rPr>
            </w:pPr>
            <w:r w:rsidRPr="009A7579">
              <w:rPr>
                <w:rFonts w:ascii="Times New Roman" w:hAnsi="Times New Roman"/>
                <w:sz w:val="24"/>
                <w:szCs w:val="24"/>
              </w:rPr>
              <w:t>Learn better independently</w:t>
            </w:r>
          </w:p>
        </w:tc>
        <w:tc>
          <w:tcPr>
            <w:tcW w:w="1428" w:type="dxa"/>
          </w:tcPr>
          <w:p w14:paraId="39FABE22"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3.34</w:t>
            </w:r>
          </w:p>
        </w:tc>
        <w:tc>
          <w:tcPr>
            <w:tcW w:w="1890" w:type="dxa"/>
          </w:tcPr>
          <w:p w14:paraId="635CEB00"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N</w:t>
            </w:r>
          </w:p>
        </w:tc>
        <w:tc>
          <w:tcPr>
            <w:tcW w:w="961" w:type="dxa"/>
          </w:tcPr>
          <w:p w14:paraId="7EB0583B"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3.63</w:t>
            </w:r>
          </w:p>
        </w:tc>
        <w:tc>
          <w:tcPr>
            <w:tcW w:w="1789" w:type="dxa"/>
          </w:tcPr>
          <w:p w14:paraId="4E35CB97"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A</w:t>
            </w:r>
          </w:p>
        </w:tc>
      </w:tr>
      <w:tr w:rsidR="009A7579" w:rsidRPr="009A7579" w14:paraId="589621FF" w14:textId="77777777" w:rsidTr="009A7579">
        <w:trPr>
          <w:trHeight w:val="248"/>
        </w:trPr>
        <w:tc>
          <w:tcPr>
            <w:tcW w:w="4415" w:type="dxa"/>
          </w:tcPr>
          <w:p w14:paraId="4F2574A1" w14:textId="77777777" w:rsidR="009A7579" w:rsidRPr="009A7579" w:rsidRDefault="009A7579" w:rsidP="009A7579">
            <w:pPr>
              <w:numPr>
                <w:ilvl w:val="0"/>
                <w:numId w:val="6"/>
              </w:numPr>
              <w:spacing w:line="240" w:lineRule="auto"/>
              <w:ind w:left="348"/>
              <w:jc w:val="both"/>
              <w:rPr>
                <w:rFonts w:ascii="Times New Roman" w:hAnsi="Times New Roman"/>
                <w:sz w:val="24"/>
                <w:szCs w:val="24"/>
              </w:rPr>
            </w:pPr>
            <w:r w:rsidRPr="009A7579">
              <w:rPr>
                <w:rFonts w:ascii="Times New Roman" w:hAnsi="Times New Roman"/>
                <w:sz w:val="24"/>
                <w:szCs w:val="24"/>
              </w:rPr>
              <w:t>Friends talking about stories motivates me</w:t>
            </w:r>
          </w:p>
        </w:tc>
        <w:tc>
          <w:tcPr>
            <w:tcW w:w="1428" w:type="dxa"/>
          </w:tcPr>
          <w:p w14:paraId="6AF820B9"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3.23</w:t>
            </w:r>
          </w:p>
        </w:tc>
        <w:tc>
          <w:tcPr>
            <w:tcW w:w="1890" w:type="dxa"/>
          </w:tcPr>
          <w:p w14:paraId="4C0C5583"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N</w:t>
            </w:r>
          </w:p>
        </w:tc>
        <w:tc>
          <w:tcPr>
            <w:tcW w:w="961" w:type="dxa"/>
          </w:tcPr>
          <w:p w14:paraId="1039699F"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3.96</w:t>
            </w:r>
          </w:p>
        </w:tc>
        <w:tc>
          <w:tcPr>
            <w:tcW w:w="1789" w:type="dxa"/>
          </w:tcPr>
          <w:p w14:paraId="0595A2E0"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A</w:t>
            </w:r>
          </w:p>
        </w:tc>
      </w:tr>
      <w:tr w:rsidR="009A7579" w:rsidRPr="009A7579" w14:paraId="3C36B206" w14:textId="77777777" w:rsidTr="009A7579">
        <w:trPr>
          <w:trHeight w:val="248"/>
        </w:trPr>
        <w:tc>
          <w:tcPr>
            <w:tcW w:w="4415" w:type="dxa"/>
          </w:tcPr>
          <w:p w14:paraId="12A31D70" w14:textId="77777777" w:rsidR="009A7579" w:rsidRPr="009A7579" w:rsidRDefault="009A7579" w:rsidP="009A7579">
            <w:pPr>
              <w:numPr>
                <w:ilvl w:val="0"/>
                <w:numId w:val="6"/>
              </w:numPr>
              <w:spacing w:line="240" w:lineRule="auto"/>
              <w:ind w:left="348"/>
              <w:jc w:val="both"/>
              <w:rPr>
                <w:rFonts w:ascii="Times New Roman" w:hAnsi="Times New Roman"/>
                <w:sz w:val="24"/>
                <w:szCs w:val="24"/>
              </w:rPr>
            </w:pPr>
            <w:r w:rsidRPr="009A7579">
              <w:rPr>
                <w:rFonts w:ascii="Times New Roman" w:hAnsi="Times New Roman"/>
                <w:sz w:val="24"/>
                <w:szCs w:val="24"/>
              </w:rPr>
              <w:t>Friends help understand words</w:t>
            </w:r>
          </w:p>
        </w:tc>
        <w:tc>
          <w:tcPr>
            <w:tcW w:w="1428" w:type="dxa"/>
          </w:tcPr>
          <w:p w14:paraId="16AD1773"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3.66</w:t>
            </w:r>
          </w:p>
        </w:tc>
        <w:tc>
          <w:tcPr>
            <w:tcW w:w="1890" w:type="dxa"/>
          </w:tcPr>
          <w:p w14:paraId="09694E61"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A</w:t>
            </w:r>
          </w:p>
        </w:tc>
        <w:tc>
          <w:tcPr>
            <w:tcW w:w="961" w:type="dxa"/>
          </w:tcPr>
          <w:p w14:paraId="27F08A2D"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3.59</w:t>
            </w:r>
          </w:p>
        </w:tc>
        <w:tc>
          <w:tcPr>
            <w:tcW w:w="1789" w:type="dxa"/>
          </w:tcPr>
          <w:p w14:paraId="51F196E5"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A</w:t>
            </w:r>
          </w:p>
        </w:tc>
      </w:tr>
      <w:tr w:rsidR="009A7579" w:rsidRPr="009A7579" w14:paraId="5964FC6E" w14:textId="77777777" w:rsidTr="009A7579">
        <w:trPr>
          <w:trHeight w:val="232"/>
        </w:trPr>
        <w:tc>
          <w:tcPr>
            <w:tcW w:w="4415" w:type="dxa"/>
          </w:tcPr>
          <w:p w14:paraId="19585A10" w14:textId="77777777" w:rsidR="009A7579" w:rsidRPr="009A7579" w:rsidRDefault="009A7579" w:rsidP="009A7579">
            <w:pPr>
              <w:numPr>
                <w:ilvl w:val="0"/>
                <w:numId w:val="6"/>
              </w:numPr>
              <w:spacing w:line="240" w:lineRule="auto"/>
              <w:ind w:left="348"/>
              <w:jc w:val="both"/>
              <w:rPr>
                <w:rFonts w:ascii="Times New Roman" w:hAnsi="Times New Roman"/>
                <w:sz w:val="24"/>
                <w:szCs w:val="24"/>
              </w:rPr>
            </w:pPr>
            <w:r w:rsidRPr="009A7579">
              <w:rPr>
                <w:rFonts w:ascii="Times New Roman" w:hAnsi="Times New Roman"/>
                <w:sz w:val="24"/>
                <w:szCs w:val="24"/>
              </w:rPr>
              <w:t>Encouraged to read when seeing friends read</w:t>
            </w:r>
          </w:p>
        </w:tc>
        <w:tc>
          <w:tcPr>
            <w:tcW w:w="1428" w:type="dxa"/>
          </w:tcPr>
          <w:p w14:paraId="6D83CF08"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3.89</w:t>
            </w:r>
          </w:p>
        </w:tc>
        <w:tc>
          <w:tcPr>
            <w:tcW w:w="1890" w:type="dxa"/>
          </w:tcPr>
          <w:p w14:paraId="74AA6116"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A</w:t>
            </w:r>
          </w:p>
        </w:tc>
        <w:tc>
          <w:tcPr>
            <w:tcW w:w="961" w:type="dxa"/>
          </w:tcPr>
          <w:p w14:paraId="475B7A82"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3.50</w:t>
            </w:r>
          </w:p>
        </w:tc>
        <w:tc>
          <w:tcPr>
            <w:tcW w:w="1789" w:type="dxa"/>
          </w:tcPr>
          <w:p w14:paraId="1B77AE43"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A</w:t>
            </w:r>
          </w:p>
        </w:tc>
      </w:tr>
      <w:tr w:rsidR="009A7579" w:rsidRPr="009A7579" w14:paraId="6EAFF96A" w14:textId="77777777" w:rsidTr="009A7579">
        <w:trPr>
          <w:trHeight w:val="232"/>
        </w:trPr>
        <w:tc>
          <w:tcPr>
            <w:tcW w:w="4415" w:type="dxa"/>
          </w:tcPr>
          <w:p w14:paraId="1234FBBA" w14:textId="77777777" w:rsidR="009A7579" w:rsidRPr="009A7579" w:rsidRDefault="009A7579" w:rsidP="009A7579">
            <w:pPr>
              <w:numPr>
                <w:ilvl w:val="0"/>
                <w:numId w:val="6"/>
              </w:numPr>
              <w:spacing w:line="240" w:lineRule="auto"/>
              <w:ind w:left="348"/>
              <w:jc w:val="both"/>
              <w:rPr>
                <w:rFonts w:ascii="Times New Roman" w:hAnsi="Times New Roman"/>
                <w:sz w:val="24"/>
                <w:szCs w:val="24"/>
              </w:rPr>
            </w:pPr>
            <w:r w:rsidRPr="009A7579">
              <w:rPr>
                <w:rFonts w:ascii="Times New Roman" w:hAnsi="Times New Roman"/>
                <w:sz w:val="24"/>
                <w:szCs w:val="24"/>
              </w:rPr>
              <w:t>Tend to read books friends recommend</w:t>
            </w:r>
          </w:p>
        </w:tc>
        <w:tc>
          <w:tcPr>
            <w:tcW w:w="1428" w:type="dxa"/>
          </w:tcPr>
          <w:p w14:paraId="15A9DA67"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3.25</w:t>
            </w:r>
          </w:p>
        </w:tc>
        <w:tc>
          <w:tcPr>
            <w:tcW w:w="1890" w:type="dxa"/>
          </w:tcPr>
          <w:p w14:paraId="302C4E00"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N</w:t>
            </w:r>
          </w:p>
        </w:tc>
        <w:tc>
          <w:tcPr>
            <w:tcW w:w="961" w:type="dxa"/>
          </w:tcPr>
          <w:p w14:paraId="2EB932C3"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2.88</w:t>
            </w:r>
          </w:p>
        </w:tc>
        <w:tc>
          <w:tcPr>
            <w:tcW w:w="1789" w:type="dxa"/>
          </w:tcPr>
          <w:p w14:paraId="11DD37BD"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N</w:t>
            </w:r>
          </w:p>
        </w:tc>
      </w:tr>
      <w:tr w:rsidR="009A7579" w:rsidRPr="009A7579" w14:paraId="7BB26C53" w14:textId="77777777" w:rsidTr="009A7579">
        <w:trPr>
          <w:trHeight w:val="248"/>
        </w:trPr>
        <w:tc>
          <w:tcPr>
            <w:tcW w:w="4415" w:type="dxa"/>
          </w:tcPr>
          <w:p w14:paraId="70005AB4" w14:textId="77777777" w:rsidR="009A7579" w:rsidRPr="009A7579" w:rsidRDefault="009A7579" w:rsidP="009A7579">
            <w:pPr>
              <w:numPr>
                <w:ilvl w:val="0"/>
                <w:numId w:val="6"/>
              </w:numPr>
              <w:spacing w:line="240" w:lineRule="auto"/>
              <w:ind w:left="348"/>
              <w:jc w:val="both"/>
              <w:rPr>
                <w:rFonts w:ascii="Times New Roman" w:hAnsi="Times New Roman"/>
                <w:sz w:val="24"/>
                <w:szCs w:val="24"/>
              </w:rPr>
            </w:pPr>
            <w:r w:rsidRPr="009A7579">
              <w:rPr>
                <w:rFonts w:ascii="Times New Roman" w:hAnsi="Times New Roman"/>
                <w:sz w:val="24"/>
                <w:szCs w:val="24"/>
              </w:rPr>
              <w:t>Enjoy reading more when discussing books</w:t>
            </w:r>
          </w:p>
        </w:tc>
        <w:tc>
          <w:tcPr>
            <w:tcW w:w="1428" w:type="dxa"/>
          </w:tcPr>
          <w:p w14:paraId="58A4ADB1"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3.36</w:t>
            </w:r>
          </w:p>
        </w:tc>
        <w:tc>
          <w:tcPr>
            <w:tcW w:w="1890" w:type="dxa"/>
          </w:tcPr>
          <w:p w14:paraId="40A83458"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N</w:t>
            </w:r>
          </w:p>
        </w:tc>
        <w:tc>
          <w:tcPr>
            <w:tcW w:w="961" w:type="dxa"/>
          </w:tcPr>
          <w:p w14:paraId="0FECF408"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3.50</w:t>
            </w:r>
          </w:p>
        </w:tc>
        <w:tc>
          <w:tcPr>
            <w:tcW w:w="1789" w:type="dxa"/>
          </w:tcPr>
          <w:p w14:paraId="105A8524" w14:textId="77777777" w:rsidR="009A7579" w:rsidRPr="009A7579" w:rsidRDefault="009A7579" w:rsidP="009A7579">
            <w:pPr>
              <w:spacing w:line="240" w:lineRule="auto"/>
              <w:jc w:val="center"/>
              <w:rPr>
                <w:rFonts w:ascii="Times New Roman" w:hAnsi="Times New Roman"/>
                <w:sz w:val="24"/>
                <w:szCs w:val="24"/>
              </w:rPr>
            </w:pPr>
            <w:r w:rsidRPr="009A7579">
              <w:rPr>
                <w:rFonts w:ascii="Times New Roman" w:hAnsi="Times New Roman"/>
                <w:sz w:val="24"/>
                <w:szCs w:val="24"/>
              </w:rPr>
              <w:t>A</w:t>
            </w:r>
          </w:p>
        </w:tc>
      </w:tr>
      <w:tr w:rsidR="009A7579" w:rsidRPr="009A7579" w14:paraId="05695433" w14:textId="77777777" w:rsidTr="009A7579">
        <w:trPr>
          <w:trHeight w:val="301"/>
        </w:trPr>
        <w:tc>
          <w:tcPr>
            <w:tcW w:w="4415" w:type="dxa"/>
          </w:tcPr>
          <w:p w14:paraId="06F2997A" w14:textId="77777777" w:rsidR="009A7579" w:rsidRPr="009A7579" w:rsidRDefault="009A7579" w:rsidP="009A7579">
            <w:pPr>
              <w:spacing w:line="240" w:lineRule="auto"/>
              <w:jc w:val="center"/>
              <w:rPr>
                <w:rFonts w:ascii="Times New Roman" w:hAnsi="Times New Roman"/>
                <w:b/>
                <w:bCs/>
                <w:sz w:val="24"/>
                <w:szCs w:val="24"/>
                <w:vertAlign w:val="subscript"/>
              </w:rPr>
            </w:pPr>
            <w:proofErr w:type="spellStart"/>
            <w:r w:rsidRPr="009A7579">
              <w:rPr>
                <w:rFonts w:ascii="Times New Roman" w:hAnsi="Times New Roman"/>
                <w:b/>
                <w:bCs/>
                <w:sz w:val="24"/>
                <w:szCs w:val="24"/>
              </w:rPr>
              <w:t>x̄</w:t>
            </w:r>
            <w:r w:rsidRPr="009A7579">
              <w:rPr>
                <w:rFonts w:ascii="Times New Roman" w:hAnsi="Times New Roman"/>
                <w:b/>
                <w:bCs/>
                <w:sz w:val="24"/>
                <w:szCs w:val="24"/>
                <w:vertAlign w:val="subscript"/>
              </w:rPr>
              <w:t>Numeracy</w:t>
            </w:r>
            <w:proofErr w:type="spellEnd"/>
          </w:p>
        </w:tc>
        <w:tc>
          <w:tcPr>
            <w:tcW w:w="1428" w:type="dxa"/>
          </w:tcPr>
          <w:p w14:paraId="23F69166" w14:textId="77777777" w:rsidR="009A7579" w:rsidRPr="009A7579" w:rsidRDefault="009A7579" w:rsidP="009A7579">
            <w:pPr>
              <w:spacing w:line="240" w:lineRule="auto"/>
              <w:jc w:val="center"/>
              <w:rPr>
                <w:rFonts w:ascii="Times New Roman" w:hAnsi="Times New Roman"/>
                <w:b/>
                <w:bCs/>
                <w:sz w:val="24"/>
                <w:szCs w:val="24"/>
              </w:rPr>
            </w:pPr>
            <w:r w:rsidRPr="009A7579">
              <w:rPr>
                <w:rFonts w:ascii="Times New Roman" w:hAnsi="Times New Roman"/>
                <w:b/>
                <w:bCs/>
                <w:sz w:val="24"/>
                <w:szCs w:val="24"/>
              </w:rPr>
              <w:t>3.22</w:t>
            </w:r>
          </w:p>
        </w:tc>
        <w:tc>
          <w:tcPr>
            <w:tcW w:w="1890" w:type="dxa"/>
          </w:tcPr>
          <w:p w14:paraId="4534B2BF" w14:textId="77777777" w:rsidR="009A7579" w:rsidRPr="009A7579" w:rsidRDefault="009A7579" w:rsidP="009A7579">
            <w:pPr>
              <w:spacing w:line="240" w:lineRule="auto"/>
              <w:jc w:val="center"/>
              <w:rPr>
                <w:rFonts w:ascii="Times New Roman" w:hAnsi="Times New Roman"/>
                <w:b/>
                <w:bCs/>
                <w:sz w:val="24"/>
                <w:szCs w:val="24"/>
              </w:rPr>
            </w:pPr>
            <w:r w:rsidRPr="009A7579">
              <w:rPr>
                <w:rFonts w:ascii="Times New Roman" w:hAnsi="Times New Roman"/>
                <w:b/>
                <w:bCs/>
                <w:sz w:val="24"/>
                <w:szCs w:val="24"/>
              </w:rPr>
              <w:t>N</w:t>
            </w:r>
          </w:p>
        </w:tc>
        <w:tc>
          <w:tcPr>
            <w:tcW w:w="961" w:type="dxa"/>
          </w:tcPr>
          <w:p w14:paraId="11BA282D" w14:textId="77777777" w:rsidR="009A7579" w:rsidRPr="009A7579" w:rsidRDefault="009A7579" w:rsidP="009A7579">
            <w:pPr>
              <w:spacing w:line="240" w:lineRule="auto"/>
              <w:jc w:val="center"/>
              <w:rPr>
                <w:rFonts w:ascii="Times New Roman" w:hAnsi="Times New Roman"/>
                <w:b/>
                <w:bCs/>
                <w:sz w:val="24"/>
                <w:szCs w:val="24"/>
              </w:rPr>
            </w:pPr>
            <w:r w:rsidRPr="009A7579">
              <w:rPr>
                <w:rFonts w:ascii="Times New Roman" w:hAnsi="Times New Roman"/>
                <w:b/>
                <w:bCs/>
                <w:sz w:val="24"/>
                <w:szCs w:val="24"/>
              </w:rPr>
              <w:t>3.39</w:t>
            </w:r>
          </w:p>
        </w:tc>
        <w:tc>
          <w:tcPr>
            <w:tcW w:w="1789" w:type="dxa"/>
          </w:tcPr>
          <w:p w14:paraId="2DA3F135" w14:textId="77777777" w:rsidR="009A7579" w:rsidRPr="009A7579" w:rsidRDefault="009A7579" w:rsidP="009A7579">
            <w:pPr>
              <w:spacing w:line="240" w:lineRule="auto"/>
              <w:jc w:val="center"/>
              <w:rPr>
                <w:rFonts w:ascii="Times New Roman" w:hAnsi="Times New Roman"/>
                <w:b/>
                <w:bCs/>
                <w:sz w:val="24"/>
                <w:szCs w:val="24"/>
              </w:rPr>
            </w:pPr>
            <w:r w:rsidRPr="009A7579">
              <w:rPr>
                <w:rFonts w:ascii="Times New Roman" w:hAnsi="Times New Roman"/>
                <w:b/>
                <w:bCs/>
                <w:sz w:val="24"/>
                <w:szCs w:val="24"/>
              </w:rPr>
              <w:t>N</w:t>
            </w:r>
          </w:p>
        </w:tc>
      </w:tr>
      <w:tr w:rsidR="009A7579" w:rsidRPr="009A7579" w14:paraId="2EF11A8F" w14:textId="77777777" w:rsidTr="009A7579">
        <w:trPr>
          <w:trHeight w:val="362"/>
        </w:trPr>
        <w:tc>
          <w:tcPr>
            <w:tcW w:w="4415" w:type="dxa"/>
          </w:tcPr>
          <w:p w14:paraId="34CFE91E" w14:textId="77777777" w:rsidR="009A7579" w:rsidRPr="009A7579" w:rsidRDefault="009A7579" w:rsidP="009A7579">
            <w:pPr>
              <w:spacing w:line="240" w:lineRule="auto"/>
              <w:jc w:val="center"/>
              <w:rPr>
                <w:rFonts w:ascii="Times New Roman" w:hAnsi="Times New Roman"/>
                <w:b/>
                <w:bCs/>
                <w:sz w:val="24"/>
                <w:szCs w:val="24"/>
                <w:vertAlign w:val="subscript"/>
              </w:rPr>
            </w:pPr>
            <w:proofErr w:type="spellStart"/>
            <w:r w:rsidRPr="009A7579">
              <w:rPr>
                <w:rFonts w:ascii="Times New Roman" w:hAnsi="Times New Roman"/>
                <w:b/>
                <w:bCs/>
                <w:sz w:val="24"/>
                <w:szCs w:val="24"/>
              </w:rPr>
              <w:t>x̄</w:t>
            </w:r>
            <w:r w:rsidRPr="009A7579">
              <w:rPr>
                <w:rFonts w:ascii="Times New Roman" w:hAnsi="Times New Roman"/>
                <w:b/>
                <w:bCs/>
                <w:sz w:val="24"/>
                <w:szCs w:val="24"/>
                <w:vertAlign w:val="subscript"/>
              </w:rPr>
              <w:t>Literacy</w:t>
            </w:r>
            <w:proofErr w:type="spellEnd"/>
          </w:p>
        </w:tc>
        <w:tc>
          <w:tcPr>
            <w:tcW w:w="1428" w:type="dxa"/>
          </w:tcPr>
          <w:p w14:paraId="272EED68" w14:textId="77777777" w:rsidR="009A7579" w:rsidRPr="009A7579" w:rsidRDefault="009A7579" w:rsidP="009A7579">
            <w:pPr>
              <w:spacing w:line="240" w:lineRule="auto"/>
              <w:jc w:val="center"/>
              <w:rPr>
                <w:rFonts w:ascii="Times New Roman" w:hAnsi="Times New Roman"/>
                <w:b/>
                <w:bCs/>
                <w:sz w:val="24"/>
                <w:szCs w:val="24"/>
              </w:rPr>
            </w:pPr>
            <w:r w:rsidRPr="009A7579">
              <w:rPr>
                <w:rFonts w:ascii="Times New Roman" w:hAnsi="Times New Roman"/>
                <w:b/>
                <w:bCs/>
                <w:sz w:val="24"/>
                <w:szCs w:val="24"/>
              </w:rPr>
              <w:t>3.48</w:t>
            </w:r>
          </w:p>
        </w:tc>
        <w:tc>
          <w:tcPr>
            <w:tcW w:w="1890" w:type="dxa"/>
          </w:tcPr>
          <w:p w14:paraId="4E566986" w14:textId="77777777" w:rsidR="009A7579" w:rsidRPr="009A7579" w:rsidRDefault="009A7579" w:rsidP="009A7579">
            <w:pPr>
              <w:spacing w:line="240" w:lineRule="auto"/>
              <w:jc w:val="center"/>
              <w:rPr>
                <w:rFonts w:ascii="Times New Roman" w:hAnsi="Times New Roman"/>
                <w:b/>
                <w:bCs/>
                <w:sz w:val="24"/>
                <w:szCs w:val="24"/>
              </w:rPr>
            </w:pPr>
            <w:r w:rsidRPr="009A7579">
              <w:rPr>
                <w:rFonts w:ascii="Times New Roman" w:hAnsi="Times New Roman"/>
                <w:b/>
                <w:bCs/>
                <w:sz w:val="24"/>
                <w:szCs w:val="24"/>
              </w:rPr>
              <w:t>A</w:t>
            </w:r>
          </w:p>
        </w:tc>
        <w:tc>
          <w:tcPr>
            <w:tcW w:w="961" w:type="dxa"/>
          </w:tcPr>
          <w:p w14:paraId="641B231A" w14:textId="77777777" w:rsidR="009A7579" w:rsidRPr="009A7579" w:rsidRDefault="009A7579" w:rsidP="009A7579">
            <w:pPr>
              <w:spacing w:line="240" w:lineRule="auto"/>
              <w:jc w:val="center"/>
              <w:rPr>
                <w:rFonts w:ascii="Times New Roman" w:hAnsi="Times New Roman"/>
                <w:b/>
                <w:bCs/>
                <w:sz w:val="24"/>
                <w:szCs w:val="24"/>
              </w:rPr>
            </w:pPr>
            <w:r w:rsidRPr="009A7579">
              <w:rPr>
                <w:rFonts w:ascii="Times New Roman" w:hAnsi="Times New Roman"/>
                <w:b/>
                <w:bCs/>
                <w:sz w:val="24"/>
                <w:szCs w:val="24"/>
              </w:rPr>
              <w:t>3.49</w:t>
            </w:r>
          </w:p>
        </w:tc>
        <w:tc>
          <w:tcPr>
            <w:tcW w:w="1789" w:type="dxa"/>
          </w:tcPr>
          <w:p w14:paraId="001E8C18" w14:textId="77777777" w:rsidR="009A7579" w:rsidRPr="009A7579" w:rsidRDefault="009A7579" w:rsidP="009A7579">
            <w:pPr>
              <w:spacing w:line="240" w:lineRule="auto"/>
              <w:jc w:val="center"/>
              <w:rPr>
                <w:rFonts w:ascii="Times New Roman" w:hAnsi="Times New Roman"/>
                <w:b/>
                <w:bCs/>
                <w:sz w:val="24"/>
                <w:szCs w:val="24"/>
              </w:rPr>
            </w:pPr>
            <w:r w:rsidRPr="009A7579">
              <w:rPr>
                <w:rFonts w:ascii="Times New Roman" w:hAnsi="Times New Roman"/>
                <w:b/>
                <w:bCs/>
                <w:sz w:val="24"/>
                <w:szCs w:val="24"/>
              </w:rPr>
              <w:t>A</w:t>
            </w:r>
          </w:p>
        </w:tc>
      </w:tr>
    </w:tbl>
    <w:p w14:paraId="0FCDBFF4" w14:textId="7294AF5F" w:rsidR="00165314" w:rsidRPr="009A7579" w:rsidRDefault="009A7579" w:rsidP="00F44221">
      <w:pPr>
        <w:pBdr>
          <w:top w:val="nil"/>
          <w:left w:val="nil"/>
          <w:bottom w:val="nil"/>
          <w:right w:val="nil"/>
          <w:between w:val="nil"/>
        </w:pBdr>
        <w:spacing w:line="240" w:lineRule="auto"/>
        <w:rPr>
          <w:rFonts w:eastAsia="Georgia"/>
          <w:bCs/>
          <w:iCs/>
          <w:color w:val="000000" w:themeColor="text1"/>
          <w:lang w:val="en-ID" w:bidi="en-US"/>
        </w:rPr>
      </w:pPr>
      <w:r w:rsidRPr="009A7579">
        <w:rPr>
          <w:rFonts w:eastAsia="Georgia"/>
          <w:bCs/>
          <w:i/>
          <w:iCs/>
          <w:color w:val="000000" w:themeColor="text1"/>
          <w:lang w:val="en-ID" w:bidi="en-US"/>
        </w:rPr>
        <w:t xml:space="preserve"> </w:t>
      </w:r>
      <w:r w:rsidR="00165314" w:rsidRPr="009A7579">
        <w:rPr>
          <w:rFonts w:eastAsia="Georgia"/>
          <w:bCs/>
          <w:i/>
          <w:iCs/>
          <w:color w:val="000000" w:themeColor="text1"/>
          <w:lang w:val="en-ID" w:bidi="en-US"/>
        </w:rPr>
        <w:t>Note</w:t>
      </w:r>
      <w:r w:rsidR="00165314" w:rsidRPr="009A7579">
        <w:rPr>
          <w:rFonts w:eastAsia="Georgia"/>
          <w:b/>
          <w:bCs/>
          <w:iCs/>
          <w:color w:val="000000" w:themeColor="text1"/>
          <w:lang w:val="en-ID" w:bidi="en-US"/>
        </w:rPr>
        <w:t xml:space="preserve">.  </w:t>
      </w:r>
      <w:r w:rsidR="00165314" w:rsidRPr="009A7579">
        <w:rPr>
          <w:rFonts w:eastAsia="Georgia"/>
          <w:bCs/>
          <w:iCs/>
          <w:color w:val="000000" w:themeColor="text1"/>
          <w:lang w:bidi="en-US"/>
        </w:rPr>
        <w:t>4.21–5.</w:t>
      </w:r>
      <w:proofErr w:type="gramStart"/>
      <w:r w:rsidR="00165314" w:rsidRPr="009A7579">
        <w:rPr>
          <w:rFonts w:eastAsia="Georgia"/>
          <w:bCs/>
          <w:iCs/>
          <w:color w:val="000000" w:themeColor="text1"/>
          <w:lang w:bidi="en-US"/>
        </w:rPr>
        <w:t>00  Highly</w:t>
      </w:r>
      <w:proofErr w:type="gramEnd"/>
      <w:r w:rsidR="00165314" w:rsidRPr="009A7579">
        <w:rPr>
          <w:rFonts w:eastAsia="Georgia"/>
          <w:bCs/>
          <w:iCs/>
          <w:color w:val="000000" w:themeColor="text1"/>
          <w:lang w:bidi="en-US"/>
        </w:rPr>
        <w:t xml:space="preserve"> Agree </w:t>
      </w:r>
      <w:r w:rsidR="00165314" w:rsidRPr="009A7579">
        <w:rPr>
          <w:rFonts w:eastAsia="Georgia"/>
          <w:b/>
          <w:bCs/>
          <w:iCs/>
          <w:color w:val="000000" w:themeColor="text1"/>
          <w:lang w:bidi="en-US"/>
        </w:rPr>
        <w:t>(HA)</w:t>
      </w:r>
      <w:r w:rsidR="00165314" w:rsidRPr="009A7579">
        <w:rPr>
          <w:rFonts w:eastAsia="Georgia"/>
          <w:bCs/>
          <w:iCs/>
          <w:color w:val="000000" w:themeColor="text1"/>
          <w:lang w:bidi="en-US"/>
        </w:rPr>
        <w:t xml:space="preserve"> 3.41–4.20 Agree </w:t>
      </w:r>
      <w:r w:rsidR="00165314" w:rsidRPr="009A7579">
        <w:rPr>
          <w:rFonts w:eastAsia="Georgia"/>
          <w:b/>
          <w:bCs/>
          <w:iCs/>
          <w:color w:val="000000" w:themeColor="text1"/>
          <w:lang w:bidi="en-US"/>
        </w:rPr>
        <w:t>(A)</w:t>
      </w:r>
      <w:r w:rsidR="00165314" w:rsidRPr="009A7579">
        <w:rPr>
          <w:rFonts w:eastAsia="Georgia"/>
          <w:bCs/>
          <w:iCs/>
          <w:color w:val="000000" w:themeColor="text1"/>
          <w:lang w:bidi="en-US"/>
        </w:rPr>
        <w:t xml:space="preserve"> 2.61–3.40 Neutral </w:t>
      </w:r>
      <w:r w:rsidR="00165314" w:rsidRPr="009A7579">
        <w:rPr>
          <w:rFonts w:eastAsia="Georgia"/>
          <w:b/>
          <w:bCs/>
          <w:iCs/>
          <w:color w:val="000000" w:themeColor="text1"/>
          <w:lang w:bidi="en-US"/>
        </w:rPr>
        <w:t>(N)</w:t>
      </w:r>
      <w:r w:rsidR="00165314" w:rsidRPr="009A7579">
        <w:rPr>
          <w:rFonts w:eastAsia="Georgia"/>
          <w:bCs/>
          <w:iCs/>
          <w:color w:val="000000" w:themeColor="text1"/>
          <w:lang w:bidi="en-US"/>
        </w:rPr>
        <w:t xml:space="preserve"> 1.81–2.60 </w:t>
      </w:r>
      <w:proofErr w:type="spellStart"/>
      <w:r w:rsidR="00165314" w:rsidRPr="009A7579">
        <w:rPr>
          <w:rFonts w:eastAsia="Georgia"/>
          <w:bCs/>
          <w:iCs/>
          <w:color w:val="000000" w:themeColor="text1"/>
          <w:lang w:bidi="en-US"/>
        </w:rPr>
        <w:t>Disagre</w:t>
      </w:r>
      <w:proofErr w:type="spellEnd"/>
      <w:r w:rsidR="00165314" w:rsidRPr="009A7579">
        <w:rPr>
          <w:rFonts w:eastAsia="Georgia"/>
          <w:bCs/>
          <w:iCs/>
          <w:color w:val="000000" w:themeColor="text1"/>
          <w:lang w:bidi="en-US"/>
        </w:rPr>
        <w:t xml:space="preserve"> </w:t>
      </w:r>
      <w:r w:rsidR="00165314" w:rsidRPr="009A7579">
        <w:rPr>
          <w:rFonts w:eastAsia="Georgia"/>
          <w:b/>
          <w:bCs/>
          <w:iCs/>
          <w:color w:val="000000" w:themeColor="text1"/>
          <w:lang w:bidi="en-US"/>
        </w:rPr>
        <w:t>(D)</w:t>
      </w:r>
      <w:r w:rsidR="00165314" w:rsidRPr="009A7579">
        <w:rPr>
          <w:rFonts w:eastAsia="Georgia"/>
          <w:bCs/>
          <w:iCs/>
          <w:color w:val="000000" w:themeColor="text1"/>
          <w:lang w:bidi="en-US"/>
        </w:rPr>
        <w:t xml:space="preserve"> 1.00–1.</w:t>
      </w:r>
      <w:proofErr w:type="gramStart"/>
      <w:r w:rsidR="00165314" w:rsidRPr="009A7579">
        <w:rPr>
          <w:rFonts w:eastAsia="Georgia"/>
          <w:bCs/>
          <w:iCs/>
          <w:color w:val="000000" w:themeColor="text1"/>
          <w:lang w:bidi="en-US"/>
        </w:rPr>
        <w:t>80  Strongly</w:t>
      </w:r>
      <w:proofErr w:type="gramEnd"/>
      <w:r w:rsidR="00165314" w:rsidRPr="009A7579">
        <w:rPr>
          <w:rFonts w:eastAsia="Georgia"/>
          <w:bCs/>
          <w:iCs/>
          <w:color w:val="000000" w:themeColor="text1"/>
          <w:lang w:bidi="en-US"/>
        </w:rPr>
        <w:t xml:space="preserve"> Disagree </w:t>
      </w:r>
      <w:r w:rsidR="00165314" w:rsidRPr="009A7579">
        <w:rPr>
          <w:rFonts w:eastAsia="Georgia"/>
          <w:b/>
          <w:bCs/>
          <w:iCs/>
          <w:color w:val="000000" w:themeColor="text1"/>
          <w:lang w:bidi="en-US"/>
        </w:rPr>
        <w:t>(SD)</w:t>
      </w:r>
      <w:r w:rsidR="00165314" w:rsidRPr="009A7579">
        <w:rPr>
          <w:rFonts w:eastAsia="Georgia"/>
          <w:bCs/>
          <w:iCs/>
          <w:color w:val="000000" w:themeColor="text1"/>
          <w:lang w:val="en-ID" w:bidi="en-US"/>
        </w:rPr>
        <w:t xml:space="preserve"> </w:t>
      </w:r>
    </w:p>
    <w:p w14:paraId="304AAC55" w14:textId="77777777" w:rsidR="002750BC" w:rsidRPr="009A7579" w:rsidRDefault="002750BC" w:rsidP="00F44221">
      <w:pPr>
        <w:pBdr>
          <w:top w:val="nil"/>
          <w:left w:val="nil"/>
          <w:bottom w:val="nil"/>
          <w:right w:val="nil"/>
          <w:between w:val="nil"/>
        </w:pBdr>
        <w:spacing w:line="240" w:lineRule="auto"/>
        <w:rPr>
          <w:rFonts w:eastAsia="Georgia"/>
          <w:bCs/>
          <w:iCs/>
          <w:color w:val="000000" w:themeColor="text1"/>
          <w:lang w:bidi="en-US"/>
        </w:rPr>
      </w:pPr>
    </w:p>
    <w:p w14:paraId="0875036C" w14:textId="6F6BF736" w:rsidR="00165314" w:rsidRDefault="00165314" w:rsidP="00F44221">
      <w:pPr>
        <w:pBdr>
          <w:top w:val="nil"/>
          <w:left w:val="nil"/>
          <w:bottom w:val="nil"/>
          <w:right w:val="nil"/>
          <w:between w:val="nil"/>
        </w:pBdr>
        <w:spacing w:line="240" w:lineRule="auto"/>
        <w:ind w:firstLine="720"/>
        <w:rPr>
          <w:rFonts w:eastAsia="Georgia"/>
          <w:bCs/>
          <w:iCs/>
          <w:noProof/>
          <w:color w:val="000000" w:themeColor="text1"/>
          <w:lang w:bidi="en-US"/>
        </w:rPr>
      </w:pPr>
      <w:r w:rsidRPr="009A7579">
        <w:rPr>
          <w:rFonts w:eastAsia="Georgia"/>
          <w:bCs/>
          <w:iCs/>
          <w:color w:val="000000" w:themeColor="text1"/>
          <w:lang w:bidi="en-US"/>
        </w:rPr>
        <w:t xml:space="preserve">The results indicate that peer influence has a stronger effect on literacy than on numeracy across both school settings, suggesting that learners benefit more from peer interaction in reading-related activities than in mathematical tasks. In urban schools, numeracy obtained a mean score of 3.22, interpreted as Neutral, while literacy obtained a higher mean of 3.48, interpreted as Agree. This indicates that although peer interaction provides some support in numeracy through collaboration and problem-solving, its influence is more pronounced in literacy, where learners are more motivated to read, discuss stories, and engage in shared reading </w:t>
      </w:r>
      <w:proofErr w:type="spellStart"/>
      <w:r w:rsidRPr="009A7579">
        <w:rPr>
          <w:rFonts w:eastAsia="Georgia"/>
          <w:bCs/>
          <w:iCs/>
          <w:color w:val="000000" w:themeColor="text1"/>
          <w:lang w:bidi="en-US"/>
        </w:rPr>
        <w:t>experiences.A</w:t>
      </w:r>
      <w:proofErr w:type="spellEnd"/>
      <w:r w:rsidRPr="009A7579">
        <w:rPr>
          <w:rFonts w:eastAsia="Georgia"/>
          <w:bCs/>
          <w:iCs/>
          <w:color w:val="000000" w:themeColor="text1"/>
          <w:lang w:bidi="en-US"/>
        </w:rPr>
        <w:t xml:space="preserve"> similar pattern is observed in rural schools, where numeracy recorded a mean of 3.39 (Neutral), while literacy obtained a slightly higher mean of 3.49 (Agree). These results suggest that peer interaction contributes more meaningfully to reading development than to numeracy, particularly through activities such as discussing stories, encouraging reading behavior, and learning vocabulary from classmates. Overall, the findings indicate a consistent pattern across both urban and rural settings, where literacy is more strongly influenced by peer interaction than numeracy, highlighting the important role of social learning in reading development among Grade 3 learners.</w:t>
      </w:r>
      <w:r w:rsidR="009A7579" w:rsidRPr="009A7579">
        <w:rPr>
          <w:rFonts w:eastAsia="Georgia"/>
          <w:bCs/>
          <w:iCs/>
          <w:noProof/>
          <w:color w:val="000000" w:themeColor="text1"/>
          <w:lang w:bidi="en-US"/>
        </w:rPr>
        <w:t xml:space="preserve"> </w:t>
      </w:r>
    </w:p>
    <w:p w14:paraId="237C6E14" w14:textId="77777777" w:rsidR="009A7579" w:rsidRPr="009A7579" w:rsidRDefault="009A7579" w:rsidP="00F44221">
      <w:pPr>
        <w:pBdr>
          <w:top w:val="nil"/>
          <w:left w:val="nil"/>
          <w:bottom w:val="nil"/>
          <w:right w:val="nil"/>
          <w:between w:val="nil"/>
        </w:pBdr>
        <w:spacing w:line="240" w:lineRule="auto"/>
        <w:ind w:firstLine="720"/>
        <w:rPr>
          <w:rFonts w:eastAsia="Georgia"/>
          <w:b/>
          <w:iCs/>
          <w:color w:val="000000" w:themeColor="text1"/>
          <w:lang w:bidi="en-US"/>
        </w:rPr>
      </w:pPr>
    </w:p>
    <w:p w14:paraId="755B204B" w14:textId="42D9A6A9" w:rsidR="002750BC" w:rsidRPr="009A7579" w:rsidRDefault="00165314" w:rsidP="00F44221">
      <w:pPr>
        <w:pBdr>
          <w:top w:val="nil"/>
          <w:left w:val="nil"/>
          <w:bottom w:val="nil"/>
          <w:right w:val="nil"/>
          <w:between w:val="nil"/>
        </w:pBdr>
        <w:spacing w:line="240" w:lineRule="auto"/>
        <w:rPr>
          <w:rFonts w:eastAsia="Georgia"/>
          <w:b/>
          <w:iCs/>
          <w:color w:val="000000" w:themeColor="text1"/>
          <w:lang w:val="en-ID" w:bidi="en-US"/>
        </w:rPr>
      </w:pPr>
      <w:r w:rsidRPr="009A7579">
        <w:rPr>
          <w:rFonts w:eastAsia="Georgia"/>
          <w:b/>
          <w:iCs/>
          <w:color w:val="000000" w:themeColor="text1"/>
          <w:lang w:val="en-ID" w:bidi="en-US"/>
        </w:rPr>
        <w:t>Figure 4. Peer Influence in Numeracy and Reading of Grade 3 Learners in Urban and Rural Schools</w:t>
      </w:r>
    </w:p>
    <w:p w14:paraId="141C6F9F" w14:textId="7797AA76" w:rsidR="00165314" w:rsidRPr="009A7579" w:rsidRDefault="009A7579" w:rsidP="00F44221">
      <w:pPr>
        <w:pBdr>
          <w:top w:val="nil"/>
          <w:left w:val="nil"/>
          <w:bottom w:val="nil"/>
          <w:right w:val="nil"/>
          <w:between w:val="nil"/>
        </w:pBdr>
        <w:spacing w:line="240" w:lineRule="auto"/>
        <w:rPr>
          <w:rFonts w:eastAsia="Georgia"/>
          <w:bCs/>
          <w:iCs/>
          <w:color w:val="000000" w:themeColor="text1"/>
          <w:lang w:bidi="en-US"/>
        </w:rPr>
      </w:pPr>
      <w:r w:rsidRPr="009A7579">
        <w:rPr>
          <w:rFonts w:eastAsia="Georgia"/>
          <w:bCs/>
          <w:iCs/>
          <w:noProof/>
          <w:color w:val="000000" w:themeColor="text1"/>
          <w:lang w:bidi="en-US"/>
        </w:rPr>
        <w:drawing>
          <wp:inline distT="0" distB="0" distL="0" distR="0" wp14:anchorId="230E2980" wp14:editId="715AD150">
            <wp:extent cx="2877058" cy="2035175"/>
            <wp:effectExtent l="0" t="0" r="0" b="3175"/>
            <wp:docPr id="18806899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576" cy="2036249"/>
                    </a:xfrm>
                    <a:prstGeom prst="rect">
                      <a:avLst/>
                    </a:prstGeom>
                    <a:noFill/>
                  </pic:spPr>
                </pic:pic>
              </a:graphicData>
            </a:graphic>
          </wp:inline>
        </w:drawing>
      </w:r>
    </w:p>
    <w:p w14:paraId="00401E95" w14:textId="4844C683" w:rsidR="00165314" w:rsidRPr="009A7579" w:rsidRDefault="00971CE4" w:rsidP="00F44221">
      <w:pPr>
        <w:pBdr>
          <w:top w:val="nil"/>
          <w:left w:val="nil"/>
          <w:bottom w:val="nil"/>
          <w:right w:val="nil"/>
          <w:between w:val="nil"/>
        </w:pBdr>
        <w:spacing w:line="240" w:lineRule="auto"/>
        <w:rPr>
          <w:rFonts w:eastAsia="Georgia"/>
          <w:b/>
          <w:iCs/>
          <w:color w:val="000000" w:themeColor="text1"/>
          <w:lang w:bidi="en-US"/>
        </w:rPr>
      </w:pPr>
      <w:r w:rsidRPr="009A7579">
        <w:rPr>
          <w:rFonts w:eastAsia="Georgia"/>
          <w:b/>
          <w:iCs/>
          <w:color w:val="000000" w:themeColor="text1"/>
          <w:lang w:bidi="en-US"/>
        </w:rPr>
        <w:lastRenderedPageBreak/>
        <w:t>Socio-Economic Status of Grade 3 Learners in Urban and Rural Schools</w:t>
      </w:r>
    </w:p>
    <w:p w14:paraId="03D86F7A" w14:textId="77777777" w:rsidR="00971CE4" w:rsidRPr="009A7579" w:rsidRDefault="00971CE4" w:rsidP="00F44221">
      <w:pPr>
        <w:pBdr>
          <w:top w:val="nil"/>
          <w:left w:val="nil"/>
          <w:bottom w:val="nil"/>
          <w:right w:val="nil"/>
          <w:between w:val="nil"/>
        </w:pBdr>
        <w:spacing w:line="240" w:lineRule="auto"/>
        <w:rPr>
          <w:rFonts w:eastAsia="Georgia"/>
          <w:b/>
          <w:iCs/>
          <w:color w:val="000000" w:themeColor="text1"/>
          <w:lang w:bidi="en-US"/>
        </w:rPr>
      </w:pPr>
    </w:p>
    <w:p w14:paraId="4E67BB2E" w14:textId="77777777" w:rsidR="00165314" w:rsidRPr="009A7579" w:rsidRDefault="00165314" w:rsidP="00F44221">
      <w:pPr>
        <w:pBdr>
          <w:top w:val="nil"/>
          <w:left w:val="nil"/>
          <w:bottom w:val="nil"/>
          <w:right w:val="nil"/>
          <w:between w:val="nil"/>
        </w:pBdr>
        <w:spacing w:line="240" w:lineRule="auto"/>
        <w:ind w:firstLine="720"/>
        <w:rPr>
          <w:rFonts w:eastAsia="Georgia"/>
          <w:bCs/>
          <w:iCs/>
          <w:color w:val="000000" w:themeColor="text1"/>
          <w:lang w:val="en-ID" w:bidi="en-US"/>
        </w:rPr>
      </w:pPr>
      <w:r w:rsidRPr="009A7579">
        <w:rPr>
          <w:rFonts w:eastAsia="Georgia"/>
          <w:bCs/>
          <w:iCs/>
          <w:color w:val="000000" w:themeColor="text1"/>
          <w:lang w:val="en-ID" w:bidi="en-US"/>
        </w:rPr>
        <w:t xml:space="preserve">Socio-economic status is an important factor that may influence the literacy and numeracy development of Grade 3 learners. It refers to the learners’ family background in terms of parents’ educational attainment, family income, and family size, which collectively affect the availability of learning resources, academic support, and educational opportunities at home. </w:t>
      </w:r>
    </w:p>
    <w:p w14:paraId="20BED009" w14:textId="4A3ECADF" w:rsidR="00165314" w:rsidRPr="009A7579" w:rsidRDefault="00165314" w:rsidP="00F44221">
      <w:pPr>
        <w:pBdr>
          <w:top w:val="nil"/>
          <w:left w:val="nil"/>
          <w:bottom w:val="nil"/>
          <w:right w:val="nil"/>
          <w:between w:val="nil"/>
        </w:pBdr>
        <w:spacing w:line="240" w:lineRule="auto"/>
        <w:rPr>
          <w:rFonts w:eastAsia="Georgia"/>
          <w:bCs/>
          <w:iCs/>
          <w:color w:val="000000" w:themeColor="text1"/>
          <w:lang w:val="en-PH" w:bidi="en-US"/>
        </w:rPr>
      </w:pPr>
      <w:r w:rsidRPr="009A7579">
        <w:rPr>
          <w:rFonts w:eastAsia="Georgia"/>
          <w:bCs/>
          <w:iCs/>
          <w:color w:val="000000" w:themeColor="text1"/>
          <w:lang w:bidi="en-US"/>
        </w:rPr>
        <w:tab/>
      </w:r>
      <w:r w:rsidRPr="009A7579">
        <w:rPr>
          <w:rFonts w:eastAsia="Georgia"/>
          <w:bCs/>
          <w:iCs/>
          <w:color w:val="000000" w:themeColor="text1"/>
          <w:lang w:val="en-PH" w:bidi="en-US"/>
        </w:rPr>
        <w:t>Table 6 presents the socio-economic characteristics of Grade 3 learners in urban and rural schools in terms of head of household education, estimated family income, and family size</w:t>
      </w:r>
    </w:p>
    <w:p w14:paraId="560F80CE" w14:textId="77777777" w:rsidR="00165314" w:rsidRPr="009A7579" w:rsidRDefault="00165314" w:rsidP="00F44221">
      <w:pPr>
        <w:pBdr>
          <w:top w:val="nil"/>
          <w:left w:val="nil"/>
          <w:bottom w:val="nil"/>
          <w:right w:val="nil"/>
          <w:between w:val="nil"/>
        </w:pBdr>
        <w:spacing w:line="240" w:lineRule="auto"/>
        <w:rPr>
          <w:rFonts w:eastAsia="Georgia"/>
          <w:bCs/>
          <w:iCs/>
          <w:color w:val="000000" w:themeColor="text1"/>
          <w:lang w:val="en-PH" w:bidi="en-US"/>
        </w:rPr>
      </w:pPr>
    </w:p>
    <w:p w14:paraId="7EE0EA07" w14:textId="12F531FF" w:rsidR="00165314" w:rsidRPr="009A7579" w:rsidRDefault="00165314" w:rsidP="00F44221">
      <w:pPr>
        <w:pBdr>
          <w:top w:val="nil"/>
          <w:left w:val="nil"/>
          <w:bottom w:val="nil"/>
          <w:right w:val="nil"/>
          <w:between w:val="nil"/>
        </w:pBdr>
        <w:spacing w:line="240" w:lineRule="auto"/>
        <w:rPr>
          <w:rFonts w:eastAsia="Georgia"/>
          <w:b/>
          <w:color w:val="000000" w:themeColor="text1"/>
          <w:lang w:val="en-ID" w:bidi="en-US"/>
        </w:rPr>
      </w:pPr>
      <w:r w:rsidRPr="009A7579">
        <w:rPr>
          <w:rFonts w:eastAsia="Georgia"/>
          <w:b/>
          <w:color w:val="000000" w:themeColor="text1"/>
          <w:lang w:val="en-ID" w:bidi="en-US"/>
        </w:rPr>
        <w:t>Table 6. Socio-economic status of Grade 3 Learners in Urban and Rural Schools</w:t>
      </w:r>
    </w:p>
    <w:p w14:paraId="469944CE" w14:textId="77777777" w:rsidR="00165314" w:rsidRPr="009A7579" w:rsidRDefault="00165314" w:rsidP="00F44221">
      <w:pPr>
        <w:pBdr>
          <w:top w:val="nil"/>
          <w:left w:val="nil"/>
          <w:bottom w:val="nil"/>
          <w:right w:val="nil"/>
          <w:between w:val="nil"/>
        </w:pBdr>
        <w:spacing w:line="240" w:lineRule="auto"/>
        <w:rPr>
          <w:rFonts w:eastAsia="Georgia"/>
          <w:bCs/>
          <w:iCs/>
          <w:color w:val="000000" w:themeColor="text1"/>
          <w:lang w:val="en-PH" w:bidi="en-US"/>
        </w:rPr>
      </w:pPr>
    </w:p>
    <w:tbl>
      <w:tblPr>
        <w:tblStyle w:val="TableGrid1"/>
        <w:tblW w:w="10485" w:type="dxa"/>
        <w:jc w:val="center"/>
        <w:tblLook w:val="04A0" w:firstRow="1" w:lastRow="0" w:firstColumn="1" w:lastColumn="0" w:noHBand="0" w:noVBand="1"/>
      </w:tblPr>
      <w:tblGrid>
        <w:gridCol w:w="2790"/>
        <w:gridCol w:w="727"/>
        <w:gridCol w:w="1343"/>
        <w:gridCol w:w="1620"/>
        <w:gridCol w:w="771"/>
        <w:gridCol w:w="920"/>
        <w:gridCol w:w="2314"/>
      </w:tblGrid>
      <w:tr w:rsidR="00165314" w:rsidRPr="009A7579" w14:paraId="342D2D56" w14:textId="77777777" w:rsidTr="005D5A2E">
        <w:trPr>
          <w:trHeight w:val="337"/>
          <w:jc w:val="center"/>
        </w:trPr>
        <w:tc>
          <w:tcPr>
            <w:tcW w:w="2790" w:type="dxa"/>
            <w:vMerge w:val="restart"/>
            <w:noWrap/>
            <w:hideMark/>
          </w:tcPr>
          <w:p w14:paraId="0AFA9ADE"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
                <w:bCs/>
                <w:iCs/>
                <w:color w:val="000000" w:themeColor="text1"/>
                <w:sz w:val="24"/>
                <w:szCs w:val="24"/>
                <w:lang w:bidi="en-US"/>
              </w:rPr>
            </w:pPr>
            <w:r w:rsidRPr="009A7579">
              <w:rPr>
                <w:rFonts w:ascii="Times New Roman" w:eastAsia="Georgia" w:hAnsi="Times New Roman"/>
                <w:b/>
                <w:bCs/>
                <w:iCs/>
                <w:color w:val="000000" w:themeColor="text1"/>
                <w:sz w:val="24"/>
                <w:szCs w:val="24"/>
                <w:lang w:bidi="en-US"/>
              </w:rPr>
              <w:t>Attributes</w:t>
            </w:r>
          </w:p>
        </w:tc>
        <w:tc>
          <w:tcPr>
            <w:tcW w:w="3690" w:type="dxa"/>
            <w:gridSpan w:val="3"/>
            <w:noWrap/>
            <w:hideMark/>
          </w:tcPr>
          <w:p w14:paraId="4B13F849"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
                <w:bCs/>
                <w:iCs/>
                <w:color w:val="000000" w:themeColor="text1"/>
                <w:sz w:val="24"/>
                <w:szCs w:val="24"/>
                <w:lang w:bidi="en-US"/>
              </w:rPr>
            </w:pPr>
            <w:r w:rsidRPr="009A7579">
              <w:rPr>
                <w:rFonts w:ascii="Times New Roman" w:eastAsia="Georgia" w:hAnsi="Times New Roman"/>
                <w:b/>
                <w:bCs/>
                <w:iCs/>
                <w:color w:val="000000" w:themeColor="text1"/>
                <w:sz w:val="24"/>
                <w:szCs w:val="24"/>
                <w:lang w:bidi="en-US"/>
              </w:rPr>
              <w:t>Urban School</w:t>
            </w:r>
          </w:p>
        </w:tc>
        <w:tc>
          <w:tcPr>
            <w:tcW w:w="4005" w:type="dxa"/>
            <w:gridSpan w:val="3"/>
            <w:noWrap/>
            <w:hideMark/>
          </w:tcPr>
          <w:p w14:paraId="5828E6DA"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
                <w:bCs/>
                <w:iCs/>
                <w:color w:val="000000" w:themeColor="text1"/>
                <w:sz w:val="24"/>
                <w:szCs w:val="24"/>
                <w:lang w:bidi="en-US"/>
              </w:rPr>
            </w:pPr>
            <w:r w:rsidRPr="009A7579">
              <w:rPr>
                <w:rFonts w:ascii="Times New Roman" w:eastAsia="Georgia" w:hAnsi="Times New Roman"/>
                <w:b/>
                <w:bCs/>
                <w:iCs/>
                <w:color w:val="000000" w:themeColor="text1"/>
                <w:sz w:val="24"/>
                <w:szCs w:val="24"/>
                <w:lang w:bidi="en-US"/>
              </w:rPr>
              <w:t>Rural School</w:t>
            </w:r>
          </w:p>
        </w:tc>
      </w:tr>
      <w:tr w:rsidR="00165314" w:rsidRPr="009A7579" w14:paraId="62F3681F" w14:textId="77777777" w:rsidTr="005D5A2E">
        <w:trPr>
          <w:trHeight w:val="342"/>
          <w:jc w:val="center"/>
        </w:trPr>
        <w:tc>
          <w:tcPr>
            <w:tcW w:w="2790" w:type="dxa"/>
            <w:vMerge/>
            <w:hideMark/>
          </w:tcPr>
          <w:p w14:paraId="4431048C"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
                <w:bCs/>
                <w:iCs/>
                <w:color w:val="000000" w:themeColor="text1"/>
                <w:sz w:val="24"/>
                <w:szCs w:val="24"/>
                <w:lang w:bidi="en-US"/>
              </w:rPr>
            </w:pPr>
          </w:p>
        </w:tc>
        <w:tc>
          <w:tcPr>
            <w:tcW w:w="727" w:type="dxa"/>
            <w:vMerge w:val="restart"/>
            <w:noWrap/>
            <w:hideMark/>
          </w:tcPr>
          <w:p w14:paraId="27885391"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
                <w:bCs/>
                <w:i/>
                <w:iCs/>
                <w:color w:val="000000" w:themeColor="text1"/>
                <w:sz w:val="24"/>
                <w:szCs w:val="24"/>
                <w:lang w:bidi="en-US"/>
              </w:rPr>
            </w:pPr>
            <w:r w:rsidRPr="009A7579">
              <w:rPr>
                <w:rFonts w:ascii="Times New Roman" w:eastAsia="Georgia" w:hAnsi="Times New Roman"/>
                <w:b/>
                <w:bCs/>
                <w:i/>
                <w:iCs/>
                <w:color w:val="000000" w:themeColor="text1"/>
                <w:sz w:val="24"/>
                <w:szCs w:val="24"/>
                <w:lang w:bidi="en-US"/>
              </w:rPr>
              <w:t>f</w:t>
            </w:r>
          </w:p>
        </w:tc>
        <w:tc>
          <w:tcPr>
            <w:tcW w:w="1343" w:type="dxa"/>
            <w:vMerge w:val="restart"/>
            <w:noWrap/>
            <w:hideMark/>
          </w:tcPr>
          <w:p w14:paraId="33FA99F3"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
                <w:bCs/>
                <w:i/>
                <w:iCs/>
                <w:color w:val="000000" w:themeColor="text1"/>
                <w:sz w:val="24"/>
                <w:szCs w:val="24"/>
                <w:lang w:bidi="en-US"/>
              </w:rPr>
            </w:pPr>
            <w:r w:rsidRPr="009A7579">
              <w:rPr>
                <w:rFonts w:ascii="Times New Roman" w:eastAsia="Georgia" w:hAnsi="Times New Roman"/>
                <w:b/>
                <w:bCs/>
                <w:i/>
                <w:iCs/>
                <w:color w:val="000000" w:themeColor="text1"/>
                <w:sz w:val="24"/>
                <w:szCs w:val="24"/>
                <w:lang w:bidi="en-US"/>
              </w:rPr>
              <w:t>%</w:t>
            </w:r>
          </w:p>
        </w:tc>
        <w:tc>
          <w:tcPr>
            <w:tcW w:w="1620" w:type="dxa"/>
            <w:vMerge w:val="restart"/>
            <w:hideMark/>
          </w:tcPr>
          <w:p w14:paraId="2FF0C290"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
                <w:bCs/>
                <w:i/>
                <w:iCs/>
                <w:color w:val="000000" w:themeColor="text1"/>
                <w:sz w:val="24"/>
                <w:szCs w:val="24"/>
                <w:lang w:bidi="en-US"/>
              </w:rPr>
            </w:pPr>
            <w:r w:rsidRPr="009A7579">
              <w:rPr>
                <w:rFonts w:ascii="Times New Roman" w:eastAsia="Georgia" w:hAnsi="Times New Roman"/>
                <w:b/>
                <w:bCs/>
                <w:i/>
                <w:iCs/>
                <w:color w:val="000000" w:themeColor="text1"/>
                <w:sz w:val="24"/>
                <w:szCs w:val="24"/>
                <w:lang w:bidi="en-US"/>
              </w:rPr>
              <w:t>Interpretation</w:t>
            </w:r>
          </w:p>
        </w:tc>
        <w:tc>
          <w:tcPr>
            <w:tcW w:w="771" w:type="dxa"/>
            <w:vMerge w:val="restart"/>
            <w:noWrap/>
            <w:hideMark/>
          </w:tcPr>
          <w:p w14:paraId="4264EC7F"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
                <w:bCs/>
                <w:i/>
                <w:iCs/>
                <w:color w:val="000000" w:themeColor="text1"/>
                <w:sz w:val="24"/>
                <w:szCs w:val="24"/>
                <w:lang w:bidi="en-US"/>
              </w:rPr>
            </w:pPr>
            <w:r w:rsidRPr="009A7579">
              <w:rPr>
                <w:rFonts w:ascii="Times New Roman" w:eastAsia="Georgia" w:hAnsi="Times New Roman"/>
                <w:b/>
                <w:bCs/>
                <w:i/>
                <w:iCs/>
                <w:color w:val="000000" w:themeColor="text1"/>
                <w:sz w:val="24"/>
                <w:szCs w:val="24"/>
                <w:lang w:bidi="en-US"/>
              </w:rPr>
              <w:t>f</w:t>
            </w:r>
          </w:p>
        </w:tc>
        <w:tc>
          <w:tcPr>
            <w:tcW w:w="920" w:type="dxa"/>
            <w:vMerge w:val="restart"/>
            <w:noWrap/>
            <w:hideMark/>
          </w:tcPr>
          <w:p w14:paraId="34D1AA57"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
                <w:bCs/>
                <w:i/>
                <w:iCs/>
                <w:color w:val="000000" w:themeColor="text1"/>
                <w:sz w:val="24"/>
                <w:szCs w:val="24"/>
                <w:lang w:bidi="en-US"/>
              </w:rPr>
            </w:pPr>
            <w:r w:rsidRPr="009A7579">
              <w:rPr>
                <w:rFonts w:ascii="Times New Roman" w:eastAsia="Georgia" w:hAnsi="Times New Roman"/>
                <w:b/>
                <w:bCs/>
                <w:i/>
                <w:iCs/>
                <w:color w:val="000000" w:themeColor="text1"/>
                <w:sz w:val="24"/>
                <w:szCs w:val="24"/>
                <w:lang w:bidi="en-US"/>
              </w:rPr>
              <w:t>%</w:t>
            </w:r>
          </w:p>
        </w:tc>
        <w:tc>
          <w:tcPr>
            <w:tcW w:w="2314" w:type="dxa"/>
            <w:vMerge w:val="restart"/>
            <w:hideMark/>
          </w:tcPr>
          <w:p w14:paraId="6A809C27"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
                <w:bCs/>
                <w:i/>
                <w:iCs/>
                <w:color w:val="000000" w:themeColor="text1"/>
                <w:sz w:val="24"/>
                <w:szCs w:val="24"/>
                <w:lang w:bidi="en-US"/>
              </w:rPr>
            </w:pPr>
            <w:r w:rsidRPr="009A7579">
              <w:rPr>
                <w:rFonts w:ascii="Times New Roman" w:eastAsia="Georgia" w:hAnsi="Times New Roman"/>
                <w:b/>
                <w:bCs/>
                <w:i/>
                <w:iCs/>
                <w:color w:val="000000" w:themeColor="text1"/>
                <w:sz w:val="24"/>
                <w:szCs w:val="24"/>
                <w:lang w:bidi="en-US"/>
              </w:rPr>
              <w:t>Interpretation</w:t>
            </w:r>
          </w:p>
        </w:tc>
      </w:tr>
      <w:tr w:rsidR="00165314" w:rsidRPr="009A7579" w14:paraId="4619C264" w14:textId="77777777" w:rsidTr="005D5A2E">
        <w:trPr>
          <w:trHeight w:val="342"/>
          <w:jc w:val="center"/>
        </w:trPr>
        <w:tc>
          <w:tcPr>
            <w:tcW w:w="2790" w:type="dxa"/>
            <w:vMerge/>
            <w:hideMark/>
          </w:tcPr>
          <w:p w14:paraId="2EEE52F1"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p>
        </w:tc>
        <w:tc>
          <w:tcPr>
            <w:tcW w:w="727" w:type="dxa"/>
            <w:vMerge/>
            <w:hideMark/>
          </w:tcPr>
          <w:p w14:paraId="07F0ADB0"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
                <w:iCs/>
                <w:color w:val="000000" w:themeColor="text1"/>
                <w:sz w:val="24"/>
                <w:szCs w:val="24"/>
                <w:lang w:bidi="en-US"/>
              </w:rPr>
            </w:pPr>
          </w:p>
        </w:tc>
        <w:tc>
          <w:tcPr>
            <w:tcW w:w="1343" w:type="dxa"/>
            <w:vMerge/>
            <w:hideMark/>
          </w:tcPr>
          <w:p w14:paraId="3743ED03"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
                <w:iCs/>
                <w:color w:val="000000" w:themeColor="text1"/>
                <w:sz w:val="24"/>
                <w:szCs w:val="24"/>
                <w:lang w:bidi="en-US"/>
              </w:rPr>
            </w:pPr>
          </w:p>
        </w:tc>
        <w:tc>
          <w:tcPr>
            <w:tcW w:w="1620" w:type="dxa"/>
            <w:vMerge/>
            <w:hideMark/>
          </w:tcPr>
          <w:p w14:paraId="43E86F25"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
                <w:iCs/>
                <w:color w:val="000000" w:themeColor="text1"/>
                <w:sz w:val="24"/>
                <w:szCs w:val="24"/>
                <w:lang w:bidi="en-US"/>
              </w:rPr>
            </w:pPr>
          </w:p>
        </w:tc>
        <w:tc>
          <w:tcPr>
            <w:tcW w:w="771" w:type="dxa"/>
            <w:vMerge/>
            <w:hideMark/>
          </w:tcPr>
          <w:p w14:paraId="46FCBD3A"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
                <w:iCs/>
                <w:color w:val="000000" w:themeColor="text1"/>
                <w:sz w:val="24"/>
                <w:szCs w:val="24"/>
                <w:lang w:bidi="en-US"/>
              </w:rPr>
            </w:pPr>
          </w:p>
        </w:tc>
        <w:tc>
          <w:tcPr>
            <w:tcW w:w="920" w:type="dxa"/>
            <w:vMerge/>
            <w:hideMark/>
          </w:tcPr>
          <w:p w14:paraId="68F42B4A"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
                <w:iCs/>
                <w:color w:val="000000" w:themeColor="text1"/>
                <w:sz w:val="24"/>
                <w:szCs w:val="24"/>
                <w:lang w:bidi="en-US"/>
              </w:rPr>
            </w:pPr>
          </w:p>
        </w:tc>
        <w:tc>
          <w:tcPr>
            <w:tcW w:w="2314" w:type="dxa"/>
            <w:vMerge/>
            <w:hideMark/>
          </w:tcPr>
          <w:p w14:paraId="7A2DB230"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
                <w:iCs/>
                <w:color w:val="000000" w:themeColor="text1"/>
                <w:sz w:val="24"/>
                <w:szCs w:val="24"/>
                <w:lang w:bidi="en-US"/>
              </w:rPr>
            </w:pPr>
          </w:p>
        </w:tc>
      </w:tr>
      <w:tr w:rsidR="00165314" w:rsidRPr="009A7579" w14:paraId="5FFA6F3A" w14:textId="77777777" w:rsidTr="005D5A2E">
        <w:trPr>
          <w:trHeight w:val="221"/>
          <w:jc w:val="center"/>
        </w:trPr>
        <w:tc>
          <w:tcPr>
            <w:tcW w:w="10483" w:type="dxa"/>
            <w:gridSpan w:val="7"/>
            <w:noWrap/>
            <w:hideMark/>
          </w:tcPr>
          <w:p w14:paraId="65433FFB"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
                <w:bCs/>
                <w:iCs/>
                <w:color w:val="000000" w:themeColor="text1"/>
                <w:sz w:val="24"/>
                <w:szCs w:val="24"/>
                <w:lang w:bidi="en-US"/>
              </w:rPr>
            </w:pPr>
            <w:r w:rsidRPr="009A7579">
              <w:rPr>
                <w:rFonts w:ascii="Times New Roman" w:eastAsia="Georgia" w:hAnsi="Times New Roman"/>
                <w:b/>
                <w:bCs/>
                <w:iCs/>
                <w:color w:val="000000" w:themeColor="text1"/>
                <w:sz w:val="24"/>
                <w:szCs w:val="24"/>
                <w:lang w:bidi="en-US"/>
              </w:rPr>
              <w:t>Parents’ Educational Attainment</w:t>
            </w:r>
          </w:p>
        </w:tc>
      </w:tr>
      <w:tr w:rsidR="00165314" w:rsidRPr="009A7579" w14:paraId="01D31B65" w14:textId="77777777" w:rsidTr="005D5A2E">
        <w:trPr>
          <w:trHeight w:val="221"/>
          <w:jc w:val="center"/>
        </w:trPr>
        <w:tc>
          <w:tcPr>
            <w:tcW w:w="2790" w:type="dxa"/>
            <w:noWrap/>
            <w:hideMark/>
          </w:tcPr>
          <w:p w14:paraId="2589E541"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Did not finish elementary</w:t>
            </w:r>
          </w:p>
        </w:tc>
        <w:tc>
          <w:tcPr>
            <w:tcW w:w="727" w:type="dxa"/>
            <w:noWrap/>
            <w:hideMark/>
          </w:tcPr>
          <w:p w14:paraId="362CB8A5"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8</w:t>
            </w:r>
          </w:p>
        </w:tc>
        <w:tc>
          <w:tcPr>
            <w:tcW w:w="1343" w:type="dxa"/>
            <w:noWrap/>
            <w:hideMark/>
          </w:tcPr>
          <w:p w14:paraId="6CB45719"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6%</w:t>
            </w:r>
          </w:p>
        </w:tc>
        <w:tc>
          <w:tcPr>
            <w:tcW w:w="1620" w:type="dxa"/>
            <w:hideMark/>
          </w:tcPr>
          <w:p w14:paraId="5D7E4D05"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VL</w:t>
            </w:r>
          </w:p>
        </w:tc>
        <w:tc>
          <w:tcPr>
            <w:tcW w:w="771" w:type="dxa"/>
            <w:noWrap/>
            <w:hideMark/>
          </w:tcPr>
          <w:p w14:paraId="515DAB3B"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10</w:t>
            </w:r>
          </w:p>
        </w:tc>
        <w:tc>
          <w:tcPr>
            <w:tcW w:w="920" w:type="dxa"/>
            <w:noWrap/>
            <w:hideMark/>
          </w:tcPr>
          <w:p w14:paraId="117EDE4A"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16%</w:t>
            </w:r>
          </w:p>
        </w:tc>
        <w:tc>
          <w:tcPr>
            <w:tcW w:w="2314" w:type="dxa"/>
            <w:hideMark/>
          </w:tcPr>
          <w:p w14:paraId="4B2266EB"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VL</w:t>
            </w:r>
          </w:p>
        </w:tc>
      </w:tr>
      <w:tr w:rsidR="00165314" w:rsidRPr="009A7579" w14:paraId="0691983A" w14:textId="77777777" w:rsidTr="005D5A2E">
        <w:trPr>
          <w:trHeight w:val="221"/>
          <w:jc w:val="center"/>
        </w:trPr>
        <w:tc>
          <w:tcPr>
            <w:tcW w:w="2790" w:type="dxa"/>
            <w:noWrap/>
            <w:hideMark/>
          </w:tcPr>
          <w:p w14:paraId="1ACE92E3"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Elementary Graduate</w:t>
            </w:r>
          </w:p>
        </w:tc>
        <w:tc>
          <w:tcPr>
            <w:tcW w:w="727" w:type="dxa"/>
            <w:noWrap/>
            <w:hideMark/>
          </w:tcPr>
          <w:p w14:paraId="01E5D3DB"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14</w:t>
            </w:r>
          </w:p>
        </w:tc>
        <w:tc>
          <w:tcPr>
            <w:tcW w:w="1343" w:type="dxa"/>
            <w:noWrap/>
            <w:hideMark/>
          </w:tcPr>
          <w:p w14:paraId="68FD2451"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10%</w:t>
            </w:r>
          </w:p>
        </w:tc>
        <w:tc>
          <w:tcPr>
            <w:tcW w:w="1620" w:type="dxa"/>
            <w:hideMark/>
          </w:tcPr>
          <w:p w14:paraId="52671443"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VL</w:t>
            </w:r>
          </w:p>
        </w:tc>
        <w:tc>
          <w:tcPr>
            <w:tcW w:w="771" w:type="dxa"/>
            <w:noWrap/>
            <w:hideMark/>
          </w:tcPr>
          <w:p w14:paraId="57814134"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19</w:t>
            </w:r>
          </w:p>
        </w:tc>
        <w:tc>
          <w:tcPr>
            <w:tcW w:w="920" w:type="dxa"/>
            <w:noWrap/>
            <w:hideMark/>
          </w:tcPr>
          <w:p w14:paraId="14AF5331"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31%</w:t>
            </w:r>
          </w:p>
        </w:tc>
        <w:tc>
          <w:tcPr>
            <w:tcW w:w="2314" w:type="dxa"/>
            <w:hideMark/>
          </w:tcPr>
          <w:p w14:paraId="25173679"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L</w:t>
            </w:r>
          </w:p>
        </w:tc>
      </w:tr>
      <w:tr w:rsidR="00165314" w:rsidRPr="009A7579" w14:paraId="15ADC40B" w14:textId="77777777" w:rsidTr="005D5A2E">
        <w:trPr>
          <w:trHeight w:val="253"/>
          <w:jc w:val="center"/>
        </w:trPr>
        <w:tc>
          <w:tcPr>
            <w:tcW w:w="2790" w:type="dxa"/>
            <w:noWrap/>
            <w:hideMark/>
          </w:tcPr>
          <w:p w14:paraId="1A899B80"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Highschool Graduate</w:t>
            </w:r>
          </w:p>
        </w:tc>
        <w:tc>
          <w:tcPr>
            <w:tcW w:w="727" w:type="dxa"/>
            <w:noWrap/>
            <w:hideMark/>
          </w:tcPr>
          <w:p w14:paraId="2C1F3A58"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53</w:t>
            </w:r>
          </w:p>
        </w:tc>
        <w:tc>
          <w:tcPr>
            <w:tcW w:w="1343" w:type="dxa"/>
            <w:noWrap/>
            <w:hideMark/>
          </w:tcPr>
          <w:p w14:paraId="450E0854"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37%</w:t>
            </w:r>
          </w:p>
        </w:tc>
        <w:tc>
          <w:tcPr>
            <w:tcW w:w="1620" w:type="dxa"/>
            <w:hideMark/>
          </w:tcPr>
          <w:p w14:paraId="4662477F"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L</w:t>
            </w:r>
          </w:p>
        </w:tc>
        <w:tc>
          <w:tcPr>
            <w:tcW w:w="771" w:type="dxa"/>
            <w:noWrap/>
            <w:hideMark/>
          </w:tcPr>
          <w:p w14:paraId="435DA9D4"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20</w:t>
            </w:r>
          </w:p>
        </w:tc>
        <w:tc>
          <w:tcPr>
            <w:tcW w:w="920" w:type="dxa"/>
            <w:noWrap/>
            <w:hideMark/>
          </w:tcPr>
          <w:p w14:paraId="7B4909EC"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33%</w:t>
            </w:r>
          </w:p>
        </w:tc>
        <w:tc>
          <w:tcPr>
            <w:tcW w:w="2314" w:type="dxa"/>
            <w:hideMark/>
          </w:tcPr>
          <w:p w14:paraId="3C0E8FC1"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L</w:t>
            </w:r>
          </w:p>
        </w:tc>
      </w:tr>
      <w:tr w:rsidR="00165314" w:rsidRPr="009A7579" w14:paraId="12E2CFF6" w14:textId="77777777" w:rsidTr="005D5A2E">
        <w:trPr>
          <w:trHeight w:val="221"/>
          <w:jc w:val="center"/>
        </w:trPr>
        <w:tc>
          <w:tcPr>
            <w:tcW w:w="2790" w:type="dxa"/>
            <w:noWrap/>
            <w:hideMark/>
          </w:tcPr>
          <w:p w14:paraId="4646A72C"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College Graduate</w:t>
            </w:r>
          </w:p>
        </w:tc>
        <w:tc>
          <w:tcPr>
            <w:tcW w:w="727" w:type="dxa"/>
            <w:noWrap/>
            <w:hideMark/>
          </w:tcPr>
          <w:p w14:paraId="1F882046"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68</w:t>
            </w:r>
          </w:p>
        </w:tc>
        <w:tc>
          <w:tcPr>
            <w:tcW w:w="1343" w:type="dxa"/>
            <w:noWrap/>
            <w:hideMark/>
          </w:tcPr>
          <w:p w14:paraId="444AD660"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48%</w:t>
            </w:r>
          </w:p>
        </w:tc>
        <w:tc>
          <w:tcPr>
            <w:tcW w:w="1620" w:type="dxa"/>
            <w:hideMark/>
          </w:tcPr>
          <w:p w14:paraId="060EFC84"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M</w:t>
            </w:r>
          </w:p>
        </w:tc>
        <w:tc>
          <w:tcPr>
            <w:tcW w:w="771" w:type="dxa"/>
            <w:noWrap/>
            <w:hideMark/>
          </w:tcPr>
          <w:p w14:paraId="07FA0D0D"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12</w:t>
            </w:r>
          </w:p>
        </w:tc>
        <w:tc>
          <w:tcPr>
            <w:tcW w:w="920" w:type="dxa"/>
            <w:noWrap/>
            <w:hideMark/>
          </w:tcPr>
          <w:p w14:paraId="1ED36EF0"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20%</w:t>
            </w:r>
          </w:p>
        </w:tc>
        <w:tc>
          <w:tcPr>
            <w:tcW w:w="2314" w:type="dxa"/>
            <w:hideMark/>
          </w:tcPr>
          <w:p w14:paraId="30539E0B"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VL</w:t>
            </w:r>
          </w:p>
        </w:tc>
      </w:tr>
      <w:tr w:rsidR="00165314" w:rsidRPr="009A7579" w14:paraId="0E0337D4" w14:textId="77777777" w:rsidTr="005D5A2E">
        <w:trPr>
          <w:trHeight w:val="221"/>
          <w:jc w:val="center"/>
        </w:trPr>
        <w:tc>
          <w:tcPr>
            <w:tcW w:w="10483" w:type="dxa"/>
            <w:gridSpan w:val="7"/>
            <w:noWrap/>
            <w:hideMark/>
          </w:tcPr>
          <w:p w14:paraId="2250BA2E"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
                <w:bCs/>
                <w:iCs/>
                <w:color w:val="000000" w:themeColor="text1"/>
                <w:sz w:val="24"/>
                <w:szCs w:val="24"/>
                <w:lang w:bidi="en-US"/>
              </w:rPr>
              <w:t>Estimated Family Income</w:t>
            </w:r>
          </w:p>
        </w:tc>
      </w:tr>
      <w:tr w:rsidR="00165314" w:rsidRPr="009A7579" w14:paraId="35337485" w14:textId="77777777" w:rsidTr="005D5A2E">
        <w:trPr>
          <w:trHeight w:val="221"/>
          <w:jc w:val="center"/>
        </w:trPr>
        <w:tc>
          <w:tcPr>
            <w:tcW w:w="2790" w:type="dxa"/>
            <w:noWrap/>
            <w:hideMark/>
          </w:tcPr>
          <w:p w14:paraId="2C816D93"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Below ₱5,000</w:t>
            </w:r>
          </w:p>
        </w:tc>
        <w:tc>
          <w:tcPr>
            <w:tcW w:w="727" w:type="dxa"/>
            <w:noWrap/>
            <w:hideMark/>
          </w:tcPr>
          <w:p w14:paraId="7C5564A9"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33</w:t>
            </w:r>
          </w:p>
        </w:tc>
        <w:tc>
          <w:tcPr>
            <w:tcW w:w="1343" w:type="dxa"/>
            <w:noWrap/>
            <w:hideMark/>
          </w:tcPr>
          <w:p w14:paraId="73039370"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23%</w:t>
            </w:r>
          </w:p>
        </w:tc>
        <w:tc>
          <w:tcPr>
            <w:tcW w:w="1620" w:type="dxa"/>
            <w:hideMark/>
          </w:tcPr>
          <w:p w14:paraId="6B3C2D31"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L</w:t>
            </w:r>
          </w:p>
        </w:tc>
        <w:tc>
          <w:tcPr>
            <w:tcW w:w="771" w:type="dxa"/>
            <w:noWrap/>
            <w:hideMark/>
          </w:tcPr>
          <w:p w14:paraId="7E9E943A"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30</w:t>
            </w:r>
          </w:p>
        </w:tc>
        <w:tc>
          <w:tcPr>
            <w:tcW w:w="920" w:type="dxa"/>
            <w:noWrap/>
            <w:hideMark/>
          </w:tcPr>
          <w:p w14:paraId="24A976C6"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49%</w:t>
            </w:r>
          </w:p>
        </w:tc>
        <w:tc>
          <w:tcPr>
            <w:tcW w:w="2314" w:type="dxa"/>
            <w:hideMark/>
          </w:tcPr>
          <w:p w14:paraId="143E4D98"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M</w:t>
            </w:r>
          </w:p>
        </w:tc>
      </w:tr>
      <w:tr w:rsidR="00165314" w:rsidRPr="009A7579" w14:paraId="1FE49726" w14:textId="77777777" w:rsidTr="005D5A2E">
        <w:trPr>
          <w:trHeight w:val="221"/>
          <w:jc w:val="center"/>
        </w:trPr>
        <w:tc>
          <w:tcPr>
            <w:tcW w:w="2790" w:type="dxa"/>
            <w:noWrap/>
            <w:hideMark/>
          </w:tcPr>
          <w:p w14:paraId="1209E3EB"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₱5,000 – ₱10,000</w:t>
            </w:r>
          </w:p>
        </w:tc>
        <w:tc>
          <w:tcPr>
            <w:tcW w:w="727" w:type="dxa"/>
            <w:noWrap/>
            <w:hideMark/>
          </w:tcPr>
          <w:p w14:paraId="20795A6E"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54</w:t>
            </w:r>
          </w:p>
        </w:tc>
        <w:tc>
          <w:tcPr>
            <w:tcW w:w="1343" w:type="dxa"/>
            <w:noWrap/>
            <w:hideMark/>
          </w:tcPr>
          <w:p w14:paraId="6A8F004E"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37%</w:t>
            </w:r>
          </w:p>
        </w:tc>
        <w:tc>
          <w:tcPr>
            <w:tcW w:w="1620" w:type="dxa"/>
            <w:hideMark/>
          </w:tcPr>
          <w:p w14:paraId="0B0BA215"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L</w:t>
            </w:r>
          </w:p>
        </w:tc>
        <w:tc>
          <w:tcPr>
            <w:tcW w:w="771" w:type="dxa"/>
            <w:noWrap/>
            <w:hideMark/>
          </w:tcPr>
          <w:p w14:paraId="5855A8C3"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18</w:t>
            </w:r>
          </w:p>
        </w:tc>
        <w:tc>
          <w:tcPr>
            <w:tcW w:w="920" w:type="dxa"/>
            <w:noWrap/>
            <w:hideMark/>
          </w:tcPr>
          <w:p w14:paraId="69383653"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30%</w:t>
            </w:r>
          </w:p>
        </w:tc>
        <w:tc>
          <w:tcPr>
            <w:tcW w:w="2314" w:type="dxa"/>
            <w:hideMark/>
          </w:tcPr>
          <w:p w14:paraId="2C89072A"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L</w:t>
            </w:r>
          </w:p>
        </w:tc>
      </w:tr>
      <w:tr w:rsidR="00165314" w:rsidRPr="009A7579" w14:paraId="6E931B5C" w14:textId="77777777" w:rsidTr="005D5A2E">
        <w:trPr>
          <w:trHeight w:val="221"/>
          <w:jc w:val="center"/>
        </w:trPr>
        <w:tc>
          <w:tcPr>
            <w:tcW w:w="2790" w:type="dxa"/>
            <w:noWrap/>
            <w:hideMark/>
          </w:tcPr>
          <w:p w14:paraId="1F874BD2"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₱10,001 – ₱20,000</w:t>
            </w:r>
          </w:p>
        </w:tc>
        <w:tc>
          <w:tcPr>
            <w:tcW w:w="727" w:type="dxa"/>
            <w:noWrap/>
            <w:hideMark/>
          </w:tcPr>
          <w:p w14:paraId="247487EA"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35</w:t>
            </w:r>
          </w:p>
        </w:tc>
        <w:tc>
          <w:tcPr>
            <w:tcW w:w="1343" w:type="dxa"/>
            <w:noWrap/>
            <w:hideMark/>
          </w:tcPr>
          <w:p w14:paraId="258EE092"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24%</w:t>
            </w:r>
          </w:p>
        </w:tc>
        <w:tc>
          <w:tcPr>
            <w:tcW w:w="1620" w:type="dxa"/>
            <w:hideMark/>
          </w:tcPr>
          <w:p w14:paraId="7549FC3B"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L</w:t>
            </w:r>
          </w:p>
        </w:tc>
        <w:tc>
          <w:tcPr>
            <w:tcW w:w="771" w:type="dxa"/>
            <w:noWrap/>
            <w:hideMark/>
          </w:tcPr>
          <w:p w14:paraId="325E504E"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11</w:t>
            </w:r>
          </w:p>
        </w:tc>
        <w:tc>
          <w:tcPr>
            <w:tcW w:w="920" w:type="dxa"/>
            <w:noWrap/>
            <w:hideMark/>
          </w:tcPr>
          <w:p w14:paraId="673B9753"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18%</w:t>
            </w:r>
          </w:p>
        </w:tc>
        <w:tc>
          <w:tcPr>
            <w:tcW w:w="2314" w:type="dxa"/>
            <w:hideMark/>
          </w:tcPr>
          <w:p w14:paraId="742946EE"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VL</w:t>
            </w:r>
          </w:p>
        </w:tc>
      </w:tr>
      <w:tr w:rsidR="00165314" w:rsidRPr="009A7579" w14:paraId="7EED23DF" w14:textId="77777777" w:rsidTr="005D5A2E">
        <w:trPr>
          <w:trHeight w:val="221"/>
          <w:jc w:val="center"/>
        </w:trPr>
        <w:tc>
          <w:tcPr>
            <w:tcW w:w="2790" w:type="dxa"/>
            <w:noWrap/>
            <w:hideMark/>
          </w:tcPr>
          <w:p w14:paraId="1C8D7EDA"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Above ₱20,000</w:t>
            </w:r>
          </w:p>
        </w:tc>
        <w:tc>
          <w:tcPr>
            <w:tcW w:w="727" w:type="dxa"/>
            <w:noWrap/>
            <w:hideMark/>
          </w:tcPr>
          <w:p w14:paraId="7B48305B"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21</w:t>
            </w:r>
          </w:p>
        </w:tc>
        <w:tc>
          <w:tcPr>
            <w:tcW w:w="1343" w:type="dxa"/>
            <w:noWrap/>
            <w:hideMark/>
          </w:tcPr>
          <w:p w14:paraId="1B7417FC"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14%</w:t>
            </w:r>
          </w:p>
        </w:tc>
        <w:tc>
          <w:tcPr>
            <w:tcW w:w="1620" w:type="dxa"/>
            <w:hideMark/>
          </w:tcPr>
          <w:p w14:paraId="4FC8DB03"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VL</w:t>
            </w:r>
          </w:p>
        </w:tc>
        <w:tc>
          <w:tcPr>
            <w:tcW w:w="771" w:type="dxa"/>
            <w:noWrap/>
            <w:hideMark/>
          </w:tcPr>
          <w:p w14:paraId="6786F255"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2</w:t>
            </w:r>
          </w:p>
        </w:tc>
        <w:tc>
          <w:tcPr>
            <w:tcW w:w="920" w:type="dxa"/>
            <w:noWrap/>
            <w:hideMark/>
          </w:tcPr>
          <w:p w14:paraId="3F0B8477"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3%</w:t>
            </w:r>
          </w:p>
        </w:tc>
        <w:tc>
          <w:tcPr>
            <w:tcW w:w="2314" w:type="dxa"/>
            <w:hideMark/>
          </w:tcPr>
          <w:p w14:paraId="37E59E0D"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VL</w:t>
            </w:r>
          </w:p>
        </w:tc>
      </w:tr>
      <w:tr w:rsidR="00165314" w:rsidRPr="009A7579" w14:paraId="37EC7D84" w14:textId="77777777" w:rsidTr="005D5A2E">
        <w:trPr>
          <w:trHeight w:val="221"/>
          <w:jc w:val="center"/>
        </w:trPr>
        <w:tc>
          <w:tcPr>
            <w:tcW w:w="10483" w:type="dxa"/>
            <w:gridSpan w:val="7"/>
            <w:noWrap/>
            <w:hideMark/>
          </w:tcPr>
          <w:p w14:paraId="6A862954"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
                <w:bCs/>
                <w:iCs/>
                <w:color w:val="000000" w:themeColor="text1"/>
                <w:sz w:val="24"/>
                <w:szCs w:val="24"/>
                <w:lang w:bidi="en-US"/>
              </w:rPr>
              <w:t>Family Size</w:t>
            </w:r>
          </w:p>
        </w:tc>
      </w:tr>
      <w:tr w:rsidR="00165314" w:rsidRPr="009A7579" w14:paraId="35D55E4B" w14:textId="77777777" w:rsidTr="005D5A2E">
        <w:trPr>
          <w:trHeight w:val="221"/>
          <w:jc w:val="center"/>
        </w:trPr>
        <w:tc>
          <w:tcPr>
            <w:tcW w:w="2790" w:type="dxa"/>
            <w:noWrap/>
            <w:hideMark/>
          </w:tcPr>
          <w:p w14:paraId="0698106A"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3 members and below</w:t>
            </w:r>
          </w:p>
        </w:tc>
        <w:tc>
          <w:tcPr>
            <w:tcW w:w="727" w:type="dxa"/>
            <w:noWrap/>
            <w:hideMark/>
          </w:tcPr>
          <w:p w14:paraId="12BA75B9"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17</w:t>
            </w:r>
          </w:p>
        </w:tc>
        <w:tc>
          <w:tcPr>
            <w:tcW w:w="1343" w:type="dxa"/>
            <w:noWrap/>
            <w:hideMark/>
          </w:tcPr>
          <w:p w14:paraId="1642EB10"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12%</w:t>
            </w:r>
          </w:p>
        </w:tc>
        <w:tc>
          <w:tcPr>
            <w:tcW w:w="1620" w:type="dxa"/>
            <w:hideMark/>
          </w:tcPr>
          <w:p w14:paraId="204088C6"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VL</w:t>
            </w:r>
          </w:p>
        </w:tc>
        <w:tc>
          <w:tcPr>
            <w:tcW w:w="771" w:type="dxa"/>
            <w:noWrap/>
            <w:hideMark/>
          </w:tcPr>
          <w:p w14:paraId="66CBE41A"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4</w:t>
            </w:r>
          </w:p>
        </w:tc>
        <w:tc>
          <w:tcPr>
            <w:tcW w:w="920" w:type="dxa"/>
            <w:noWrap/>
            <w:hideMark/>
          </w:tcPr>
          <w:p w14:paraId="36FAA0EC"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7%</w:t>
            </w:r>
          </w:p>
        </w:tc>
        <w:tc>
          <w:tcPr>
            <w:tcW w:w="2314" w:type="dxa"/>
            <w:hideMark/>
          </w:tcPr>
          <w:p w14:paraId="47FC51A7"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VL</w:t>
            </w:r>
          </w:p>
        </w:tc>
      </w:tr>
      <w:tr w:rsidR="00165314" w:rsidRPr="009A7579" w14:paraId="441145E5" w14:textId="77777777" w:rsidTr="005D5A2E">
        <w:trPr>
          <w:trHeight w:val="221"/>
          <w:jc w:val="center"/>
        </w:trPr>
        <w:tc>
          <w:tcPr>
            <w:tcW w:w="2790" w:type="dxa"/>
            <w:noWrap/>
            <w:hideMark/>
          </w:tcPr>
          <w:p w14:paraId="558F28EE"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4 – 6 members</w:t>
            </w:r>
          </w:p>
        </w:tc>
        <w:tc>
          <w:tcPr>
            <w:tcW w:w="727" w:type="dxa"/>
            <w:noWrap/>
            <w:hideMark/>
          </w:tcPr>
          <w:p w14:paraId="70220973"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85</w:t>
            </w:r>
          </w:p>
        </w:tc>
        <w:tc>
          <w:tcPr>
            <w:tcW w:w="1343" w:type="dxa"/>
            <w:noWrap/>
            <w:hideMark/>
          </w:tcPr>
          <w:p w14:paraId="64D17C8F"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59%</w:t>
            </w:r>
          </w:p>
        </w:tc>
        <w:tc>
          <w:tcPr>
            <w:tcW w:w="1620" w:type="dxa"/>
            <w:hideMark/>
          </w:tcPr>
          <w:p w14:paraId="53A4567C"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M</w:t>
            </w:r>
          </w:p>
        </w:tc>
        <w:tc>
          <w:tcPr>
            <w:tcW w:w="771" w:type="dxa"/>
            <w:noWrap/>
            <w:hideMark/>
          </w:tcPr>
          <w:p w14:paraId="6296B966"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32</w:t>
            </w:r>
          </w:p>
        </w:tc>
        <w:tc>
          <w:tcPr>
            <w:tcW w:w="920" w:type="dxa"/>
            <w:noWrap/>
            <w:hideMark/>
          </w:tcPr>
          <w:p w14:paraId="4B535C8A"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52%</w:t>
            </w:r>
          </w:p>
        </w:tc>
        <w:tc>
          <w:tcPr>
            <w:tcW w:w="2314" w:type="dxa"/>
            <w:hideMark/>
          </w:tcPr>
          <w:p w14:paraId="5811F5D8"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M</w:t>
            </w:r>
          </w:p>
        </w:tc>
      </w:tr>
      <w:tr w:rsidR="00165314" w:rsidRPr="009A7579" w14:paraId="3FA84525" w14:textId="77777777" w:rsidTr="005D5A2E">
        <w:trPr>
          <w:trHeight w:val="221"/>
          <w:jc w:val="center"/>
        </w:trPr>
        <w:tc>
          <w:tcPr>
            <w:tcW w:w="2790" w:type="dxa"/>
            <w:noWrap/>
            <w:hideMark/>
          </w:tcPr>
          <w:p w14:paraId="65B347A4"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7 – 9 members</w:t>
            </w:r>
          </w:p>
        </w:tc>
        <w:tc>
          <w:tcPr>
            <w:tcW w:w="727" w:type="dxa"/>
            <w:noWrap/>
            <w:hideMark/>
          </w:tcPr>
          <w:p w14:paraId="29D05C89"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31</w:t>
            </w:r>
          </w:p>
        </w:tc>
        <w:tc>
          <w:tcPr>
            <w:tcW w:w="1343" w:type="dxa"/>
            <w:noWrap/>
            <w:hideMark/>
          </w:tcPr>
          <w:p w14:paraId="397AB435"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21%</w:t>
            </w:r>
          </w:p>
        </w:tc>
        <w:tc>
          <w:tcPr>
            <w:tcW w:w="1620" w:type="dxa"/>
            <w:hideMark/>
          </w:tcPr>
          <w:p w14:paraId="33603730"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L</w:t>
            </w:r>
          </w:p>
        </w:tc>
        <w:tc>
          <w:tcPr>
            <w:tcW w:w="771" w:type="dxa"/>
            <w:noWrap/>
            <w:hideMark/>
          </w:tcPr>
          <w:p w14:paraId="0D31EF6D"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17</w:t>
            </w:r>
          </w:p>
        </w:tc>
        <w:tc>
          <w:tcPr>
            <w:tcW w:w="920" w:type="dxa"/>
            <w:noWrap/>
            <w:hideMark/>
          </w:tcPr>
          <w:p w14:paraId="4FBAEAE9"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28%</w:t>
            </w:r>
          </w:p>
        </w:tc>
        <w:tc>
          <w:tcPr>
            <w:tcW w:w="2314" w:type="dxa"/>
            <w:hideMark/>
          </w:tcPr>
          <w:p w14:paraId="50D2BCF8"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L</w:t>
            </w:r>
          </w:p>
        </w:tc>
      </w:tr>
      <w:tr w:rsidR="00165314" w:rsidRPr="009A7579" w14:paraId="5DB942A0" w14:textId="77777777" w:rsidTr="005D5A2E">
        <w:trPr>
          <w:trHeight w:val="221"/>
          <w:jc w:val="center"/>
        </w:trPr>
        <w:tc>
          <w:tcPr>
            <w:tcW w:w="2790" w:type="dxa"/>
            <w:noWrap/>
            <w:hideMark/>
          </w:tcPr>
          <w:p w14:paraId="3571681F"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10 members and above</w:t>
            </w:r>
          </w:p>
        </w:tc>
        <w:tc>
          <w:tcPr>
            <w:tcW w:w="727" w:type="dxa"/>
            <w:noWrap/>
            <w:hideMark/>
          </w:tcPr>
          <w:p w14:paraId="5AB43245"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10</w:t>
            </w:r>
          </w:p>
        </w:tc>
        <w:tc>
          <w:tcPr>
            <w:tcW w:w="1343" w:type="dxa"/>
            <w:noWrap/>
            <w:hideMark/>
          </w:tcPr>
          <w:p w14:paraId="4DF96612"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7%</w:t>
            </w:r>
          </w:p>
        </w:tc>
        <w:tc>
          <w:tcPr>
            <w:tcW w:w="1620" w:type="dxa"/>
            <w:hideMark/>
          </w:tcPr>
          <w:p w14:paraId="73CD94AE"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VL</w:t>
            </w:r>
          </w:p>
        </w:tc>
        <w:tc>
          <w:tcPr>
            <w:tcW w:w="771" w:type="dxa"/>
            <w:noWrap/>
            <w:hideMark/>
          </w:tcPr>
          <w:p w14:paraId="30CDD6BD"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8</w:t>
            </w:r>
          </w:p>
        </w:tc>
        <w:tc>
          <w:tcPr>
            <w:tcW w:w="920" w:type="dxa"/>
            <w:noWrap/>
            <w:hideMark/>
          </w:tcPr>
          <w:p w14:paraId="63B3F07E"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13%</w:t>
            </w:r>
          </w:p>
        </w:tc>
        <w:tc>
          <w:tcPr>
            <w:tcW w:w="2314" w:type="dxa"/>
            <w:hideMark/>
          </w:tcPr>
          <w:p w14:paraId="091DF7D4" w14:textId="77777777" w:rsidR="00165314" w:rsidRPr="009A7579" w:rsidRDefault="00165314" w:rsidP="00F44221">
            <w:pPr>
              <w:pBdr>
                <w:top w:val="nil"/>
                <w:left w:val="nil"/>
                <w:bottom w:val="nil"/>
                <w:right w:val="nil"/>
                <w:between w:val="nil"/>
              </w:pBdr>
              <w:spacing w:line="240" w:lineRule="auto"/>
              <w:jc w:val="both"/>
              <w:rPr>
                <w:rFonts w:ascii="Times New Roman" w:eastAsia="Georgia" w:hAnsi="Times New Roman"/>
                <w:bCs/>
                <w:iCs/>
                <w:color w:val="000000" w:themeColor="text1"/>
                <w:sz w:val="24"/>
                <w:szCs w:val="24"/>
                <w:lang w:bidi="en-US"/>
              </w:rPr>
            </w:pPr>
            <w:r w:rsidRPr="009A7579">
              <w:rPr>
                <w:rFonts w:ascii="Times New Roman" w:eastAsia="Georgia" w:hAnsi="Times New Roman"/>
                <w:bCs/>
                <w:iCs/>
                <w:color w:val="000000" w:themeColor="text1"/>
                <w:sz w:val="24"/>
                <w:szCs w:val="24"/>
                <w:lang w:bidi="en-US"/>
              </w:rPr>
              <w:t>VL</w:t>
            </w:r>
          </w:p>
        </w:tc>
      </w:tr>
    </w:tbl>
    <w:p w14:paraId="73AD861D" w14:textId="17F69081" w:rsidR="00165314" w:rsidRPr="009A7579" w:rsidRDefault="00165314" w:rsidP="00F44221">
      <w:pPr>
        <w:pBdr>
          <w:top w:val="nil"/>
          <w:left w:val="nil"/>
          <w:bottom w:val="nil"/>
          <w:right w:val="nil"/>
          <w:between w:val="nil"/>
        </w:pBdr>
        <w:spacing w:line="240" w:lineRule="auto"/>
        <w:rPr>
          <w:rFonts w:eastAsia="Georgia"/>
          <w:bCs/>
          <w:iCs/>
          <w:color w:val="000000" w:themeColor="text1"/>
          <w:lang w:val="en-ID" w:bidi="en-US"/>
        </w:rPr>
      </w:pPr>
      <w:r w:rsidRPr="009A7579">
        <w:rPr>
          <w:rFonts w:eastAsia="Georgia"/>
          <w:bCs/>
          <w:i/>
          <w:iCs/>
          <w:color w:val="000000" w:themeColor="text1"/>
          <w:lang w:val="en-ID" w:bidi="en-US"/>
        </w:rPr>
        <w:t>Note.</w:t>
      </w:r>
      <w:r w:rsidRPr="009A7579">
        <w:rPr>
          <w:rFonts w:eastAsia="Georgia"/>
          <w:bCs/>
          <w:iCs/>
          <w:color w:val="000000" w:themeColor="text1"/>
          <w:lang w:val="en-ID" w:bidi="en-US"/>
        </w:rPr>
        <w:t xml:space="preserve"> f = frequency; % = percentage; 81% - 100% - Very High (VH) 61% - 80% - High (H) 41% - 60% - Moderate (M) 21% - 40% - Low 0% - 20% - Very Low (VL)</w:t>
      </w:r>
    </w:p>
    <w:p w14:paraId="088BEB65" w14:textId="77777777" w:rsidR="00165314" w:rsidRPr="009A7579" w:rsidRDefault="00165314" w:rsidP="00F44221">
      <w:pPr>
        <w:pBdr>
          <w:top w:val="nil"/>
          <w:left w:val="nil"/>
          <w:bottom w:val="nil"/>
          <w:right w:val="nil"/>
          <w:between w:val="nil"/>
        </w:pBdr>
        <w:spacing w:line="240" w:lineRule="auto"/>
        <w:rPr>
          <w:rFonts w:eastAsia="Georgia"/>
          <w:bCs/>
          <w:iCs/>
          <w:color w:val="000000" w:themeColor="text1"/>
          <w:lang w:val="en-PH" w:bidi="en-US"/>
        </w:rPr>
      </w:pPr>
    </w:p>
    <w:p w14:paraId="1E46E233" w14:textId="77777777" w:rsidR="00165314" w:rsidRPr="009A7579" w:rsidRDefault="00165314" w:rsidP="00F44221">
      <w:pPr>
        <w:pBdr>
          <w:top w:val="nil"/>
          <w:left w:val="nil"/>
          <w:bottom w:val="nil"/>
          <w:right w:val="nil"/>
          <w:between w:val="nil"/>
        </w:pBdr>
        <w:spacing w:line="240" w:lineRule="auto"/>
        <w:ind w:firstLine="720"/>
        <w:rPr>
          <w:rFonts w:eastAsia="Georgia"/>
          <w:bCs/>
          <w:iCs/>
          <w:color w:val="000000" w:themeColor="text1"/>
          <w:lang w:bidi="en-US"/>
        </w:rPr>
      </w:pPr>
      <w:r w:rsidRPr="009A7579">
        <w:rPr>
          <w:rFonts w:eastAsia="Georgia"/>
          <w:bCs/>
          <w:iCs/>
          <w:color w:val="000000" w:themeColor="text1"/>
          <w:lang w:bidi="en-US"/>
        </w:rPr>
        <w:t>The results highlight clear differences in socio-economic conditions between urban and rural learners, particularly in parental educational attainment and household income, while showing a relatively similar pattern in family size. In terms of head of household education, urban learners mostly come from families where parents are high school graduates (37%) and college graduates (48%), indicating a generally higher level of educational attainment among urban households. In contrast, rural learners are predominantly from households where parents are high school graduates (33%) and elementary graduates (31%), with only a smaller proportion having college-educated parents (20%), reflecting lower overall educational attainment in rural areas.</w:t>
      </w:r>
    </w:p>
    <w:p w14:paraId="4B5A7CCA" w14:textId="6CB9B27C" w:rsidR="00D71A8D" w:rsidRPr="009A7579" w:rsidRDefault="00165314" w:rsidP="00F44221">
      <w:pPr>
        <w:pBdr>
          <w:top w:val="nil"/>
          <w:left w:val="nil"/>
          <w:bottom w:val="nil"/>
          <w:right w:val="nil"/>
          <w:between w:val="nil"/>
        </w:pBdr>
        <w:spacing w:line="240" w:lineRule="auto"/>
        <w:ind w:firstLine="720"/>
        <w:rPr>
          <w:rFonts w:eastAsia="Georgia"/>
          <w:bCs/>
          <w:iCs/>
          <w:color w:val="000000" w:themeColor="text1"/>
          <w:lang w:bidi="en-US"/>
        </w:rPr>
      </w:pPr>
      <w:r w:rsidRPr="009A7579">
        <w:rPr>
          <w:rFonts w:eastAsia="Georgia"/>
          <w:bCs/>
          <w:iCs/>
          <w:color w:val="000000" w:themeColor="text1"/>
          <w:lang w:bidi="en-US"/>
        </w:rPr>
        <w:t>Regarding estimated family income, urban households are distributed across low to middle income levels, with most families earning ₱5,000–₱10,000 (37%) and ₱10,001–₱20,000 (24%), while a smaller proportion (14%) fall within the higher income bracket (above ₱20,000). In contrast, rural households are largely concentrated in the lowest income category, with 49% earning below ₱5,000, indicating more pronounced economic constraints. Meanwhile, family size patterns are relatively similar in both settings, with most learners belonging to medium-sized families of 4–6 members, although rural areas show a slightly higher proportion of larger households. Overall, the findings suggest that urban learners generally come from more advantaged socio-economic backgrounds compared to rural learners, which may have implications for access to learning resources and academic support at home.</w:t>
      </w:r>
    </w:p>
    <w:p w14:paraId="6F5BE63C" w14:textId="77777777" w:rsidR="00971CE4" w:rsidRPr="009A7579" w:rsidRDefault="00971CE4" w:rsidP="00F44221">
      <w:pPr>
        <w:pBdr>
          <w:top w:val="nil"/>
          <w:left w:val="nil"/>
          <w:bottom w:val="nil"/>
          <w:right w:val="nil"/>
          <w:between w:val="nil"/>
        </w:pBdr>
        <w:spacing w:line="240" w:lineRule="auto"/>
        <w:ind w:firstLine="720"/>
        <w:rPr>
          <w:rFonts w:eastAsia="Georgia"/>
          <w:bCs/>
          <w:iCs/>
          <w:color w:val="000000" w:themeColor="text1"/>
          <w:lang w:bidi="en-US"/>
        </w:rPr>
      </w:pPr>
    </w:p>
    <w:p w14:paraId="67074CE6" w14:textId="7B69B573" w:rsidR="00971CE4" w:rsidRPr="009A7579" w:rsidRDefault="00971CE4" w:rsidP="00F44221">
      <w:pPr>
        <w:pStyle w:val="Default"/>
        <w:tabs>
          <w:tab w:val="left" w:pos="630"/>
          <w:tab w:val="left" w:pos="9360"/>
        </w:tabs>
        <w:jc w:val="both"/>
        <w:rPr>
          <w:b/>
          <w:bCs/>
          <w:color w:val="auto"/>
        </w:rPr>
      </w:pPr>
      <w:r w:rsidRPr="009A7579">
        <w:rPr>
          <w:b/>
          <w:bCs/>
          <w:color w:val="auto"/>
        </w:rPr>
        <w:t>Influence of Physical Learning Environment, Social Environment, Socio-Economic Status and School Location profile on the Numerical Ability of Grade 3 Learners</w:t>
      </w:r>
    </w:p>
    <w:p w14:paraId="29F87D8A" w14:textId="4089E738" w:rsidR="00993EEE" w:rsidRPr="009A7579" w:rsidRDefault="00993EEE" w:rsidP="00F44221">
      <w:pPr>
        <w:pBdr>
          <w:top w:val="nil"/>
          <w:left w:val="nil"/>
          <w:bottom w:val="nil"/>
          <w:right w:val="nil"/>
          <w:between w:val="nil"/>
        </w:pBdr>
        <w:spacing w:line="240" w:lineRule="auto"/>
        <w:ind w:firstLine="720"/>
        <w:rPr>
          <w:rFonts w:eastAsia="Georgia"/>
          <w:bCs/>
          <w:iCs/>
          <w:color w:val="000000" w:themeColor="text1"/>
          <w:lang w:bidi="en-US"/>
        </w:rPr>
      </w:pPr>
      <w:r w:rsidRPr="009A7579">
        <w:rPr>
          <w:rFonts w:eastAsia="Georgia"/>
          <w:bCs/>
          <w:iCs/>
          <w:color w:val="000000" w:themeColor="text1"/>
          <w:lang w:bidi="en-US"/>
        </w:rPr>
        <w:t xml:space="preserve">In numerical ability, the Linear Mixed Model (LMM) results revealed that the overall model predicting Grade 3 learners’ numeracy (ALNAT scores) was statistically significant (LRT = 68.688, p &lt; .001), with a </w:t>
      </w:r>
      <w:r w:rsidRPr="009A7579">
        <w:rPr>
          <w:rFonts w:eastAsia="Georgia"/>
          <w:bCs/>
          <w:iCs/>
          <w:color w:val="000000" w:themeColor="text1"/>
          <w:lang w:bidi="en-US"/>
        </w:rPr>
        <w:lastRenderedPageBreak/>
        <w:t>marginal and conditional R² of 0.305, indicating that 30.5% of the variance in numeracy performance was explained by the combined fixed effects and school-level clustering. However, the random effects analysis showed minimal variation between school locations, with an ICC of 3.24e−5, suggesting that most variability in numeracy scores was attributed to individual learner differences rather than between-school differences.</w:t>
      </w:r>
    </w:p>
    <w:p w14:paraId="5E07A353" w14:textId="3518B72C" w:rsidR="00D71A8D" w:rsidRDefault="00993EEE" w:rsidP="00F44221">
      <w:pPr>
        <w:pBdr>
          <w:top w:val="nil"/>
          <w:left w:val="nil"/>
          <w:bottom w:val="nil"/>
          <w:right w:val="nil"/>
          <w:between w:val="nil"/>
        </w:pBdr>
        <w:spacing w:line="240" w:lineRule="auto"/>
        <w:ind w:firstLine="720"/>
        <w:rPr>
          <w:rFonts w:eastAsia="Georgia"/>
          <w:bCs/>
          <w:iCs/>
          <w:color w:val="000000" w:themeColor="text1"/>
          <w:lang w:bidi="en-US"/>
        </w:rPr>
      </w:pPr>
      <w:r w:rsidRPr="009A7579">
        <w:rPr>
          <w:rFonts w:eastAsia="Georgia"/>
          <w:bCs/>
          <w:iCs/>
          <w:color w:val="000000" w:themeColor="text1"/>
          <w:lang w:bidi="en-US"/>
        </w:rPr>
        <w:t>In terms of predictors, Physical Learning Environment emerged as a significant negative predictor of numeracy performance (β = −0.2886, p &lt; .001), indicating that poorer school conditions are associated with lower ALNAT scores. Parental Involvement showed a significant positive effect (β = 4.0117, p = .030), suggesting that higher parental engagement contributes to improved numeracy outcomes. Family Size was also a significant negative predictor (β = −1.5101, p = .023), indicating lower performance among learners from larger households. Additionally, School Location showed a significant effect (β = 14.1227, p &lt; .001), reflecting differences in numeracy performance between urban and rural settings. In contrast, Peer Influence, Parents’ Educational Attainment, and Family Income were not statistically significant predictors of numeracy performance (p &gt; .05). Overall, the findings indicate that numeracy performance is primarily influenced by school environment, parental involvement, and household structure rather than peer or socio-economic factors.</w:t>
      </w:r>
    </w:p>
    <w:p w14:paraId="3791D39D" w14:textId="77777777" w:rsidR="009A7579" w:rsidRDefault="009A7579" w:rsidP="00F44221">
      <w:pPr>
        <w:pBdr>
          <w:top w:val="nil"/>
          <w:left w:val="nil"/>
          <w:bottom w:val="nil"/>
          <w:right w:val="nil"/>
          <w:between w:val="nil"/>
        </w:pBdr>
        <w:spacing w:line="240" w:lineRule="auto"/>
        <w:ind w:firstLine="720"/>
        <w:rPr>
          <w:rFonts w:eastAsia="Georgia"/>
          <w:bCs/>
          <w:iCs/>
          <w:color w:val="000000" w:themeColor="text1"/>
          <w:lang w:bidi="en-US"/>
        </w:rPr>
      </w:pPr>
    </w:p>
    <w:tbl>
      <w:tblPr>
        <w:tblStyle w:val="TableGrid1"/>
        <w:tblpPr w:leftFromText="180" w:rightFromText="180" w:vertAnchor="text" w:horzAnchor="margin" w:tblpY="362"/>
        <w:tblW w:w="9707" w:type="dxa"/>
        <w:tblLook w:val="04A0" w:firstRow="1" w:lastRow="0" w:firstColumn="1" w:lastColumn="0" w:noHBand="0" w:noVBand="1"/>
      </w:tblPr>
      <w:tblGrid>
        <w:gridCol w:w="1564"/>
        <w:gridCol w:w="1291"/>
        <w:gridCol w:w="1291"/>
        <w:gridCol w:w="1163"/>
        <w:gridCol w:w="1291"/>
        <w:gridCol w:w="840"/>
        <w:gridCol w:w="1163"/>
        <w:gridCol w:w="1051"/>
        <w:gridCol w:w="53"/>
      </w:tblGrid>
      <w:tr w:rsidR="009A7579" w:rsidRPr="00656BEB" w14:paraId="64EE2330" w14:textId="77777777" w:rsidTr="00656BEB">
        <w:trPr>
          <w:trHeight w:val="265"/>
        </w:trPr>
        <w:tc>
          <w:tcPr>
            <w:tcW w:w="1524" w:type="dxa"/>
            <w:hideMark/>
          </w:tcPr>
          <w:p w14:paraId="6F43B55E" w14:textId="77777777" w:rsidR="009A7579" w:rsidRPr="00656BEB" w:rsidRDefault="009A7579" w:rsidP="009A7579">
            <w:pPr>
              <w:spacing w:line="240" w:lineRule="auto"/>
              <w:rPr>
                <w:rFonts w:ascii="Times New Roman" w:eastAsia="Calibri" w:hAnsi="Times New Roman"/>
                <w:b/>
                <w:bCs/>
                <w:sz w:val="24"/>
                <w:szCs w:val="24"/>
              </w:rPr>
            </w:pPr>
            <w:r w:rsidRPr="00656BEB">
              <w:rPr>
                <w:rFonts w:ascii="Times New Roman" w:eastAsia="Calibri" w:hAnsi="Times New Roman"/>
                <w:b/>
                <w:bCs/>
                <w:sz w:val="24"/>
                <w:szCs w:val="24"/>
              </w:rPr>
              <w:t>Names</w:t>
            </w:r>
          </w:p>
        </w:tc>
        <w:tc>
          <w:tcPr>
            <w:tcW w:w="1257" w:type="dxa"/>
            <w:hideMark/>
          </w:tcPr>
          <w:p w14:paraId="1391CC57" w14:textId="77777777" w:rsidR="009A7579" w:rsidRPr="00656BEB" w:rsidRDefault="009A7579" w:rsidP="009A7579">
            <w:pPr>
              <w:spacing w:line="240" w:lineRule="auto"/>
              <w:rPr>
                <w:rFonts w:ascii="Times New Roman" w:eastAsia="Calibri" w:hAnsi="Times New Roman"/>
                <w:b/>
                <w:bCs/>
                <w:sz w:val="24"/>
                <w:szCs w:val="24"/>
              </w:rPr>
            </w:pPr>
            <w:r w:rsidRPr="00656BEB">
              <w:rPr>
                <w:rFonts w:ascii="Times New Roman" w:eastAsia="Calibri" w:hAnsi="Times New Roman"/>
                <w:b/>
                <w:bCs/>
                <w:sz w:val="24"/>
                <w:szCs w:val="24"/>
              </w:rPr>
              <w:t>Estimate</w:t>
            </w:r>
          </w:p>
        </w:tc>
        <w:tc>
          <w:tcPr>
            <w:tcW w:w="1257" w:type="dxa"/>
            <w:hideMark/>
          </w:tcPr>
          <w:p w14:paraId="5B58DC60" w14:textId="77777777" w:rsidR="009A7579" w:rsidRPr="00656BEB" w:rsidRDefault="009A7579" w:rsidP="009A7579">
            <w:pPr>
              <w:spacing w:line="240" w:lineRule="auto"/>
              <w:rPr>
                <w:rFonts w:ascii="Times New Roman" w:eastAsia="Calibri" w:hAnsi="Times New Roman"/>
                <w:b/>
                <w:bCs/>
                <w:sz w:val="24"/>
                <w:szCs w:val="24"/>
              </w:rPr>
            </w:pPr>
            <w:r w:rsidRPr="00656BEB">
              <w:rPr>
                <w:rFonts w:ascii="Times New Roman" w:eastAsia="Calibri" w:hAnsi="Times New Roman"/>
                <w:b/>
                <w:bCs/>
                <w:sz w:val="24"/>
                <w:szCs w:val="24"/>
              </w:rPr>
              <w:t>SE</w:t>
            </w:r>
          </w:p>
        </w:tc>
        <w:tc>
          <w:tcPr>
            <w:tcW w:w="1132" w:type="dxa"/>
            <w:hideMark/>
          </w:tcPr>
          <w:p w14:paraId="7B0B469B" w14:textId="77777777" w:rsidR="009A7579" w:rsidRPr="00656BEB" w:rsidRDefault="009A7579" w:rsidP="009A7579">
            <w:pPr>
              <w:spacing w:line="240" w:lineRule="auto"/>
              <w:rPr>
                <w:rFonts w:ascii="Times New Roman" w:eastAsia="Calibri" w:hAnsi="Times New Roman"/>
                <w:b/>
                <w:bCs/>
                <w:sz w:val="24"/>
                <w:szCs w:val="24"/>
              </w:rPr>
            </w:pPr>
            <w:r w:rsidRPr="00656BEB">
              <w:rPr>
                <w:rFonts w:ascii="Times New Roman" w:eastAsia="Calibri" w:hAnsi="Times New Roman"/>
                <w:b/>
                <w:bCs/>
                <w:sz w:val="24"/>
                <w:szCs w:val="24"/>
              </w:rPr>
              <w:t>Lower</w:t>
            </w:r>
          </w:p>
        </w:tc>
        <w:tc>
          <w:tcPr>
            <w:tcW w:w="1257" w:type="dxa"/>
            <w:hideMark/>
          </w:tcPr>
          <w:p w14:paraId="7AA0B28C" w14:textId="77777777" w:rsidR="009A7579" w:rsidRPr="00656BEB" w:rsidRDefault="009A7579" w:rsidP="009A7579">
            <w:pPr>
              <w:spacing w:line="240" w:lineRule="auto"/>
              <w:rPr>
                <w:rFonts w:ascii="Times New Roman" w:eastAsia="Calibri" w:hAnsi="Times New Roman"/>
                <w:b/>
                <w:bCs/>
                <w:sz w:val="24"/>
                <w:szCs w:val="24"/>
              </w:rPr>
            </w:pPr>
            <w:r w:rsidRPr="00656BEB">
              <w:rPr>
                <w:rFonts w:ascii="Times New Roman" w:eastAsia="Calibri" w:hAnsi="Times New Roman"/>
                <w:b/>
                <w:bCs/>
                <w:sz w:val="24"/>
                <w:szCs w:val="24"/>
              </w:rPr>
              <w:t>Upper</w:t>
            </w:r>
          </w:p>
        </w:tc>
        <w:tc>
          <w:tcPr>
            <w:tcW w:w="818" w:type="dxa"/>
            <w:hideMark/>
          </w:tcPr>
          <w:p w14:paraId="01EEAA03" w14:textId="77777777" w:rsidR="009A7579" w:rsidRPr="00656BEB" w:rsidRDefault="009A7579" w:rsidP="009A7579">
            <w:pPr>
              <w:spacing w:line="240" w:lineRule="auto"/>
              <w:rPr>
                <w:rFonts w:ascii="Times New Roman" w:eastAsia="Calibri" w:hAnsi="Times New Roman"/>
                <w:b/>
                <w:bCs/>
                <w:sz w:val="24"/>
                <w:szCs w:val="24"/>
              </w:rPr>
            </w:pPr>
            <w:proofErr w:type="spellStart"/>
            <w:r w:rsidRPr="00656BEB">
              <w:rPr>
                <w:rFonts w:ascii="Times New Roman" w:eastAsia="Calibri" w:hAnsi="Times New Roman"/>
                <w:b/>
                <w:bCs/>
                <w:sz w:val="24"/>
                <w:szCs w:val="24"/>
              </w:rPr>
              <w:t>df</w:t>
            </w:r>
            <w:proofErr w:type="spellEnd"/>
          </w:p>
        </w:tc>
        <w:tc>
          <w:tcPr>
            <w:tcW w:w="1132" w:type="dxa"/>
            <w:hideMark/>
          </w:tcPr>
          <w:p w14:paraId="3BFCE006" w14:textId="77777777" w:rsidR="009A7579" w:rsidRPr="00656BEB" w:rsidRDefault="009A7579" w:rsidP="009A7579">
            <w:pPr>
              <w:spacing w:line="240" w:lineRule="auto"/>
              <w:rPr>
                <w:rFonts w:ascii="Times New Roman" w:eastAsia="Calibri" w:hAnsi="Times New Roman"/>
                <w:b/>
                <w:bCs/>
                <w:sz w:val="24"/>
                <w:szCs w:val="24"/>
              </w:rPr>
            </w:pPr>
            <w:r w:rsidRPr="00656BEB">
              <w:rPr>
                <w:rFonts w:ascii="Times New Roman" w:eastAsia="Calibri" w:hAnsi="Times New Roman"/>
                <w:b/>
                <w:bCs/>
                <w:sz w:val="24"/>
                <w:szCs w:val="24"/>
              </w:rPr>
              <w:t>t</w:t>
            </w:r>
          </w:p>
        </w:tc>
        <w:tc>
          <w:tcPr>
            <w:tcW w:w="1060" w:type="dxa"/>
            <w:gridSpan w:val="2"/>
            <w:hideMark/>
          </w:tcPr>
          <w:p w14:paraId="6F2B2317" w14:textId="77777777" w:rsidR="009A7579" w:rsidRPr="00656BEB" w:rsidRDefault="009A7579" w:rsidP="009A7579">
            <w:pPr>
              <w:spacing w:line="240" w:lineRule="auto"/>
              <w:rPr>
                <w:rFonts w:ascii="Times New Roman" w:eastAsia="Calibri" w:hAnsi="Times New Roman"/>
                <w:b/>
                <w:bCs/>
                <w:sz w:val="24"/>
                <w:szCs w:val="24"/>
              </w:rPr>
            </w:pPr>
            <w:r w:rsidRPr="00656BEB">
              <w:rPr>
                <w:rFonts w:ascii="Times New Roman" w:eastAsia="Calibri" w:hAnsi="Times New Roman"/>
                <w:b/>
                <w:bCs/>
                <w:sz w:val="24"/>
                <w:szCs w:val="24"/>
              </w:rPr>
              <w:t>p</w:t>
            </w:r>
          </w:p>
        </w:tc>
      </w:tr>
      <w:tr w:rsidR="009A7579" w:rsidRPr="00656BEB" w14:paraId="73396EAF" w14:textId="77777777" w:rsidTr="00656BEB">
        <w:trPr>
          <w:gridAfter w:val="1"/>
          <w:wAfter w:w="52" w:type="dxa"/>
          <w:trHeight w:val="546"/>
        </w:trPr>
        <w:tc>
          <w:tcPr>
            <w:tcW w:w="1524" w:type="dxa"/>
            <w:hideMark/>
          </w:tcPr>
          <w:p w14:paraId="1EC8CFC4"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(Intercept)</w:t>
            </w:r>
          </w:p>
        </w:tc>
        <w:tc>
          <w:tcPr>
            <w:tcW w:w="1257" w:type="dxa"/>
            <w:hideMark/>
          </w:tcPr>
          <w:p w14:paraId="18D75830"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50.3922</w:t>
            </w:r>
          </w:p>
        </w:tc>
        <w:tc>
          <w:tcPr>
            <w:tcW w:w="1257" w:type="dxa"/>
            <w:hideMark/>
          </w:tcPr>
          <w:p w14:paraId="185EF5F1"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1.2388</w:t>
            </w:r>
          </w:p>
        </w:tc>
        <w:tc>
          <w:tcPr>
            <w:tcW w:w="1132" w:type="dxa"/>
            <w:hideMark/>
          </w:tcPr>
          <w:p w14:paraId="0E0DE37D"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47.949</w:t>
            </w:r>
          </w:p>
        </w:tc>
        <w:tc>
          <w:tcPr>
            <w:tcW w:w="1257" w:type="dxa"/>
            <w:hideMark/>
          </w:tcPr>
          <w:p w14:paraId="45DCEA15"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52.835</w:t>
            </w:r>
          </w:p>
        </w:tc>
        <w:tc>
          <w:tcPr>
            <w:tcW w:w="818" w:type="dxa"/>
            <w:hideMark/>
          </w:tcPr>
          <w:p w14:paraId="470CFFE5"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196</w:t>
            </w:r>
          </w:p>
        </w:tc>
        <w:tc>
          <w:tcPr>
            <w:tcW w:w="1132" w:type="dxa"/>
            <w:hideMark/>
          </w:tcPr>
          <w:p w14:paraId="58C1CCFB"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40.677</w:t>
            </w:r>
          </w:p>
        </w:tc>
        <w:tc>
          <w:tcPr>
            <w:tcW w:w="1023" w:type="dxa"/>
            <w:hideMark/>
          </w:tcPr>
          <w:p w14:paraId="1DE19C64"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&lt;.001</w:t>
            </w:r>
          </w:p>
        </w:tc>
      </w:tr>
      <w:tr w:rsidR="009A7579" w:rsidRPr="00656BEB" w14:paraId="14CF88CF" w14:textId="77777777" w:rsidTr="00656BEB">
        <w:trPr>
          <w:gridAfter w:val="1"/>
          <w:wAfter w:w="52" w:type="dxa"/>
          <w:trHeight w:val="546"/>
        </w:trPr>
        <w:tc>
          <w:tcPr>
            <w:tcW w:w="1524" w:type="dxa"/>
            <w:hideMark/>
          </w:tcPr>
          <w:p w14:paraId="7D581EEA"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School Location</w:t>
            </w:r>
          </w:p>
        </w:tc>
        <w:tc>
          <w:tcPr>
            <w:tcW w:w="1257" w:type="dxa"/>
            <w:hideMark/>
          </w:tcPr>
          <w:p w14:paraId="38A6F437"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-0.2886</w:t>
            </w:r>
          </w:p>
        </w:tc>
        <w:tc>
          <w:tcPr>
            <w:tcW w:w="1257" w:type="dxa"/>
            <w:hideMark/>
          </w:tcPr>
          <w:p w14:paraId="77F3A989"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0.0387</w:t>
            </w:r>
          </w:p>
        </w:tc>
        <w:tc>
          <w:tcPr>
            <w:tcW w:w="1132" w:type="dxa"/>
            <w:hideMark/>
          </w:tcPr>
          <w:p w14:paraId="59BBD884"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-0.365</w:t>
            </w:r>
          </w:p>
        </w:tc>
        <w:tc>
          <w:tcPr>
            <w:tcW w:w="1257" w:type="dxa"/>
            <w:hideMark/>
          </w:tcPr>
          <w:p w14:paraId="166E2196"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-0.212</w:t>
            </w:r>
          </w:p>
        </w:tc>
        <w:tc>
          <w:tcPr>
            <w:tcW w:w="818" w:type="dxa"/>
            <w:hideMark/>
          </w:tcPr>
          <w:p w14:paraId="1A0B44F8"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196</w:t>
            </w:r>
          </w:p>
        </w:tc>
        <w:tc>
          <w:tcPr>
            <w:tcW w:w="1132" w:type="dxa"/>
            <w:hideMark/>
          </w:tcPr>
          <w:p w14:paraId="3D61B0E4"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-7.451</w:t>
            </w:r>
          </w:p>
        </w:tc>
        <w:tc>
          <w:tcPr>
            <w:tcW w:w="1023" w:type="dxa"/>
            <w:hideMark/>
          </w:tcPr>
          <w:p w14:paraId="67CBE9A7"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&lt;.001</w:t>
            </w:r>
          </w:p>
        </w:tc>
      </w:tr>
      <w:tr w:rsidR="009A7579" w:rsidRPr="00656BEB" w14:paraId="4C0FDD22" w14:textId="77777777" w:rsidTr="00656BEB">
        <w:trPr>
          <w:gridAfter w:val="1"/>
          <w:wAfter w:w="52" w:type="dxa"/>
          <w:trHeight w:val="531"/>
        </w:trPr>
        <w:tc>
          <w:tcPr>
            <w:tcW w:w="1524" w:type="dxa"/>
            <w:hideMark/>
          </w:tcPr>
          <w:p w14:paraId="78C01834"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Parental Involvement</w:t>
            </w:r>
          </w:p>
        </w:tc>
        <w:tc>
          <w:tcPr>
            <w:tcW w:w="1257" w:type="dxa"/>
            <w:hideMark/>
          </w:tcPr>
          <w:p w14:paraId="7C6D8D21"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4.0117</w:t>
            </w:r>
          </w:p>
        </w:tc>
        <w:tc>
          <w:tcPr>
            <w:tcW w:w="1257" w:type="dxa"/>
            <w:hideMark/>
          </w:tcPr>
          <w:p w14:paraId="11CC3024"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1.8337</w:t>
            </w:r>
          </w:p>
        </w:tc>
        <w:tc>
          <w:tcPr>
            <w:tcW w:w="1132" w:type="dxa"/>
            <w:hideMark/>
          </w:tcPr>
          <w:p w14:paraId="615F8003"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0.395</w:t>
            </w:r>
          </w:p>
        </w:tc>
        <w:tc>
          <w:tcPr>
            <w:tcW w:w="1257" w:type="dxa"/>
            <w:hideMark/>
          </w:tcPr>
          <w:p w14:paraId="27BED001"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7.628</w:t>
            </w:r>
          </w:p>
        </w:tc>
        <w:tc>
          <w:tcPr>
            <w:tcW w:w="818" w:type="dxa"/>
            <w:hideMark/>
          </w:tcPr>
          <w:p w14:paraId="5E3E72D4"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196</w:t>
            </w:r>
          </w:p>
        </w:tc>
        <w:tc>
          <w:tcPr>
            <w:tcW w:w="1132" w:type="dxa"/>
            <w:hideMark/>
          </w:tcPr>
          <w:p w14:paraId="1CC81F43"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2.188</w:t>
            </w:r>
          </w:p>
        </w:tc>
        <w:tc>
          <w:tcPr>
            <w:tcW w:w="1023" w:type="dxa"/>
            <w:hideMark/>
          </w:tcPr>
          <w:p w14:paraId="44640490"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.030</w:t>
            </w:r>
          </w:p>
        </w:tc>
      </w:tr>
      <w:tr w:rsidR="009A7579" w:rsidRPr="00656BEB" w14:paraId="618D65DD" w14:textId="77777777" w:rsidTr="00656BEB">
        <w:trPr>
          <w:gridAfter w:val="1"/>
          <w:wAfter w:w="52" w:type="dxa"/>
          <w:trHeight w:val="546"/>
        </w:trPr>
        <w:tc>
          <w:tcPr>
            <w:tcW w:w="1524" w:type="dxa"/>
            <w:hideMark/>
          </w:tcPr>
          <w:p w14:paraId="17A32C82"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Peer Influence</w:t>
            </w:r>
          </w:p>
        </w:tc>
        <w:tc>
          <w:tcPr>
            <w:tcW w:w="1257" w:type="dxa"/>
            <w:hideMark/>
          </w:tcPr>
          <w:p w14:paraId="69EF31D1"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-2.4962</w:t>
            </w:r>
          </w:p>
        </w:tc>
        <w:tc>
          <w:tcPr>
            <w:tcW w:w="1257" w:type="dxa"/>
            <w:hideMark/>
          </w:tcPr>
          <w:p w14:paraId="185720C7"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2.0594</w:t>
            </w:r>
          </w:p>
        </w:tc>
        <w:tc>
          <w:tcPr>
            <w:tcW w:w="1132" w:type="dxa"/>
            <w:hideMark/>
          </w:tcPr>
          <w:p w14:paraId="619143D0"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-6.558</w:t>
            </w:r>
          </w:p>
        </w:tc>
        <w:tc>
          <w:tcPr>
            <w:tcW w:w="1257" w:type="dxa"/>
            <w:hideMark/>
          </w:tcPr>
          <w:p w14:paraId="1CE37462"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1.565</w:t>
            </w:r>
          </w:p>
        </w:tc>
        <w:tc>
          <w:tcPr>
            <w:tcW w:w="818" w:type="dxa"/>
            <w:hideMark/>
          </w:tcPr>
          <w:p w14:paraId="5CF483B4"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196</w:t>
            </w:r>
          </w:p>
        </w:tc>
        <w:tc>
          <w:tcPr>
            <w:tcW w:w="1132" w:type="dxa"/>
            <w:hideMark/>
          </w:tcPr>
          <w:p w14:paraId="2B6D81C2"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-1.212</w:t>
            </w:r>
          </w:p>
        </w:tc>
        <w:tc>
          <w:tcPr>
            <w:tcW w:w="1023" w:type="dxa"/>
            <w:hideMark/>
          </w:tcPr>
          <w:p w14:paraId="2317C280"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.227</w:t>
            </w:r>
          </w:p>
        </w:tc>
      </w:tr>
      <w:tr w:rsidR="009A7579" w:rsidRPr="00656BEB" w14:paraId="5BECBCE8" w14:textId="77777777" w:rsidTr="00656BEB">
        <w:trPr>
          <w:gridAfter w:val="1"/>
          <w:wAfter w:w="52" w:type="dxa"/>
          <w:trHeight w:val="546"/>
        </w:trPr>
        <w:tc>
          <w:tcPr>
            <w:tcW w:w="1524" w:type="dxa"/>
            <w:hideMark/>
          </w:tcPr>
          <w:p w14:paraId="0889C66D"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Parents’ Education</w:t>
            </w:r>
          </w:p>
        </w:tc>
        <w:tc>
          <w:tcPr>
            <w:tcW w:w="1257" w:type="dxa"/>
            <w:hideMark/>
          </w:tcPr>
          <w:p w14:paraId="288DEFBB"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-0.0992</w:t>
            </w:r>
          </w:p>
        </w:tc>
        <w:tc>
          <w:tcPr>
            <w:tcW w:w="1257" w:type="dxa"/>
            <w:hideMark/>
          </w:tcPr>
          <w:p w14:paraId="6832B23F"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0.3059</w:t>
            </w:r>
          </w:p>
        </w:tc>
        <w:tc>
          <w:tcPr>
            <w:tcW w:w="1132" w:type="dxa"/>
            <w:hideMark/>
          </w:tcPr>
          <w:p w14:paraId="7BED0881"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-0.702</w:t>
            </w:r>
          </w:p>
        </w:tc>
        <w:tc>
          <w:tcPr>
            <w:tcW w:w="1257" w:type="dxa"/>
            <w:hideMark/>
          </w:tcPr>
          <w:p w14:paraId="4F6C3319"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0.504</w:t>
            </w:r>
          </w:p>
        </w:tc>
        <w:tc>
          <w:tcPr>
            <w:tcW w:w="818" w:type="dxa"/>
            <w:hideMark/>
          </w:tcPr>
          <w:p w14:paraId="04F13834"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196</w:t>
            </w:r>
          </w:p>
        </w:tc>
        <w:tc>
          <w:tcPr>
            <w:tcW w:w="1132" w:type="dxa"/>
            <w:hideMark/>
          </w:tcPr>
          <w:p w14:paraId="3505C881"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-0.324</w:t>
            </w:r>
          </w:p>
        </w:tc>
        <w:tc>
          <w:tcPr>
            <w:tcW w:w="1023" w:type="dxa"/>
            <w:hideMark/>
          </w:tcPr>
          <w:p w14:paraId="39E9DDBF"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.746</w:t>
            </w:r>
          </w:p>
        </w:tc>
      </w:tr>
      <w:tr w:rsidR="009A7579" w:rsidRPr="00656BEB" w14:paraId="11A6AAD7" w14:textId="77777777" w:rsidTr="00656BEB">
        <w:trPr>
          <w:gridAfter w:val="1"/>
          <w:wAfter w:w="52" w:type="dxa"/>
          <w:trHeight w:val="546"/>
        </w:trPr>
        <w:tc>
          <w:tcPr>
            <w:tcW w:w="1524" w:type="dxa"/>
            <w:hideMark/>
          </w:tcPr>
          <w:p w14:paraId="2417E5ED"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Family Income</w:t>
            </w:r>
          </w:p>
        </w:tc>
        <w:tc>
          <w:tcPr>
            <w:tcW w:w="1257" w:type="dxa"/>
            <w:hideMark/>
          </w:tcPr>
          <w:p w14:paraId="43DC802D"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-0.00007</w:t>
            </w:r>
          </w:p>
        </w:tc>
        <w:tc>
          <w:tcPr>
            <w:tcW w:w="1257" w:type="dxa"/>
            <w:hideMark/>
          </w:tcPr>
          <w:p w14:paraId="7D2E1855"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0.00022</w:t>
            </w:r>
          </w:p>
        </w:tc>
        <w:tc>
          <w:tcPr>
            <w:tcW w:w="1132" w:type="dxa"/>
            <w:hideMark/>
          </w:tcPr>
          <w:p w14:paraId="6C687AD9"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-0.0005</w:t>
            </w:r>
          </w:p>
        </w:tc>
        <w:tc>
          <w:tcPr>
            <w:tcW w:w="1257" w:type="dxa"/>
            <w:hideMark/>
          </w:tcPr>
          <w:p w14:paraId="7F3DCE57"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0.00036</w:t>
            </w:r>
          </w:p>
        </w:tc>
        <w:tc>
          <w:tcPr>
            <w:tcW w:w="818" w:type="dxa"/>
            <w:hideMark/>
          </w:tcPr>
          <w:p w14:paraId="0121D506"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196</w:t>
            </w:r>
          </w:p>
        </w:tc>
        <w:tc>
          <w:tcPr>
            <w:tcW w:w="1132" w:type="dxa"/>
            <w:hideMark/>
          </w:tcPr>
          <w:p w14:paraId="09F5EC93"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-0.336</w:t>
            </w:r>
          </w:p>
        </w:tc>
        <w:tc>
          <w:tcPr>
            <w:tcW w:w="1023" w:type="dxa"/>
            <w:hideMark/>
          </w:tcPr>
          <w:p w14:paraId="3A816905"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.737</w:t>
            </w:r>
          </w:p>
        </w:tc>
      </w:tr>
      <w:tr w:rsidR="009A7579" w:rsidRPr="00656BEB" w14:paraId="248ADBF0" w14:textId="77777777" w:rsidTr="00656BEB">
        <w:trPr>
          <w:gridAfter w:val="1"/>
          <w:wAfter w:w="52" w:type="dxa"/>
          <w:trHeight w:val="265"/>
        </w:trPr>
        <w:tc>
          <w:tcPr>
            <w:tcW w:w="1524" w:type="dxa"/>
            <w:hideMark/>
          </w:tcPr>
          <w:p w14:paraId="41F4B6F3"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 xml:space="preserve">Family </w:t>
            </w:r>
            <w:proofErr w:type="spellStart"/>
            <w:r w:rsidRPr="00656BEB">
              <w:rPr>
                <w:rFonts w:ascii="Times New Roman" w:eastAsia="Calibri" w:hAnsi="Times New Roman"/>
                <w:sz w:val="24"/>
                <w:szCs w:val="24"/>
              </w:rPr>
              <w:t>SIze</w:t>
            </w:r>
            <w:proofErr w:type="spellEnd"/>
          </w:p>
        </w:tc>
        <w:tc>
          <w:tcPr>
            <w:tcW w:w="1257" w:type="dxa"/>
            <w:hideMark/>
          </w:tcPr>
          <w:p w14:paraId="641B4EA2"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-1.5101</w:t>
            </w:r>
          </w:p>
        </w:tc>
        <w:tc>
          <w:tcPr>
            <w:tcW w:w="1257" w:type="dxa"/>
            <w:hideMark/>
          </w:tcPr>
          <w:p w14:paraId="06A48C33"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0.6605</w:t>
            </w:r>
          </w:p>
        </w:tc>
        <w:tc>
          <w:tcPr>
            <w:tcW w:w="1132" w:type="dxa"/>
            <w:hideMark/>
          </w:tcPr>
          <w:p w14:paraId="71A330DA"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-2.813</w:t>
            </w:r>
          </w:p>
        </w:tc>
        <w:tc>
          <w:tcPr>
            <w:tcW w:w="1257" w:type="dxa"/>
            <w:hideMark/>
          </w:tcPr>
          <w:p w14:paraId="1C962178"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-0.207</w:t>
            </w:r>
          </w:p>
        </w:tc>
        <w:tc>
          <w:tcPr>
            <w:tcW w:w="818" w:type="dxa"/>
            <w:hideMark/>
          </w:tcPr>
          <w:p w14:paraId="468EBF40"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196</w:t>
            </w:r>
          </w:p>
        </w:tc>
        <w:tc>
          <w:tcPr>
            <w:tcW w:w="1132" w:type="dxa"/>
            <w:hideMark/>
          </w:tcPr>
          <w:p w14:paraId="6D4BDF1A"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-2.286</w:t>
            </w:r>
          </w:p>
        </w:tc>
        <w:tc>
          <w:tcPr>
            <w:tcW w:w="1023" w:type="dxa"/>
            <w:hideMark/>
          </w:tcPr>
          <w:p w14:paraId="12BAD505"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.023</w:t>
            </w:r>
          </w:p>
        </w:tc>
      </w:tr>
      <w:tr w:rsidR="009A7579" w:rsidRPr="00656BEB" w14:paraId="4315BDF2" w14:textId="77777777" w:rsidTr="00656BEB">
        <w:trPr>
          <w:gridAfter w:val="1"/>
          <w:wAfter w:w="52" w:type="dxa"/>
          <w:trHeight w:val="546"/>
        </w:trPr>
        <w:tc>
          <w:tcPr>
            <w:tcW w:w="1524" w:type="dxa"/>
          </w:tcPr>
          <w:p w14:paraId="7E2445B9"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School Location</w:t>
            </w:r>
          </w:p>
        </w:tc>
        <w:tc>
          <w:tcPr>
            <w:tcW w:w="1257" w:type="dxa"/>
          </w:tcPr>
          <w:p w14:paraId="5093CB9C"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14.1227</w:t>
            </w:r>
          </w:p>
        </w:tc>
        <w:tc>
          <w:tcPr>
            <w:tcW w:w="1257" w:type="dxa"/>
          </w:tcPr>
          <w:p w14:paraId="50F6EDD2"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3.1909</w:t>
            </w:r>
          </w:p>
        </w:tc>
        <w:tc>
          <w:tcPr>
            <w:tcW w:w="1132" w:type="dxa"/>
          </w:tcPr>
          <w:p w14:paraId="2C0E7C70"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7.829</w:t>
            </w:r>
          </w:p>
        </w:tc>
        <w:tc>
          <w:tcPr>
            <w:tcW w:w="1257" w:type="dxa"/>
          </w:tcPr>
          <w:p w14:paraId="42C8A4C9"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20.416</w:t>
            </w:r>
          </w:p>
        </w:tc>
        <w:tc>
          <w:tcPr>
            <w:tcW w:w="818" w:type="dxa"/>
          </w:tcPr>
          <w:p w14:paraId="26669387"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196</w:t>
            </w:r>
          </w:p>
        </w:tc>
        <w:tc>
          <w:tcPr>
            <w:tcW w:w="1132" w:type="dxa"/>
          </w:tcPr>
          <w:p w14:paraId="48367A15"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4.426</w:t>
            </w:r>
          </w:p>
        </w:tc>
        <w:tc>
          <w:tcPr>
            <w:tcW w:w="1023" w:type="dxa"/>
          </w:tcPr>
          <w:p w14:paraId="6CF661E0" w14:textId="77777777" w:rsidR="009A7579" w:rsidRPr="00656BEB" w:rsidRDefault="009A7579" w:rsidP="009A7579">
            <w:pPr>
              <w:spacing w:line="240" w:lineRule="auto"/>
              <w:rPr>
                <w:rFonts w:ascii="Times New Roman" w:eastAsia="Calibri" w:hAnsi="Times New Roman"/>
                <w:sz w:val="24"/>
                <w:szCs w:val="24"/>
              </w:rPr>
            </w:pPr>
            <w:r w:rsidRPr="00656BEB">
              <w:rPr>
                <w:rFonts w:ascii="Times New Roman" w:eastAsia="Calibri" w:hAnsi="Times New Roman"/>
                <w:sz w:val="24"/>
                <w:szCs w:val="24"/>
              </w:rPr>
              <w:t>&lt;.001</w:t>
            </w:r>
          </w:p>
        </w:tc>
      </w:tr>
    </w:tbl>
    <w:p w14:paraId="3AF3DD98" w14:textId="628B1F2A" w:rsidR="009A7579" w:rsidRPr="00656BEB" w:rsidRDefault="009A7579" w:rsidP="009A7579">
      <w:pPr>
        <w:spacing w:line="480" w:lineRule="auto"/>
        <w:rPr>
          <w:b/>
          <w:bCs/>
          <w:lang w:val="en-PH"/>
        </w:rPr>
      </w:pPr>
      <w:r w:rsidRPr="00656BEB">
        <w:rPr>
          <w:b/>
          <w:bCs/>
          <w:lang w:val="en-PH"/>
        </w:rPr>
        <w:t>Table 7. Predictors of ALNAT Scores on Linear Mixed Models</w:t>
      </w:r>
    </w:p>
    <w:p w14:paraId="7593E99F" w14:textId="77777777" w:rsidR="009A7579" w:rsidRDefault="009A7579" w:rsidP="00F44221">
      <w:pPr>
        <w:pBdr>
          <w:top w:val="nil"/>
          <w:left w:val="nil"/>
          <w:bottom w:val="nil"/>
          <w:right w:val="nil"/>
          <w:between w:val="nil"/>
        </w:pBdr>
        <w:spacing w:line="240" w:lineRule="auto"/>
        <w:ind w:firstLine="720"/>
        <w:rPr>
          <w:rFonts w:eastAsia="Georgia"/>
          <w:bCs/>
          <w:iCs/>
          <w:color w:val="000000" w:themeColor="text1"/>
          <w:lang w:bidi="en-US"/>
        </w:rPr>
      </w:pPr>
    </w:p>
    <w:p w14:paraId="483402B0" w14:textId="77777777" w:rsidR="009A7579" w:rsidRDefault="009A7579" w:rsidP="00F44221">
      <w:pPr>
        <w:pBdr>
          <w:top w:val="nil"/>
          <w:left w:val="nil"/>
          <w:bottom w:val="nil"/>
          <w:right w:val="nil"/>
          <w:between w:val="nil"/>
        </w:pBdr>
        <w:spacing w:line="240" w:lineRule="auto"/>
        <w:ind w:firstLine="720"/>
        <w:rPr>
          <w:rFonts w:eastAsia="Georgia"/>
          <w:bCs/>
          <w:iCs/>
          <w:color w:val="000000" w:themeColor="text1"/>
          <w:lang w:bidi="en-US"/>
        </w:rPr>
      </w:pPr>
    </w:p>
    <w:p w14:paraId="5DF6990F" w14:textId="77777777" w:rsidR="009A7579" w:rsidRDefault="009A7579" w:rsidP="00F44221">
      <w:pPr>
        <w:pBdr>
          <w:top w:val="nil"/>
          <w:left w:val="nil"/>
          <w:bottom w:val="nil"/>
          <w:right w:val="nil"/>
          <w:between w:val="nil"/>
        </w:pBdr>
        <w:spacing w:line="240" w:lineRule="auto"/>
        <w:ind w:firstLine="720"/>
        <w:rPr>
          <w:rFonts w:eastAsia="Georgia"/>
          <w:bCs/>
          <w:iCs/>
          <w:color w:val="000000" w:themeColor="text1"/>
          <w:lang w:bidi="en-US"/>
        </w:rPr>
      </w:pPr>
    </w:p>
    <w:p w14:paraId="2DDF5063" w14:textId="77777777" w:rsidR="009A7579" w:rsidRDefault="009A7579" w:rsidP="00F44221">
      <w:pPr>
        <w:pBdr>
          <w:top w:val="nil"/>
          <w:left w:val="nil"/>
          <w:bottom w:val="nil"/>
          <w:right w:val="nil"/>
          <w:between w:val="nil"/>
        </w:pBdr>
        <w:spacing w:line="240" w:lineRule="auto"/>
        <w:ind w:firstLine="720"/>
        <w:rPr>
          <w:rFonts w:eastAsia="Georgia"/>
          <w:bCs/>
          <w:iCs/>
          <w:color w:val="000000" w:themeColor="text1"/>
          <w:lang w:bidi="en-US"/>
        </w:rPr>
      </w:pPr>
    </w:p>
    <w:p w14:paraId="20864B6F" w14:textId="77777777" w:rsidR="009A7579" w:rsidRPr="009A7579" w:rsidRDefault="009A7579" w:rsidP="00F44221">
      <w:pPr>
        <w:pBdr>
          <w:top w:val="nil"/>
          <w:left w:val="nil"/>
          <w:bottom w:val="nil"/>
          <w:right w:val="nil"/>
          <w:between w:val="nil"/>
        </w:pBdr>
        <w:spacing w:line="240" w:lineRule="auto"/>
        <w:ind w:firstLine="720"/>
        <w:rPr>
          <w:rFonts w:eastAsia="Georgia"/>
          <w:bCs/>
          <w:iCs/>
          <w:color w:val="000000" w:themeColor="text1"/>
          <w:lang w:bidi="en-US"/>
        </w:rPr>
      </w:pPr>
    </w:p>
    <w:p w14:paraId="763FEB7B" w14:textId="77777777" w:rsidR="00971CE4" w:rsidRPr="009A7579" w:rsidRDefault="00971CE4" w:rsidP="00F44221">
      <w:pPr>
        <w:pBdr>
          <w:top w:val="nil"/>
          <w:left w:val="nil"/>
          <w:bottom w:val="nil"/>
          <w:right w:val="nil"/>
          <w:between w:val="nil"/>
        </w:pBdr>
        <w:spacing w:line="240" w:lineRule="auto"/>
        <w:ind w:firstLine="720"/>
        <w:rPr>
          <w:rFonts w:eastAsia="Georgia"/>
          <w:bCs/>
          <w:iCs/>
          <w:color w:val="000000" w:themeColor="text1"/>
          <w:lang w:bidi="en-US"/>
        </w:rPr>
      </w:pPr>
    </w:p>
    <w:p w14:paraId="1C1D3995" w14:textId="77777777" w:rsidR="009A7579" w:rsidRDefault="009A7579" w:rsidP="00F44221">
      <w:pPr>
        <w:pBdr>
          <w:top w:val="nil"/>
          <w:left w:val="nil"/>
          <w:bottom w:val="nil"/>
          <w:right w:val="nil"/>
          <w:between w:val="nil"/>
        </w:pBdr>
        <w:spacing w:line="240" w:lineRule="auto"/>
        <w:rPr>
          <w:rFonts w:eastAsia="Georgia"/>
          <w:b/>
          <w:bCs/>
          <w:iCs/>
          <w:color w:val="000000" w:themeColor="text1"/>
          <w:lang w:val="en-ID" w:bidi="en-US"/>
        </w:rPr>
      </w:pPr>
    </w:p>
    <w:p w14:paraId="5855A7D0" w14:textId="77777777" w:rsidR="009A7579" w:rsidRDefault="009A7579" w:rsidP="00F44221">
      <w:pPr>
        <w:pBdr>
          <w:top w:val="nil"/>
          <w:left w:val="nil"/>
          <w:bottom w:val="nil"/>
          <w:right w:val="nil"/>
          <w:between w:val="nil"/>
        </w:pBdr>
        <w:spacing w:line="240" w:lineRule="auto"/>
        <w:rPr>
          <w:rFonts w:eastAsia="Georgia"/>
          <w:b/>
          <w:bCs/>
          <w:iCs/>
          <w:color w:val="000000" w:themeColor="text1"/>
          <w:lang w:val="en-ID" w:bidi="en-US"/>
        </w:rPr>
      </w:pPr>
    </w:p>
    <w:p w14:paraId="369C2BF9" w14:textId="77777777" w:rsidR="009A7579" w:rsidRDefault="009A7579" w:rsidP="00F44221">
      <w:pPr>
        <w:pBdr>
          <w:top w:val="nil"/>
          <w:left w:val="nil"/>
          <w:bottom w:val="nil"/>
          <w:right w:val="nil"/>
          <w:between w:val="nil"/>
        </w:pBdr>
        <w:spacing w:line="240" w:lineRule="auto"/>
        <w:rPr>
          <w:rFonts w:eastAsia="Georgia"/>
          <w:b/>
          <w:bCs/>
          <w:iCs/>
          <w:color w:val="000000" w:themeColor="text1"/>
          <w:lang w:val="en-ID" w:bidi="en-US"/>
        </w:rPr>
      </w:pPr>
    </w:p>
    <w:p w14:paraId="30D30FCF" w14:textId="77777777" w:rsidR="009A7579" w:rsidRDefault="009A7579" w:rsidP="00F44221">
      <w:pPr>
        <w:pBdr>
          <w:top w:val="nil"/>
          <w:left w:val="nil"/>
          <w:bottom w:val="nil"/>
          <w:right w:val="nil"/>
          <w:between w:val="nil"/>
        </w:pBdr>
        <w:spacing w:line="240" w:lineRule="auto"/>
        <w:rPr>
          <w:rFonts w:eastAsia="Georgia"/>
          <w:b/>
          <w:bCs/>
          <w:iCs/>
          <w:color w:val="000000" w:themeColor="text1"/>
          <w:lang w:val="en-ID" w:bidi="en-US"/>
        </w:rPr>
      </w:pPr>
    </w:p>
    <w:p w14:paraId="51C8EA82" w14:textId="77777777" w:rsidR="009A7579" w:rsidRDefault="009A7579" w:rsidP="00F44221">
      <w:pPr>
        <w:pBdr>
          <w:top w:val="nil"/>
          <w:left w:val="nil"/>
          <w:bottom w:val="nil"/>
          <w:right w:val="nil"/>
          <w:between w:val="nil"/>
        </w:pBdr>
        <w:spacing w:line="240" w:lineRule="auto"/>
        <w:rPr>
          <w:rFonts w:eastAsia="Georgia"/>
          <w:b/>
          <w:bCs/>
          <w:iCs/>
          <w:color w:val="000000" w:themeColor="text1"/>
          <w:lang w:val="en-ID" w:bidi="en-US"/>
        </w:rPr>
      </w:pPr>
    </w:p>
    <w:p w14:paraId="65104BC9" w14:textId="77777777" w:rsidR="009A7579" w:rsidRDefault="009A7579" w:rsidP="00F44221">
      <w:pPr>
        <w:pBdr>
          <w:top w:val="nil"/>
          <w:left w:val="nil"/>
          <w:bottom w:val="nil"/>
          <w:right w:val="nil"/>
          <w:between w:val="nil"/>
        </w:pBdr>
        <w:spacing w:line="240" w:lineRule="auto"/>
        <w:rPr>
          <w:rFonts w:eastAsia="Georgia"/>
          <w:b/>
          <w:bCs/>
          <w:iCs/>
          <w:color w:val="000000" w:themeColor="text1"/>
          <w:lang w:val="en-ID" w:bidi="en-US"/>
        </w:rPr>
      </w:pPr>
    </w:p>
    <w:p w14:paraId="318FDB6A" w14:textId="77777777" w:rsidR="009A7579" w:rsidRDefault="009A7579" w:rsidP="00F44221">
      <w:pPr>
        <w:pBdr>
          <w:top w:val="nil"/>
          <w:left w:val="nil"/>
          <w:bottom w:val="nil"/>
          <w:right w:val="nil"/>
          <w:between w:val="nil"/>
        </w:pBdr>
        <w:spacing w:line="240" w:lineRule="auto"/>
        <w:rPr>
          <w:rFonts w:eastAsia="Georgia"/>
          <w:b/>
          <w:bCs/>
          <w:iCs/>
          <w:color w:val="000000" w:themeColor="text1"/>
          <w:lang w:val="en-ID" w:bidi="en-US"/>
        </w:rPr>
      </w:pPr>
    </w:p>
    <w:p w14:paraId="3868714B" w14:textId="77777777" w:rsidR="009A7579" w:rsidRDefault="009A7579" w:rsidP="00F44221">
      <w:pPr>
        <w:pBdr>
          <w:top w:val="nil"/>
          <w:left w:val="nil"/>
          <w:bottom w:val="nil"/>
          <w:right w:val="nil"/>
          <w:between w:val="nil"/>
        </w:pBdr>
        <w:spacing w:line="240" w:lineRule="auto"/>
        <w:rPr>
          <w:rFonts w:eastAsia="Georgia"/>
          <w:b/>
          <w:bCs/>
          <w:iCs/>
          <w:color w:val="000000" w:themeColor="text1"/>
          <w:lang w:val="en-ID" w:bidi="en-US"/>
        </w:rPr>
      </w:pPr>
    </w:p>
    <w:p w14:paraId="3B54A9E8" w14:textId="77777777" w:rsidR="009A7579" w:rsidRDefault="009A7579" w:rsidP="00F44221">
      <w:pPr>
        <w:pBdr>
          <w:top w:val="nil"/>
          <w:left w:val="nil"/>
          <w:bottom w:val="nil"/>
          <w:right w:val="nil"/>
          <w:between w:val="nil"/>
        </w:pBdr>
        <w:spacing w:line="240" w:lineRule="auto"/>
        <w:rPr>
          <w:rFonts w:eastAsia="Georgia"/>
          <w:b/>
          <w:bCs/>
          <w:iCs/>
          <w:color w:val="000000" w:themeColor="text1"/>
          <w:lang w:val="en-ID" w:bidi="en-US"/>
        </w:rPr>
      </w:pPr>
    </w:p>
    <w:p w14:paraId="376EEC32" w14:textId="77777777" w:rsidR="009A7579" w:rsidRDefault="009A7579" w:rsidP="00F44221">
      <w:pPr>
        <w:pBdr>
          <w:top w:val="nil"/>
          <w:left w:val="nil"/>
          <w:bottom w:val="nil"/>
          <w:right w:val="nil"/>
          <w:between w:val="nil"/>
        </w:pBdr>
        <w:spacing w:line="240" w:lineRule="auto"/>
        <w:rPr>
          <w:rFonts w:eastAsia="Georgia"/>
          <w:b/>
          <w:bCs/>
          <w:iCs/>
          <w:color w:val="000000" w:themeColor="text1"/>
          <w:lang w:val="en-ID" w:bidi="en-US"/>
        </w:rPr>
      </w:pPr>
    </w:p>
    <w:p w14:paraId="118144CE" w14:textId="77777777" w:rsidR="009A7579" w:rsidRDefault="009A7579" w:rsidP="00F44221">
      <w:pPr>
        <w:pBdr>
          <w:top w:val="nil"/>
          <w:left w:val="nil"/>
          <w:bottom w:val="nil"/>
          <w:right w:val="nil"/>
          <w:between w:val="nil"/>
        </w:pBdr>
        <w:spacing w:line="240" w:lineRule="auto"/>
        <w:rPr>
          <w:rFonts w:eastAsia="Georgia"/>
          <w:b/>
          <w:bCs/>
          <w:iCs/>
          <w:color w:val="000000" w:themeColor="text1"/>
          <w:lang w:val="en-ID" w:bidi="en-US"/>
        </w:rPr>
      </w:pPr>
    </w:p>
    <w:p w14:paraId="00C28F0E" w14:textId="2D14C974" w:rsidR="00993EEE" w:rsidRPr="009A7579" w:rsidRDefault="00971CE4" w:rsidP="00F44221">
      <w:pPr>
        <w:pBdr>
          <w:top w:val="nil"/>
          <w:left w:val="nil"/>
          <w:bottom w:val="nil"/>
          <w:right w:val="nil"/>
          <w:between w:val="nil"/>
        </w:pBdr>
        <w:spacing w:line="240" w:lineRule="auto"/>
        <w:rPr>
          <w:rFonts w:eastAsia="Georgia"/>
          <w:b/>
          <w:bCs/>
          <w:iCs/>
          <w:color w:val="000000" w:themeColor="text1"/>
          <w:lang w:val="en-ID" w:bidi="en-US"/>
        </w:rPr>
      </w:pPr>
      <w:r w:rsidRPr="009A7579">
        <w:rPr>
          <w:rFonts w:eastAsia="Georgia"/>
          <w:b/>
          <w:bCs/>
          <w:iCs/>
          <w:color w:val="000000" w:themeColor="text1"/>
          <w:lang w:val="en-ID" w:bidi="en-US"/>
        </w:rPr>
        <w:t>Influence of Physical Learning Environment, Social Environment, Socio-Economic Status and School Location profile on the Reading Ability of Grade 3 Learners</w:t>
      </w:r>
    </w:p>
    <w:p w14:paraId="08321050" w14:textId="3B25A6DD" w:rsidR="00993EEE" w:rsidRPr="009A7579" w:rsidRDefault="00993EEE" w:rsidP="00F44221">
      <w:pPr>
        <w:pBdr>
          <w:top w:val="nil"/>
          <w:left w:val="nil"/>
          <w:bottom w:val="nil"/>
          <w:right w:val="nil"/>
          <w:between w:val="nil"/>
        </w:pBdr>
        <w:spacing w:line="240" w:lineRule="auto"/>
        <w:ind w:firstLine="720"/>
        <w:rPr>
          <w:rFonts w:eastAsia="Georgia"/>
          <w:bCs/>
          <w:iCs/>
          <w:color w:val="000000" w:themeColor="text1"/>
          <w:lang w:bidi="en-US"/>
        </w:rPr>
      </w:pPr>
      <w:r w:rsidRPr="009A7579">
        <w:rPr>
          <w:rFonts w:eastAsia="Georgia"/>
          <w:bCs/>
          <w:iCs/>
          <w:color w:val="000000" w:themeColor="text1"/>
          <w:lang w:bidi="en-US"/>
        </w:rPr>
        <w:t>In reading ability, the Linear Mixed Model (LMM) results for learners’ reading ability (CRLA scores) showed that the overall model was statistically significant (Likelihood Ratio Test = 33.462, p &lt; .001), indicating that the inclusion of predictors improved model fit compared to a null model. However, the explanatory power of the model was relatively modest, with a marginal R² of 0.154, suggesting that the fixed effects accounted for 15.4% of the variance in reading performance. The conditional R² increased slightly to 0.204, indicating that when school-level clustering was included, the model explained 20.4% of the variance in reading ability.</w:t>
      </w:r>
    </w:p>
    <w:p w14:paraId="03A87CB9" w14:textId="77777777" w:rsidR="00993EEE" w:rsidRPr="009A7579" w:rsidRDefault="00993EEE" w:rsidP="00F44221">
      <w:pPr>
        <w:pBdr>
          <w:top w:val="nil"/>
          <w:left w:val="nil"/>
          <w:bottom w:val="nil"/>
          <w:right w:val="nil"/>
          <w:between w:val="nil"/>
        </w:pBdr>
        <w:spacing w:line="240" w:lineRule="auto"/>
        <w:rPr>
          <w:rFonts w:eastAsia="Georgia"/>
          <w:bCs/>
          <w:iCs/>
          <w:color w:val="000000" w:themeColor="text1"/>
          <w:lang w:bidi="en-US"/>
        </w:rPr>
      </w:pPr>
      <w:r w:rsidRPr="009A7579">
        <w:rPr>
          <w:rFonts w:eastAsia="Georgia"/>
          <w:bCs/>
          <w:iCs/>
          <w:color w:val="000000" w:themeColor="text1"/>
          <w:lang w:bidi="en-US"/>
        </w:rPr>
        <w:t>The random effects results revealed that school-level variation was minimal. The intraclass correlation coefficient (ICC = 0.0593) indicated that only 5.93% of the variance in reading scores was attributable to differences between schools, while the remaining 94.07% was due to individual learner differences. The residual variance (255.7, SD = 15.99) further confirms that reading performance is largely driven by within-school variability rather than between-school differences, although interpretation of school effects is limited by the small number of clusters.</w:t>
      </w:r>
    </w:p>
    <w:p w14:paraId="71C56666" w14:textId="77777777" w:rsidR="00993EEE" w:rsidRDefault="00993EEE" w:rsidP="00F44221">
      <w:pPr>
        <w:pBdr>
          <w:top w:val="nil"/>
          <w:left w:val="nil"/>
          <w:bottom w:val="nil"/>
          <w:right w:val="nil"/>
          <w:between w:val="nil"/>
        </w:pBdr>
        <w:spacing w:line="240" w:lineRule="auto"/>
        <w:rPr>
          <w:rFonts w:eastAsia="Georgia"/>
          <w:bCs/>
          <w:iCs/>
          <w:color w:val="000000" w:themeColor="text1"/>
          <w:lang w:bidi="en-US"/>
        </w:rPr>
      </w:pPr>
      <w:r w:rsidRPr="009A7579">
        <w:rPr>
          <w:rFonts w:eastAsia="Georgia"/>
          <w:bCs/>
          <w:iCs/>
          <w:color w:val="000000" w:themeColor="text1"/>
          <w:lang w:bidi="en-US"/>
        </w:rPr>
        <w:t xml:space="preserve">In terms of fixed effects, only Physical Learning Environment emerged as a statistically significant predictor of reading ability (β = 0.1388, p &lt; .001), indicating that improved school infrastructure and learning conditions are associated with higher CRLA scores. All other predictors, including parental involvement, peer influence, parents’ educational attainment, family income, family size, and school location, were not statistically significant (p &gt; .05). Notably, parental involvement showed a negative but non-significant effect (β = −2.9035, p = .082), while school location also did not significantly predict reading performance. Overall, the findings indicate that </w:t>
      </w:r>
      <w:r w:rsidRPr="009A7579">
        <w:rPr>
          <w:rFonts w:eastAsia="Georgia"/>
          <w:bCs/>
          <w:iCs/>
          <w:color w:val="000000" w:themeColor="text1"/>
          <w:lang w:bidi="en-US"/>
        </w:rPr>
        <w:lastRenderedPageBreak/>
        <w:t>reading ability is primarily influenced by physical school conditions, while socio-economic and social factors do not show direct statistically significant effects in the model.</w:t>
      </w:r>
    </w:p>
    <w:p w14:paraId="1034AAE1" w14:textId="77777777" w:rsidR="009A7579" w:rsidRDefault="009A7579" w:rsidP="00F44221">
      <w:pPr>
        <w:pBdr>
          <w:top w:val="nil"/>
          <w:left w:val="nil"/>
          <w:bottom w:val="nil"/>
          <w:right w:val="nil"/>
          <w:between w:val="nil"/>
        </w:pBdr>
        <w:spacing w:line="240" w:lineRule="auto"/>
        <w:rPr>
          <w:rFonts w:eastAsia="Georgia"/>
          <w:bCs/>
          <w:iCs/>
          <w:color w:val="000000" w:themeColor="text1"/>
          <w:lang w:bidi="en-US"/>
        </w:rPr>
      </w:pPr>
    </w:p>
    <w:p w14:paraId="5B95F95F" w14:textId="43F8E37F" w:rsidR="009A7579" w:rsidRPr="00656BEB" w:rsidRDefault="009A7579" w:rsidP="009A7579">
      <w:pPr>
        <w:spacing w:line="480" w:lineRule="auto"/>
        <w:rPr>
          <w:b/>
          <w:bCs/>
          <w:lang w:val="en-PH"/>
        </w:rPr>
      </w:pPr>
      <w:r w:rsidRPr="00656BEB">
        <w:rPr>
          <w:b/>
          <w:bCs/>
          <w:lang w:val="en-PH"/>
        </w:rPr>
        <w:t xml:space="preserve">Table </w:t>
      </w:r>
      <w:r w:rsidR="00656BEB" w:rsidRPr="00656BEB">
        <w:rPr>
          <w:b/>
          <w:bCs/>
          <w:lang w:val="en-PH"/>
        </w:rPr>
        <w:t>8</w:t>
      </w:r>
      <w:r w:rsidRPr="00656BEB">
        <w:rPr>
          <w:b/>
          <w:bCs/>
          <w:lang w:val="en-PH"/>
        </w:rPr>
        <w:t>. Predictors of CRLA Scores on Linear Mixed Models</w:t>
      </w:r>
    </w:p>
    <w:tbl>
      <w:tblPr>
        <w:tblStyle w:val="TableGrid1"/>
        <w:tblW w:w="10073" w:type="dxa"/>
        <w:tblLook w:val="04A0" w:firstRow="1" w:lastRow="0" w:firstColumn="1" w:lastColumn="0" w:noHBand="0" w:noVBand="1"/>
      </w:tblPr>
      <w:tblGrid>
        <w:gridCol w:w="1681"/>
        <w:gridCol w:w="1350"/>
        <w:gridCol w:w="1216"/>
        <w:gridCol w:w="1350"/>
        <w:gridCol w:w="1216"/>
        <w:gridCol w:w="945"/>
        <w:gridCol w:w="1216"/>
        <w:gridCol w:w="1099"/>
      </w:tblGrid>
      <w:tr w:rsidR="009A7579" w:rsidRPr="009A7579" w14:paraId="195B4B97" w14:textId="77777777" w:rsidTr="00656BEB">
        <w:trPr>
          <w:trHeight w:val="270"/>
        </w:trPr>
        <w:tc>
          <w:tcPr>
            <w:tcW w:w="1636" w:type="dxa"/>
            <w:hideMark/>
          </w:tcPr>
          <w:p w14:paraId="62D70AED" w14:textId="77777777" w:rsidR="009A7579" w:rsidRPr="009A7579" w:rsidRDefault="009A7579" w:rsidP="009A7579">
            <w:pPr>
              <w:spacing w:line="240" w:lineRule="auto"/>
              <w:rPr>
                <w:rFonts w:eastAsia="Calibri"/>
                <w:b/>
                <w:bCs/>
              </w:rPr>
            </w:pPr>
            <w:r w:rsidRPr="009A7579">
              <w:rPr>
                <w:rFonts w:eastAsia="Calibri"/>
                <w:b/>
                <w:bCs/>
              </w:rPr>
              <w:t>Names</w:t>
            </w:r>
          </w:p>
        </w:tc>
        <w:tc>
          <w:tcPr>
            <w:tcW w:w="1314" w:type="dxa"/>
            <w:hideMark/>
          </w:tcPr>
          <w:p w14:paraId="6ECB23C0" w14:textId="77777777" w:rsidR="009A7579" w:rsidRPr="009A7579" w:rsidRDefault="009A7579" w:rsidP="009A7579">
            <w:pPr>
              <w:spacing w:line="240" w:lineRule="auto"/>
              <w:rPr>
                <w:rFonts w:eastAsia="Calibri"/>
                <w:b/>
                <w:bCs/>
              </w:rPr>
            </w:pPr>
            <w:r w:rsidRPr="009A7579">
              <w:rPr>
                <w:rFonts w:eastAsia="Calibri"/>
                <w:b/>
                <w:bCs/>
              </w:rPr>
              <w:t>Estimate</w:t>
            </w:r>
          </w:p>
        </w:tc>
        <w:tc>
          <w:tcPr>
            <w:tcW w:w="1183" w:type="dxa"/>
            <w:hideMark/>
          </w:tcPr>
          <w:p w14:paraId="02276E0C" w14:textId="77777777" w:rsidR="009A7579" w:rsidRPr="009A7579" w:rsidRDefault="009A7579" w:rsidP="009A7579">
            <w:pPr>
              <w:spacing w:line="240" w:lineRule="auto"/>
              <w:jc w:val="center"/>
              <w:rPr>
                <w:rFonts w:eastAsia="Calibri"/>
                <w:b/>
                <w:bCs/>
              </w:rPr>
            </w:pPr>
            <w:r w:rsidRPr="009A7579">
              <w:rPr>
                <w:rFonts w:eastAsia="Calibri"/>
                <w:b/>
                <w:bCs/>
              </w:rPr>
              <w:t>SE</w:t>
            </w:r>
          </w:p>
        </w:tc>
        <w:tc>
          <w:tcPr>
            <w:tcW w:w="1314" w:type="dxa"/>
            <w:hideMark/>
          </w:tcPr>
          <w:p w14:paraId="3DB5680C" w14:textId="77777777" w:rsidR="009A7579" w:rsidRPr="009A7579" w:rsidRDefault="009A7579" w:rsidP="009A7579">
            <w:pPr>
              <w:spacing w:line="240" w:lineRule="auto"/>
              <w:jc w:val="center"/>
              <w:rPr>
                <w:rFonts w:eastAsia="Calibri"/>
                <w:b/>
                <w:bCs/>
              </w:rPr>
            </w:pPr>
            <w:r w:rsidRPr="009A7579">
              <w:rPr>
                <w:rFonts w:eastAsia="Calibri"/>
                <w:b/>
                <w:bCs/>
              </w:rPr>
              <w:t>Lower</w:t>
            </w:r>
          </w:p>
        </w:tc>
        <w:tc>
          <w:tcPr>
            <w:tcW w:w="1183" w:type="dxa"/>
            <w:hideMark/>
          </w:tcPr>
          <w:p w14:paraId="73657C36" w14:textId="77777777" w:rsidR="009A7579" w:rsidRPr="009A7579" w:rsidRDefault="009A7579" w:rsidP="009A7579">
            <w:pPr>
              <w:spacing w:line="240" w:lineRule="auto"/>
              <w:jc w:val="center"/>
              <w:rPr>
                <w:rFonts w:eastAsia="Calibri"/>
                <w:b/>
                <w:bCs/>
              </w:rPr>
            </w:pPr>
            <w:r w:rsidRPr="009A7579">
              <w:rPr>
                <w:rFonts w:eastAsia="Calibri"/>
                <w:b/>
                <w:bCs/>
              </w:rPr>
              <w:t>Upper</w:t>
            </w:r>
          </w:p>
        </w:tc>
        <w:tc>
          <w:tcPr>
            <w:tcW w:w="920" w:type="dxa"/>
            <w:hideMark/>
          </w:tcPr>
          <w:p w14:paraId="175B0B05" w14:textId="77777777" w:rsidR="009A7579" w:rsidRPr="009A7579" w:rsidRDefault="009A7579" w:rsidP="009A7579">
            <w:pPr>
              <w:spacing w:line="240" w:lineRule="auto"/>
              <w:jc w:val="center"/>
              <w:rPr>
                <w:rFonts w:eastAsia="Calibri"/>
                <w:b/>
                <w:bCs/>
              </w:rPr>
            </w:pPr>
            <w:proofErr w:type="spellStart"/>
            <w:r w:rsidRPr="009A7579">
              <w:rPr>
                <w:rFonts w:eastAsia="Calibri"/>
                <w:b/>
                <w:bCs/>
              </w:rPr>
              <w:t>df</w:t>
            </w:r>
            <w:proofErr w:type="spellEnd"/>
          </w:p>
        </w:tc>
        <w:tc>
          <w:tcPr>
            <w:tcW w:w="1183" w:type="dxa"/>
            <w:hideMark/>
          </w:tcPr>
          <w:p w14:paraId="1AC28BC5" w14:textId="77777777" w:rsidR="009A7579" w:rsidRPr="009A7579" w:rsidRDefault="009A7579" w:rsidP="009A7579">
            <w:pPr>
              <w:spacing w:line="240" w:lineRule="auto"/>
              <w:jc w:val="center"/>
              <w:rPr>
                <w:rFonts w:eastAsia="Calibri"/>
                <w:b/>
                <w:bCs/>
              </w:rPr>
            </w:pPr>
            <w:r w:rsidRPr="009A7579">
              <w:rPr>
                <w:rFonts w:eastAsia="Calibri"/>
                <w:b/>
                <w:bCs/>
              </w:rPr>
              <w:t>t</w:t>
            </w:r>
          </w:p>
        </w:tc>
        <w:tc>
          <w:tcPr>
            <w:tcW w:w="1070" w:type="dxa"/>
            <w:hideMark/>
          </w:tcPr>
          <w:p w14:paraId="3478CCF3" w14:textId="77777777" w:rsidR="009A7579" w:rsidRPr="009A7579" w:rsidRDefault="009A7579" w:rsidP="009A7579">
            <w:pPr>
              <w:spacing w:line="240" w:lineRule="auto"/>
              <w:jc w:val="center"/>
              <w:rPr>
                <w:rFonts w:eastAsia="Calibri"/>
                <w:b/>
                <w:bCs/>
              </w:rPr>
            </w:pPr>
            <w:r w:rsidRPr="009A7579">
              <w:rPr>
                <w:rFonts w:eastAsia="Calibri"/>
                <w:b/>
                <w:bCs/>
              </w:rPr>
              <w:t>p</w:t>
            </w:r>
          </w:p>
        </w:tc>
      </w:tr>
      <w:tr w:rsidR="009A7579" w:rsidRPr="009A7579" w14:paraId="6623BEDF" w14:textId="77777777" w:rsidTr="00656BEB">
        <w:trPr>
          <w:trHeight w:val="270"/>
        </w:trPr>
        <w:tc>
          <w:tcPr>
            <w:tcW w:w="1636" w:type="dxa"/>
            <w:hideMark/>
          </w:tcPr>
          <w:p w14:paraId="5E6F9401" w14:textId="77777777" w:rsidR="009A7579" w:rsidRPr="009A7579" w:rsidRDefault="009A7579" w:rsidP="009A7579">
            <w:pPr>
              <w:spacing w:line="240" w:lineRule="auto"/>
              <w:rPr>
                <w:rFonts w:eastAsia="Calibri"/>
              </w:rPr>
            </w:pPr>
            <w:r w:rsidRPr="009A7579">
              <w:rPr>
                <w:rFonts w:eastAsia="Calibri"/>
              </w:rPr>
              <w:t>(Intercept)</w:t>
            </w:r>
          </w:p>
        </w:tc>
        <w:tc>
          <w:tcPr>
            <w:tcW w:w="1314" w:type="dxa"/>
            <w:hideMark/>
          </w:tcPr>
          <w:p w14:paraId="798DD462" w14:textId="77777777" w:rsidR="009A7579" w:rsidRPr="009A7579" w:rsidRDefault="009A7579" w:rsidP="009A7579">
            <w:pPr>
              <w:spacing w:line="240" w:lineRule="auto"/>
              <w:jc w:val="center"/>
              <w:rPr>
                <w:rFonts w:eastAsia="Calibri"/>
              </w:rPr>
            </w:pPr>
            <w:r w:rsidRPr="009A7579">
              <w:rPr>
                <w:rFonts w:eastAsia="Calibri"/>
              </w:rPr>
              <w:t>88.7696</w:t>
            </w:r>
          </w:p>
        </w:tc>
        <w:tc>
          <w:tcPr>
            <w:tcW w:w="1183" w:type="dxa"/>
            <w:hideMark/>
          </w:tcPr>
          <w:p w14:paraId="5119B4A1" w14:textId="77777777" w:rsidR="009A7579" w:rsidRPr="009A7579" w:rsidRDefault="009A7579" w:rsidP="009A7579">
            <w:pPr>
              <w:spacing w:line="240" w:lineRule="auto"/>
              <w:jc w:val="center"/>
              <w:rPr>
                <w:rFonts w:eastAsia="Calibri"/>
              </w:rPr>
            </w:pPr>
            <w:r w:rsidRPr="009A7579">
              <w:rPr>
                <w:rFonts w:eastAsia="Calibri"/>
              </w:rPr>
              <w:t>3.2579</w:t>
            </w:r>
          </w:p>
        </w:tc>
        <w:tc>
          <w:tcPr>
            <w:tcW w:w="1314" w:type="dxa"/>
            <w:hideMark/>
          </w:tcPr>
          <w:p w14:paraId="6233563C" w14:textId="77777777" w:rsidR="009A7579" w:rsidRPr="009A7579" w:rsidRDefault="009A7579" w:rsidP="009A7579">
            <w:pPr>
              <w:spacing w:line="240" w:lineRule="auto"/>
              <w:jc w:val="center"/>
              <w:rPr>
                <w:rFonts w:eastAsia="Calibri"/>
              </w:rPr>
            </w:pPr>
            <w:r w:rsidRPr="009A7579">
              <w:rPr>
                <w:rFonts w:eastAsia="Calibri"/>
              </w:rPr>
              <w:t>82.3441</w:t>
            </w:r>
          </w:p>
        </w:tc>
        <w:tc>
          <w:tcPr>
            <w:tcW w:w="1183" w:type="dxa"/>
            <w:hideMark/>
          </w:tcPr>
          <w:p w14:paraId="66801C27" w14:textId="77777777" w:rsidR="009A7579" w:rsidRPr="009A7579" w:rsidRDefault="009A7579" w:rsidP="009A7579">
            <w:pPr>
              <w:spacing w:line="240" w:lineRule="auto"/>
              <w:jc w:val="center"/>
              <w:rPr>
                <w:rFonts w:eastAsia="Calibri"/>
              </w:rPr>
            </w:pPr>
            <w:r w:rsidRPr="009A7579">
              <w:rPr>
                <w:rFonts w:eastAsia="Calibri"/>
              </w:rPr>
              <w:t>95.195</w:t>
            </w:r>
          </w:p>
        </w:tc>
        <w:tc>
          <w:tcPr>
            <w:tcW w:w="920" w:type="dxa"/>
            <w:hideMark/>
          </w:tcPr>
          <w:p w14:paraId="5BC4F4A2" w14:textId="77777777" w:rsidR="009A7579" w:rsidRPr="009A7579" w:rsidRDefault="009A7579" w:rsidP="009A7579">
            <w:pPr>
              <w:spacing w:line="240" w:lineRule="auto"/>
              <w:jc w:val="center"/>
              <w:rPr>
                <w:rFonts w:eastAsia="Calibri"/>
              </w:rPr>
            </w:pPr>
            <w:r w:rsidRPr="009A7579">
              <w:rPr>
                <w:rFonts w:eastAsia="Calibri"/>
              </w:rPr>
              <w:t>0.00</w:t>
            </w:r>
          </w:p>
        </w:tc>
        <w:tc>
          <w:tcPr>
            <w:tcW w:w="1183" w:type="dxa"/>
            <w:hideMark/>
          </w:tcPr>
          <w:p w14:paraId="2DE9DD58" w14:textId="77777777" w:rsidR="009A7579" w:rsidRPr="009A7579" w:rsidRDefault="009A7579" w:rsidP="009A7579">
            <w:pPr>
              <w:spacing w:line="240" w:lineRule="auto"/>
              <w:jc w:val="center"/>
              <w:rPr>
                <w:rFonts w:eastAsia="Calibri"/>
              </w:rPr>
            </w:pPr>
            <w:r w:rsidRPr="009A7579">
              <w:rPr>
                <w:rFonts w:eastAsia="Calibri"/>
              </w:rPr>
              <w:t>27.247</w:t>
            </w:r>
          </w:p>
        </w:tc>
        <w:tc>
          <w:tcPr>
            <w:tcW w:w="1070" w:type="dxa"/>
            <w:hideMark/>
          </w:tcPr>
          <w:p w14:paraId="7FDD416C" w14:textId="77777777" w:rsidR="009A7579" w:rsidRPr="009A7579" w:rsidRDefault="009A7579" w:rsidP="009A7579">
            <w:pPr>
              <w:spacing w:line="240" w:lineRule="auto"/>
              <w:jc w:val="center"/>
              <w:rPr>
                <w:rFonts w:eastAsia="Calibri"/>
              </w:rPr>
            </w:pPr>
            <w:r w:rsidRPr="009A7579">
              <w:rPr>
                <w:rFonts w:eastAsia="Calibri"/>
              </w:rPr>
              <w:t>1.000</w:t>
            </w:r>
          </w:p>
        </w:tc>
      </w:tr>
      <w:tr w:rsidR="009A7579" w:rsidRPr="009A7579" w14:paraId="0EAAB4B2" w14:textId="77777777" w:rsidTr="00656BEB">
        <w:trPr>
          <w:trHeight w:val="840"/>
        </w:trPr>
        <w:tc>
          <w:tcPr>
            <w:tcW w:w="1636" w:type="dxa"/>
            <w:hideMark/>
          </w:tcPr>
          <w:p w14:paraId="045E6DEC" w14:textId="77777777" w:rsidR="009A7579" w:rsidRPr="009A7579" w:rsidRDefault="009A7579" w:rsidP="009A7579">
            <w:pPr>
              <w:spacing w:line="240" w:lineRule="auto"/>
              <w:rPr>
                <w:rFonts w:eastAsia="Calibri"/>
              </w:rPr>
            </w:pPr>
            <w:r w:rsidRPr="009A7579">
              <w:rPr>
                <w:rFonts w:eastAsia="Calibri"/>
              </w:rPr>
              <w:t>Physical Learning Environment</w:t>
            </w:r>
          </w:p>
        </w:tc>
        <w:tc>
          <w:tcPr>
            <w:tcW w:w="1314" w:type="dxa"/>
            <w:hideMark/>
          </w:tcPr>
          <w:p w14:paraId="35ABA258" w14:textId="77777777" w:rsidR="009A7579" w:rsidRPr="009A7579" w:rsidRDefault="009A7579" w:rsidP="009A7579">
            <w:pPr>
              <w:spacing w:line="240" w:lineRule="auto"/>
              <w:jc w:val="center"/>
              <w:rPr>
                <w:rFonts w:eastAsia="Calibri"/>
              </w:rPr>
            </w:pPr>
            <w:r w:rsidRPr="009A7579">
              <w:rPr>
                <w:rFonts w:eastAsia="Calibri"/>
              </w:rPr>
              <w:t>0.1388</w:t>
            </w:r>
          </w:p>
        </w:tc>
        <w:tc>
          <w:tcPr>
            <w:tcW w:w="1183" w:type="dxa"/>
            <w:hideMark/>
          </w:tcPr>
          <w:p w14:paraId="147FD8DF" w14:textId="77777777" w:rsidR="009A7579" w:rsidRPr="009A7579" w:rsidRDefault="009A7579" w:rsidP="009A7579">
            <w:pPr>
              <w:spacing w:line="240" w:lineRule="auto"/>
              <w:jc w:val="center"/>
              <w:rPr>
                <w:rFonts w:eastAsia="Calibri"/>
              </w:rPr>
            </w:pPr>
            <w:r w:rsidRPr="009A7579">
              <w:rPr>
                <w:rFonts w:eastAsia="Calibri"/>
              </w:rPr>
              <w:t>0.0351</w:t>
            </w:r>
          </w:p>
        </w:tc>
        <w:tc>
          <w:tcPr>
            <w:tcW w:w="1314" w:type="dxa"/>
            <w:hideMark/>
          </w:tcPr>
          <w:p w14:paraId="07AFA0C2" w14:textId="77777777" w:rsidR="009A7579" w:rsidRPr="009A7579" w:rsidRDefault="009A7579" w:rsidP="009A7579">
            <w:pPr>
              <w:spacing w:line="240" w:lineRule="auto"/>
              <w:jc w:val="center"/>
              <w:rPr>
                <w:rFonts w:eastAsia="Calibri"/>
              </w:rPr>
            </w:pPr>
            <w:r w:rsidRPr="009A7579">
              <w:rPr>
                <w:rFonts w:eastAsia="Calibri"/>
              </w:rPr>
              <w:t>0.0696</w:t>
            </w:r>
          </w:p>
        </w:tc>
        <w:tc>
          <w:tcPr>
            <w:tcW w:w="1183" w:type="dxa"/>
            <w:hideMark/>
          </w:tcPr>
          <w:p w14:paraId="77B6D95C" w14:textId="77777777" w:rsidR="009A7579" w:rsidRPr="009A7579" w:rsidRDefault="009A7579" w:rsidP="009A7579">
            <w:pPr>
              <w:spacing w:line="240" w:lineRule="auto"/>
              <w:jc w:val="center"/>
              <w:rPr>
                <w:rFonts w:eastAsia="Calibri"/>
              </w:rPr>
            </w:pPr>
            <w:r w:rsidRPr="009A7579">
              <w:rPr>
                <w:rFonts w:eastAsia="Calibri"/>
              </w:rPr>
              <w:t>0.208</w:t>
            </w:r>
          </w:p>
        </w:tc>
        <w:tc>
          <w:tcPr>
            <w:tcW w:w="920" w:type="dxa"/>
            <w:hideMark/>
          </w:tcPr>
          <w:p w14:paraId="3CBDA90A" w14:textId="77777777" w:rsidR="009A7579" w:rsidRPr="009A7579" w:rsidRDefault="009A7579" w:rsidP="009A7579">
            <w:pPr>
              <w:spacing w:line="240" w:lineRule="auto"/>
              <w:jc w:val="center"/>
              <w:rPr>
                <w:rFonts w:eastAsia="Calibri"/>
              </w:rPr>
            </w:pPr>
            <w:r w:rsidRPr="009A7579">
              <w:rPr>
                <w:rFonts w:eastAsia="Calibri"/>
              </w:rPr>
              <w:t>196</w:t>
            </w:r>
          </w:p>
        </w:tc>
        <w:tc>
          <w:tcPr>
            <w:tcW w:w="1183" w:type="dxa"/>
            <w:hideMark/>
          </w:tcPr>
          <w:p w14:paraId="530ABFF8" w14:textId="77777777" w:rsidR="009A7579" w:rsidRPr="009A7579" w:rsidRDefault="009A7579" w:rsidP="009A7579">
            <w:pPr>
              <w:spacing w:line="240" w:lineRule="auto"/>
              <w:jc w:val="center"/>
              <w:rPr>
                <w:rFonts w:eastAsia="Calibri"/>
              </w:rPr>
            </w:pPr>
            <w:r w:rsidRPr="009A7579">
              <w:rPr>
                <w:rFonts w:eastAsia="Calibri"/>
              </w:rPr>
              <w:t>3.958</w:t>
            </w:r>
          </w:p>
        </w:tc>
        <w:tc>
          <w:tcPr>
            <w:tcW w:w="1070" w:type="dxa"/>
            <w:hideMark/>
          </w:tcPr>
          <w:p w14:paraId="5E73770A" w14:textId="77777777" w:rsidR="009A7579" w:rsidRPr="009A7579" w:rsidRDefault="009A7579" w:rsidP="009A7579">
            <w:pPr>
              <w:spacing w:line="240" w:lineRule="auto"/>
              <w:jc w:val="center"/>
              <w:rPr>
                <w:rFonts w:eastAsia="Calibri"/>
              </w:rPr>
            </w:pPr>
            <w:r w:rsidRPr="009A7579">
              <w:rPr>
                <w:rFonts w:eastAsia="Calibri"/>
              </w:rPr>
              <w:t>&lt;.001</w:t>
            </w:r>
          </w:p>
        </w:tc>
      </w:tr>
      <w:tr w:rsidR="009A7579" w:rsidRPr="009A7579" w14:paraId="64B48A96" w14:textId="77777777" w:rsidTr="00656BEB">
        <w:trPr>
          <w:trHeight w:val="540"/>
        </w:trPr>
        <w:tc>
          <w:tcPr>
            <w:tcW w:w="1636" w:type="dxa"/>
            <w:hideMark/>
          </w:tcPr>
          <w:p w14:paraId="45E2C005" w14:textId="77777777" w:rsidR="009A7579" w:rsidRPr="009A7579" w:rsidRDefault="009A7579" w:rsidP="009A7579">
            <w:pPr>
              <w:spacing w:line="240" w:lineRule="auto"/>
              <w:rPr>
                <w:rFonts w:eastAsia="Calibri"/>
              </w:rPr>
            </w:pPr>
            <w:r w:rsidRPr="009A7579">
              <w:rPr>
                <w:rFonts w:eastAsia="Calibri"/>
              </w:rPr>
              <w:t>Parental Involvement</w:t>
            </w:r>
          </w:p>
        </w:tc>
        <w:tc>
          <w:tcPr>
            <w:tcW w:w="1314" w:type="dxa"/>
            <w:hideMark/>
          </w:tcPr>
          <w:p w14:paraId="26ED51DD" w14:textId="77777777" w:rsidR="009A7579" w:rsidRPr="009A7579" w:rsidRDefault="009A7579" w:rsidP="009A7579">
            <w:pPr>
              <w:spacing w:line="240" w:lineRule="auto"/>
              <w:jc w:val="center"/>
              <w:rPr>
                <w:rFonts w:eastAsia="Calibri"/>
              </w:rPr>
            </w:pPr>
            <w:r w:rsidRPr="009A7579">
              <w:rPr>
                <w:rFonts w:eastAsia="Calibri"/>
              </w:rPr>
              <w:t>-2.9035</w:t>
            </w:r>
          </w:p>
        </w:tc>
        <w:tc>
          <w:tcPr>
            <w:tcW w:w="1183" w:type="dxa"/>
            <w:hideMark/>
          </w:tcPr>
          <w:p w14:paraId="796A6126" w14:textId="77777777" w:rsidR="009A7579" w:rsidRPr="009A7579" w:rsidRDefault="009A7579" w:rsidP="009A7579">
            <w:pPr>
              <w:spacing w:line="240" w:lineRule="auto"/>
              <w:jc w:val="center"/>
              <w:rPr>
                <w:rFonts w:eastAsia="Calibri"/>
              </w:rPr>
            </w:pPr>
            <w:r w:rsidRPr="009A7579">
              <w:rPr>
                <w:rFonts w:eastAsia="Calibri"/>
              </w:rPr>
              <w:t>1.6603</w:t>
            </w:r>
          </w:p>
        </w:tc>
        <w:tc>
          <w:tcPr>
            <w:tcW w:w="1314" w:type="dxa"/>
            <w:hideMark/>
          </w:tcPr>
          <w:p w14:paraId="011DF528" w14:textId="77777777" w:rsidR="009A7579" w:rsidRPr="009A7579" w:rsidRDefault="009A7579" w:rsidP="009A7579">
            <w:pPr>
              <w:spacing w:line="240" w:lineRule="auto"/>
              <w:jc w:val="center"/>
              <w:rPr>
                <w:rFonts w:eastAsia="Calibri"/>
              </w:rPr>
            </w:pPr>
            <w:r w:rsidRPr="009A7579">
              <w:rPr>
                <w:rFonts w:eastAsia="Calibri"/>
              </w:rPr>
              <w:t>-6.1781</w:t>
            </w:r>
          </w:p>
        </w:tc>
        <w:tc>
          <w:tcPr>
            <w:tcW w:w="1183" w:type="dxa"/>
            <w:hideMark/>
          </w:tcPr>
          <w:p w14:paraId="7552A6DE" w14:textId="77777777" w:rsidR="009A7579" w:rsidRPr="009A7579" w:rsidRDefault="009A7579" w:rsidP="009A7579">
            <w:pPr>
              <w:spacing w:line="240" w:lineRule="auto"/>
              <w:jc w:val="center"/>
              <w:rPr>
                <w:rFonts w:eastAsia="Calibri"/>
              </w:rPr>
            </w:pPr>
            <w:r w:rsidRPr="009A7579">
              <w:rPr>
                <w:rFonts w:eastAsia="Calibri"/>
              </w:rPr>
              <w:t>0.371</w:t>
            </w:r>
          </w:p>
        </w:tc>
        <w:tc>
          <w:tcPr>
            <w:tcW w:w="920" w:type="dxa"/>
            <w:hideMark/>
          </w:tcPr>
          <w:p w14:paraId="7ED87A59" w14:textId="77777777" w:rsidR="009A7579" w:rsidRPr="009A7579" w:rsidRDefault="009A7579" w:rsidP="009A7579">
            <w:pPr>
              <w:spacing w:line="240" w:lineRule="auto"/>
              <w:jc w:val="center"/>
              <w:rPr>
                <w:rFonts w:eastAsia="Calibri"/>
              </w:rPr>
            </w:pPr>
            <w:r w:rsidRPr="009A7579">
              <w:rPr>
                <w:rFonts w:eastAsia="Calibri"/>
              </w:rPr>
              <w:t>196</w:t>
            </w:r>
          </w:p>
        </w:tc>
        <w:tc>
          <w:tcPr>
            <w:tcW w:w="1183" w:type="dxa"/>
            <w:hideMark/>
          </w:tcPr>
          <w:p w14:paraId="51DA9CB2" w14:textId="77777777" w:rsidR="009A7579" w:rsidRPr="009A7579" w:rsidRDefault="009A7579" w:rsidP="009A7579">
            <w:pPr>
              <w:spacing w:line="240" w:lineRule="auto"/>
              <w:jc w:val="center"/>
              <w:rPr>
                <w:rFonts w:eastAsia="Calibri"/>
              </w:rPr>
            </w:pPr>
            <w:r w:rsidRPr="009A7579">
              <w:rPr>
                <w:rFonts w:eastAsia="Calibri"/>
              </w:rPr>
              <w:t>-1.749</w:t>
            </w:r>
          </w:p>
        </w:tc>
        <w:tc>
          <w:tcPr>
            <w:tcW w:w="1070" w:type="dxa"/>
            <w:hideMark/>
          </w:tcPr>
          <w:p w14:paraId="4ABA35F3" w14:textId="77777777" w:rsidR="009A7579" w:rsidRPr="009A7579" w:rsidRDefault="009A7579" w:rsidP="009A7579">
            <w:pPr>
              <w:spacing w:line="240" w:lineRule="auto"/>
              <w:jc w:val="center"/>
              <w:rPr>
                <w:rFonts w:eastAsia="Calibri"/>
              </w:rPr>
            </w:pPr>
            <w:r w:rsidRPr="009A7579">
              <w:rPr>
                <w:rFonts w:eastAsia="Calibri"/>
              </w:rPr>
              <w:t>.082</w:t>
            </w:r>
          </w:p>
        </w:tc>
      </w:tr>
      <w:tr w:rsidR="009A7579" w:rsidRPr="009A7579" w14:paraId="75EDF356" w14:textId="77777777" w:rsidTr="00656BEB">
        <w:trPr>
          <w:trHeight w:val="555"/>
        </w:trPr>
        <w:tc>
          <w:tcPr>
            <w:tcW w:w="1636" w:type="dxa"/>
            <w:hideMark/>
          </w:tcPr>
          <w:p w14:paraId="7D357820" w14:textId="77777777" w:rsidR="009A7579" w:rsidRPr="009A7579" w:rsidRDefault="009A7579" w:rsidP="009A7579">
            <w:pPr>
              <w:spacing w:line="240" w:lineRule="auto"/>
              <w:rPr>
                <w:rFonts w:eastAsia="Calibri"/>
              </w:rPr>
            </w:pPr>
            <w:r w:rsidRPr="009A7579">
              <w:rPr>
                <w:rFonts w:eastAsia="Calibri"/>
              </w:rPr>
              <w:t>Peer Influence</w:t>
            </w:r>
          </w:p>
        </w:tc>
        <w:tc>
          <w:tcPr>
            <w:tcW w:w="1314" w:type="dxa"/>
            <w:hideMark/>
          </w:tcPr>
          <w:p w14:paraId="074E6973" w14:textId="77777777" w:rsidR="009A7579" w:rsidRPr="009A7579" w:rsidRDefault="009A7579" w:rsidP="009A7579">
            <w:pPr>
              <w:spacing w:line="240" w:lineRule="auto"/>
              <w:jc w:val="center"/>
              <w:rPr>
                <w:rFonts w:eastAsia="Calibri"/>
              </w:rPr>
            </w:pPr>
            <w:r w:rsidRPr="009A7579">
              <w:rPr>
                <w:rFonts w:eastAsia="Calibri"/>
              </w:rPr>
              <w:t>1.2560</w:t>
            </w:r>
          </w:p>
        </w:tc>
        <w:tc>
          <w:tcPr>
            <w:tcW w:w="1183" w:type="dxa"/>
            <w:hideMark/>
          </w:tcPr>
          <w:p w14:paraId="66302423" w14:textId="77777777" w:rsidR="009A7579" w:rsidRPr="009A7579" w:rsidRDefault="009A7579" w:rsidP="009A7579">
            <w:pPr>
              <w:spacing w:line="240" w:lineRule="auto"/>
              <w:jc w:val="center"/>
              <w:rPr>
                <w:rFonts w:eastAsia="Calibri"/>
              </w:rPr>
            </w:pPr>
            <w:r w:rsidRPr="009A7579">
              <w:rPr>
                <w:rFonts w:eastAsia="Calibri"/>
              </w:rPr>
              <w:t>1.8647</w:t>
            </w:r>
          </w:p>
        </w:tc>
        <w:tc>
          <w:tcPr>
            <w:tcW w:w="1314" w:type="dxa"/>
            <w:hideMark/>
          </w:tcPr>
          <w:p w14:paraId="5FE737DE" w14:textId="77777777" w:rsidR="009A7579" w:rsidRPr="009A7579" w:rsidRDefault="009A7579" w:rsidP="009A7579">
            <w:pPr>
              <w:spacing w:line="240" w:lineRule="auto"/>
              <w:jc w:val="center"/>
              <w:rPr>
                <w:rFonts w:eastAsia="Calibri"/>
              </w:rPr>
            </w:pPr>
            <w:r w:rsidRPr="009A7579">
              <w:rPr>
                <w:rFonts w:eastAsia="Calibri"/>
              </w:rPr>
              <w:t>-2.4217</w:t>
            </w:r>
          </w:p>
        </w:tc>
        <w:tc>
          <w:tcPr>
            <w:tcW w:w="1183" w:type="dxa"/>
            <w:hideMark/>
          </w:tcPr>
          <w:p w14:paraId="445721BB" w14:textId="77777777" w:rsidR="009A7579" w:rsidRPr="009A7579" w:rsidRDefault="009A7579" w:rsidP="009A7579">
            <w:pPr>
              <w:spacing w:line="240" w:lineRule="auto"/>
              <w:jc w:val="center"/>
              <w:rPr>
                <w:rFonts w:eastAsia="Calibri"/>
              </w:rPr>
            </w:pPr>
            <w:r w:rsidRPr="009A7579">
              <w:rPr>
                <w:rFonts w:eastAsia="Calibri"/>
              </w:rPr>
              <w:t>4.934</w:t>
            </w:r>
          </w:p>
        </w:tc>
        <w:tc>
          <w:tcPr>
            <w:tcW w:w="920" w:type="dxa"/>
            <w:hideMark/>
          </w:tcPr>
          <w:p w14:paraId="5DB5D3DB" w14:textId="77777777" w:rsidR="009A7579" w:rsidRPr="009A7579" w:rsidRDefault="009A7579" w:rsidP="009A7579">
            <w:pPr>
              <w:spacing w:line="240" w:lineRule="auto"/>
              <w:jc w:val="center"/>
              <w:rPr>
                <w:rFonts w:eastAsia="Calibri"/>
              </w:rPr>
            </w:pPr>
            <w:r w:rsidRPr="009A7579">
              <w:rPr>
                <w:rFonts w:eastAsia="Calibri"/>
              </w:rPr>
              <w:t>196</w:t>
            </w:r>
          </w:p>
        </w:tc>
        <w:tc>
          <w:tcPr>
            <w:tcW w:w="1183" w:type="dxa"/>
            <w:hideMark/>
          </w:tcPr>
          <w:p w14:paraId="238D58FE" w14:textId="77777777" w:rsidR="009A7579" w:rsidRPr="009A7579" w:rsidRDefault="009A7579" w:rsidP="009A7579">
            <w:pPr>
              <w:spacing w:line="240" w:lineRule="auto"/>
              <w:jc w:val="center"/>
              <w:rPr>
                <w:rFonts w:eastAsia="Calibri"/>
              </w:rPr>
            </w:pPr>
            <w:r w:rsidRPr="009A7579">
              <w:rPr>
                <w:rFonts w:eastAsia="Calibri"/>
              </w:rPr>
              <w:t>0.674</w:t>
            </w:r>
          </w:p>
        </w:tc>
        <w:tc>
          <w:tcPr>
            <w:tcW w:w="1070" w:type="dxa"/>
            <w:hideMark/>
          </w:tcPr>
          <w:p w14:paraId="009BD95A" w14:textId="77777777" w:rsidR="009A7579" w:rsidRPr="009A7579" w:rsidRDefault="009A7579" w:rsidP="009A7579">
            <w:pPr>
              <w:spacing w:line="240" w:lineRule="auto"/>
              <w:jc w:val="center"/>
              <w:rPr>
                <w:rFonts w:eastAsia="Calibri"/>
              </w:rPr>
            </w:pPr>
            <w:r w:rsidRPr="009A7579">
              <w:rPr>
                <w:rFonts w:eastAsia="Calibri"/>
              </w:rPr>
              <w:t>.501</w:t>
            </w:r>
          </w:p>
        </w:tc>
      </w:tr>
      <w:tr w:rsidR="009A7579" w:rsidRPr="009A7579" w14:paraId="4D62E82C" w14:textId="77777777" w:rsidTr="00656BEB">
        <w:trPr>
          <w:trHeight w:val="555"/>
        </w:trPr>
        <w:tc>
          <w:tcPr>
            <w:tcW w:w="1636" w:type="dxa"/>
            <w:hideMark/>
          </w:tcPr>
          <w:p w14:paraId="449D1970" w14:textId="77777777" w:rsidR="009A7579" w:rsidRPr="009A7579" w:rsidRDefault="009A7579" w:rsidP="009A7579">
            <w:pPr>
              <w:spacing w:line="240" w:lineRule="auto"/>
              <w:rPr>
                <w:rFonts w:eastAsia="Calibri"/>
              </w:rPr>
            </w:pPr>
            <w:r w:rsidRPr="009A7579">
              <w:rPr>
                <w:rFonts w:eastAsia="Calibri"/>
              </w:rPr>
              <w:t>Parents’ Education</w:t>
            </w:r>
          </w:p>
        </w:tc>
        <w:tc>
          <w:tcPr>
            <w:tcW w:w="1314" w:type="dxa"/>
            <w:hideMark/>
          </w:tcPr>
          <w:p w14:paraId="59E5B1FB" w14:textId="77777777" w:rsidR="009A7579" w:rsidRPr="009A7579" w:rsidRDefault="009A7579" w:rsidP="009A7579">
            <w:pPr>
              <w:spacing w:line="240" w:lineRule="auto"/>
              <w:jc w:val="center"/>
              <w:rPr>
                <w:rFonts w:eastAsia="Calibri"/>
              </w:rPr>
            </w:pPr>
            <w:r w:rsidRPr="009A7579">
              <w:rPr>
                <w:rFonts w:eastAsia="Calibri"/>
              </w:rPr>
              <w:t>0.2369</w:t>
            </w:r>
          </w:p>
        </w:tc>
        <w:tc>
          <w:tcPr>
            <w:tcW w:w="1183" w:type="dxa"/>
            <w:hideMark/>
          </w:tcPr>
          <w:p w14:paraId="5BE9D149" w14:textId="77777777" w:rsidR="009A7579" w:rsidRPr="009A7579" w:rsidRDefault="009A7579" w:rsidP="009A7579">
            <w:pPr>
              <w:spacing w:line="240" w:lineRule="auto"/>
              <w:jc w:val="center"/>
              <w:rPr>
                <w:rFonts w:eastAsia="Calibri"/>
              </w:rPr>
            </w:pPr>
            <w:r w:rsidRPr="009A7579">
              <w:rPr>
                <w:rFonts w:eastAsia="Calibri"/>
              </w:rPr>
              <w:t>0.2770</w:t>
            </w:r>
          </w:p>
        </w:tc>
        <w:tc>
          <w:tcPr>
            <w:tcW w:w="1314" w:type="dxa"/>
            <w:hideMark/>
          </w:tcPr>
          <w:p w14:paraId="340EB4F6" w14:textId="77777777" w:rsidR="009A7579" w:rsidRPr="009A7579" w:rsidRDefault="009A7579" w:rsidP="009A7579">
            <w:pPr>
              <w:spacing w:line="240" w:lineRule="auto"/>
              <w:jc w:val="center"/>
              <w:rPr>
                <w:rFonts w:eastAsia="Calibri"/>
              </w:rPr>
            </w:pPr>
            <w:r w:rsidRPr="009A7579">
              <w:rPr>
                <w:rFonts w:eastAsia="Calibri"/>
              </w:rPr>
              <w:t>-0.3094</w:t>
            </w:r>
          </w:p>
        </w:tc>
        <w:tc>
          <w:tcPr>
            <w:tcW w:w="1183" w:type="dxa"/>
            <w:hideMark/>
          </w:tcPr>
          <w:p w14:paraId="33411A3C" w14:textId="77777777" w:rsidR="009A7579" w:rsidRPr="009A7579" w:rsidRDefault="009A7579" w:rsidP="009A7579">
            <w:pPr>
              <w:spacing w:line="240" w:lineRule="auto"/>
              <w:jc w:val="center"/>
              <w:rPr>
                <w:rFonts w:eastAsia="Calibri"/>
              </w:rPr>
            </w:pPr>
            <w:r w:rsidRPr="009A7579">
              <w:rPr>
                <w:rFonts w:eastAsia="Calibri"/>
              </w:rPr>
              <w:t>0.783</w:t>
            </w:r>
          </w:p>
        </w:tc>
        <w:tc>
          <w:tcPr>
            <w:tcW w:w="920" w:type="dxa"/>
            <w:hideMark/>
          </w:tcPr>
          <w:p w14:paraId="6398339B" w14:textId="77777777" w:rsidR="009A7579" w:rsidRPr="009A7579" w:rsidRDefault="009A7579" w:rsidP="009A7579">
            <w:pPr>
              <w:spacing w:line="240" w:lineRule="auto"/>
              <w:jc w:val="center"/>
              <w:rPr>
                <w:rFonts w:eastAsia="Calibri"/>
              </w:rPr>
            </w:pPr>
            <w:r w:rsidRPr="009A7579">
              <w:rPr>
                <w:rFonts w:eastAsia="Calibri"/>
              </w:rPr>
              <w:t>196</w:t>
            </w:r>
          </w:p>
        </w:tc>
        <w:tc>
          <w:tcPr>
            <w:tcW w:w="1183" w:type="dxa"/>
            <w:hideMark/>
          </w:tcPr>
          <w:p w14:paraId="6100A9E8" w14:textId="77777777" w:rsidR="009A7579" w:rsidRPr="009A7579" w:rsidRDefault="009A7579" w:rsidP="009A7579">
            <w:pPr>
              <w:spacing w:line="240" w:lineRule="auto"/>
              <w:jc w:val="center"/>
              <w:rPr>
                <w:rFonts w:eastAsia="Calibri"/>
              </w:rPr>
            </w:pPr>
            <w:r w:rsidRPr="009A7579">
              <w:rPr>
                <w:rFonts w:eastAsia="Calibri"/>
              </w:rPr>
              <w:t>0.855</w:t>
            </w:r>
          </w:p>
        </w:tc>
        <w:tc>
          <w:tcPr>
            <w:tcW w:w="1070" w:type="dxa"/>
            <w:hideMark/>
          </w:tcPr>
          <w:p w14:paraId="718318FF" w14:textId="77777777" w:rsidR="009A7579" w:rsidRPr="009A7579" w:rsidRDefault="009A7579" w:rsidP="009A7579">
            <w:pPr>
              <w:spacing w:line="240" w:lineRule="auto"/>
              <w:jc w:val="center"/>
              <w:rPr>
                <w:rFonts w:eastAsia="Calibri"/>
              </w:rPr>
            </w:pPr>
            <w:r w:rsidRPr="009A7579">
              <w:rPr>
                <w:rFonts w:eastAsia="Calibri"/>
              </w:rPr>
              <w:t>.393</w:t>
            </w:r>
          </w:p>
        </w:tc>
      </w:tr>
      <w:tr w:rsidR="009A7579" w:rsidRPr="009A7579" w14:paraId="0E9624E0" w14:textId="77777777" w:rsidTr="00656BEB">
        <w:trPr>
          <w:trHeight w:val="555"/>
        </w:trPr>
        <w:tc>
          <w:tcPr>
            <w:tcW w:w="1636" w:type="dxa"/>
            <w:hideMark/>
          </w:tcPr>
          <w:p w14:paraId="6671AB6F" w14:textId="77777777" w:rsidR="009A7579" w:rsidRPr="009A7579" w:rsidRDefault="009A7579" w:rsidP="009A7579">
            <w:pPr>
              <w:spacing w:line="240" w:lineRule="auto"/>
              <w:rPr>
                <w:rFonts w:eastAsia="Calibri"/>
              </w:rPr>
            </w:pPr>
            <w:r w:rsidRPr="009A7579">
              <w:rPr>
                <w:rFonts w:eastAsia="Calibri"/>
              </w:rPr>
              <w:t>Family Income</w:t>
            </w:r>
          </w:p>
        </w:tc>
        <w:tc>
          <w:tcPr>
            <w:tcW w:w="1314" w:type="dxa"/>
            <w:hideMark/>
          </w:tcPr>
          <w:p w14:paraId="31CABE28" w14:textId="77777777" w:rsidR="009A7579" w:rsidRPr="009A7579" w:rsidRDefault="009A7579" w:rsidP="009A7579">
            <w:pPr>
              <w:spacing w:line="240" w:lineRule="auto"/>
              <w:jc w:val="center"/>
              <w:rPr>
                <w:rFonts w:eastAsia="Calibri"/>
              </w:rPr>
            </w:pPr>
            <w:r w:rsidRPr="009A7579">
              <w:rPr>
                <w:rFonts w:eastAsia="Calibri"/>
              </w:rPr>
              <w:t>-0.0002</w:t>
            </w:r>
          </w:p>
        </w:tc>
        <w:tc>
          <w:tcPr>
            <w:tcW w:w="1183" w:type="dxa"/>
            <w:hideMark/>
          </w:tcPr>
          <w:p w14:paraId="49EDCF89" w14:textId="77777777" w:rsidR="009A7579" w:rsidRPr="009A7579" w:rsidRDefault="009A7579" w:rsidP="009A7579">
            <w:pPr>
              <w:spacing w:line="240" w:lineRule="auto"/>
              <w:jc w:val="center"/>
              <w:rPr>
                <w:rFonts w:eastAsia="Calibri"/>
              </w:rPr>
            </w:pPr>
            <w:r w:rsidRPr="009A7579">
              <w:rPr>
                <w:rFonts w:eastAsia="Calibri"/>
              </w:rPr>
              <w:t>0.0002</w:t>
            </w:r>
          </w:p>
        </w:tc>
        <w:tc>
          <w:tcPr>
            <w:tcW w:w="1314" w:type="dxa"/>
            <w:hideMark/>
          </w:tcPr>
          <w:p w14:paraId="433F8DCA" w14:textId="77777777" w:rsidR="009A7579" w:rsidRPr="009A7579" w:rsidRDefault="009A7579" w:rsidP="009A7579">
            <w:pPr>
              <w:spacing w:line="240" w:lineRule="auto"/>
              <w:jc w:val="center"/>
              <w:rPr>
                <w:rFonts w:eastAsia="Calibri"/>
              </w:rPr>
            </w:pPr>
            <w:r w:rsidRPr="009A7579">
              <w:rPr>
                <w:rFonts w:eastAsia="Calibri"/>
              </w:rPr>
              <w:t>-0.0005</w:t>
            </w:r>
          </w:p>
        </w:tc>
        <w:tc>
          <w:tcPr>
            <w:tcW w:w="1183" w:type="dxa"/>
            <w:hideMark/>
          </w:tcPr>
          <w:p w14:paraId="782F621C" w14:textId="77777777" w:rsidR="009A7579" w:rsidRPr="009A7579" w:rsidRDefault="009A7579" w:rsidP="009A7579">
            <w:pPr>
              <w:spacing w:line="240" w:lineRule="auto"/>
              <w:jc w:val="center"/>
              <w:rPr>
                <w:rFonts w:eastAsia="Calibri"/>
              </w:rPr>
            </w:pPr>
            <w:r w:rsidRPr="009A7579">
              <w:rPr>
                <w:rFonts w:eastAsia="Calibri"/>
              </w:rPr>
              <w:t>0.0002</w:t>
            </w:r>
          </w:p>
        </w:tc>
        <w:tc>
          <w:tcPr>
            <w:tcW w:w="920" w:type="dxa"/>
            <w:hideMark/>
          </w:tcPr>
          <w:p w14:paraId="4CD3C34F" w14:textId="77777777" w:rsidR="009A7579" w:rsidRPr="009A7579" w:rsidRDefault="009A7579" w:rsidP="009A7579">
            <w:pPr>
              <w:spacing w:line="240" w:lineRule="auto"/>
              <w:jc w:val="center"/>
              <w:rPr>
                <w:rFonts w:eastAsia="Calibri"/>
              </w:rPr>
            </w:pPr>
            <w:r w:rsidRPr="009A7579">
              <w:rPr>
                <w:rFonts w:eastAsia="Calibri"/>
              </w:rPr>
              <w:t>196</w:t>
            </w:r>
          </w:p>
        </w:tc>
        <w:tc>
          <w:tcPr>
            <w:tcW w:w="1183" w:type="dxa"/>
            <w:hideMark/>
          </w:tcPr>
          <w:p w14:paraId="72F88058" w14:textId="77777777" w:rsidR="009A7579" w:rsidRPr="009A7579" w:rsidRDefault="009A7579" w:rsidP="009A7579">
            <w:pPr>
              <w:spacing w:line="240" w:lineRule="auto"/>
              <w:jc w:val="center"/>
              <w:rPr>
                <w:rFonts w:eastAsia="Calibri"/>
              </w:rPr>
            </w:pPr>
            <w:r w:rsidRPr="009A7579">
              <w:rPr>
                <w:rFonts w:eastAsia="Calibri"/>
              </w:rPr>
              <w:t>-0.793</w:t>
            </w:r>
          </w:p>
        </w:tc>
        <w:tc>
          <w:tcPr>
            <w:tcW w:w="1070" w:type="dxa"/>
            <w:hideMark/>
          </w:tcPr>
          <w:p w14:paraId="42609738" w14:textId="77777777" w:rsidR="009A7579" w:rsidRPr="009A7579" w:rsidRDefault="009A7579" w:rsidP="009A7579">
            <w:pPr>
              <w:spacing w:line="240" w:lineRule="auto"/>
              <w:jc w:val="center"/>
              <w:rPr>
                <w:rFonts w:eastAsia="Calibri"/>
              </w:rPr>
            </w:pPr>
            <w:r w:rsidRPr="009A7579">
              <w:rPr>
                <w:rFonts w:eastAsia="Calibri"/>
              </w:rPr>
              <w:t>.429</w:t>
            </w:r>
          </w:p>
        </w:tc>
      </w:tr>
      <w:tr w:rsidR="009A7579" w:rsidRPr="009A7579" w14:paraId="28746939" w14:textId="77777777" w:rsidTr="00656BEB">
        <w:trPr>
          <w:trHeight w:val="270"/>
        </w:trPr>
        <w:tc>
          <w:tcPr>
            <w:tcW w:w="1636" w:type="dxa"/>
            <w:hideMark/>
          </w:tcPr>
          <w:p w14:paraId="31115D93" w14:textId="77777777" w:rsidR="009A7579" w:rsidRPr="009A7579" w:rsidRDefault="009A7579" w:rsidP="009A7579">
            <w:pPr>
              <w:spacing w:line="240" w:lineRule="auto"/>
              <w:rPr>
                <w:rFonts w:eastAsia="Calibri"/>
              </w:rPr>
            </w:pPr>
            <w:r w:rsidRPr="009A7579">
              <w:rPr>
                <w:rFonts w:eastAsia="Calibri"/>
              </w:rPr>
              <w:t xml:space="preserve">Family </w:t>
            </w:r>
            <w:proofErr w:type="spellStart"/>
            <w:r w:rsidRPr="009A7579">
              <w:rPr>
                <w:rFonts w:eastAsia="Calibri"/>
              </w:rPr>
              <w:t>SIze</w:t>
            </w:r>
            <w:proofErr w:type="spellEnd"/>
          </w:p>
        </w:tc>
        <w:tc>
          <w:tcPr>
            <w:tcW w:w="1314" w:type="dxa"/>
            <w:hideMark/>
          </w:tcPr>
          <w:p w14:paraId="023F8CB9" w14:textId="77777777" w:rsidR="009A7579" w:rsidRPr="009A7579" w:rsidRDefault="009A7579" w:rsidP="009A7579">
            <w:pPr>
              <w:spacing w:line="240" w:lineRule="auto"/>
              <w:jc w:val="center"/>
              <w:rPr>
                <w:rFonts w:eastAsia="Calibri"/>
              </w:rPr>
            </w:pPr>
            <w:r w:rsidRPr="009A7579">
              <w:rPr>
                <w:rFonts w:eastAsia="Calibri"/>
              </w:rPr>
              <w:t>-0.0650</w:t>
            </w:r>
          </w:p>
        </w:tc>
        <w:tc>
          <w:tcPr>
            <w:tcW w:w="1183" w:type="dxa"/>
            <w:hideMark/>
          </w:tcPr>
          <w:p w14:paraId="5B065126" w14:textId="77777777" w:rsidR="009A7579" w:rsidRPr="009A7579" w:rsidRDefault="009A7579" w:rsidP="009A7579">
            <w:pPr>
              <w:spacing w:line="240" w:lineRule="auto"/>
              <w:jc w:val="center"/>
              <w:rPr>
                <w:rFonts w:eastAsia="Calibri"/>
              </w:rPr>
            </w:pPr>
            <w:r w:rsidRPr="009A7579">
              <w:rPr>
                <w:rFonts w:eastAsia="Calibri"/>
              </w:rPr>
              <w:t>0.5981</w:t>
            </w:r>
          </w:p>
        </w:tc>
        <w:tc>
          <w:tcPr>
            <w:tcW w:w="1314" w:type="dxa"/>
            <w:hideMark/>
          </w:tcPr>
          <w:p w14:paraId="1C6404A3" w14:textId="77777777" w:rsidR="009A7579" w:rsidRPr="009A7579" w:rsidRDefault="009A7579" w:rsidP="009A7579">
            <w:pPr>
              <w:spacing w:line="240" w:lineRule="auto"/>
              <w:jc w:val="center"/>
              <w:rPr>
                <w:rFonts w:eastAsia="Calibri"/>
              </w:rPr>
            </w:pPr>
            <w:r w:rsidRPr="009A7579">
              <w:rPr>
                <w:rFonts w:eastAsia="Calibri"/>
              </w:rPr>
              <w:t>-1.2446</w:t>
            </w:r>
          </w:p>
        </w:tc>
        <w:tc>
          <w:tcPr>
            <w:tcW w:w="1183" w:type="dxa"/>
            <w:hideMark/>
          </w:tcPr>
          <w:p w14:paraId="4412A5ED" w14:textId="77777777" w:rsidR="009A7579" w:rsidRPr="009A7579" w:rsidRDefault="009A7579" w:rsidP="009A7579">
            <w:pPr>
              <w:spacing w:line="240" w:lineRule="auto"/>
              <w:jc w:val="center"/>
              <w:rPr>
                <w:rFonts w:eastAsia="Calibri"/>
              </w:rPr>
            </w:pPr>
            <w:r w:rsidRPr="009A7579">
              <w:rPr>
                <w:rFonts w:eastAsia="Calibri"/>
              </w:rPr>
              <w:t>1.115</w:t>
            </w:r>
          </w:p>
        </w:tc>
        <w:tc>
          <w:tcPr>
            <w:tcW w:w="920" w:type="dxa"/>
            <w:hideMark/>
          </w:tcPr>
          <w:p w14:paraId="1A743E3B" w14:textId="77777777" w:rsidR="009A7579" w:rsidRPr="009A7579" w:rsidRDefault="009A7579" w:rsidP="009A7579">
            <w:pPr>
              <w:spacing w:line="240" w:lineRule="auto"/>
              <w:jc w:val="center"/>
              <w:rPr>
                <w:rFonts w:eastAsia="Calibri"/>
              </w:rPr>
            </w:pPr>
            <w:r w:rsidRPr="009A7579">
              <w:rPr>
                <w:rFonts w:eastAsia="Calibri"/>
              </w:rPr>
              <w:t>196</w:t>
            </w:r>
          </w:p>
        </w:tc>
        <w:tc>
          <w:tcPr>
            <w:tcW w:w="1183" w:type="dxa"/>
            <w:hideMark/>
          </w:tcPr>
          <w:p w14:paraId="78841BB2" w14:textId="77777777" w:rsidR="009A7579" w:rsidRPr="009A7579" w:rsidRDefault="009A7579" w:rsidP="009A7579">
            <w:pPr>
              <w:spacing w:line="240" w:lineRule="auto"/>
              <w:jc w:val="center"/>
              <w:rPr>
                <w:rFonts w:eastAsia="Calibri"/>
              </w:rPr>
            </w:pPr>
            <w:r w:rsidRPr="009A7579">
              <w:rPr>
                <w:rFonts w:eastAsia="Calibri"/>
              </w:rPr>
              <w:t>-0.109</w:t>
            </w:r>
          </w:p>
        </w:tc>
        <w:tc>
          <w:tcPr>
            <w:tcW w:w="1070" w:type="dxa"/>
            <w:hideMark/>
          </w:tcPr>
          <w:p w14:paraId="7F2779B1" w14:textId="77777777" w:rsidR="009A7579" w:rsidRPr="009A7579" w:rsidRDefault="009A7579" w:rsidP="009A7579">
            <w:pPr>
              <w:spacing w:line="240" w:lineRule="auto"/>
              <w:jc w:val="center"/>
              <w:rPr>
                <w:rFonts w:eastAsia="Calibri"/>
              </w:rPr>
            </w:pPr>
            <w:r w:rsidRPr="009A7579">
              <w:rPr>
                <w:rFonts w:eastAsia="Calibri"/>
              </w:rPr>
              <w:t>.914</w:t>
            </w:r>
          </w:p>
        </w:tc>
      </w:tr>
      <w:tr w:rsidR="009A7579" w:rsidRPr="009A7579" w14:paraId="2EC88CBE" w14:textId="77777777" w:rsidTr="00656BEB">
        <w:trPr>
          <w:trHeight w:val="555"/>
        </w:trPr>
        <w:tc>
          <w:tcPr>
            <w:tcW w:w="1636" w:type="dxa"/>
          </w:tcPr>
          <w:p w14:paraId="14F5752B" w14:textId="77777777" w:rsidR="009A7579" w:rsidRPr="009A7579" w:rsidRDefault="009A7579" w:rsidP="009A7579">
            <w:pPr>
              <w:spacing w:line="240" w:lineRule="auto"/>
              <w:rPr>
                <w:rFonts w:eastAsia="Calibri"/>
              </w:rPr>
            </w:pPr>
            <w:r w:rsidRPr="009A7579">
              <w:rPr>
                <w:rFonts w:eastAsia="Calibri"/>
              </w:rPr>
              <w:t>School Location</w:t>
            </w:r>
          </w:p>
        </w:tc>
        <w:tc>
          <w:tcPr>
            <w:tcW w:w="1314" w:type="dxa"/>
          </w:tcPr>
          <w:p w14:paraId="279CB4B6" w14:textId="77777777" w:rsidR="009A7579" w:rsidRPr="009A7579" w:rsidRDefault="009A7579" w:rsidP="009A7579">
            <w:pPr>
              <w:spacing w:line="240" w:lineRule="auto"/>
              <w:jc w:val="center"/>
              <w:rPr>
                <w:rFonts w:eastAsia="Calibri"/>
              </w:rPr>
            </w:pPr>
            <w:r w:rsidRPr="009A7579">
              <w:rPr>
                <w:rFonts w:eastAsia="Calibri"/>
              </w:rPr>
              <w:t>1.2039</w:t>
            </w:r>
          </w:p>
        </w:tc>
        <w:tc>
          <w:tcPr>
            <w:tcW w:w="1183" w:type="dxa"/>
          </w:tcPr>
          <w:p w14:paraId="41CD6589" w14:textId="77777777" w:rsidR="009A7579" w:rsidRPr="009A7579" w:rsidRDefault="009A7579" w:rsidP="009A7579">
            <w:pPr>
              <w:spacing w:line="240" w:lineRule="auto"/>
              <w:jc w:val="center"/>
              <w:rPr>
                <w:rFonts w:eastAsia="Calibri"/>
              </w:rPr>
            </w:pPr>
            <w:r w:rsidRPr="009A7579">
              <w:rPr>
                <w:rFonts w:eastAsia="Calibri"/>
              </w:rPr>
              <w:t>6.3691</w:t>
            </w:r>
          </w:p>
        </w:tc>
        <w:tc>
          <w:tcPr>
            <w:tcW w:w="1314" w:type="dxa"/>
          </w:tcPr>
          <w:p w14:paraId="7FBD142E" w14:textId="77777777" w:rsidR="009A7579" w:rsidRPr="009A7579" w:rsidRDefault="009A7579" w:rsidP="009A7579">
            <w:pPr>
              <w:spacing w:line="240" w:lineRule="auto"/>
              <w:jc w:val="center"/>
              <w:rPr>
                <w:rFonts w:eastAsia="Calibri"/>
              </w:rPr>
            </w:pPr>
            <w:r w:rsidRPr="009A7579">
              <w:rPr>
                <w:rFonts w:eastAsia="Calibri"/>
              </w:rPr>
              <w:t>-11.3577</w:t>
            </w:r>
          </w:p>
        </w:tc>
        <w:tc>
          <w:tcPr>
            <w:tcW w:w="1183" w:type="dxa"/>
          </w:tcPr>
          <w:p w14:paraId="13BC19A2" w14:textId="77777777" w:rsidR="009A7579" w:rsidRPr="009A7579" w:rsidRDefault="009A7579" w:rsidP="009A7579">
            <w:pPr>
              <w:spacing w:line="240" w:lineRule="auto"/>
              <w:jc w:val="center"/>
              <w:rPr>
                <w:rFonts w:eastAsia="Calibri"/>
              </w:rPr>
            </w:pPr>
            <w:r w:rsidRPr="009A7579">
              <w:rPr>
                <w:rFonts w:eastAsia="Calibri"/>
              </w:rPr>
              <w:t>13.766</w:t>
            </w:r>
          </w:p>
        </w:tc>
        <w:tc>
          <w:tcPr>
            <w:tcW w:w="920" w:type="dxa"/>
          </w:tcPr>
          <w:p w14:paraId="32300523" w14:textId="77777777" w:rsidR="009A7579" w:rsidRPr="009A7579" w:rsidRDefault="009A7579" w:rsidP="009A7579">
            <w:pPr>
              <w:spacing w:line="240" w:lineRule="auto"/>
              <w:jc w:val="center"/>
              <w:rPr>
                <w:rFonts w:eastAsia="Calibri"/>
              </w:rPr>
            </w:pPr>
            <w:r w:rsidRPr="009A7579">
              <w:rPr>
                <w:rFonts w:eastAsia="Calibri"/>
              </w:rPr>
              <w:t>0.00</w:t>
            </w:r>
          </w:p>
        </w:tc>
        <w:tc>
          <w:tcPr>
            <w:tcW w:w="1183" w:type="dxa"/>
          </w:tcPr>
          <w:p w14:paraId="7741ECC6" w14:textId="77777777" w:rsidR="009A7579" w:rsidRPr="009A7579" w:rsidRDefault="009A7579" w:rsidP="009A7579">
            <w:pPr>
              <w:spacing w:line="240" w:lineRule="auto"/>
              <w:jc w:val="center"/>
              <w:rPr>
                <w:rFonts w:eastAsia="Calibri"/>
              </w:rPr>
            </w:pPr>
            <w:r w:rsidRPr="009A7579">
              <w:rPr>
                <w:rFonts w:eastAsia="Calibri"/>
              </w:rPr>
              <w:t>0.189</w:t>
            </w:r>
          </w:p>
        </w:tc>
        <w:tc>
          <w:tcPr>
            <w:tcW w:w="1070" w:type="dxa"/>
          </w:tcPr>
          <w:p w14:paraId="372558B3" w14:textId="77777777" w:rsidR="009A7579" w:rsidRPr="009A7579" w:rsidRDefault="009A7579" w:rsidP="009A7579">
            <w:pPr>
              <w:spacing w:line="240" w:lineRule="auto"/>
              <w:jc w:val="center"/>
              <w:rPr>
                <w:rFonts w:eastAsia="Calibri"/>
              </w:rPr>
            </w:pPr>
            <w:r w:rsidRPr="009A7579">
              <w:rPr>
                <w:rFonts w:eastAsia="Calibri"/>
              </w:rPr>
              <w:t>1.000</w:t>
            </w:r>
          </w:p>
        </w:tc>
      </w:tr>
    </w:tbl>
    <w:p w14:paraId="4D8F18FA" w14:textId="77777777" w:rsidR="00165314" w:rsidRPr="001D252E" w:rsidRDefault="00165314" w:rsidP="00F44221">
      <w:pPr>
        <w:pBdr>
          <w:top w:val="nil"/>
          <w:left w:val="nil"/>
          <w:bottom w:val="nil"/>
          <w:right w:val="nil"/>
          <w:between w:val="nil"/>
        </w:pBdr>
        <w:spacing w:line="240" w:lineRule="auto"/>
        <w:rPr>
          <w:rFonts w:eastAsia="Georgia"/>
          <w:bCs/>
          <w:iCs/>
          <w:color w:val="000000" w:themeColor="text1"/>
          <w:sz w:val="28"/>
          <w:szCs w:val="28"/>
          <w:lang w:bidi="en-US"/>
        </w:rPr>
      </w:pPr>
    </w:p>
    <w:p w14:paraId="045B19E8" w14:textId="3F797B26" w:rsidR="00A91171" w:rsidRPr="001D252E" w:rsidRDefault="00971CE4" w:rsidP="00F44221">
      <w:pPr>
        <w:spacing w:line="240" w:lineRule="auto"/>
        <w:rPr>
          <w:rFonts w:eastAsia="Georgia"/>
          <w:b/>
          <w:iCs/>
          <w:color w:val="000000" w:themeColor="text1"/>
          <w:sz w:val="28"/>
          <w:szCs w:val="28"/>
        </w:rPr>
      </w:pPr>
      <w:r w:rsidRPr="001D252E">
        <w:rPr>
          <w:rFonts w:eastAsia="Georgia"/>
          <w:b/>
          <w:iCs/>
          <w:color w:val="000000" w:themeColor="text1"/>
          <w:sz w:val="28"/>
          <w:szCs w:val="28"/>
        </w:rPr>
        <w:t>DISCUSSION</w:t>
      </w:r>
    </w:p>
    <w:p w14:paraId="35FD83EB" w14:textId="77777777" w:rsidR="00A91171" w:rsidRPr="001D252E" w:rsidRDefault="00A91171" w:rsidP="00F44221">
      <w:pPr>
        <w:spacing w:line="240" w:lineRule="auto"/>
        <w:rPr>
          <w:rFonts w:eastAsia="Georgia"/>
          <w:bCs/>
          <w:iCs/>
          <w:color w:val="000000" w:themeColor="text1"/>
          <w:sz w:val="28"/>
          <w:szCs w:val="28"/>
          <w:lang w:bidi="en-US"/>
        </w:rPr>
      </w:pPr>
    </w:p>
    <w:p w14:paraId="53A119BE" w14:textId="77777777" w:rsidR="0045501C" w:rsidRPr="009A7579" w:rsidRDefault="0045501C" w:rsidP="00F44221">
      <w:pPr>
        <w:pBdr>
          <w:top w:val="nil"/>
          <w:left w:val="nil"/>
          <w:bottom w:val="nil"/>
          <w:right w:val="nil"/>
          <w:between w:val="nil"/>
        </w:pBdr>
        <w:spacing w:line="240" w:lineRule="auto"/>
        <w:ind w:firstLine="720"/>
        <w:rPr>
          <w:rFonts w:eastAsia="Georgia"/>
          <w:bCs/>
          <w:iCs/>
          <w:color w:val="000000" w:themeColor="text1"/>
          <w:lang w:bidi="en-US"/>
        </w:rPr>
      </w:pPr>
      <w:r w:rsidRPr="009A7579">
        <w:rPr>
          <w:rFonts w:eastAsia="Georgia"/>
          <w:bCs/>
          <w:iCs/>
          <w:color w:val="000000" w:themeColor="text1"/>
          <w:lang w:bidi="en-US"/>
        </w:rPr>
        <w:t xml:space="preserve">The findings of this study revealed that Grade 3 learners in both urban and rural schools demonstrate generally low numeracy proficiency, with most classified under the </w:t>
      </w:r>
      <w:r w:rsidRPr="009A7579">
        <w:rPr>
          <w:rFonts w:eastAsia="Georgia"/>
          <w:bCs/>
          <w:i/>
          <w:iCs/>
          <w:color w:val="000000" w:themeColor="text1"/>
          <w:lang w:bidi="en-US"/>
        </w:rPr>
        <w:t>Needs Major Support</w:t>
      </w:r>
      <w:r w:rsidRPr="009A7579">
        <w:rPr>
          <w:rFonts w:eastAsia="Georgia"/>
          <w:bCs/>
          <w:iCs/>
          <w:color w:val="000000" w:themeColor="text1"/>
          <w:lang w:bidi="en-US"/>
        </w:rPr>
        <w:t xml:space="preserve"> category. Although urban learners showed slightly better performance with a small number reaching higher proficiency levels, rural learners exhibited more critical deficits, with no learners attaining the </w:t>
      </w:r>
      <w:r w:rsidRPr="009A7579">
        <w:rPr>
          <w:rFonts w:eastAsia="Georgia"/>
          <w:bCs/>
          <w:i/>
          <w:iCs/>
          <w:color w:val="000000" w:themeColor="text1"/>
          <w:lang w:bidi="en-US"/>
        </w:rPr>
        <w:t>Developing</w:t>
      </w:r>
      <w:r w:rsidRPr="009A7579">
        <w:rPr>
          <w:rFonts w:eastAsia="Georgia"/>
          <w:bCs/>
          <w:iCs/>
          <w:color w:val="000000" w:themeColor="text1"/>
          <w:lang w:bidi="en-US"/>
        </w:rPr>
        <w:t xml:space="preserve"> or </w:t>
      </w:r>
      <w:r w:rsidRPr="009A7579">
        <w:rPr>
          <w:rFonts w:eastAsia="Georgia"/>
          <w:bCs/>
          <w:i/>
          <w:iCs/>
          <w:color w:val="000000" w:themeColor="text1"/>
          <w:lang w:bidi="en-US"/>
        </w:rPr>
        <w:t>Transforming</w:t>
      </w:r>
      <w:r w:rsidRPr="009A7579">
        <w:rPr>
          <w:rFonts w:eastAsia="Georgia"/>
          <w:bCs/>
          <w:iCs/>
          <w:color w:val="000000" w:themeColor="text1"/>
          <w:lang w:bidi="en-US"/>
        </w:rPr>
        <w:t xml:space="preserve"> levels. Similarly, reading ability results showed that learners are mostly at the </w:t>
      </w:r>
      <w:r w:rsidRPr="009A7579">
        <w:rPr>
          <w:rFonts w:eastAsia="Georgia"/>
          <w:bCs/>
          <w:i/>
          <w:iCs/>
          <w:color w:val="000000" w:themeColor="text1"/>
          <w:lang w:bidi="en-US"/>
        </w:rPr>
        <w:t>Transitioning</w:t>
      </w:r>
      <w:r w:rsidRPr="009A7579">
        <w:rPr>
          <w:rFonts w:eastAsia="Georgia"/>
          <w:bCs/>
          <w:iCs/>
          <w:color w:val="000000" w:themeColor="text1"/>
          <w:lang w:bidi="en-US"/>
        </w:rPr>
        <w:t xml:space="preserve"> level, with urban schools performing better than rural schools. Overall, the results indicate that both numeracy and reading competencies remain underdeveloped, with rural learners experiencing more severe learning gaps. These findings support the initial hypothesis that learner performance varies by school context and is influenced by multiple learning-related factors.</w:t>
      </w:r>
    </w:p>
    <w:p w14:paraId="666566F7" w14:textId="77777777" w:rsidR="0045501C" w:rsidRPr="009A7579" w:rsidRDefault="0045501C" w:rsidP="00F44221">
      <w:pPr>
        <w:pBdr>
          <w:top w:val="nil"/>
          <w:left w:val="nil"/>
          <w:bottom w:val="nil"/>
          <w:right w:val="nil"/>
          <w:between w:val="nil"/>
        </w:pBdr>
        <w:spacing w:line="240" w:lineRule="auto"/>
        <w:ind w:firstLine="720"/>
        <w:rPr>
          <w:rFonts w:eastAsia="Georgia"/>
          <w:bCs/>
          <w:iCs/>
          <w:color w:val="000000" w:themeColor="text1"/>
          <w:lang w:bidi="en-US"/>
        </w:rPr>
      </w:pPr>
      <w:r w:rsidRPr="009A7579">
        <w:rPr>
          <w:rFonts w:eastAsia="Georgia"/>
          <w:bCs/>
          <w:iCs/>
          <w:color w:val="000000" w:themeColor="text1"/>
          <w:lang w:bidi="en-US"/>
        </w:rPr>
        <w:t>These results align with previous studies emphasizing that foundational skills in numeracy and literacy require the development of interconnected cognitive competencies such as number sense, comprehension, and problem-solving (</w:t>
      </w:r>
      <w:proofErr w:type="spellStart"/>
      <w:r w:rsidRPr="009A7579">
        <w:rPr>
          <w:rFonts w:eastAsia="Georgia"/>
          <w:bCs/>
          <w:iCs/>
          <w:color w:val="000000" w:themeColor="text1"/>
          <w:lang w:bidi="en-US"/>
        </w:rPr>
        <w:t>Sutama</w:t>
      </w:r>
      <w:proofErr w:type="spellEnd"/>
      <w:r w:rsidRPr="009A7579">
        <w:rPr>
          <w:rFonts w:eastAsia="Georgia"/>
          <w:bCs/>
          <w:iCs/>
          <w:color w:val="000000" w:themeColor="text1"/>
          <w:lang w:bidi="en-US"/>
        </w:rPr>
        <w:t xml:space="preserve"> et al., 2023; Karagiannakis et al., 2024). The persistent low performance observed in this study is consistent with reports of ongoing gaps in basic mathematical operations and reading comprehension among early-grade learners (</w:t>
      </w:r>
      <w:proofErr w:type="spellStart"/>
      <w:r w:rsidRPr="009A7579">
        <w:rPr>
          <w:rFonts w:eastAsia="Georgia"/>
          <w:bCs/>
          <w:iCs/>
          <w:color w:val="000000" w:themeColor="text1"/>
          <w:lang w:bidi="en-US"/>
        </w:rPr>
        <w:t>Catador</w:t>
      </w:r>
      <w:proofErr w:type="spellEnd"/>
      <w:r w:rsidRPr="009A7579">
        <w:rPr>
          <w:rFonts w:eastAsia="Georgia"/>
          <w:bCs/>
          <w:iCs/>
          <w:color w:val="000000" w:themeColor="text1"/>
          <w:lang w:bidi="en-US"/>
        </w:rPr>
        <w:t xml:space="preserve"> and Fernando, 2024; Er and </w:t>
      </w:r>
      <w:proofErr w:type="spellStart"/>
      <w:r w:rsidRPr="009A7579">
        <w:rPr>
          <w:rFonts w:eastAsia="Georgia"/>
          <w:bCs/>
          <w:iCs/>
          <w:color w:val="000000" w:themeColor="text1"/>
          <w:lang w:bidi="en-US"/>
        </w:rPr>
        <w:t>Dinc</w:t>
      </w:r>
      <w:proofErr w:type="spellEnd"/>
      <w:r w:rsidRPr="009A7579">
        <w:rPr>
          <w:rFonts w:eastAsia="Georgia"/>
          <w:bCs/>
          <w:iCs/>
          <w:color w:val="000000" w:themeColor="text1"/>
          <w:lang w:bidi="en-US"/>
        </w:rPr>
        <w:t>, 2025; Conaway et al., 2024). From the perspective of Bronfenbrenner’s Ecological Systems Theory, these outcomes reflect the combined influence of classroom conditions, home support, school resources, and broader socio-economic inequalities that shape learners’ academic development.</w:t>
      </w:r>
    </w:p>
    <w:p w14:paraId="5B2BF383" w14:textId="77777777" w:rsidR="0045501C" w:rsidRPr="009A7579" w:rsidRDefault="0045501C" w:rsidP="00F44221">
      <w:pPr>
        <w:pBdr>
          <w:top w:val="nil"/>
          <w:left w:val="nil"/>
          <w:bottom w:val="nil"/>
          <w:right w:val="nil"/>
          <w:between w:val="nil"/>
        </w:pBdr>
        <w:spacing w:line="240" w:lineRule="auto"/>
        <w:ind w:firstLine="720"/>
        <w:rPr>
          <w:rFonts w:eastAsia="Georgia"/>
          <w:bCs/>
          <w:iCs/>
          <w:color w:val="000000" w:themeColor="text1"/>
          <w:lang w:bidi="en-US"/>
        </w:rPr>
      </w:pPr>
      <w:r w:rsidRPr="009A7579">
        <w:rPr>
          <w:rFonts w:eastAsia="Georgia"/>
          <w:bCs/>
          <w:iCs/>
          <w:color w:val="000000" w:themeColor="text1"/>
          <w:lang w:bidi="en-US"/>
        </w:rPr>
        <w:t>The results further highlight that the Physical Learning Environment is a consistent determinant of both numeracy and reading performance. Learners exposed to more conducive classroom environments tend to achieve higher reading scores, while its relationship with numeracy is more complex, suggesting that infrastructure alone is insufficient to guarantee improved mathematical performance. Parental involvement emerged as a significant positive predictor of numeracy, reinforcing the importance of home-based academic support, while family size showed a negative relationship, indicating reduced individual learning support in larger households. In contrast, peer influence and socio-economic variables showed limited direct effects, suggesting that their impact may be indirect or mediated by school-based factors and instructional practices.</w:t>
      </w:r>
    </w:p>
    <w:p w14:paraId="4029C401" w14:textId="77777777" w:rsidR="0045501C" w:rsidRPr="009A7579" w:rsidRDefault="0045501C" w:rsidP="00F44221">
      <w:pPr>
        <w:pBdr>
          <w:top w:val="nil"/>
          <w:left w:val="nil"/>
          <w:bottom w:val="nil"/>
          <w:right w:val="nil"/>
          <w:between w:val="nil"/>
        </w:pBdr>
        <w:spacing w:line="240" w:lineRule="auto"/>
        <w:ind w:firstLine="720"/>
        <w:rPr>
          <w:rFonts w:eastAsia="Georgia"/>
          <w:bCs/>
          <w:iCs/>
          <w:color w:val="000000" w:themeColor="text1"/>
          <w:lang w:bidi="en-US"/>
        </w:rPr>
      </w:pPr>
      <w:r w:rsidRPr="009A7579">
        <w:rPr>
          <w:rFonts w:eastAsia="Georgia"/>
          <w:bCs/>
          <w:iCs/>
          <w:color w:val="000000" w:themeColor="text1"/>
          <w:lang w:bidi="en-US"/>
        </w:rPr>
        <w:t xml:space="preserve">These findings are consistent with studies emphasizing the role of home engagement and learning environments in shaping academic outcomes (Wang and Wei, 2024; Huang et al., 2021; Rance et al., 2023). However, the lack of significance for socio-economic status and peer influence in some models contrasts with earlier research, suggesting that contextual similarities among learners or stronger school-based instructional </w:t>
      </w:r>
      <w:r w:rsidRPr="009A7579">
        <w:rPr>
          <w:rFonts w:eastAsia="Georgia"/>
          <w:bCs/>
          <w:iCs/>
          <w:color w:val="000000" w:themeColor="text1"/>
          <w:lang w:bidi="en-US"/>
        </w:rPr>
        <w:lastRenderedPageBreak/>
        <w:t>effects may have minimized their variability in this study. The results imply that while external factors matter, school-level conditions and direct instructional experiences remain central to early learning outcomes.</w:t>
      </w:r>
    </w:p>
    <w:p w14:paraId="1D5124EB" w14:textId="77777777" w:rsidR="0045501C" w:rsidRPr="009A7579" w:rsidRDefault="0045501C" w:rsidP="00F44221">
      <w:pPr>
        <w:pBdr>
          <w:top w:val="nil"/>
          <w:left w:val="nil"/>
          <w:bottom w:val="nil"/>
          <w:right w:val="nil"/>
          <w:between w:val="nil"/>
        </w:pBdr>
        <w:spacing w:line="240" w:lineRule="auto"/>
        <w:ind w:firstLine="720"/>
        <w:rPr>
          <w:rFonts w:eastAsia="Georgia"/>
          <w:bCs/>
          <w:iCs/>
          <w:color w:val="000000" w:themeColor="text1"/>
          <w:lang w:bidi="en-US"/>
        </w:rPr>
      </w:pPr>
      <w:r w:rsidRPr="009A7579">
        <w:rPr>
          <w:rFonts w:eastAsia="Georgia"/>
          <w:bCs/>
          <w:iCs/>
          <w:color w:val="000000" w:themeColor="text1"/>
          <w:lang w:bidi="en-US"/>
        </w:rPr>
        <w:t>A key limitation of this study is the use of only two school clusters, which may restrict the generalizability of school-level variance estimates, particularly in the reading model. In addition, reliance on secondary assessment data may limit the depth of interpretation of learner-specific cognitive processes. Future research may expand the number of school clusters and incorporate qualitative approaches to better capture instructional practices and learner experiences that influence performance.</w:t>
      </w:r>
    </w:p>
    <w:p w14:paraId="4D021AF2" w14:textId="77777777" w:rsidR="0045501C" w:rsidRPr="009A7579" w:rsidRDefault="0045501C" w:rsidP="00F44221">
      <w:pPr>
        <w:pBdr>
          <w:top w:val="nil"/>
          <w:left w:val="nil"/>
          <w:bottom w:val="nil"/>
          <w:right w:val="nil"/>
          <w:between w:val="nil"/>
        </w:pBdr>
        <w:spacing w:line="240" w:lineRule="auto"/>
        <w:ind w:firstLine="720"/>
        <w:rPr>
          <w:rFonts w:eastAsia="Georgia"/>
          <w:bCs/>
          <w:iCs/>
          <w:color w:val="000000" w:themeColor="text1"/>
          <w:lang w:bidi="en-US"/>
        </w:rPr>
      </w:pPr>
      <w:r w:rsidRPr="009A7579">
        <w:rPr>
          <w:rFonts w:eastAsia="Georgia"/>
          <w:bCs/>
          <w:iCs/>
          <w:color w:val="000000" w:themeColor="text1"/>
          <w:lang w:bidi="en-US"/>
        </w:rPr>
        <w:t>In conclusion, the study demonstrates that Grade 3 numeracy and reading performance are shaped by a combination of school environment, home support, and individual learner conditions, with school infrastructure and parental involvement emerging as the most consistent predictors. Strengthening classroom environments and enhancing parental engagement are therefore critical strategies for improving foundational literacy and numeracy outcomes in both urban and rural contexts.</w:t>
      </w:r>
    </w:p>
    <w:p w14:paraId="63C2BF2D" w14:textId="77777777" w:rsidR="005D5A2E" w:rsidRPr="001D252E" w:rsidRDefault="005D5A2E" w:rsidP="00F44221">
      <w:pPr>
        <w:pBdr>
          <w:top w:val="nil"/>
          <w:left w:val="nil"/>
          <w:bottom w:val="nil"/>
          <w:right w:val="nil"/>
          <w:between w:val="nil"/>
        </w:pBdr>
        <w:spacing w:line="240" w:lineRule="auto"/>
        <w:rPr>
          <w:rFonts w:eastAsia="Georgia"/>
          <w:bCs/>
          <w:iCs/>
          <w:color w:val="000000" w:themeColor="text1"/>
          <w:sz w:val="28"/>
          <w:szCs w:val="28"/>
          <w:lang w:bidi="en-US"/>
        </w:rPr>
      </w:pPr>
    </w:p>
    <w:p w14:paraId="30C903F2" w14:textId="412D1E67" w:rsidR="00C741A5" w:rsidRDefault="00971CE4" w:rsidP="00F44221">
      <w:pPr>
        <w:spacing w:line="240" w:lineRule="auto"/>
        <w:rPr>
          <w:rFonts w:eastAsia="Georgia"/>
          <w:b/>
          <w:iCs/>
          <w:color w:val="000000" w:themeColor="text1"/>
          <w:sz w:val="28"/>
          <w:szCs w:val="28"/>
        </w:rPr>
      </w:pPr>
      <w:r w:rsidRPr="001D252E">
        <w:rPr>
          <w:rFonts w:eastAsia="Georgia"/>
          <w:b/>
          <w:iCs/>
          <w:color w:val="000000" w:themeColor="text1"/>
          <w:sz w:val="28"/>
          <w:szCs w:val="28"/>
        </w:rPr>
        <w:t>CONCLUSION</w:t>
      </w:r>
    </w:p>
    <w:p w14:paraId="6D31FC2C" w14:textId="77777777" w:rsidR="00656BEB" w:rsidRPr="005D5A2E" w:rsidRDefault="00656BEB" w:rsidP="00F44221">
      <w:pPr>
        <w:spacing w:line="240" w:lineRule="auto"/>
        <w:rPr>
          <w:rFonts w:eastAsia="Georgia"/>
          <w:b/>
          <w:iCs/>
          <w:color w:val="000000" w:themeColor="text1"/>
          <w:sz w:val="28"/>
          <w:szCs w:val="28"/>
        </w:rPr>
      </w:pPr>
    </w:p>
    <w:p w14:paraId="7C576632" w14:textId="357DA8FF" w:rsidR="00C741A5" w:rsidRPr="009A7579" w:rsidRDefault="00C741A5" w:rsidP="00F44221">
      <w:pPr>
        <w:spacing w:line="240" w:lineRule="auto"/>
        <w:ind w:firstLine="720"/>
        <w:rPr>
          <w:rFonts w:eastAsia="Georgia"/>
          <w:bCs/>
          <w:iCs/>
          <w:color w:val="000000" w:themeColor="text1"/>
          <w:lang w:bidi="en-US"/>
        </w:rPr>
      </w:pPr>
      <w:r w:rsidRPr="009A7579">
        <w:rPr>
          <w:rFonts w:eastAsia="Georgia"/>
          <w:bCs/>
          <w:iCs/>
          <w:color w:val="000000" w:themeColor="text1"/>
          <w:lang w:bidi="en-US"/>
        </w:rPr>
        <w:t>This study concludes that Grade 3 learners in both urban and rural schools exhibit generally low to moderate numeracy performance, with a substantial proportion requiring significant instructional support in foundational mathematical skills. Numeracy difficulties are more evident among rural learners, indicating persistent learning gaps that require targeted intervention. In contrast, reading performance is comparatively stronger, with most learners demonstrating partial to satisfactory literacy proficiency. Urban learners show higher reading readiness than their rural counterparts, although rural learners demonstrate progress toward achieving reading proficiency.</w:t>
      </w:r>
    </w:p>
    <w:p w14:paraId="3FF87AAF" w14:textId="77777777" w:rsidR="00C741A5" w:rsidRPr="009A7579" w:rsidRDefault="00C741A5" w:rsidP="00F44221">
      <w:pPr>
        <w:spacing w:line="240" w:lineRule="auto"/>
        <w:ind w:firstLine="720"/>
        <w:rPr>
          <w:rFonts w:eastAsia="Georgia"/>
          <w:bCs/>
          <w:iCs/>
          <w:color w:val="000000" w:themeColor="text1"/>
          <w:lang w:bidi="en-US"/>
        </w:rPr>
      </w:pPr>
      <w:r w:rsidRPr="009A7579">
        <w:rPr>
          <w:rFonts w:eastAsia="Georgia"/>
          <w:bCs/>
          <w:iCs/>
          <w:color w:val="000000" w:themeColor="text1"/>
          <w:lang w:bidi="en-US"/>
        </w:rPr>
        <w:t>The Physical Learning Environment in both settings is generally moderately adequate; however, deficiencies in classroom conditions, furniture, and learning resources persist, potentially constraining optimal learning outcomes. Social environment factors reveal moderate parental involvement in numeracy but weaker engagement in literacy activities, while peer influence appears more beneficial for literacy development than numeracy. Socio-economic profiling indicates that urban learners generally come from households with higher parental educational attainment and income levels, although family size is comparable across groups.</w:t>
      </w:r>
    </w:p>
    <w:p w14:paraId="3A87626B" w14:textId="77777777" w:rsidR="00C741A5" w:rsidRPr="009A7579" w:rsidRDefault="00C741A5" w:rsidP="00F44221">
      <w:pPr>
        <w:spacing w:line="240" w:lineRule="auto"/>
        <w:rPr>
          <w:rFonts w:eastAsia="Georgia"/>
          <w:bCs/>
          <w:iCs/>
          <w:color w:val="000000" w:themeColor="text1"/>
          <w:lang w:bidi="en-US"/>
        </w:rPr>
      </w:pPr>
      <w:r w:rsidRPr="009A7579">
        <w:rPr>
          <w:rFonts w:eastAsia="Georgia"/>
          <w:bCs/>
          <w:iCs/>
          <w:color w:val="000000" w:themeColor="text1"/>
          <w:lang w:bidi="en-US"/>
        </w:rPr>
        <w:t>Inferential analysis reveals that the Physical Learning Environment significantly influences both numeracy and reading performance, underscoring the critical role of school-based resources and conditions in early learning outcomes. Parental involvement and family size significantly affect numeracy performance, with positive effects observed from increased parental engagement and negative effects associated with larger household size. In contrast, peer influence, parental educational attainment, family income, and school location do not show statistically significant direct effects on academic performance when considered alongside other variables.</w:t>
      </w:r>
    </w:p>
    <w:p w14:paraId="76D76A5A" w14:textId="77777777" w:rsidR="00C741A5" w:rsidRPr="009A7579" w:rsidRDefault="00C741A5" w:rsidP="00F44221">
      <w:pPr>
        <w:spacing w:line="240" w:lineRule="auto"/>
        <w:ind w:firstLine="720"/>
        <w:rPr>
          <w:rFonts w:eastAsia="Georgia"/>
          <w:bCs/>
          <w:iCs/>
          <w:color w:val="000000" w:themeColor="text1"/>
          <w:lang w:bidi="en-US"/>
        </w:rPr>
      </w:pPr>
      <w:r w:rsidRPr="009A7579">
        <w:rPr>
          <w:rFonts w:eastAsia="Georgia"/>
          <w:bCs/>
          <w:iCs/>
          <w:color w:val="000000" w:themeColor="text1"/>
          <w:lang w:bidi="en-US"/>
        </w:rPr>
        <w:t>The findings support Bronfenbrenner’s Ecological Systems Theory, emphasizing the stronger role of proximal environments—particularly the home and school—in shaping learners’ academic outcomes. Among these, classroom conditions and parental involvement emerge as the most influential determinants of early-grade numeracy and reading performance.</w:t>
      </w:r>
    </w:p>
    <w:p w14:paraId="22D5E5D1" w14:textId="16F6E2EA" w:rsidR="000A4097" w:rsidRDefault="00C741A5" w:rsidP="00F44221">
      <w:pPr>
        <w:spacing w:line="240" w:lineRule="auto"/>
        <w:rPr>
          <w:rFonts w:eastAsia="Georgia"/>
          <w:bCs/>
          <w:iCs/>
          <w:color w:val="000000" w:themeColor="text1"/>
          <w:lang w:bidi="en-US"/>
        </w:rPr>
      </w:pPr>
      <w:r w:rsidRPr="009A7579">
        <w:rPr>
          <w:rFonts w:eastAsia="Georgia"/>
          <w:bCs/>
          <w:iCs/>
          <w:color w:val="000000" w:themeColor="text1"/>
          <w:lang w:bidi="en-US"/>
        </w:rPr>
        <w:t>Methodologically, the integration of Multiple Linear Regression and Linear Mixed Model analyses enhances the robustness of the findings, with the latter providing a more appropriate framework for clustered educational data. This combined analytical approach strengthens the validity and interpretability of the study’s conclusions and offers a reliable basis for educational policy and intervention design.</w:t>
      </w:r>
    </w:p>
    <w:p w14:paraId="46F53F84" w14:textId="77777777" w:rsidR="009A7579" w:rsidRPr="009A7579" w:rsidRDefault="009A7579" w:rsidP="00F44221">
      <w:pPr>
        <w:spacing w:line="240" w:lineRule="auto"/>
        <w:rPr>
          <w:rFonts w:eastAsia="Georgia"/>
          <w:bCs/>
          <w:iCs/>
          <w:color w:val="000000" w:themeColor="text1"/>
          <w:lang w:bidi="en-US"/>
        </w:rPr>
      </w:pPr>
    </w:p>
    <w:p w14:paraId="105F2BF0" w14:textId="078D5170" w:rsidR="00814B49" w:rsidRPr="001C3D5B" w:rsidRDefault="00971CE4" w:rsidP="001C3D5B">
      <w:pPr>
        <w:pBdr>
          <w:top w:val="nil"/>
          <w:left w:val="nil"/>
          <w:bottom w:val="nil"/>
          <w:right w:val="nil"/>
          <w:between w:val="nil"/>
        </w:pBdr>
        <w:spacing w:line="240" w:lineRule="auto"/>
        <w:rPr>
          <w:rFonts w:eastAsia="Georgia"/>
          <w:b/>
          <w:color w:val="000000" w:themeColor="text1"/>
          <w:sz w:val="28"/>
          <w:szCs w:val="28"/>
        </w:rPr>
      </w:pPr>
      <w:r w:rsidRPr="001D252E">
        <w:rPr>
          <w:rFonts w:eastAsia="Georgia"/>
          <w:b/>
          <w:color w:val="000000" w:themeColor="text1"/>
          <w:sz w:val="28"/>
          <w:szCs w:val="28"/>
        </w:rPr>
        <w:t>ACKNOWLEDGMENT</w:t>
      </w:r>
    </w:p>
    <w:p w14:paraId="5EB46D35" w14:textId="77777777" w:rsidR="00993EEE" w:rsidRPr="009A7579" w:rsidRDefault="00993EEE" w:rsidP="00F44221">
      <w:pPr>
        <w:spacing w:line="240" w:lineRule="auto"/>
        <w:ind w:firstLine="720"/>
        <w:rPr>
          <w:rFonts w:eastAsia="Georgia"/>
          <w:bCs/>
          <w:color w:val="000000" w:themeColor="text1"/>
          <w:lang w:bidi="en-US"/>
        </w:rPr>
      </w:pPr>
      <w:r w:rsidRPr="009A7579">
        <w:rPr>
          <w:rFonts w:eastAsia="Georgia"/>
          <w:bCs/>
          <w:color w:val="000000" w:themeColor="text1"/>
          <w:lang w:bidi="en-US"/>
        </w:rPr>
        <w:t>The author expresses sincere gratitude to the Public Schools District Supervisor of Caramoan South District, Department of Education (DepEd), Division of Camarines Sur, for granting permission to conduct this study. Appreciation is also extended to the school heads of the six selected elementary schools for their cooperation and assistance in the distribution and retrieval of research instruments, as well as in facilitating access to relevant school records.</w:t>
      </w:r>
    </w:p>
    <w:p w14:paraId="4ACE6AC3" w14:textId="77777777" w:rsidR="00993EEE" w:rsidRPr="009A7579" w:rsidRDefault="00993EEE" w:rsidP="00F44221">
      <w:pPr>
        <w:spacing w:line="240" w:lineRule="auto"/>
        <w:ind w:firstLine="720"/>
        <w:rPr>
          <w:rFonts w:eastAsia="Georgia"/>
          <w:bCs/>
          <w:color w:val="000000" w:themeColor="text1"/>
          <w:lang w:bidi="en-US"/>
        </w:rPr>
      </w:pPr>
      <w:r w:rsidRPr="009A7579">
        <w:rPr>
          <w:rFonts w:eastAsia="Georgia"/>
          <w:bCs/>
          <w:color w:val="000000" w:themeColor="text1"/>
          <w:lang w:bidi="en-US"/>
        </w:rPr>
        <w:t>Special thanks are given to the Grade 3 learners who participated in the study, whose time and responses made the completion of this research possible. The author also acknowledges the support of teachers and school coordinators who assisted in the collection of data, particularly in the retrieval of Comprehensive Rapid Literacy Assessment (CRLA), Albay Numeracy Assessment Tool (ALNAT), and National School Building Inventory (NSBI) records.</w:t>
      </w:r>
    </w:p>
    <w:p w14:paraId="6BE292E1" w14:textId="77777777" w:rsidR="00993EEE" w:rsidRPr="009A7579" w:rsidRDefault="00993EEE" w:rsidP="00F44221">
      <w:pPr>
        <w:spacing w:line="240" w:lineRule="auto"/>
        <w:ind w:firstLine="720"/>
        <w:rPr>
          <w:rFonts w:eastAsia="Georgia"/>
          <w:bCs/>
          <w:color w:val="000000" w:themeColor="text1"/>
          <w:lang w:bidi="en-US"/>
        </w:rPr>
      </w:pPr>
      <w:r w:rsidRPr="009A7579">
        <w:rPr>
          <w:rFonts w:eastAsia="Georgia"/>
          <w:bCs/>
          <w:color w:val="000000" w:themeColor="text1"/>
          <w:lang w:bidi="en-US"/>
        </w:rPr>
        <w:lastRenderedPageBreak/>
        <w:t>Gratitude is likewise extended to the expert validators who reviewed and evaluated the research instrument for its clarity, relevance, and validity, as well as to those who provided guidance during the pilot testing phase. Their technical input significantly improved the quality of the research tool.</w:t>
      </w:r>
    </w:p>
    <w:p w14:paraId="6E29ABFC" w14:textId="77777777" w:rsidR="00993EEE" w:rsidRDefault="00993EEE" w:rsidP="00F44221">
      <w:pPr>
        <w:spacing w:line="240" w:lineRule="auto"/>
        <w:ind w:firstLine="720"/>
        <w:rPr>
          <w:rFonts w:eastAsia="Georgia"/>
          <w:bCs/>
          <w:color w:val="000000" w:themeColor="text1"/>
          <w:lang w:bidi="en-US"/>
        </w:rPr>
      </w:pPr>
      <w:r w:rsidRPr="009A7579">
        <w:rPr>
          <w:rFonts w:eastAsia="Georgia"/>
          <w:bCs/>
          <w:color w:val="000000" w:themeColor="text1"/>
          <w:lang w:bidi="en-US"/>
        </w:rPr>
        <w:t>No external funding was received for this study, and the author declares that there are no conflicts of interest. All contributions acknowledged were provided in a professional capacity and did not influence the design, analysis, or interpretation of the findings.</w:t>
      </w:r>
    </w:p>
    <w:p w14:paraId="154ACDEE" w14:textId="77777777" w:rsidR="009A7579" w:rsidRPr="009A7579" w:rsidRDefault="009A7579" w:rsidP="00F44221">
      <w:pPr>
        <w:spacing w:line="240" w:lineRule="auto"/>
        <w:ind w:firstLine="720"/>
        <w:rPr>
          <w:rFonts w:eastAsia="Georgia"/>
          <w:bCs/>
          <w:color w:val="000000" w:themeColor="text1"/>
          <w:lang w:bidi="en-US"/>
        </w:rPr>
      </w:pPr>
    </w:p>
    <w:p w14:paraId="09E36C26" w14:textId="7D1944B4" w:rsidR="00C51197" w:rsidRPr="001D252E" w:rsidRDefault="00656BEB" w:rsidP="00F44221">
      <w:pPr>
        <w:pBdr>
          <w:top w:val="nil"/>
          <w:left w:val="nil"/>
          <w:bottom w:val="nil"/>
          <w:right w:val="nil"/>
          <w:between w:val="nil"/>
        </w:pBdr>
        <w:spacing w:line="240" w:lineRule="auto"/>
        <w:rPr>
          <w:rFonts w:eastAsia="Georgia"/>
          <w:b/>
          <w:color w:val="000000" w:themeColor="text1"/>
          <w:sz w:val="28"/>
          <w:szCs w:val="28"/>
        </w:rPr>
      </w:pPr>
      <w:r w:rsidRPr="001D252E">
        <w:rPr>
          <w:rFonts w:eastAsia="Georgia"/>
          <w:b/>
          <w:color w:val="000000" w:themeColor="text1"/>
          <w:sz w:val="28"/>
          <w:szCs w:val="28"/>
        </w:rPr>
        <w:t>REFERENCES</w:t>
      </w:r>
    </w:p>
    <w:p w14:paraId="32853CB0" w14:textId="77777777" w:rsidR="00E54DB6" w:rsidRPr="001D252E" w:rsidRDefault="00E54DB6" w:rsidP="00656BEB">
      <w:pPr>
        <w:pBdr>
          <w:top w:val="nil"/>
          <w:left w:val="nil"/>
          <w:bottom w:val="nil"/>
          <w:right w:val="nil"/>
          <w:between w:val="nil"/>
        </w:pBdr>
        <w:spacing w:line="240" w:lineRule="auto"/>
        <w:rPr>
          <w:rFonts w:eastAsia="Georgia"/>
          <w:b/>
          <w:color w:val="000000" w:themeColor="text1"/>
        </w:rPr>
      </w:pPr>
    </w:p>
    <w:p w14:paraId="616C3759" w14:textId="77777777" w:rsidR="00D76206" w:rsidRPr="005D5A2E" w:rsidRDefault="00993EEE" w:rsidP="00656BEB">
      <w:pPr>
        <w:pStyle w:val="ListParagraph"/>
        <w:numPr>
          <w:ilvl w:val="0"/>
          <w:numId w:val="8"/>
        </w:numPr>
        <w:spacing w:after="0" w:line="240" w:lineRule="auto"/>
        <w:jc w:val="both"/>
        <w:rPr>
          <w:rFonts w:ascii="Times New Roman" w:eastAsia="Georgia" w:hAnsi="Times New Roman"/>
        </w:rPr>
      </w:pPr>
      <w:proofErr w:type="spellStart"/>
      <w:r w:rsidRPr="005D5A2E">
        <w:rPr>
          <w:rFonts w:ascii="Times New Roman" w:eastAsia="Georgia" w:hAnsi="Times New Roman"/>
        </w:rPr>
        <w:t>Akpalu</w:t>
      </w:r>
      <w:proofErr w:type="spellEnd"/>
      <w:r w:rsidRPr="005D5A2E">
        <w:rPr>
          <w:rFonts w:ascii="Times New Roman" w:eastAsia="Georgia" w:hAnsi="Times New Roman"/>
        </w:rPr>
        <w:t xml:space="preserve">, R., Boateng, P. A., &amp; Asare, E. A. (2025). Barriers to quality early childhood education development in Keta Municipality, Ghana: A focus on teacher and infrastructure factors. International Journal of Research </w:t>
      </w:r>
    </w:p>
    <w:p w14:paraId="421B0ABA" w14:textId="73C53F41" w:rsidR="00D76206" w:rsidRPr="00656BEB" w:rsidRDefault="00993EEE" w:rsidP="00656BEB">
      <w:pPr>
        <w:pStyle w:val="ListParagraph"/>
        <w:spacing w:after="0" w:line="240" w:lineRule="auto"/>
        <w:jc w:val="both"/>
        <w:rPr>
          <w:rFonts w:ascii="Times New Roman" w:hAnsi="Times New Roman"/>
        </w:rPr>
      </w:pPr>
      <w:r w:rsidRPr="005D5A2E">
        <w:rPr>
          <w:rFonts w:ascii="Times New Roman" w:eastAsia="Georgia" w:hAnsi="Times New Roman"/>
        </w:rPr>
        <w:t xml:space="preserve">and Innovation in Social Science (IJRISS), 9(1), 2819–2830. </w:t>
      </w:r>
      <w:hyperlink r:id="rId13" w:tgtFrame="_new" w:history="1">
        <w:r w:rsidRPr="005D5A2E">
          <w:rPr>
            <w:rStyle w:val="Hyperlink"/>
            <w:rFonts w:ascii="Times New Roman" w:eastAsia="Georgia" w:hAnsi="Times New Roman"/>
          </w:rPr>
          <w:t>https://dx.doi.org/10.47772/IJRISS.2025.9010230</w:t>
        </w:r>
      </w:hyperlink>
    </w:p>
    <w:p w14:paraId="692EEE63" w14:textId="4F952D78"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Alvarez, N. (2024). The physical learning environment: Examining classroom design. Learning Environments Research. </w:t>
      </w:r>
      <w:hyperlink r:id="rId14" w:tgtFrame="_new" w:history="1">
        <w:r w:rsidRPr="005D5A2E">
          <w:rPr>
            <w:rStyle w:val="Hyperlink"/>
            <w:rFonts w:ascii="Times New Roman" w:eastAsia="Georgia" w:hAnsi="Times New Roman"/>
          </w:rPr>
          <w:t>https://doi.org/10.1080/2331186X.2024.2322862</w:t>
        </w:r>
      </w:hyperlink>
    </w:p>
    <w:p w14:paraId="564B7037" w14:textId="4ECE78F7"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Apriwulan</w:t>
      </w:r>
      <w:proofErr w:type="spellEnd"/>
      <w:r w:rsidRPr="005D5A2E">
        <w:rPr>
          <w:rFonts w:ascii="Times New Roman" w:eastAsia="Georgia" w:hAnsi="Times New Roman"/>
        </w:rPr>
        <w:t xml:space="preserve">, H. F., Hanama, A., </w:t>
      </w:r>
      <w:proofErr w:type="spellStart"/>
      <w:r w:rsidRPr="005D5A2E">
        <w:rPr>
          <w:rFonts w:ascii="Times New Roman" w:eastAsia="Georgia" w:hAnsi="Times New Roman"/>
        </w:rPr>
        <w:t>Pisriwati</w:t>
      </w:r>
      <w:proofErr w:type="spellEnd"/>
      <w:r w:rsidRPr="005D5A2E">
        <w:rPr>
          <w:rFonts w:ascii="Times New Roman" w:eastAsia="Georgia" w:hAnsi="Times New Roman"/>
        </w:rPr>
        <w:t xml:space="preserve">, S. A., &amp; Siswanto, D. H. (2025). Library service management as an effort to cultivate students' reading interest in improving activities and learning outcomes. Curricula: Journal of Curriculum Development, 4(1), 199–214. </w:t>
      </w:r>
      <w:hyperlink r:id="rId15" w:tgtFrame="_new" w:history="1">
        <w:r w:rsidRPr="005D5A2E">
          <w:rPr>
            <w:rStyle w:val="Hyperlink"/>
            <w:rFonts w:ascii="Times New Roman" w:eastAsia="Georgia" w:hAnsi="Times New Roman"/>
          </w:rPr>
          <w:t>https://doi.org/10.17509/curricula.v4i1.76911</w:t>
        </w:r>
      </w:hyperlink>
    </w:p>
    <w:p w14:paraId="16C00E3D" w14:textId="453F1475"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Bacalso, J., </w:t>
      </w:r>
      <w:proofErr w:type="spellStart"/>
      <w:r w:rsidRPr="005D5A2E">
        <w:rPr>
          <w:rFonts w:ascii="Times New Roman" w:eastAsia="Georgia" w:hAnsi="Times New Roman"/>
        </w:rPr>
        <w:t>Opingo</w:t>
      </w:r>
      <w:proofErr w:type="spellEnd"/>
      <w:r w:rsidRPr="005D5A2E">
        <w:rPr>
          <w:rFonts w:ascii="Times New Roman" w:eastAsia="Georgia" w:hAnsi="Times New Roman"/>
        </w:rPr>
        <w:t xml:space="preserve">, K. M., &amp; </w:t>
      </w:r>
      <w:proofErr w:type="spellStart"/>
      <w:r w:rsidRPr="005D5A2E">
        <w:rPr>
          <w:rFonts w:ascii="Times New Roman" w:eastAsia="Georgia" w:hAnsi="Times New Roman"/>
        </w:rPr>
        <w:t>Plando</w:t>
      </w:r>
      <w:proofErr w:type="spellEnd"/>
      <w:r w:rsidRPr="005D5A2E">
        <w:rPr>
          <w:rFonts w:ascii="Times New Roman" w:eastAsia="Georgia" w:hAnsi="Times New Roman"/>
        </w:rPr>
        <w:t xml:space="preserve">, D. (2025). Parental engagement and its impact on Grade Three learners’ reading comprehension skills. Journal of Humanities and Social Sciences Studies, 7(10), 22–30. </w:t>
      </w:r>
      <w:hyperlink r:id="rId16" w:tgtFrame="_new" w:history="1">
        <w:r w:rsidRPr="005D5A2E">
          <w:rPr>
            <w:rStyle w:val="Hyperlink"/>
            <w:rFonts w:ascii="Times New Roman" w:eastAsia="Georgia" w:hAnsi="Times New Roman"/>
          </w:rPr>
          <w:t>https://doi.org/10.32996/jhsss.2025.7.10.3</w:t>
        </w:r>
      </w:hyperlink>
    </w:p>
    <w:p w14:paraId="4B6F7D3F" w14:textId="3EA0284C"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Bakar, N. A. A., Ayub, A. F. M., Ahmad, N. A., &amp; Abdullah, S. I. S. S. (2021). Mathematics achievement: The relationship between student engagement, parental involvement, and peer influence. International Journal of Academic Research in Business and Social Sciences, 11(5), 496–513. </w:t>
      </w:r>
      <w:hyperlink r:id="rId17" w:tgtFrame="_new" w:history="1">
        <w:r w:rsidRPr="005D5A2E">
          <w:rPr>
            <w:rStyle w:val="Hyperlink"/>
            <w:rFonts w:ascii="Times New Roman" w:eastAsia="Georgia" w:hAnsi="Times New Roman"/>
          </w:rPr>
          <w:t>http://dx.doi.org/10.6007/IJARBSS/v11-i5/9973</w:t>
        </w:r>
      </w:hyperlink>
    </w:p>
    <w:p w14:paraId="0D40C18F" w14:textId="20103033"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Barrett, P., Davies, F., Zhang, Y., &amp; Barrett, L. (2022). The impact of classroom design on pupils’ learning: Final results of a holistic, multi-level analysis. Building and Environment, 209, 108689. </w:t>
      </w:r>
      <w:hyperlink r:id="rId18" w:tgtFrame="_new" w:history="1">
        <w:r w:rsidRPr="005D5A2E">
          <w:rPr>
            <w:rStyle w:val="Hyperlink"/>
            <w:rFonts w:ascii="Times New Roman" w:eastAsia="Georgia" w:hAnsi="Times New Roman"/>
          </w:rPr>
          <w:t>https://doi.org/10.1016/j.buildenv.2021.108689</w:t>
        </w:r>
      </w:hyperlink>
    </w:p>
    <w:p w14:paraId="3B257FA2" w14:textId="583BFE76"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Bates, D., </w:t>
      </w:r>
      <w:proofErr w:type="spellStart"/>
      <w:r w:rsidRPr="005D5A2E">
        <w:rPr>
          <w:rFonts w:ascii="Times New Roman" w:eastAsia="Georgia" w:hAnsi="Times New Roman"/>
        </w:rPr>
        <w:t>Mächler</w:t>
      </w:r>
      <w:proofErr w:type="spellEnd"/>
      <w:r w:rsidRPr="005D5A2E">
        <w:rPr>
          <w:rFonts w:ascii="Times New Roman" w:eastAsia="Georgia" w:hAnsi="Times New Roman"/>
        </w:rPr>
        <w:t xml:space="preserve">, M., Bolker, B., &amp; Walker, S. (2015). Fitting linear mixed-effects models using lme4. Journal of Statistical Software, 67, 1–48. </w:t>
      </w:r>
      <w:hyperlink r:id="rId19" w:tgtFrame="_new" w:history="1">
        <w:r w:rsidRPr="005D5A2E">
          <w:rPr>
            <w:rStyle w:val="Hyperlink"/>
            <w:rFonts w:ascii="Times New Roman" w:eastAsia="Georgia" w:hAnsi="Times New Roman"/>
          </w:rPr>
          <w:t>https://doi.org/10.18637/jss.v067.i01</w:t>
        </w:r>
      </w:hyperlink>
    </w:p>
    <w:p w14:paraId="5BFC1EEF" w14:textId="7CB55B70" w:rsidR="00D76206" w:rsidRPr="00656BEB" w:rsidRDefault="00993EEE" w:rsidP="00656BEB">
      <w:pPr>
        <w:pStyle w:val="ListParagraph"/>
        <w:numPr>
          <w:ilvl w:val="0"/>
          <w:numId w:val="8"/>
        </w:numPr>
        <w:spacing w:after="0" w:line="240" w:lineRule="auto"/>
        <w:jc w:val="both"/>
        <w:rPr>
          <w:rFonts w:ascii="Times New Roman" w:eastAsia="Georgia" w:hAnsi="Times New Roman"/>
        </w:rPr>
      </w:pPr>
      <w:proofErr w:type="spellStart"/>
      <w:r w:rsidRPr="005D5A2E">
        <w:rPr>
          <w:rFonts w:ascii="Times New Roman" w:eastAsia="Georgia" w:hAnsi="Times New Roman"/>
        </w:rPr>
        <w:t>Bendanillo</w:t>
      </w:r>
      <w:proofErr w:type="spellEnd"/>
      <w:r w:rsidRPr="005D5A2E">
        <w:rPr>
          <w:rFonts w:ascii="Times New Roman" w:eastAsia="Georgia" w:hAnsi="Times New Roman"/>
        </w:rPr>
        <w:t>, M. (2021). Parental involvement in relation to students reading performance. Globus Journal of Progressive Education, 11(2), 94–98.</w:t>
      </w:r>
    </w:p>
    <w:p w14:paraId="7600AF32" w14:textId="54F5EC32"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Bernardo, A. B. (2021). Socioeconomic status moderates the relationship between growth mindset and learning in mathematics and science: Evidence from PISA 2018 Philippine data. International Journal of School &amp; Educational Psychology, 9(2), 208–222. </w:t>
      </w:r>
      <w:hyperlink r:id="rId20" w:tgtFrame="_new" w:history="1">
        <w:r w:rsidRPr="005D5A2E">
          <w:rPr>
            <w:rStyle w:val="Hyperlink"/>
            <w:rFonts w:ascii="Times New Roman" w:eastAsia="Georgia" w:hAnsi="Times New Roman"/>
          </w:rPr>
          <w:t>https://doi.org/10.1080/21683603.2020.1832635</w:t>
        </w:r>
      </w:hyperlink>
    </w:p>
    <w:p w14:paraId="366D0458" w14:textId="2944A0BC"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Booth, J. L., McGinn, K. A., Barbieri, C., &amp; Young, L. K. (2024). Peer collaboration and mathematical learning: Effects on conceptual understanding and problem solving. British Journal of Educational Psychology. </w:t>
      </w:r>
      <w:hyperlink r:id="rId21" w:tgtFrame="_new" w:history="1">
        <w:r w:rsidRPr="005D5A2E">
          <w:rPr>
            <w:rStyle w:val="Hyperlink"/>
            <w:rFonts w:ascii="Times New Roman" w:eastAsia="Georgia" w:hAnsi="Times New Roman"/>
          </w:rPr>
          <w:t>https://doi.org/10.1111/bjep.12540</w:t>
        </w:r>
      </w:hyperlink>
    </w:p>
    <w:p w14:paraId="012D8649" w14:textId="774E9623"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Buckingham, J., Beaman, R., &amp; </w:t>
      </w:r>
      <w:proofErr w:type="spellStart"/>
      <w:r w:rsidRPr="005D5A2E">
        <w:rPr>
          <w:rFonts w:ascii="Times New Roman" w:eastAsia="Georgia" w:hAnsi="Times New Roman"/>
        </w:rPr>
        <w:t>Wheldall</w:t>
      </w:r>
      <w:proofErr w:type="spellEnd"/>
      <w:r w:rsidRPr="005D5A2E">
        <w:rPr>
          <w:rFonts w:ascii="Times New Roman" w:eastAsia="Georgia" w:hAnsi="Times New Roman"/>
        </w:rPr>
        <w:t xml:space="preserve">, K. (2023). Why poor children are more likely to become poor readers: The early years. Mapping the field, 185–203. </w:t>
      </w:r>
      <w:hyperlink r:id="rId22" w:tgtFrame="_new" w:history="1">
        <w:r w:rsidRPr="005D5A2E">
          <w:rPr>
            <w:rStyle w:val="Hyperlink"/>
            <w:rFonts w:ascii="Times New Roman" w:eastAsia="Georgia" w:hAnsi="Times New Roman"/>
          </w:rPr>
          <w:t>https://doi.org/10.1080/00131911.2013.795129</w:t>
        </w:r>
      </w:hyperlink>
    </w:p>
    <w:p w14:paraId="77095C6B" w14:textId="2569F025"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Bütüner</w:t>
      </w:r>
      <w:proofErr w:type="spellEnd"/>
      <w:r w:rsidRPr="005D5A2E">
        <w:rPr>
          <w:rFonts w:ascii="Times New Roman" w:eastAsia="Georgia" w:hAnsi="Times New Roman"/>
        </w:rPr>
        <w:t xml:space="preserve">, S. Ö., Güner, P., &amp; Güler, M. (2025). Creative learning environments and mathematics self-efficacy as predictors of mathematics achievement: Insights from PISA 2022 across three countries–Korea, Canada, and Türkiye. Thinking Skills and Creativity, 101946. </w:t>
      </w:r>
      <w:hyperlink r:id="rId23" w:tgtFrame="_new" w:history="1">
        <w:r w:rsidRPr="005D5A2E">
          <w:rPr>
            <w:rStyle w:val="Hyperlink"/>
            <w:rFonts w:ascii="Times New Roman" w:eastAsia="Georgia" w:hAnsi="Times New Roman"/>
          </w:rPr>
          <w:t>https://doi.org/10.1016/j.tsc.2025.101946</w:t>
        </w:r>
      </w:hyperlink>
    </w:p>
    <w:p w14:paraId="48569EB7" w14:textId="1A7793AF"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Cao </w:t>
      </w:r>
      <w:proofErr w:type="spellStart"/>
      <w:r w:rsidRPr="005D5A2E">
        <w:rPr>
          <w:rFonts w:ascii="Times New Roman" w:eastAsia="Georgia" w:hAnsi="Times New Roman"/>
        </w:rPr>
        <w:t>Thi</w:t>
      </w:r>
      <w:proofErr w:type="spellEnd"/>
      <w:r w:rsidRPr="005D5A2E">
        <w:rPr>
          <w:rFonts w:ascii="Times New Roman" w:eastAsia="Georgia" w:hAnsi="Times New Roman"/>
        </w:rPr>
        <w:t xml:space="preserve">, H., Le, T. A., Tran Ngoc, B., &amp; Phan </w:t>
      </w:r>
      <w:proofErr w:type="spellStart"/>
      <w:r w:rsidRPr="005D5A2E">
        <w:rPr>
          <w:rFonts w:ascii="Times New Roman" w:eastAsia="Georgia" w:hAnsi="Times New Roman"/>
        </w:rPr>
        <w:t>Thi</w:t>
      </w:r>
      <w:proofErr w:type="spellEnd"/>
      <w:r w:rsidRPr="005D5A2E">
        <w:rPr>
          <w:rFonts w:ascii="Times New Roman" w:eastAsia="Georgia" w:hAnsi="Times New Roman"/>
        </w:rPr>
        <w:t xml:space="preserve"> Phuong, T. (2023). Factors affecting the numeracy skills of students from mountainous ethnic minority regions in Vietnam: Learners’ perspectives. Cogent Education, 10(1), 2202121. </w:t>
      </w:r>
      <w:hyperlink r:id="rId24" w:tgtFrame="_new" w:history="1">
        <w:r w:rsidRPr="005D5A2E">
          <w:rPr>
            <w:rStyle w:val="Hyperlink"/>
            <w:rFonts w:ascii="Times New Roman" w:eastAsia="Georgia" w:hAnsi="Times New Roman"/>
          </w:rPr>
          <w:t>https://doi.org/10.1080/2331186X.2023.2202121</w:t>
        </w:r>
      </w:hyperlink>
    </w:p>
    <w:p w14:paraId="163C1B24" w14:textId="7DE01573"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Casingal</w:t>
      </w:r>
      <w:proofErr w:type="spellEnd"/>
      <w:r w:rsidRPr="005D5A2E">
        <w:rPr>
          <w:rFonts w:ascii="Times New Roman" w:eastAsia="Georgia" w:hAnsi="Times New Roman"/>
        </w:rPr>
        <w:t xml:space="preserve">, C. P., &amp; Laud, G. V. (2026). Reading level progression in elementary schools: A comparative study of CRLA assessment data from beginning to end of school year 2024–2025. </w:t>
      </w:r>
      <w:hyperlink r:id="rId25" w:tgtFrame="_new" w:history="1">
        <w:r w:rsidRPr="005D5A2E">
          <w:rPr>
            <w:rStyle w:val="Hyperlink"/>
            <w:rFonts w:ascii="Times New Roman" w:eastAsia="Georgia" w:hAnsi="Times New Roman"/>
          </w:rPr>
          <w:t>https://zenodo.org/records/18849770</w:t>
        </w:r>
      </w:hyperlink>
    </w:p>
    <w:p w14:paraId="1D0E459C" w14:textId="174F13CF"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Catador</w:t>
      </w:r>
      <w:proofErr w:type="spellEnd"/>
      <w:r w:rsidRPr="005D5A2E">
        <w:rPr>
          <w:rFonts w:ascii="Times New Roman" w:eastAsia="Georgia" w:hAnsi="Times New Roman"/>
        </w:rPr>
        <w:t xml:space="preserve">, J. Jr. A., &amp; Fernando, H. G. (2024). Assessing the numeracy gaps among junior high school students through Project PEMDAS. International Journal of Research and Innovation in Applied Science, 9(9), 705–716. </w:t>
      </w:r>
      <w:hyperlink r:id="rId26" w:tgtFrame="_new" w:history="1">
        <w:r w:rsidRPr="005D5A2E">
          <w:rPr>
            <w:rStyle w:val="Hyperlink"/>
            <w:rFonts w:ascii="Times New Roman" w:eastAsia="Georgia" w:hAnsi="Times New Roman"/>
          </w:rPr>
          <w:t>https://doi.org/10.51584/IJRIAS.2024.909057</w:t>
        </w:r>
      </w:hyperlink>
    </w:p>
    <w:p w14:paraId="2955F16E" w14:textId="48143C80"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Chang, I. (2023). Early numeracy and literacy skills and their influences on fourth-grade mathematics achievement: A moderated mediation model. Large-Scale Assessments in Education, 11, 18. </w:t>
      </w:r>
      <w:hyperlink r:id="rId27" w:tgtFrame="_new" w:history="1">
        <w:r w:rsidRPr="005D5A2E">
          <w:rPr>
            <w:rStyle w:val="Hyperlink"/>
            <w:rFonts w:ascii="Times New Roman" w:eastAsia="Georgia" w:hAnsi="Times New Roman"/>
          </w:rPr>
          <w:t>https://doi.org/10.1186/s40536-023-00168-6</w:t>
        </w:r>
      </w:hyperlink>
    </w:p>
    <w:p w14:paraId="05238C4C" w14:textId="7CDFAFE8"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Chmielewski, A. K. (2023). The unequal distribution of educational opportunity: Socioeconomic status and achievement gaps. Sociology of Education. </w:t>
      </w:r>
      <w:hyperlink r:id="rId28" w:tgtFrame="_new" w:history="1">
        <w:r w:rsidRPr="005D5A2E">
          <w:rPr>
            <w:rStyle w:val="Hyperlink"/>
            <w:rFonts w:ascii="Times New Roman" w:eastAsia="Georgia" w:hAnsi="Times New Roman"/>
          </w:rPr>
          <w:t>https://doi.org/10.1177/00380407231112345</w:t>
        </w:r>
      </w:hyperlink>
    </w:p>
    <w:p w14:paraId="79EDDD53" w14:textId="77777777" w:rsidR="00993EEE" w:rsidRPr="005D5A2E"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Çigdemir, S., &amp; Akyol, H. (2022). The relationship between environmental factors and reading comprehension. International Journal of Progressive Education, 18(3), 150–164. </w:t>
      </w:r>
      <w:hyperlink r:id="rId29" w:tgtFrame="_new" w:history="1">
        <w:r w:rsidRPr="005D5A2E">
          <w:rPr>
            <w:rStyle w:val="Hyperlink"/>
            <w:rFonts w:ascii="Times New Roman" w:eastAsia="Georgia" w:hAnsi="Times New Roman"/>
          </w:rPr>
          <w:t>https://doi.org/10.29329/ijpe.2022.439.11</w:t>
        </w:r>
      </w:hyperlink>
    </w:p>
    <w:p w14:paraId="401814D5" w14:textId="77777777" w:rsidR="00D76206" w:rsidRPr="005D5A2E" w:rsidRDefault="00D76206" w:rsidP="00656BEB">
      <w:pPr>
        <w:spacing w:line="240" w:lineRule="auto"/>
      </w:pPr>
    </w:p>
    <w:p w14:paraId="21E701B0" w14:textId="1EF4B0BE"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lastRenderedPageBreak/>
        <w:t xml:space="preserve">Conaway, R. B., Schmitt, A. J., McCallum, E., Crothers, L. M., &amp; Schreiber, J. B. (2024). Cognitive predictors of two distinct reading comprehension tasks in lower and upper grades. Journal of Psychoeducational Assessment, 42(8), 907–926. </w:t>
      </w:r>
      <w:hyperlink r:id="rId30" w:tgtFrame="_new" w:history="1">
        <w:r w:rsidRPr="005D5A2E">
          <w:rPr>
            <w:rStyle w:val="Hyperlink"/>
            <w:rFonts w:ascii="Times New Roman" w:eastAsia="Georgia" w:hAnsi="Times New Roman"/>
          </w:rPr>
          <w:t>https://doi.org/10.1177/07342829241276226</w:t>
        </w:r>
      </w:hyperlink>
    </w:p>
    <w:p w14:paraId="2EDE5CF0" w14:textId="23FA786C"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Cosso</w:t>
      </w:r>
      <w:proofErr w:type="spellEnd"/>
      <w:r w:rsidRPr="005D5A2E">
        <w:rPr>
          <w:rFonts w:ascii="Times New Roman" w:eastAsia="Georgia" w:hAnsi="Times New Roman"/>
        </w:rPr>
        <w:t xml:space="preserve">, J., Finders, J. K., Duncan, R. J., Schmitt, S. A., &amp; Purpura, D. J. (2023). The home numeracy environment and children’s math skills: The moderating role of parents’ math anxiety. Journal of Experimental Child Psychology, 227, 105578. </w:t>
      </w:r>
      <w:hyperlink r:id="rId31" w:tgtFrame="_new" w:history="1">
        <w:r w:rsidRPr="005D5A2E">
          <w:rPr>
            <w:rStyle w:val="Hyperlink"/>
            <w:rFonts w:ascii="Times New Roman" w:eastAsia="Georgia" w:hAnsi="Times New Roman"/>
          </w:rPr>
          <w:t>https://doi.org/10.1016/j.jecp.2022.105578</w:t>
        </w:r>
      </w:hyperlink>
    </w:p>
    <w:p w14:paraId="5529C906" w14:textId="43F6A7D7"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Cortes, K. E., &amp; Goodman, J. S. (2023). Ability-tracking, peer effects, and academic achievement. NBER Working Paper Series. </w:t>
      </w:r>
      <w:hyperlink r:id="rId32" w:tgtFrame="_new" w:history="1">
        <w:r w:rsidRPr="005D5A2E">
          <w:rPr>
            <w:rStyle w:val="Hyperlink"/>
            <w:rFonts w:ascii="Times New Roman" w:eastAsia="Georgia" w:hAnsi="Times New Roman"/>
          </w:rPr>
          <w:t>https://doi.org/10.3386/w30215</w:t>
        </w:r>
      </w:hyperlink>
    </w:p>
    <w:p w14:paraId="2A9481E6" w14:textId="11BDFF92" w:rsidR="00D76206" w:rsidRPr="00656BEB" w:rsidRDefault="00993EEE" w:rsidP="00656BEB">
      <w:pPr>
        <w:pStyle w:val="ListParagraph"/>
        <w:numPr>
          <w:ilvl w:val="0"/>
          <w:numId w:val="8"/>
        </w:numPr>
        <w:spacing w:after="0" w:line="240" w:lineRule="auto"/>
        <w:jc w:val="both"/>
        <w:rPr>
          <w:rFonts w:ascii="Times New Roman" w:eastAsia="Georgia" w:hAnsi="Times New Roman"/>
        </w:rPr>
      </w:pPr>
      <w:r w:rsidRPr="005D5A2E">
        <w:rPr>
          <w:rFonts w:ascii="Times New Roman" w:eastAsia="Georgia" w:hAnsi="Times New Roman"/>
        </w:rPr>
        <w:t xml:space="preserve">Creswell, J. W., &amp; Creswell, J. D. (2017). Research design: Qualitative, quantitative, and mixed methods </w:t>
      </w:r>
      <w:proofErr w:type="gramStart"/>
      <w:r w:rsidRPr="005D5A2E">
        <w:rPr>
          <w:rFonts w:ascii="Times New Roman" w:eastAsia="Georgia" w:hAnsi="Times New Roman"/>
        </w:rPr>
        <w:t>approaches</w:t>
      </w:r>
      <w:proofErr w:type="gramEnd"/>
      <w:r w:rsidRPr="005D5A2E">
        <w:rPr>
          <w:rFonts w:ascii="Times New Roman" w:eastAsia="Georgia" w:hAnsi="Times New Roman"/>
        </w:rPr>
        <w:t>. Sage Publications.</w:t>
      </w:r>
    </w:p>
    <w:p w14:paraId="51AFEFCB" w14:textId="6BFCE078"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Cuabo</w:t>
      </w:r>
      <w:proofErr w:type="spellEnd"/>
      <w:r w:rsidRPr="005D5A2E">
        <w:rPr>
          <w:rFonts w:ascii="Times New Roman" w:eastAsia="Georgia" w:hAnsi="Times New Roman"/>
        </w:rPr>
        <w:t xml:space="preserve">, F. M. P., </w:t>
      </w:r>
      <w:proofErr w:type="spellStart"/>
      <w:r w:rsidRPr="005D5A2E">
        <w:rPr>
          <w:rFonts w:ascii="Times New Roman" w:eastAsia="Georgia" w:hAnsi="Times New Roman"/>
        </w:rPr>
        <w:t>Mangulad</w:t>
      </w:r>
      <w:proofErr w:type="spellEnd"/>
      <w:r w:rsidRPr="005D5A2E">
        <w:rPr>
          <w:rFonts w:ascii="Times New Roman" w:eastAsia="Georgia" w:hAnsi="Times New Roman"/>
        </w:rPr>
        <w:t xml:space="preserve">, K. P., Palisbo, J. T., Bacus, J. A., </w:t>
      </w:r>
      <w:proofErr w:type="spellStart"/>
      <w:r w:rsidRPr="005D5A2E">
        <w:rPr>
          <w:rFonts w:ascii="Times New Roman" w:eastAsia="Georgia" w:hAnsi="Times New Roman"/>
        </w:rPr>
        <w:t>Baluyos</w:t>
      </w:r>
      <w:proofErr w:type="spellEnd"/>
      <w:r w:rsidRPr="005D5A2E">
        <w:rPr>
          <w:rFonts w:ascii="Times New Roman" w:eastAsia="Georgia" w:hAnsi="Times New Roman"/>
        </w:rPr>
        <w:t xml:space="preserve">, G. R., Entera, R. C., &amp; </w:t>
      </w:r>
      <w:proofErr w:type="spellStart"/>
      <w:r w:rsidRPr="005D5A2E">
        <w:rPr>
          <w:rFonts w:ascii="Times New Roman" w:eastAsia="Georgia" w:hAnsi="Times New Roman"/>
        </w:rPr>
        <w:t>Beringuel</w:t>
      </w:r>
      <w:proofErr w:type="spellEnd"/>
      <w:r w:rsidRPr="005D5A2E">
        <w:rPr>
          <w:rFonts w:ascii="Times New Roman" w:eastAsia="Georgia" w:hAnsi="Times New Roman"/>
        </w:rPr>
        <w:t xml:space="preserve">, E. G. (2024). Teachers’ classroom management, students’ attitude and home environment: Predictors of mathematics performance. International Journal of Research and Innovation in Social Science, 8(3). </w:t>
      </w:r>
      <w:hyperlink r:id="rId33" w:tgtFrame="_new" w:history="1">
        <w:r w:rsidRPr="005D5A2E">
          <w:rPr>
            <w:rStyle w:val="Hyperlink"/>
            <w:rFonts w:ascii="Times New Roman" w:eastAsia="Georgia" w:hAnsi="Times New Roman"/>
          </w:rPr>
          <w:t>https://doi.org/10.47772/IJRISS.2024.803090</w:t>
        </w:r>
      </w:hyperlink>
    </w:p>
    <w:p w14:paraId="319F8E23" w14:textId="77777777" w:rsidR="00993EEE" w:rsidRPr="005D5A2E" w:rsidRDefault="00993EEE" w:rsidP="00656BEB">
      <w:pPr>
        <w:pStyle w:val="ListParagraph"/>
        <w:numPr>
          <w:ilvl w:val="0"/>
          <w:numId w:val="8"/>
        </w:numPr>
        <w:spacing w:after="0" w:line="240" w:lineRule="auto"/>
        <w:jc w:val="both"/>
        <w:rPr>
          <w:rFonts w:ascii="Times New Roman" w:eastAsia="Georgia" w:hAnsi="Times New Roman"/>
        </w:rPr>
      </w:pPr>
      <w:r w:rsidRPr="005D5A2E">
        <w:rPr>
          <w:rFonts w:ascii="Times New Roman" w:eastAsia="Georgia" w:hAnsi="Times New Roman"/>
        </w:rPr>
        <w:t xml:space="preserve">Dearing, E., McCartney, K., &amp; Taylor, B. A. (2022). Does higher quality early childhood education promote parent involvement? Educational Psychology. </w:t>
      </w:r>
      <w:hyperlink r:id="rId34" w:tgtFrame="_new" w:history="1">
        <w:r w:rsidRPr="005D5A2E">
          <w:rPr>
            <w:rStyle w:val="Hyperlink"/>
            <w:rFonts w:ascii="Times New Roman" w:eastAsia="Georgia" w:hAnsi="Times New Roman"/>
          </w:rPr>
          <w:t>https://doi.org/10.1037/edu0000689</w:t>
        </w:r>
      </w:hyperlink>
    </w:p>
    <w:p w14:paraId="408EE30F" w14:textId="4FD810D4"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Deda, Y. N., </w:t>
      </w:r>
      <w:proofErr w:type="spellStart"/>
      <w:r w:rsidRPr="005D5A2E">
        <w:rPr>
          <w:rFonts w:ascii="Times New Roman" w:eastAsia="Georgia" w:hAnsi="Times New Roman"/>
        </w:rPr>
        <w:t>Disnawati</w:t>
      </w:r>
      <w:proofErr w:type="spellEnd"/>
      <w:r w:rsidRPr="005D5A2E">
        <w:rPr>
          <w:rFonts w:ascii="Times New Roman" w:eastAsia="Georgia" w:hAnsi="Times New Roman"/>
        </w:rPr>
        <w:t xml:space="preserve">, H., &amp; Daniel, O. (2023). How important of students' literacy and numeracy skills in facing 21st-century challenges: A systematic literature review. Indonesian Journal of Educational Research and Review, 6(3), 563–572. </w:t>
      </w:r>
      <w:hyperlink r:id="rId35" w:tgtFrame="_new" w:history="1">
        <w:r w:rsidRPr="005D5A2E">
          <w:rPr>
            <w:rStyle w:val="Hyperlink"/>
            <w:rFonts w:ascii="Times New Roman" w:eastAsia="Georgia" w:hAnsi="Times New Roman"/>
          </w:rPr>
          <w:t>https://doi.org/10.23887/ijerr.v6i3.62206</w:t>
        </w:r>
      </w:hyperlink>
    </w:p>
    <w:p w14:paraId="35201A70" w14:textId="3E243891"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Dierkx</w:t>
      </w:r>
      <w:proofErr w:type="spellEnd"/>
      <w:r w:rsidRPr="005D5A2E">
        <w:rPr>
          <w:rFonts w:ascii="Times New Roman" w:eastAsia="Georgia" w:hAnsi="Times New Roman"/>
        </w:rPr>
        <w:t xml:space="preserve">, V., Van De Rijt, B., Hessen, D., Van Luit, H., &amp; van Viersen, S. (2025). Early numeracy development as a foundation of mathematics achievement in primary education. Learning and Individual Differences, 121, 102706. </w:t>
      </w:r>
      <w:hyperlink r:id="rId36" w:tgtFrame="_new" w:history="1">
        <w:r w:rsidRPr="005D5A2E">
          <w:rPr>
            <w:rStyle w:val="Hyperlink"/>
            <w:rFonts w:ascii="Times New Roman" w:eastAsia="Georgia" w:hAnsi="Times New Roman"/>
          </w:rPr>
          <w:t>https://doi.org/10.1016/j.lindif.2025.102706</w:t>
        </w:r>
      </w:hyperlink>
    </w:p>
    <w:p w14:paraId="2B1AC7EC" w14:textId="0EEEDD35"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Dionglay</w:t>
      </w:r>
      <w:proofErr w:type="spellEnd"/>
      <w:r w:rsidRPr="005D5A2E">
        <w:rPr>
          <w:rFonts w:ascii="Times New Roman" w:eastAsia="Georgia" w:hAnsi="Times New Roman"/>
        </w:rPr>
        <w:t xml:space="preserve">, E. D., Bembo, A. M. L. E., &amp; Janer, S. S. (2023). Effectiveness of 8-week learning recovery curriculum in improving the reading performance of pupils. </w:t>
      </w:r>
      <w:proofErr w:type="spellStart"/>
      <w:r w:rsidRPr="005D5A2E">
        <w:rPr>
          <w:rFonts w:ascii="Times New Roman" w:eastAsia="Georgia" w:hAnsi="Times New Roman"/>
        </w:rPr>
        <w:t>Jurnal</w:t>
      </w:r>
      <w:proofErr w:type="spellEnd"/>
      <w:r w:rsidRPr="005D5A2E">
        <w:rPr>
          <w:rFonts w:ascii="Times New Roman" w:eastAsia="Georgia" w:hAnsi="Times New Roman"/>
        </w:rPr>
        <w:t xml:space="preserve"> Pendidikan </w:t>
      </w:r>
      <w:proofErr w:type="spellStart"/>
      <w:r w:rsidRPr="005D5A2E">
        <w:rPr>
          <w:rFonts w:ascii="Times New Roman" w:eastAsia="Georgia" w:hAnsi="Times New Roman"/>
        </w:rPr>
        <w:t>Progresif</w:t>
      </w:r>
      <w:proofErr w:type="spellEnd"/>
      <w:r w:rsidRPr="005D5A2E">
        <w:rPr>
          <w:rFonts w:ascii="Times New Roman" w:eastAsia="Georgia" w:hAnsi="Times New Roman"/>
        </w:rPr>
        <w:t xml:space="preserve">, 13(3), 971–978. </w:t>
      </w:r>
      <w:hyperlink r:id="rId37" w:tgtFrame="_new" w:history="1">
        <w:r w:rsidRPr="005D5A2E">
          <w:rPr>
            <w:rStyle w:val="Hyperlink"/>
            <w:rFonts w:ascii="Times New Roman" w:eastAsia="Georgia" w:hAnsi="Times New Roman"/>
          </w:rPr>
          <w:t>https://doi.org/10.23960/jpp.v13.i3.202306</w:t>
        </w:r>
      </w:hyperlink>
    </w:p>
    <w:p w14:paraId="37F06807" w14:textId="60C95EBE"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Duncan, G. J., Dowsett, C. J., Claessens, A., Magnuson, K., Huston, A. C., Klebanov, P., Pagani, L. S., Feinstein, L., Engel, M., Brooks-Gunn, J., Sexton, H., Duckworth, K., &amp; </w:t>
      </w:r>
      <w:proofErr w:type="spellStart"/>
      <w:r w:rsidRPr="005D5A2E">
        <w:rPr>
          <w:rFonts w:ascii="Times New Roman" w:eastAsia="Georgia" w:hAnsi="Times New Roman"/>
        </w:rPr>
        <w:t>Japel</w:t>
      </w:r>
      <w:proofErr w:type="spellEnd"/>
      <w:r w:rsidRPr="005D5A2E">
        <w:rPr>
          <w:rFonts w:ascii="Times New Roman" w:eastAsia="Georgia" w:hAnsi="Times New Roman"/>
        </w:rPr>
        <w:t xml:space="preserve">, C. (2021). School readiness and later achievement. Child Development, 92(2), 450–468. </w:t>
      </w:r>
      <w:hyperlink r:id="rId38" w:tgtFrame="_new" w:history="1">
        <w:r w:rsidRPr="005D5A2E">
          <w:rPr>
            <w:rStyle w:val="Hyperlink"/>
            <w:rFonts w:ascii="Times New Roman" w:eastAsia="Georgia" w:hAnsi="Times New Roman"/>
          </w:rPr>
          <w:t>https://doi.org/10.1111/cdev.13617</w:t>
        </w:r>
      </w:hyperlink>
    </w:p>
    <w:p w14:paraId="7C54DF9F" w14:textId="3E2D0D2F"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Duncan, G. J., &amp; Magnuson, K. (2012). Socioeconomic status and cognitive functioning: Moving from correlation to causation. Wiley Interdisciplinary Reviews: Cognitive Science, 3(3), 377–386. </w:t>
      </w:r>
      <w:hyperlink r:id="rId39" w:tgtFrame="_new" w:history="1">
        <w:r w:rsidRPr="005D5A2E">
          <w:rPr>
            <w:rStyle w:val="Hyperlink"/>
            <w:rFonts w:ascii="Times New Roman" w:eastAsia="Georgia" w:hAnsi="Times New Roman"/>
          </w:rPr>
          <w:t>https://doi.org/10.1002/wcs.1176</w:t>
        </w:r>
      </w:hyperlink>
    </w:p>
    <w:p w14:paraId="14507454" w14:textId="16B7F5A4"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Earthman, G. I. (2021). School facility conditions and student academic achievement. Educational Facility Planner, 56(2), 15–22. </w:t>
      </w:r>
      <w:hyperlink r:id="rId40" w:tgtFrame="_new" w:history="1">
        <w:r w:rsidRPr="005D5A2E">
          <w:rPr>
            <w:rStyle w:val="Hyperlink"/>
            <w:rFonts w:ascii="Times New Roman" w:eastAsia="Georgia" w:hAnsi="Times New Roman"/>
          </w:rPr>
          <w:t>https://escholarship.org/uc/item/5sw56439</w:t>
        </w:r>
      </w:hyperlink>
    </w:p>
    <w:p w14:paraId="1BA53CD1" w14:textId="340F486F"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Er, Z., &amp; Dinç Artut, P. (2025). Comparative analysis of number sense performance and problem-solving strategies in gifted and typically developing students. Humanities and Social Sciences Communications, 12, 1016. </w:t>
      </w:r>
      <w:hyperlink r:id="rId41" w:tgtFrame="_new" w:history="1">
        <w:r w:rsidRPr="005D5A2E">
          <w:rPr>
            <w:rStyle w:val="Hyperlink"/>
            <w:rFonts w:ascii="Times New Roman" w:eastAsia="Georgia" w:hAnsi="Times New Roman"/>
          </w:rPr>
          <w:t>https://doi.org/10.1057/s41599-025-05403-9</w:t>
        </w:r>
      </w:hyperlink>
    </w:p>
    <w:p w14:paraId="78A6B0AC" w14:textId="1CB4A911"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Escobido</w:t>
      </w:r>
      <w:proofErr w:type="spellEnd"/>
      <w:r w:rsidRPr="005D5A2E">
        <w:rPr>
          <w:rFonts w:ascii="Times New Roman" w:eastAsia="Georgia" w:hAnsi="Times New Roman"/>
        </w:rPr>
        <w:t xml:space="preserve">, B. G. L., </w:t>
      </w:r>
      <w:proofErr w:type="spellStart"/>
      <w:r w:rsidRPr="005D5A2E">
        <w:rPr>
          <w:rFonts w:ascii="Times New Roman" w:eastAsia="Georgia" w:hAnsi="Times New Roman"/>
        </w:rPr>
        <w:t>Labadan</w:t>
      </w:r>
      <w:proofErr w:type="spellEnd"/>
      <w:r w:rsidRPr="005D5A2E">
        <w:rPr>
          <w:rFonts w:ascii="Times New Roman" w:eastAsia="Georgia" w:hAnsi="Times New Roman"/>
        </w:rPr>
        <w:t xml:space="preserve">, C. B., &amp; Comon, J. D. (2025). Effectiveness of peer reading strategy towards reading performance. American Journal of Arts and Human Science, 4(2), 203–215. </w:t>
      </w:r>
      <w:hyperlink r:id="rId42" w:tgtFrame="_new" w:history="1">
        <w:r w:rsidRPr="005D5A2E">
          <w:rPr>
            <w:rStyle w:val="Hyperlink"/>
            <w:rFonts w:ascii="Times New Roman" w:eastAsia="Georgia" w:hAnsi="Times New Roman"/>
          </w:rPr>
          <w:t>https://doi.org/10.54536/ajahs.v4i2.4261</w:t>
        </w:r>
      </w:hyperlink>
    </w:p>
    <w:p w14:paraId="553A86A1" w14:textId="626B66BF"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Finch, H. F., &amp; Finch, M. E. H. (2022). The relationship of national, school, and student socioeconomic status with academic achievement: A model for PISA reading and mathematics scores. Frontiers in Education, 7, 857451. </w:t>
      </w:r>
      <w:hyperlink r:id="rId43" w:tgtFrame="_new" w:history="1">
        <w:r w:rsidRPr="005D5A2E">
          <w:rPr>
            <w:rStyle w:val="Hyperlink"/>
            <w:rFonts w:ascii="Times New Roman" w:eastAsia="Georgia" w:hAnsi="Times New Roman"/>
          </w:rPr>
          <w:t>https://doi.org/10.3389/feduc.2022.857451</w:t>
        </w:r>
      </w:hyperlink>
    </w:p>
    <w:p w14:paraId="393EB96F" w14:textId="6BE0C414"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Fox, J., &amp; Weisberg, S. (2024). car: Companion to applied regression [R package]. </w:t>
      </w:r>
      <w:hyperlink r:id="rId44" w:tgtFrame="_new" w:history="1">
        <w:r w:rsidRPr="005D5A2E">
          <w:rPr>
            <w:rStyle w:val="Hyperlink"/>
            <w:rFonts w:ascii="Times New Roman" w:eastAsia="Georgia" w:hAnsi="Times New Roman"/>
          </w:rPr>
          <w:t>https://cran.r-project.org/package=car</w:t>
        </w:r>
      </w:hyperlink>
    </w:p>
    <w:p w14:paraId="1A172BB0" w14:textId="3C389444"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Gallucci, M. (2019). </w:t>
      </w:r>
      <w:proofErr w:type="spellStart"/>
      <w:r w:rsidRPr="005D5A2E">
        <w:rPr>
          <w:rFonts w:ascii="Times New Roman" w:eastAsia="Georgia" w:hAnsi="Times New Roman"/>
        </w:rPr>
        <w:t>GAMLj</w:t>
      </w:r>
      <w:proofErr w:type="spellEnd"/>
      <w:r w:rsidRPr="005D5A2E">
        <w:rPr>
          <w:rFonts w:ascii="Times New Roman" w:eastAsia="Georgia" w:hAnsi="Times New Roman"/>
        </w:rPr>
        <w:t>: General analyses for linear models (Version 3.6.5) [</w:t>
      </w:r>
      <w:proofErr w:type="spellStart"/>
      <w:r w:rsidRPr="005D5A2E">
        <w:rPr>
          <w:rFonts w:ascii="Times New Roman" w:eastAsia="Georgia" w:hAnsi="Times New Roman"/>
        </w:rPr>
        <w:t>Jamovi</w:t>
      </w:r>
      <w:proofErr w:type="spellEnd"/>
      <w:r w:rsidRPr="005D5A2E">
        <w:rPr>
          <w:rFonts w:ascii="Times New Roman" w:eastAsia="Georgia" w:hAnsi="Times New Roman"/>
        </w:rPr>
        <w:t xml:space="preserve"> module]. </w:t>
      </w:r>
      <w:hyperlink r:id="rId45" w:tgtFrame="_new" w:history="1">
        <w:r w:rsidRPr="005D5A2E">
          <w:rPr>
            <w:rStyle w:val="Hyperlink"/>
            <w:rFonts w:ascii="Times New Roman" w:eastAsia="Georgia" w:hAnsi="Times New Roman"/>
          </w:rPr>
          <w:t>https://gamlj.github.io/</w:t>
        </w:r>
      </w:hyperlink>
    </w:p>
    <w:p w14:paraId="7135BC7F" w14:textId="753614A2"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García, E., &amp; Weiss, E. (2021). COVID-19 and student performance, equity, and access. Economic Policy Institute Report. </w:t>
      </w:r>
      <w:hyperlink r:id="rId46" w:tgtFrame="_new" w:history="1">
        <w:r w:rsidRPr="005D5A2E">
          <w:rPr>
            <w:rStyle w:val="Hyperlink"/>
            <w:rFonts w:ascii="Times New Roman" w:eastAsia="Georgia" w:hAnsi="Times New Roman"/>
          </w:rPr>
          <w:t>https://doi.org/10.1177/00131245211012345</w:t>
        </w:r>
      </w:hyperlink>
    </w:p>
    <w:p w14:paraId="07909A76" w14:textId="5143DAF8"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Ghani, N., Jamian, A. R., &amp; Jobar, N. A. (2022). Meta-analysis of reading abilities factors. ICCCM Journal of Social Sciences and Humanities, 1(2), 1–11. </w:t>
      </w:r>
      <w:hyperlink r:id="rId47" w:tgtFrame="_new" w:history="1">
        <w:r w:rsidRPr="005D5A2E">
          <w:rPr>
            <w:rStyle w:val="Hyperlink"/>
            <w:rFonts w:ascii="Times New Roman" w:eastAsia="Georgia" w:hAnsi="Times New Roman"/>
          </w:rPr>
          <w:t>https://doi.org/10.53797/icccmjssh.v1i2.1.2022</w:t>
        </w:r>
      </w:hyperlink>
    </w:p>
    <w:p w14:paraId="0EC832B5" w14:textId="12C5E38B"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Gubalani, J., Basco, J., Bulig, M. R., &amp; Bacatan, J. (2023). The effectiveness of peer tutoring in enhancing reading comprehension of ninth grade students. Canadian Journal of Language and Literature Studies, 3(4), 75–89. </w:t>
      </w:r>
      <w:hyperlink r:id="rId48" w:tgtFrame="_new" w:history="1">
        <w:r w:rsidRPr="005D5A2E">
          <w:rPr>
            <w:rStyle w:val="Hyperlink"/>
            <w:rFonts w:ascii="Times New Roman" w:eastAsia="Georgia" w:hAnsi="Times New Roman"/>
          </w:rPr>
          <w:t>https://doi.org/10.53103/cjlls.v3i4.108</w:t>
        </w:r>
      </w:hyperlink>
    </w:p>
    <w:p w14:paraId="6505A2DE" w14:textId="77777777" w:rsidR="00993EEE" w:rsidRPr="005D5A2E" w:rsidRDefault="00993EEE" w:rsidP="00656BEB">
      <w:pPr>
        <w:pStyle w:val="ListParagraph"/>
        <w:numPr>
          <w:ilvl w:val="0"/>
          <w:numId w:val="8"/>
        </w:numPr>
        <w:spacing w:after="0" w:line="240" w:lineRule="auto"/>
        <w:jc w:val="both"/>
        <w:rPr>
          <w:rFonts w:ascii="Times New Roman" w:eastAsia="Georgia" w:hAnsi="Times New Roman"/>
        </w:rPr>
      </w:pPr>
      <w:r w:rsidRPr="005D5A2E">
        <w:rPr>
          <w:rFonts w:ascii="Times New Roman" w:eastAsia="Georgia" w:hAnsi="Times New Roman"/>
        </w:rPr>
        <w:t xml:space="preserve">Hair, N. L., Hanson, J. L., Wolfe, B. L., &amp; Pollak, S. D. (2015). Association of child poverty, brain development, and academic achievement. JAMA </w:t>
      </w:r>
      <w:proofErr w:type="spellStart"/>
      <w:r w:rsidRPr="005D5A2E">
        <w:rPr>
          <w:rFonts w:ascii="Times New Roman" w:eastAsia="Georgia" w:hAnsi="Times New Roman"/>
        </w:rPr>
        <w:t>Pediatrics</w:t>
      </w:r>
      <w:proofErr w:type="spellEnd"/>
      <w:r w:rsidRPr="005D5A2E">
        <w:rPr>
          <w:rFonts w:ascii="Times New Roman" w:eastAsia="Georgia" w:hAnsi="Times New Roman"/>
        </w:rPr>
        <w:t>, 169(9), 822–829. https://doi.org/10.1001/jamapediatrics.2015.1475</w:t>
      </w:r>
    </w:p>
    <w:p w14:paraId="24461AA8" w14:textId="77777777" w:rsidR="00993EEE" w:rsidRPr="005D5A2E"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Hascoët</w:t>
      </w:r>
      <w:proofErr w:type="spellEnd"/>
      <w:r w:rsidRPr="005D5A2E">
        <w:rPr>
          <w:rFonts w:ascii="Times New Roman" w:eastAsia="Georgia" w:hAnsi="Times New Roman"/>
        </w:rPr>
        <w:t xml:space="preserve">, M., Giaconi, V., &amp; Jamain, L. (2021). Family socioeconomic status and parental expectations affect mathematics achievement in a national sample of Chilean students. International Journal of </w:t>
      </w:r>
      <w:proofErr w:type="spellStart"/>
      <w:r w:rsidRPr="005D5A2E">
        <w:rPr>
          <w:rFonts w:ascii="Times New Roman" w:eastAsia="Georgia" w:hAnsi="Times New Roman"/>
        </w:rPr>
        <w:t>Behavioral</w:t>
      </w:r>
      <w:proofErr w:type="spellEnd"/>
      <w:r w:rsidRPr="005D5A2E">
        <w:rPr>
          <w:rFonts w:ascii="Times New Roman" w:eastAsia="Georgia" w:hAnsi="Times New Roman"/>
        </w:rPr>
        <w:t xml:space="preserve"> Development, 45(2), 122–132. </w:t>
      </w:r>
      <w:hyperlink r:id="rId49" w:tgtFrame="_new" w:history="1">
        <w:r w:rsidRPr="005D5A2E">
          <w:rPr>
            <w:rStyle w:val="Hyperlink"/>
            <w:rFonts w:ascii="Times New Roman" w:eastAsia="Georgia" w:hAnsi="Times New Roman"/>
          </w:rPr>
          <w:t>https://doi.org/10.1177/0165025420965731</w:t>
        </w:r>
      </w:hyperlink>
    </w:p>
    <w:p w14:paraId="3F085454" w14:textId="77777777" w:rsidR="00D76206" w:rsidRPr="005D5A2E" w:rsidRDefault="00D76206" w:rsidP="00656BEB">
      <w:pPr>
        <w:spacing w:line="240" w:lineRule="auto"/>
      </w:pPr>
    </w:p>
    <w:p w14:paraId="4EFF60C4" w14:textId="0B5C1532"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lastRenderedPageBreak/>
        <w:t xml:space="preserve">Huang, F., Huang, Z., Li, Z., &amp; Zhang, M. (2021). Relationship between parental involvement and mathematics achievement of Chinese early adolescents: Multiple mediating roles of mental health and mathematics self-efficacy. International Journal of Environmental Research and Public Health, 18(18), 9565. </w:t>
      </w:r>
      <w:hyperlink r:id="rId50" w:tgtFrame="_new" w:history="1">
        <w:r w:rsidRPr="005D5A2E">
          <w:rPr>
            <w:rStyle w:val="Hyperlink"/>
            <w:rFonts w:ascii="Times New Roman" w:eastAsia="Georgia" w:hAnsi="Times New Roman"/>
          </w:rPr>
          <w:t>https://doi.org/10.3390/ijerph18189565</w:t>
        </w:r>
      </w:hyperlink>
    </w:p>
    <w:p w14:paraId="6FB33BDA" w14:textId="565BB3F6" w:rsidR="00D76206" w:rsidRPr="00656BEB" w:rsidRDefault="00993EEE" w:rsidP="00656BEB">
      <w:pPr>
        <w:pStyle w:val="ListParagraph"/>
        <w:numPr>
          <w:ilvl w:val="0"/>
          <w:numId w:val="8"/>
        </w:numPr>
        <w:spacing w:after="0" w:line="240" w:lineRule="auto"/>
        <w:jc w:val="both"/>
        <w:rPr>
          <w:rFonts w:ascii="Times New Roman" w:eastAsia="Georgia" w:hAnsi="Times New Roman"/>
        </w:rPr>
      </w:pPr>
      <w:r w:rsidRPr="005D5A2E">
        <w:rPr>
          <w:rFonts w:ascii="Times New Roman" w:eastAsia="Georgia" w:hAnsi="Times New Roman"/>
        </w:rPr>
        <w:t>Iqbal, F., &amp; Mehmood, N. (2024). Critical discussion on impact of classroom physical environment on early grade literacy outcomes. Journal of Policy Options, 7(2), 38–42.</w:t>
      </w:r>
    </w:p>
    <w:p w14:paraId="4D800B40" w14:textId="04F1F159"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Jerrim</w:t>
      </w:r>
      <w:proofErr w:type="spellEnd"/>
      <w:r w:rsidRPr="005D5A2E">
        <w:rPr>
          <w:rFonts w:ascii="Times New Roman" w:eastAsia="Georgia" w:hAnsi="Times New Roman"/>
        </w:rPr>
        <w:t xml:space="preserve">, J., Parker, P., &amp; Shure, N. (2022). Socioeconomic status and mathematics achievement: International evidence. Educational Research and Evaluation. </w:t>
      </w:r>
      <w:hyperlink r:id="rId51" w:tgtFrame="_new" w:history="1">
        <w:r w:rsidRPr="005D5A2E">
          <w:rPr>
            <w:rStyle w:val="Hyperlink"/>
            <w:rFonts w:ascii="Times New Roman" w:eastAsia="Georgia" w:hAnsi="Times New Roman"/>
          </w:rPr>
          <w:t>https://doi.org/10.1080/13803611.2022.2034567</w:t>
        </w:r>
      </w:hyperlink>
    </w:p>
    <w:p w14:paraId="5CF59BEA" w14:textId="3F8F9861"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Jumuad</w:t>
      </w:r>
      <w:proofErr w:type="spellEnd"/>
      <w:r w:rsidRPr="005D5A2E">
        <w:rPr>
          <w:rFonts w:ascii="Times New Roman" w:eastAsia="Georgia" w:hAnsi="Times New Roman"/>
        </w:rPr>
        <w:t xml:space="preserve">, S. S., Mendez, J. F., Redondo, K. R., &amp; Cagas, R. L. (2023). Effects of peer-tutoring on the level of reading comprehension of young learners. International Journal of Educational Management and Development Studies, 4(3), 1–15. </w:t>
      </w:r>
      <w:hyperlink r:id="rId52" w:tgtFrame="_new" w:history="1">
        <w:r w:rsidRPr="005D5A2E">
          <w:rPr>
            <w:rStyle w:val="Hyperlink"/>
            <w:rFonts w:ascii="Times New Roman" w:eastAsia="Georgia" w:hAnsi="Times New Roman"/>
          </w:rPr>
          <w:t>https://doi.org/10.53378/352995</w:t>
        </w:r>
      </w:hyperlink>
    </w:p>
    <w:p w14:paraId="5189A656" w14:textId="41D1F4C9"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Karagiannakis, G., Noël, M.-P., Baccaglini-Frank, A., &amp; Termine, C. (2024). Mathematical skills classification through primary education. Discover Education. </w:t>
      </w:r>
      <w:hyperlink r:id="rId53" w:tgtFrame="_new" w:history="1">
        <w:r w:rsidRPr="005D5A2E">
          <w:rPr>
            <w:rStyle w:val="Hyperlink"/>
            <w:rFonts w:ascii="Times New Roman" w:eastAsia="Georgia" w:hAnsi="Times New Roman"/>
          </w:rPr>
          <w:t>https://doi.org/10.1007/s44217-024-00267-8</w:t>
        </w:r>
      </w:hyperlink>
    </w:p>
    <w:p w14:paraId="3FBBFF4D" w14:textId="1B86FCBA"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Kim, J., &amp; Park, H. (2023). Socioeconomic status and academic achievement: Evidence from educational outcomes. Social Psychology of Education, 26(1), 1–20. </w:t>
      </w:r>
      <w:hyperlink r:id="rId54" w:tgtFrame="_new" w:history="1">
        <w:r w:rsidRPr="005D5A2E">
          <w:rPr>
            <w:rStyle w:val="Hyperlink"/>
            <w:rFonts w:ascii="Times New Roman" w:eastAsia="Georgia" w:hAnsi="Times New Roman"/>
          </w:rPr>
          <w:t>https://doi.org/10.1007/s11218-022-09745-0</w:t>
        </w:r>
      </w:hyperlink>
    </w:p>
    <w:p w14:paraId="28C0696D" w14:textId="1948C05B"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Li, J., Peng, P., Ma, X. E., Ding, N., &amp; Zhao, J. (2023). How does family socioeconomic status influence children’s reading ability? Evidence from meta-analytic structural equation </w:t>
      </w:r>
      <w:proofErr w:type="spellStart"/>
      <w:r w:rsidRPr="005D5A2E">
        <w:rPr>
          <w:rFonts w:ascii="Times New Roman" w:eastAsia="Georgia" w:hAnsi="Times New Roman"/>
        </w:rPr>
        <w:t>modeling</w:t>
      </w:r>
      <w:proofErr w:type="spellEnd"/>
      <w:r w:rsidRPr="005D5A2E">
        <w:rPr>
          <w:rFonts w:ascii="Times New Roman" w:eastAsia="Georgia" w:hAnsi="Times New Roman"/>
        </w:rPr>
        <w:t xml:space="preserve">. Educational Psychology Review, 35(4), 119. </w:t>
      </w:r>
      <w:hyperlink r:id="rId55" w:tgtFrame="_new" w:history="1">
        <w:r w:rsidRPr="005D5A2E">
          <w:rPr>
            <w:rStyle w:val="Hyperlink"/>
            <w:rFonts w:ascii="Times New Roman" w:eastAsia="Georgia" w:hAnsi="Times New Roman"/>
          </w:rPr>
          <w:t>https://doi.org/10.1007/s10648-023-09834-1</w:t>
        </w:r>
      </w:hyperlink>
    </w:p>
    <w:p w14:paraId="2A524081" w14:textId="322354B4"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Li, Y., Gao, M., Yu, Y., Zhang, S., &amp; Yang, X. (2025). Influence of socioeconomic status on children’s reading abilities: The mediating role of home learning environment and the moderating role of grade level. BMC Psychology, 13(1), 848. </w:t>
      </w:r>
      <w:hyperlink r:id="rId56" w:tgtFrame="_new" w:history="1">
        <w:r w:rsidRPr="005D5A2E">
          <w:rPr>
            <w:rStyle w:val="Hyperlink"/>
            <w:rFonts w:ascii="Times New Roman" w:eastAsia="Georgia" w:hAnsi="Times New Roman"/>
          </w:rPr>
          <w:t>https://doi.org/10.1186/s40359-025-03203-z</w:t>
        </w:r>
      </w:hyperlink>
    </w:p>
    <w:p w14:paraId="6CC66BFF" w14:textId="64017E31"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Liu, D., Tan, X., Yan, H., &amp; Li, W. (2024). Improving mental arithmetic ability of primary school students with schema teaching method: An experimental study. PLOS ONE, 19(4), e0297013. </w:t>
      </w:r>
      <w:hyperlink r:id="rId57" w:tgtFrame="_new" w:history="1">
        <w:r w:rsidRPr="005D5A2E">
          <w:rPr>
            <w:rStyle w:val="Hyperlink"/>
            <w:rFonts w:ascii="Times New Roman" w:eastAsia="Georgia" w:hAnsi="Times New Roman"/>
          </w:rPr>
          <w:t>https://doi.org/10.1371/journal.pone.0297013</w:t>
        </w:r>
      </w:hyperlink>
    </w:p>
    <w:p w14:paraId="4E9501DF" w14:textId="45AAF42D"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Loquere</w:t>
      </w:r>
      <w:proofErr w:type="spellEnd"/>
      <w:r w:rsidRPr="005D5A2E">
        <w:rPr>
          <w:rFonts w:ascii="Times New Roman" w:eastAsia="Georgia" w:hAnsi="Times New Roman"/>
        </w:rPr>
        <w:t xml:space="preserve">, M. L., </w:t>
      </w:r>
      <w:proofErr w:type="spellStart"/>
      <w:r w:rsidRPr="005D5A2E">
        <w:rPr>
          <w:rFonts w:ascii="Times New Roman" w:eastAsia="Georgia" w:hAnsi="Times New Roman"/>
        </w:rPr>
        <w:t>Estapia</w:t>
      </w:r>
      <w:proofErr w:type="spellEnd"/>
      <w:r w:rsidRPr="005D5A2E">
        <w:rPr>
          <w:rFonts w:ascii="Times New Roman" w:eastAsia="Georgia" w:hAnsi="Times New Roman"/>
        </w:rPr>
        <w:t xml:space="preserve">, J. A., Mula, R. S., &amp; </w:t>
      </w:r>
      <w:proofErr w:type="spellStart"/>
      <w:r w:rsidRPr="005D5A2E">
        <w:rPr>
          <w:rFonts w:ascii="Times New Roman" w:eastAsia="Georgia" w:hAnsi="Times New Roman"/>
        </w:rPr>
        <w:t>Labrigas</w:t>
      </w:r>
      <w:proofErr w:type="spellEnd"/>
      <w:r w:rsidRPr="005D5A2E">
        <w:rPr>
          <w:rFonts w:ascii="Times New Roman" w:eastAsia="Georgia" w:hAnsi="Times New Roman"/>
        </w:rPr>
        <w:t xml:space="preserve">, M. C. A. (2026). Gabay-Turo project on literacy and numeracy: Process and progress evaluation. International Journal of Research and Innovation in Social Science, 9(12), 3155–3164. </w:t>
      </w:r>
      <w:hyperlink r:id="rId58" w:tgtFrame="_new" w:history="1">
        <w:r w:rsidRPr="005D5A2E">
          <w:rPr>
            <w:rStyle w:val="Hyperlink"/>
            <w:rFonts w:ascii="Times New Roman" w:eastAsia="Georgia" w:hAnsi="Times New Roman"/>
          </w:rPr>
          <w:t>https://doi.org/10.47772/IJRISS.2025.91200242</w:t>
        </w:r>
      </w:hyperlink>
    </w:p>
    <w:p w14:paraId="4E7B4699" w14:textId="5879E5D1" w:rsidR="00D76206" w:rsidRPr="00656BEB" w:rsidRDefault="00993EEE" w:rsidP="00656BEB">
      <w:pPr>
        <w:pStyle w:val="ListParagraph"/>
        <w:numPr>
          <w:ilvl w:val="0"/>
          <w:numId w:val="8"/>
        </w:numPr>
        <w:spacing w:after="0" w:line="240" w:lineRule="auto"/>
        <w:jc w:val="both"/>
        <w:rPr>
          <w:rFonts w:ascii="Times New Roman" w:eastAsia="Georgia" w:hAnsi="Times New Roman"/>
        </w:rPr>
      </w:pPr>
      <w:proofErr w:type="spellStart"/>
      <w:r w:rsidRPr="005D5A2E">
        <w:rPr>
          <w:rFonts w:ascii="Times New Roman" w:eastAsia="Georgia" w:hAnsi="Times New Roman"/>
        </w:rPr>
        <w:t>Lugnu</w:t>
      </w:r>
      <w:proofErr w:type="spellEnd"/>
      <w:r w:rsidRPr="005D5A2E">
        <w:rPr>
          <w:rFonts w:ascii="Times New Roman" w:eastAsia="Georgia" w:hAnsi="Times New Roman"/>
        </w:rPr>
        <w:t>, D., &amp; Mkandawire, S. B. (2022). The contribution of the physical environment to the teaching and learning of literacy in selected primary schools of Lusaka District in Zambia. Zambia Journal of Education, 7(1), 47–62.</w:t>
      </w:r>
    </w:p>
    <w:p w14:paraId="22046313" w14:textId="2B4A8132"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Lusaran</w:t>
      </w:r>
      <w:proofErr w:type="spellEnd"/>
      <w:r w:rsidRPr="005D5A2E">
        <w:rPr>
          <w:rFonts w:ascii="Times New Roman" w:eastAsia="Georgia" w:hAnsi="Times New Roman"/>
        </w:rPr>
        <w:t xml:space="preserve">, C. J., </w:t>
      </w:r>
      <w:proofErr w:type="spellStart"/>
      <w:r w:rsidRPr="005D5A2E">
        <w:rPr>
          <w:rFonts w:ascii="Times New Roman" w:eastAsia="Georgia" w:hAnsi="Times New Roman"/>
        </w:rPr>
        <w:t>Lusica</w:t>
      </w:r>
      <w:proofErr w:type="spellEnd"/>
      <w:r w:rsidRPr="005D5A2E">
        <w:rPr>
          <w:rFonts w:ascii="Times New Roman" w:eastAsia="Georgia" w:hAnsi="Times New Roman"/>
        </w:rPr>
        <w:t xml:space="preserve">, T., Mantica, R., Olasiman, K., Pelenio, M. J., </w:t>
      </w:r>
      <w:proofErr w:type="spellStart"/>
      <w:r w:rsidRPr="005D5A2E">
        <w:rPr>
          <w:rFonts w:ascii="Times New Roman" w:eastAsia="Georgia" w:hAnsi="Times New Roman"/>
        </w:rPr>
        <w:t>Pintac</w:t>
      </w:r>
      <w:proofErr w:type="spellEnd"/>
      <w:r w:rsidRPr="005D5A2E">
        <w:rPr>
          <w:rFonts w:ascii="Times New Roman" w:eastAsia="Georgia" w:hAnsi="Times New Roman"/>
        </w:rPr>
        <w:t xml:space="preserve">, J., ... &amp; </w:t>
      </w:r>
      <w:proofErr w:type="spellStart"/>
      <w:r w:rsidRPr="005D5A2E">
        <w:rPr>
          <w:rFonts w:ascii="Times New Roman" w:eastAsia="Georgia" w:hAnsi="Times New Roman"/>
        </w:rPr>
        <w:t>Ampo</w:t>
      </w:r>
      <w:proofErr w:type="spellEnd"/>
      <w:r w:rsidRPr="005D5A2E">
        <w:rPr>
          <w:rFonts w:ascii="Times New Roman" w:eastAsia="Georgia" w:hAnsi="Times New Roman"/>
        </w:rPr>
        <w:t xml:space="preserve">, W. M. (2026). Status of learners in numeracy and reading literacy: Examining their performance and challenges with words and numbers. Journal of Interdisciplinary Perspectives, 4(2), 66–72. </w:t>
      </w:r>
      <w:hyperlink r:id="rId59" w:tgtFrame="_new" w:history="1">
        <w:r w:rsidRPr="005D5A2E">
          <w:rPr>
            <w:rStyle w:val="Hyperlink"/>
            <w:rFonts w:ascii="Times New Roman" w:eastAsia="Georgia" w:hAnsi="Times New Roman"/>
          </w:rPr>
          <w:t>https://doi.org/10.69569/jip.2025.774</w:t>
        </w:r>
      </w:hyperlink>
    </w:p>
    <w:p w14:paraId="0DCFD4E3" w14:textId="19AEF59A"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Ma, L., Xiao, L., &amp; Li, Q. (2023). Mediation of self-concept and moderation of teacher support between socioeconomic status and reading achievement: Evidence from China and the United States. British Journal of Educational Psychology, 93(4), 921–940. </w:t>
      </w:r>
      <w:hyperlink r:id="rId60" w:tgtFrame="_new" w:history="1">
        <w:r w:rsidRPr="005D5A2E">
          <w:rPr>
            <w:rStyle w:val="Hyperlink"/>
            <w:rFonts w:ascii="Times New Roman" w:eastAsia="Georgia" w:hAnsi="Times New Roman"/>
          </w:rPr>
          <w:t>https://doi.org/10.1111/bjep.12607</w:t>
        </w:r>
      </w:hyperlink>
    </w:p>
    <w:p w14:paraId="60A85FD4" w14:textId="5ABF85F1"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Melhuish, E., Gardiner, J., &amp; Morris, S. (2021). Home learning environment and early numeracy development. Child Development. </w:t>
      </w:r>
      <w:hyperlink r:id="rId61" w:tgtFrame="_new" w:history="1">
        <w:r w:rsidRPr="005D5A2E">
          <w:rPr>
            <w:rStyle w:val="Hyperlink"/>
            <w:rFonts w:ascii="Times New Roman" w:eastAsia="Georgia" w:hAnsi="Times New Roman"/>
          </w:rPr>
          <w:t>https://doi.org/10.1111/cdev.13597</w:t>
        </w:r>
      </w:hyperlink>
    </w:p>
    <w:p w14:paraId="3176AED4" w14:textId="4F678E1E"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Mendez, A., </w:t>
      </w:r>
      <w:proofErr w:type="spellStart"/>
      <w:r w:rsidRPr="005D5A2E">
        <w:rPr>
          <w:rFonts w:ascii="Times New Roman" w:eastAsia="Georgia" w:hAnsi="Times New Roman"/>
        </w:rPr>
        <w:t>Opingo</w:t>
      </w:r>
      <w:proofErr w:type="spellEnd"/>
      <w:r w:rsidRPr="005D5A2E">
        <w:rPr>
          <w:rFonts w:ascii="Times New Roman" w:eastAsia="Georgia" w:hAnsi="Times New Roman"/>
        </w:rPr>
        <w:t xml:space="preserve">, K. M., </w:t>
      </w:r>
      <w:proofErr w:type="spellStart"/>
      <w:r w:rsidRPr="005D5A2E">
        <w:rPr>
          <w:rFonts w:ascii="Times New Roman" w:eastAsia="Georgia" w:hAnsi="Times New Roman"/>
        </w:rPr>
        <w:t>Revalde</w:t>
      </w:r>
      <w:proofErr w:type="spellEnd"/>
      <w:r w:rsidRPr="005D5A2E">
        <w:rPr>
          <w:rFonts w:ascii="Times New Roman" w:eastAsia="Georgia" w:hAnsi="Times New Roman"/>
        </w:rPr>
        <w:t xml:space="preserve">, H., &amp; </w:t>
      </w:r>
      <w:proofErr w:type="spellStart"/>
      <w:r w:rsidRPr="005D5A2E">
        <w:rPr>
          <w:rFonts w:ascii="Times New Roman" w:eastAsia="Georgia" w:hAnsi="Times New Roman"/>
        </w:rPr>
        <w:t>Pinili</w:t>
      </w:r>
      <w:proofErr w:type="spellEnd"/>
      <w:r w:rsidRPr="005D5A2E">
        <w:rPr>
          <w:rFonts w:ascii="Times New Roman" w:eastAsia="Georgia" w:hAnsi="Times New Roman"/>
        </w:rPr>
        <w:t xml:space="preserve">, L. (2025). Language learning strategies and reading skills of Grade Three learners: Basis for a reading skills enhancement plan. Journal of Humanities and Social Sciences Studies, 7(12), 07–13. </w:t>
      </w:r>
      <w:hyperlink r:id="rId62" w:tgtFrame="_new" w:history="1">
        <w:r w:rsidRPr="005D5A2E">
          <w:rPr>
            <w:rStyle w:val="Hyperlink"/>
            <w:rFonts w:ascii="Times New Roman" w:eastAsia="Georgia" w:hAnsi="Times New Roman"/>
          </w:rPr>
          <w:t>https://doi.org/10.32996/jhsss.2025.7.12.2</w:t>
        </w:r>
      </w:hyperlink>
    </w:p>
    <w:p w14:paraId="6036AA55" w14:textId="326CE0DD"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Michael, D., &amp; Kyriakides, L. (2023). Mediating effects of motivation and socioeconomic status on reading achievement: A secondary analysis of PISA 2018. Large-Scale Assessments in Education, 11, Article 31. </w:t>
      </w:r>
      <w:hyperlink r:id="rId63" w:tgtFrame="_new" w:history="1">
        <w:r w:rsidRPr="005D5A2E">
          <w:rPr>
            <w:rStyle w:val="Hyperlink"/>
            <w:rFonts w:ascii="Times New Roman" w:eastAsia="Georgia" w:hAnsi="Times New Roman"/>
          </w:rPr>
          <w:t>https://doi.org/10.1186/s40536-023-00181-9</w:t>
        </w:r>
      </w:hyperlink>
    </w:p>
    <w:p w14:paraId="7F66F702" w14:textId="623CDD01"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Miña</w:t>
      </w:r>
      <w:proofErr w:type="spellEnd"/>
      <w:r w:rsidRPr="005D5A2E">
        <w:rPr>
          <w:rFonts w:ascii="Times New Roman" w:eastAsia="Georgia" w:hAnsi="Times New Roman"/>
        </w:rPr>
        <w:t xml:space="preserve">, C., &amp; Caballes, D. (2023). Evaluation of the implementation of the 8-week learning recovery curriculum in numeracy of Grade 3 learners of Legazpi City. World Journal of Advanced Research and Reviews, 17(03), 059–069. </w:t>
      </w:r>
      <w:hyperlink r:id="rId64" w:tgtFrame="_new" w:history="1">
        <w:r w:rsidRPr="005D5A2E">
          <w:rPr>
            <w:rStyle w:val="Hyperlink"/>
            <w:rFonts w:ascii="Times New Roman" w:eastAsia="Georgia" w:hAnsi="Times New Roman"/>
          </w:rPr>
          <w:t>https://doi.org/10.30574/wjarr.2023.17.3.0355</w:t>
        </w:r>
      </w:hyperlink>
    </w:p>
    <w:p w14:paraId="3C8E9212" w14:textId="548D0537"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Mitchell, K. M. (2024). Does reading ability predict student success? A scoping review. Nurse Education Today, 136, 106150. </w:t>
      </w:r>
      <w:hyperlink r:id="rId65" w:tgtFrame="_new" w:history="1">
        <w:r w:rsidRPr="005D5A2E">
          <w:rPr>
            <w:rStyle w:val="Hyperlink"/>
            <w:rFonts w:ascii="Times New Roman" w:eastAsia="Georgia" w:hAnsi="Times New Roman"/>
          </w:rPr>
          <w:t>https://doi.org/10.1016/j.nedt.2024.106150</w:t>
        </w:r>
      </w:hyperlink>
    </w:p>
    <w:p w14:paraId="7B606C1B" w14:textId="7647F141"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Mulama</w:t>
      </w:r>
      <w:proofErr w:type="spellEnd"/>
      <w:r w:rsidRPr="005D5A2E">
        <w:rPr>
          <w:rFonts w:ascii="Times New Roman" w:eastAsia="Georgia" w:hAnsi="Times New Roman"/>
        </w:rPr>
        <w:t xml:space="preserve">, M. D., &amp; Muthee, J. (2024). Exploring the relationship between remedial instructions and Grade Three learner’s reading abilities in public primary schools in </w:t>
      </w:r>
      <w:proofErr w:type="spellStart"/>
      <w:r w:rsidRPr="005D5A2E">
        <w:rPr>
          <w:rFonts w:ascii="Times New Roman" w:eastAsia="Georgia" w:hAnsi="Times New Roman"/>
        </w:rPr>
        <w:t>Ruaraka</w:t>
      </w:r>
      <w:proofErr w:type="spellEnd"/>
      <w:r w:rsidRPr="005D5A2E">
        <w:rPr>
          <w:rFonts w:ascii="Times New Roman" w:eastAsia="Georgia" w:hAnsi="Times New Roman"/>
        </w:rPr>
        <w:t xml:space="preserve"> Nairobi City County, Kenya. European Journal of Special Education Research, 10(4). </w:t>
      </w:r>
      <w:hyperlink r:id="rId66" w:tgtFrame="_new" w:history="1">
        <w:r w:rsidRPr="005D5A2E">
          <w:rPr>
            <w:rStyle w:val="Hyperlink"/>
            <w:rFonts w:ascii="Times New Roman" w:eastAsia="Georgia" w:hAnsi="Times New Roman"/>
          </w:rPr>
          <w:t>http://dx.doi.org/10.46827/ejse.v10i4.5397</w:t>
        </w:r>
      </w:hyperlink>
    </w:p>
    <w:p w14:paraId="16BFF792" w14:textId="14CB7D01"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Ngure, W. (2024). Investigating the levels of reading skills among Grade Three pupils in Nairobi County, Kenya. European Journal of Education Studies. </w:t>
      </w:r>
      <w:hyperlink r:id="rId67" w:tgtFrame="_new" w:history="1">
        <w:r w:rsidRPr="005D5A2E">
          <w:rPr>
            <w:rStyle w:val="Hyperlink"/>
            <w:rFonts w:ascii="Times New Roman" w:eastAsia="Georgia" w:hAnsi="Times New Roman"/>
          </w:rPr>
          <w:t>https://doi.org/10.5281/ZENODO.2635828</w:t>
        </w:r>
      </w:hyperlink>
    </w:p>
    <w:p w14:paraId="7ADE488A" w14:textId="74FA3C17"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Nkosi, M. (2024). Influence of parental involvement on reading proficiency among early childhood students in South Africa. American Journal of Education and Practice, 8(2), 66–79. </w:t>
      </w:r>
      <w:hyperlink r:id="rId68" w:tgtFrame="_new" w:history="1">
        <w:r w:rsidRPr="005D5A2E">
          <w:rPr>
            <w:rStyle w:val="Hyperlink"/>
            <w:rFonts w:ascii="Times New Roman" w:eastAsia="Georgia" w:hAnsi="Times New Roman"/>
          </w:rPr>
          <w:t>https://doi.org/10.47672/ajep.1902</w:t>
        </w:r>
      </w:hyperlink>
    </w:p>
    <w:p w14:paraId="7B676F5A" w14:textId="77777777" w:rsidR="00993EEE" w:rsidRPr="005D5A2E"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Núñez-Peña, M. I., &amp; Suárez-Pellicioni, M. (2021). Math anxiety and working memory in numerical processing. Frontiers in Psychology, 12, 650863. </w:t>
      </w:r>
      <w:hyperlink r:id="rId69" w:tgtFrame="_new" w:history="1">
        <w:r w:rsidRPr="005D5A2E">
          <w:rPr>
            <w:rStyle w:val="Hyperlink"/>
            <w:rFonts w:ascii="Times New Roman" w:eastAsia="Georgia" w:hAnsi="Times New Roman"/>
          </w:rPr>
          <w:t>https://doi.org/10.3389/fpsyg.2021.650863</w:t>
        </w:r>
      </w:hyperlink>
    </w:p>
    <w:p w14:paraId="41F251C0" w14:textId="77777777" w:rsidR="00D76206" w:rsidRPr="005D5A2E" w:rsidRDefault="00D76206" w:rsidP="00656BEB">
      <w:pPr>
        <w:spacing w:line="240" w:lineRule="auto"/>
      </w:pPr>
    </w:p>
    <w:p w14:paraId="430A6D1B" w14:textId="49DF7636"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lastRenderedPageBreak/>
        <w:t xml:space="preserve">Olsen, A. A., &amp; Huang, F. L. (2021). The association between student socioeconomic status and student–teacher relationships on math achievement. School Psychology, 36(6), 464. </w:t>
      </w:r>
      <w:hyperlink r:id="rId70" w:tgtFrame="_new" w:history="1">
        <w:r w:rsidRPr="005D5A2E">
          <w:rPr>
            <w:rStyle w:val="Hyperlink"/>
            <w:rFonts w:ascii="Times New Roman" w:eastAsia="Georgia" w:hAnsi="Times New Roman"/>
          </w:rPr>
          <w:t>https://doi.org/10.1037/spq0000455</w:t>
        </w:r>
      </w:hyperlink>
    </w:p>
    <w:p w14:paraId="6BF64C3C" w14:textId="42A9E33B"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Olsen, A. A., &amp; Huang, F. L. (2022). Interaction of socioeconomic status and class relations on reading. Journal of Literacy Research, 54(3), 1–20. </w:t>
      </w:r>
      <w:hyperlink r:id="rId71" w:tgtFrame="_new" w:history="1">
        <w:r w:rsidRPr="005D5A2E">
          <w:rPr>
            <w:rStyle w:val="Hyperlink"/>
            <w:rFonts w:ascii="Times New Roman" w:eastAsia="Georgia" w:hAnsi="Times New Roman"/>
          </w:rPr>
          <w:t>https://doi.org/10.1177/1086296X221116866</w:t>
        </w:r>
      </w:hyperlink>
    </w:p>
    <w:p w14:paraId="00702F77" w14:textId="29952A89"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Orellana, P., Silva, M., &amp; Iglesias, V. (2024). Students’ reading comprehension level and reading demands in teacher education programs: The elephant in the room? Frontiers in Psychology, 15, 1324055. </w:t>
      </w:r>
      <w:hyperlink r:id="rId72" w:tgtFrame="_new" w:history="1">
        <w:r w:rsidRPr="005D5A2E">
          <w:rPr>
            <w:rStyle w:val="Hyperlink"/>
            <w:rFonts w:ascii="Times New Roman" w:eastAsia="Georgia" w:hAnsi="Times New Roman"/>
          </w:rPr>
          <w:t>https://doi.org/10.3389/fpsyg.2024.1324055</w:t>
        </w:r>
      </w:hyperlink>
    </w:p>
    <w:p w14:paraId="3A99B17D" w14:textId="68696A50"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Pacia, F. L. (2024). Early language literacy and numeracy (ELLN) and the National Achievement Test (NAT) performance of learners in MIMAROPA. International Journal of Arts, Sciences and Education, 5(2). </w:t>
      </w:r>
      <w:hyperlink r:id="rId73" w:tgtFrame="_new" w:history="1">
        <w:r w:rsidRPr="005D5A2E">
          <w:rPr>
            <w:rStyle w:val="Hyperlink"/>
            <w:rFonts w:ascii="Times New Roman" w:eastAsia="Georgia" w:hAnsi="Times New Roman"/>
          </w:rPr>
          <w:t>https://ijase.org/index.php/ijase/article/view/340</w:t>
        </w:r>
      </w:hyperlink>
    </w:p>
    <w:p w14:paraId="74640664" w14:textId="605A6F45"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Pada, J. R. (2024). Impact of parental involvement on students' reading proficiency. Journal of Interdisciplinary Perspectives, 2(7), 700–709. </w:t>
      </w:r>
      <w:hyperlink r:id="rId74" w:tgtFrame="_new" w:history="1">
        <w:r w:rsidRPr="005D5A2E">
          <w:rPr>
            <w:rStyle w:val="Hyperlink"/>
            <w:rFonts w:ascii="Times New Roman" w:eastAsia="Georgia" w:hAnsi="Times New Roman"/>
          </w:rPr>
          <w:t>https://doi.org/10.69569/jip.2024.0218</w:t>
        </w:r>
      </w:hyperlink>
    </w:p>
    <w:p w14:paraId="4EEA0954" w14:textId="103ED0F6"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Peng, P., Namkung, J., Barnes, M., &amp; Sun, C. (2022). A meta-analysis of mathematics anxiety and mathematical cognition: Implications for executive functions and achievement. Learning and Instruction, 80, 101549. </w:t>
      </w:r>
      <w:hyperlink r:id="rId75" w:tgtFrame="_new" w:history="1">
        <w:r w:rsidRPr="005D5A2E">
          <w:rPr>
            <w:rStyle w:val="Hyperlink"/>
            <w:rFonts w:ascii="Times New Roman" w:eastAsia="Georgia" w:hAnsi="Times New Roman"/>
          </w:rPr>
          <w:t>https://doi.org/10.1016/j.learninstruc.2022.101549</w:t>
        </w:r>
      </w:hyperlink>
    </w:p>
    <w:p w14:paraId="3694A518" w14:textId="77777777" w:rsidR="00993EEE" w:rsidRPr="005D5A2E" w:rsidRDefault="00993EEE" w:rsidP="00656BEB">
      <w:pPr>
        <w:pStyle w:val="ListParagraph"/>
        <w:numPr>
          <w:ilvl w:val="0"/>
          <w:numId w:val="8"/>
        </w:numPr>
        <w:spacing w:after="0" w:line="240" w:lineRule="auto"/>
        <w:jc w:val="both"/>
        <w:rPr>
          <w:rFonts w:ascii="Times New Roman" w:eastAsia="Georgia" w:hAnsi="Times New Roman"/>
        </w:rPr>
      </w:pPr>
      <w:r w:rsidRPr="005D5A2E">
        <w:rPr>
          <w:rFonts w:ascii="Times New Roman" w:eastAsia="Georgia" w:hAnsi="Times New Roman"/>
        </w:rPr>
        <w:t xml:space="preserve">Phala, T. A., &amp; Hugo, A. (2022). Difficulties in teaching Grade 3 learners with reading problems in full-service schools in South Africa. African Journal of Disability, 11, 1–9. </w:t>
      </w:r>
      <w:hyperlink r:id="rId76" w:tgtFrame="_new" w:history="1">
        <w:r w:rsidRPr="005D5A2E">
          <w:rPr>
            <w:rStyle w:val="Hyperlink"/>
            <w:rFonts w:ascii="Times New Roman" w:eastAsia="Georgia" w:hAnsi="Times New Roman"/>
          </w:rPr>
          <w:t>https://doi.org/10.4102/ajod.v11i0.906</w:t>
        </w:r>
      </w:hyperlink>
    </w:p>
    <w:p w14:paraId="2EF3DA84" w14:textId="21724949"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Piosang</w:t>
      </w:r>
      <w:proofErr w:type="spellEnd"/>
      <w:r w:rsidRPr="005D5A2E">
        <w:rPr>
          <w:rFonts w:ascii="Times New Roman" w:eastAsia="Georgia" w:hAnsi="Times New Roman"/>
        </w:rPr>
        <w:t xml:space="preserve">, T. (2025). ‘Money’ matters: Estimating the causal impact of socioeconomic status on mathematics achievement in the Philippines using large-scale assessment data. Investigations in Mathematics Learning, 1–13. </w:t>
      </w:r>
      <w:hyperlink r:id="rId77" w:tgtFrame="_new" w:history="1">
        <w:r w:rsidRPr="005D5A2E">
          <w:rPr>
            <w:rStyle w:val="Hyperlink"/>
            <w:rFonts w:ascii="Times New Roman" w:eastAsia="Georgia" w:hAnsi="Times New Roman"/>
          </w:rPr>
          <w:t>https://doi.org/10.1080/19477503.2025.2470047</w:t>
        </w:r>
      </w:hyperlink>
    </w:p>
    <w:p w14:paraId="591D46E0" w14:textId="6708411A"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Pratiwi, C. P., Murtafiah, W., &amp; </w:t>
      </w:r>
      <w:proofErr w:type="spellStart"/>
      <w:r w:rsidRPr="005D5A2E">
        <w:rPr>
          <w:rFonts w:ascii="Times New Roman" w:eastAsia="Georgia" w:hAnsi="Times New Roman"/>
        </w:rPr>
        <w:t>Rakhmad</w:t>
      </w:r>
      <w:proofErr w:type="spellEnd"/>
      <w:r w:rsidRPr="005D5A2E">
        <w:rPr>
          <w:rFonts w:ascii="Times New Roman" w:eastAsia="Georgia" w:hAnsi="Times New Roman"/>
        </w:rPr>
        <w:t xml:space="preserve">, R. (2025). The relationship between reading literacy and numeracy in solving story problems: Elementary school students. </w:t>
      </w:r>
      <w:proofErr w:type="spellStart"/>
      <w:r w:rsidRPr="005D5A2E">
        <w:rPr>
          <w:rFonts w:ascii="Times New Roman" w:eastAsia="Georgia" w:hAnsi="Times New Roman"/>
        </w:rPr>
        <w:t>Jurnal</w:t>
      </w:r>
      <w:proofErr w:type="spellEnd"/>
      <w:r w:rsidRPr="005D5A2E">
        <w:rPr>
          <w:rFonts w:ascii="Times New Roman" w:eastAsia="Georgia" w:hAnsi="Times New Roman"/>
        </w:rPr>
        <w:t xml:space="preserve"> </w:t>
      </w:r>
      <w:proofErr w:type="spellStart"/>
      <w:r w:rsidRPr="005D5A2E">
        <w:rPr>
          <w:rFonts w:ascii="Times New Roman" w:eastAsia="Georgia" w:hAnsi="Times New Roman"/>
        </w:rPr>
        <w:t>Eduscience</w:t>
      </w:r>
      <w:proofErr w:type="spellEnd"/>
      <w:r w:rsidRPr="005D5A2E">
        <w:rPr>
          <w:rFonts w:ascii="Times New Roman" w:eastAsia="Georgia" w:hAnsi="Times New Roman"/>
        </w:rPr>
        <w:t xml:space="preserve">, 12(5), 1248–1258. </w:t>
      </w:r>
      <w:hyperlink r:id="rId78" w:tgtFrame="_new" w:history="1">
        <w:r w:rsidRPr="005D5A2E">
          <w:rPr>
            <w:rStyle w:val="Hyperlink"/>
            <w:rFonts w:ascii="Times New Roman" w:eastAsia="Georgia" w:hAnsi="Times New Roman"/>
          </w:rPr>
          <w:t>https://doi.org/10.36987/jes.v12i5.7569</w:t>
        </w:r>
      </w:hyperlink>
    </w:p>
    <w:p w14:paraId="2DA902B7" w14:textId="07F740DF"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Raharjo, T. J., </w:t>
      </w:r>
      <w:proofErr w:type="spellStart"/>
      <w:r w:rsidRPr="005D5A2E">
        <w:rPr>
          <w:rFonts w:ascii="Times New Roman" w:eastAsia="Georgia" w:hAnsi="Times New Roman"/>
        </w:rPr>
        <w:t>Harianingsih</w:t>
      </w:r>
      <w:proofErr w:type="spellEnd"/>
      <w:r w:rsidRPr="005D5A2E">
        <w:rPr>
          <w:rFonts w:ascii="Times New Roman" w:eastAsia="Georgia" w:hAnsi="Times New Roman"/>
        </w:rPr>
        <w:t xml:space="preserve">, H., </w:t>
      </w:r>
      <w:proofErr w:type="spellStart"/>
      <w:r w:rsidRPr="005D5A2E">
        <w:rPr>
          <w:rFonts w:ascii="Times New Roman" w:eastAsia="Georgia" w:hAnsi="Times New Roman"/>
        </w:rPr>
        <w:t>Sumbali</w:t>
      </w:r>
      <w:proofErr w:type="spellEnd"/>
      <w:r w:rsidRPr="005D5A2E">
        <w:rPr>
          <w:rFonts w:ascii="Times New Roman" w:eastAsia="Georgia" w:hAnsi="Times New Roman"/>
        </w:rPr>
        <w:t xml:space="preserve">, B., &amp; </w:t>
      </w:r>
      <w:proofErr w:type="spellStart"/>
      <w:r w:rsidRPr="005D5A2E">
        <w:rPr>
          <w:rFonts w:ascii="Times New Roman" w:eastAsia="Georgia" w:hAnsi="Times New Roman"/>
        </w:rPr>
        <w:t>Widiarti</w:t>
      </w:r>
      <w:proofErr w:type="spellEnd"/>
      <w:r w:rsidRPr="005D5A2E">
        <w:rPr>
          <w:rFonts w:ascii="Times New Roman" w:eastAsia="Georgia" w:hAnsi="Times New Roman"/>
        </w:rPr>
        <w:t xml:space="preserve">, N. (2025). Classroom environment and metacognitive strategies to support beginning reading skills: A systematic literature review. Journal of Innovation and Research in Primary Education, 4(3), 485–496. </w:t>
      </w:r>
      <w:hyperlink r:id="rId79" w:tgtFrame="_new" w:history="1">
        <w:r w:rsidRPr="005D5A2E">
          <w:rPr>
            <w:rStyle w:val="Hyperlink"/>
            <w:rFonts w:ascii="Times New Roman" w:eastAsia="Georgia" w:hAnsi="Times New Roman"/>
          </w:rPr>
          <w:t>https://doi.org/10.56916/jirpe.v4i3.1360</w:t>
        </w:r>
      </w:hyperlink>
    </w:p>
    <w:p w14:paraId="0DB624B8" w14:textId="0707F1AF"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Rahayu, L., &amp; Daud, R. M. (2024). SAS method assisted by picture story books to improve elementary school students' beginning reading ability. Journal of Indonesian Primary School, 1(1), 37–46. </w:t>
      </w:r>
      <w:hyperlink r:id="rId80" w:tgtFrame="_new" w:history="1">
        <w:r w:rsidRPr="005D5A2E">
          <w:rPr>
            <w:rStyle w:val="Hyperlink"/>
            <w:rFonts w:ascii="Times New Roman" w:eastAsia="Georgia" w:hAnsi="Times New Roman"/>
          </w:rPr>
          <w:t>https://doi.org/10.62945/jips.v1i1.21</w:t>
        </w:r>
      </w:hyperlink>
    </w:p>
    <w:p w14:paraId="0D2D5C86" w14:textId="0F7CB3B6"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Rance, G., Dowell, R. C., &amp; Tomlin, D. (2023). The effect of classroom environment on literacy development. </w:t>
      </w:r>
      <w:proofErr w:type="spellStart"/>
      <w:r w:rsidRPr="005D5A2E">
        <w:rPr>
          <w:rFonts w:ascii="Times New Roman" w:eastAsia="Georgia" w:hAnsi="Times New Roman"/>
        </w:rPr>
        <w:t>npj</w:t>
      </w:r>
      <w:proofErr w:type="spellEnd"/>
      <w:r w:rsidRPr="005D5A2E">
        <w:rPr>
          <w:rFonts w:ascii="Times New Roman" w:eastAsia="Georgia" w:hAnsi="Times New Roman"/>
        </w:rPr>
        <w:t xml:space="preserve"> Science of Learning, 8(1), 9. </w:t>
      </w:r>
      <w:hyperlink r:id="rId81" w:tgtFrame="_new" w:history="1">
        <w:r w:rsidRPr="005D5A2E">
          <w:rPr>
            <w:rStyle w:val="Hyperlink"/>
            <w:rFonts w:ascii="Times New Roman" w:eastAsia="Georgia" w:hAnsi="Times New Roman"/>
          </w:rPr>
          <w:t>https://doi.org/10.1038/s41539-023-00157-y</w:t>
        </w:r>
      </w:hyperlink>
    </w:p>
    <w:p w14:paraId="4CB919C3" w14:textId="6970069A"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Reardon, S. F., </w:t>
      </w:r>
      <w:proofErr w:type="spellStart"/>
      <w:r w:rsidRPr="005D5A2E">
        <w:rPr>
          <w:rFonts w:ascii="Times New Roman" w:eastAsia="Georgia" w:hAnsi="Times New Roman"/>
        </w:rPr>
        <w:t>Kalogrides</w:t>
      </w:r>
      <w:proofErr w:type="spellEnd"/>
      <w:r w:rsidRPr="005D5A2E">
        <w:rPr>
          <w:rFonts w:ascii="Times New Roman" w:eastAsia="Georgia" w:hAnsi="Times New Roman"/>
        </w:rPr>
        <w:t xml:space="preserve">, D., &amp; Shores, K. (2023). The widening academic achievement gap between the rich and the poor. Educational Researcher. </w:t>
      </w:r>
      <w:hyperlink r:id="rId82" w:tgtFrame="_new" w:history="1">
        <w:r w:rsidRPr="005D5A2E">
          <w:rPr>
            <w:rStyle w:val="Hyperlink"/>
            <w:rFonts w:ascii="Times New Roman" w:eastAsia="Georgia" w:hAnsi="Times New Roman"/>
          </w:rPr>
          <w:t>https://doi.org/10.3102/0013189X221145678</w:t>
        </w:r>
      </w:hyperlink>
    </w:p>
    <w:p w14:paraId="476307AA" w14:textId="396C761C"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Reyes, J. S. (2024). Assessment of the impact of implemented learning spaces on student achievement. World Journal of Advanced Research and Reviews, 21(3), 722–735. </w:t>
      </w:r>
      <w:hyperlink r:id="rId83" w:tgtFrame="_new" w:history="1">
        <w:r w:rsidRPr="005D5A2E">
          <w:rPr>
            <w:rStyle w:val="Hyperlink"/>
            <w:rFonts w:ascii="Times New Roman" w:eastAsia="Georgia" w:hAnsi="Times New Roman"/>
          </w:rPr>
          <w:t>https://doi.org/10.30574/wjarr.2024.21.3.0713</w:t>
        </w:r>
      </w:hyperlink>
    </w:p>
    <w:p w14:paraId="07E640EF" w14:textId="6A221A0B"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Sarı</w:t>
      </w:r>
      <w:proofErr w:type="spellEnd"/>
      <w:r w:rsidRPr="005D5A2E">
        <w:rPr>
          <w:rFonts w:ascii="Times New Roman" w:eastAsia="Georgia" w:hAnsi="Times New Roman"/>
        </w:rPr>
        <w:t xml:space="preserve">, T., &amp; Çelik, M. (2021). The effect of school physical environment on students’ academic achievement. International Journal of Educational Research Open, 2, 100031. </w:t>
      </w:r>
      <w:hyperlink r:id="rId84" w:tgtFrame="_new" w:history="1">
        <w:r w:rsidRPr="005D5A2E">
          <w:rPr>
            <w:rStyle w:val="Hyperlink"/>
            <w:rFonts w:ascii="Times New Roman" w:eastAsia="Georgia" w:hAnsi="Times New Roman"/>
          </w:rPr>
          <w:t>https://doi.org/10.1016/j.ijedro.2021.100031</w:t>
        </w:r>
      </w:hyperlink>
    </w:p>
    <w:p w14:paraId="20361133" w14:textId="32FBA69B"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Sirin, S. R. (2022). Socioeconomic status and academic achievement: A meta-analytic review. Review of Educational Research. </w:t>
      </w:r>
      <w:hyperlink r:id="rId85" w:tgtFrame="_new" w:history="1">
        <w:r w:rsidRPr="005D5A2E">
          <w:rPr>
            <w:rStyle w:val="Hyperlink"/>
            <w:rFonts w:ascii="Times New Roman" w:eastAsia="Georgia" w:hAnsi="Times New Roman"/>
          </w:rPr>
          <w:t>https://doi.org/10.3102/00346543221012345</w:t>
        </w:r>
      </w:hyperlink>
    </w:p>
    <w:p w14:paraId="5C1976AB" w14:textId="01C341FD"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Starkey, P., &amp; Klein, A. (2023). Fostering early numeracy development through structured instruction and manipulatives. Journal of Educational Psychology, 115(4), 789–805. </w:t>
      </w:r>
      <w:hyperlink r:id="rId86" w:tgtFrame="_new" w:history="1">
        <w:r w:rsidRPr="005D5A2E">
          <w:rPr>
            <w:rStyle w:val="Hyperlink"/>
            <w:rFonts w:ascii="Times New Roman" w:eastAsia="Georgia" w:hAnsi="Times New Roman"/>
          </w:rPr>
          <w:t>https://doi.org/10.1037/edu0000745</w:t>
        </w:r>
      </w:hyperlink>
    </w:p>
    <w:p w14:paraId="094C116B" w14:textId="16E9EA19"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Suciyati</w:t>
      </w:r>
      <w:proofErr w:type="spellEnd"/>
      <w:r w:rsidRPr="005D5A2E">
        <w:rPr>
          <w:rFonts w:ascii="Times New Roman" w:eastAsia="Georgia" w:hAnsi="Times New Roman"/>
        </w:rPr>
        <w:t xml:space="preserve">, S., </w:t>
      </w:r>
      <w:proofErr w:type="spellStart"/>
      <w:r w:rsidRPr="005D5A2E">
        <w:rPr>
          <w:rFonts w:ascii="Times New Roman" w:eastAsia="Georgia" w:hAnsi="Times New Roman"/>
        </w:rPr>
        <w:t>Rosadi</w:t>
      </w:r>
      <w:proofErr w:type="spellEnd"/>
      <w:r w:rsidRPr="005D5A2E">
        <w:rPr>
          <w:rFonts w:ascii="Times New Roman" w:eastAsia="Georgia" w:hAnsi="Times New Roman"/>
        </w:rPr>
        <w:t xml:space="preserve">, D., &amp; </w:t>
      </w:r>
      <w:proofErr w:type="spellStart"/>
      <w:r w:rsidRPr="005D5A2E">
        <w:rPr>
          <w:rFonts w:ascii="Times New Roman" w:eastAsia="Georgia" w:hAnsi="Times New Roman"/>
        </w:rPr>
        <w:t>Mariamah</w:t>
      </w:r>
      <w:proofErr w:type="spellEnd"/>
      <w:r w:rsidRPr="005D5A2E">
        <w:rPr>
          <w:rFonts w:ascii="Times New Roman" w:eastAsia="Georgia" w:hAnsi="Times New Roman"/>
        </w:rPr>
        <w:t xml:space="preserve">, M. (2022). Elementary school </w:t>
      </w:r>
      <w:proofErr w:type="gramStart"/>
      <w:r w:rsidRPr="005D5A2E">
        <w:rPr>
          <w:rFonts w:ascii="Times New Roman" w:eastAsia="Georgia" w:hAnsi="Times New Roman"/>
        </w:rPr>
        <w:t>students</w:t>
      </w:r>
      <w:proofErr w:type="gramEnd"/>
      <w:r w:rsidRPr="005D5A2E">
        <w:rPr>
          <w:rFonts w:ascii="Times New Roman" w:eastAsia="Georgia" w:hAnsi="Times New Roman"/>
        </w:rPr>
        <w:t xml:space="preserve"> numeration ability. </w:t>
      </w:r>
      <w:proofErr w:type="spellStart"/>
      <w:r w:rsidRPr="005D5A2E">
        <w:rPr>
          <w:rFonts w:ascii="Times New Roman" w:eastAsia="Georgia" w:hAnsi="Times New Roman"/>
        </w:rPr>
        <w:t>AlphaMath</w:t>
      </w:r>
      <w:proofErr w:type="spellEnd"/>
      <w:r w:rsidRPr="005D5A2E">
        <w:rPr>
          <w:rFonts w:ascii="Times New Roman" w:eastAsia="Georgia" w:hAnsi="Times New Roman"/>
        </w:rPr>
        <w:t xml:space="preserve">: Journal of Mathematics Education, 1–10. </w:t>
      </w:r>
      <w:hyperlink r:id="rId87" w:tgtFrame="_new" w:history="1">
        <w:r w:rsidRPr="005D5A2E">
          <w:rPr>
            <w:rStyle w:val="Hyperlink"/>
            <w:rFonts w:ascii="Times New Roman" w:eastAsia="Georgia" w:hAnsi="Times New Roman"/>
          </w:rPr>
          <w:t>https://doi.org/10.30595/alphamath.v8i1.12218</w:t>
        </w:r>
      </w:hyperlink>
    </w:p>
    <w:p w14:paraId="5F900C48" w14:textId="325E0A73"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Suala</w:t>
      </w:r>
      <w:proofErr w:type="spellEnd"/>
      <w:r w:rsidRPr="005D5A2E">
        <w:rPr>
          <w:rFonts w:ascii="Times New Roman" w:eastAsia="Georgia" w:hAnsi="Times New Roman"/>
        </w:rPr>
        <w:t xml:space="preserve">, J. A., </w:t>
      </w:r>
      <w:proofErr w:type="spellStart"/>
      <w:r w:rsidRPr="005D5A2E">
        <w:rPr>
          <w:rFonts w:ascii="Times New Roman" w:eastAsia="Georgia" w:hAnsi="Times New Roman"/>
        </w:rPr>
        <w:t>Lagarto</w:t>
      </w:r>
      <w:proofErr w:type="spellEnd"/>
      <w:r w:rsidRPr="005D5A2E">
        <w:rPr>
          <w:rFonts w:ascii="Times New Roman" w:eastAsia="Georgia" w:hAnsi="Times New Roman"/>
        </w:rPr>
        <w:t xml:space="preserve">, A. J., Tico, J. M. H., Echenique, D. B., &amp; </w:t>
      </w:r>
      <w:proofErr w:type="spellStart"/>
      <w:r w:rsidRPr="005D5A2E">
        <w:rPr>
          <w:rFonts w:ascii="Times New Roman" w:eastAsia="Georgia" w:hAnsi="Times New Roman"/>
        </w:rPr>
        <w:t>Sumalapao</w:t>
      </w:r>
      <w:proofErr w:type="spellEnd"/>
      <w:r w:rsidRPr="005D5A2E">
        <w:rPr>
          <w:rFonts w:ascii="Times New Roman" w:eastAsia="Georgia" w:hAnsi="Times New Roman"/>
        </w:rPr>
        <w:t xml:space="preserve">, J. A. (2025). Learning strategies, environment, and mathematics performance of students: A regression analysis. Journal of Interdisciplinary Perspectives. </w:t>
      </w:r>
      <w:hyperlink r:id="rId88" w:tgtFrame="_new" w:history="1">
        <w:r w:rsidRPr="005D5A2E">
          <w:rPr>
            <w:rStyle w:val="Hyperlink"/>
            <w:rFonts w:ascii="Times New Roman" w:eastAsia="Georgia" w:hAnsi="Times New Roman"/>
          </w:rPr>
          <w:t>https://doi.org/10.69569/jip.2024.617</w:t>
        </w:r>
      </w:hyperlink>
    </w:p>
    <w:p w14:paraId="4E9995A3" w14:textId="53DB80DB"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Sutama</w:t>
      </w:r>
      <w:proofErr w:type="spellEnd"/>
      <w:r w:rsidRPr="005D5A2E">
        <w:rPr>
          <w:rFonts w:ascii="Times New Roman" w:eastAsia="Georgia" w:hAnsi="Times New Roman"/>
        </w:rPr>
        <w:t xml:space="preserve">, Novitasari, M., &amp; </w:t>
      </w:r>
      <w:proofErr w:type="spellStart"/>
      <w:r w:rsidRPr="005D5A2E">
        <w:rPr>
          <w:rFonts w:ascii="Times New Roman" w:eastAsia="Georgia" w:hAnsi="Times New Roman"/>
        </w:rPr>
        <w:t>Narimo</w:t>
      </w:r>
      <w:proofErr w:type="spellEnd"/>
      <w:r w:rsidRPr="005D5A2E">
        <w:rPr>
          <w:rFonts w:ascii="Times New Roman" w:eastAsia="Georgia" w:hAnsi="Times New Roman"/>
        </w:rPr>
        <w:t xml:space="preserve">, D. S. (2023). Numerical literacy ability in learning mathematics based on 21st century skills in primary school. Elementary Education Online. </w:t>
      </w:r>
      <w:hyperlink r:id="rId89" w:tgtFrame="_new" w:history="1">
        <w:r w:rsidRPr="005D5A2E">
          <w:rPr>
            <w:rStyle w:val="Hyperlink"/>
            <w:rFonts w:ascii="Times New Roman" w:eastAsia="Georgia" w:hAnsi="Times New Roman"/>
          </w:rPr>
          <w:t>https://doi.org/10.17051/ilkonline.2023.7128</w:t>
        </w:r>
      </w:hyperlink>
    </w:p>
    <w:p w14:paraId="471377BB" w14:textId="5FC8690B"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The </w:t>
      </w:r>
      <w:proofErr w:type="spellStart"/>
      <w:r w:rsidRPr="005D5A2E">
        <w:rPr>
          <w:rFonts w:ascii="Times New Roman" w:eastAsia="Georgia" w:hAnsi="Times New Roman"/>
        </w:rPr>
        <w:t>jamovi</w:t>
      </w:r>
      <w:proofErr w:type="spellEnd"/>
      <w:r w:rsidRPr="005D5A2E">
        <w:rPr>
          <w:rFonts w:ascii="Times New Roman" w:eastAsia="Georgia" w:hAnsi="Times New Roman"/>
        </w:rPr>
        <w:t xml:space="preserve"> project. (2025). </w:t>
      </w:r>
      <w:proofErr w:type="spellStart"/>
      <w:r w:rsidRPr="005D5A2E">
        <w:rPr>
          <w:rFonts w:ascii="Times New Roman" w:eastAsia="Georgia" w:hAnsi="Times New Roman"/>
        </w:rPr>
        <w:t>jamovi</w:t>
      </w:r>
      <w:proofErr w:type="spellEnd"/>
      <w:r w:rsidRPr="005D5A2E">
        <w:rPr>
          <w:rFonts w:ascii="Times New Roman" w:eastAsia="Georgia" w:hAnsi="Times New Roman"/>
        </w:rPr>
        <w:t xml:space="preserve"> (Version 2.7) [Computer software]. </w:t>
      </w:r>
      <w:hyperlink r:id="rId90" w:tgtFrame="_new" w:history="1">
        <w:r w:rsidRPr="005D5A2E">
          <w:rPr>
            <w:rStyle w:val="Hyperlink"/>
            <w:rFonts w:ascii="Times New Roman" w:eastAsia="Georgia" w:hAnsi="Times New Roman"/>
          </w:rPr>
          <w:t>https://www.jamovi.org</w:t>
        </w:r>
      </w:hyperlink>
    </w:p>
    <w:p w14:paraId="7D9A8E1E" w14:textId="199405FB" w:rsidR="00D76206" w:rsidRPr="00656BEB" w:rsidRDefault="00993EEE" w:rsidP="00656BEB">
      <w:pPr>
        <w:pStyle w:val="ListParagraph"/>
        <w:numPr>
          <w:ilvl w:val="0"/>
          <w:numId w:val="8"/>
        </w:numPr>
        <w:spacing w:after="0" w:line="240" w:lineRule="auto"/>
        <w:jc w:val="both"/>
        <w:rPr>
          <w:rFonts w:ascii="Times New Roman" w:hAnsi="Times New Roman"/>
        </w:rPr>
      </w:pPr>
      <w:proofErr w:type="spellStart"/>
      <w:r w:rsidRPr="005D5A2E">
        <w:rPr>
          <w:rFonts w:ascii="Times New Roman" w:eastAsia="Georgia" w:hAnsi="Times New Roman"/>
        </w:rPr>
        <w:t>Tomul</w:t>
      </w:r>
      <w:proofErr w:type="spellEnd"/>
      <w:r w:rsidRPr="005D5A2E">
        <w:rPr>
          <w:rFonts w:ascii="Times New Roman" w:eastAsia="Georgia" w:hAnsi="Times New Roman"/>
        </w:rPr>
        <w:t xml:space="preserve">, E., Önder, E., &amp; </w:t>
      </w:r>
      <w:proofErr w:type="spellStart"/>
      <w:r w:rsidRPr="005D5A2E">
        <w:rPr>
          <w:rFonts w:ascii="Times New Roman" w:eastAsia="Georgia" w:hAnsi="Times New Roman"/>
        </w:rPr>
        <w:t>Taslidere</w:t>
      </w:r>
      <w:proofErr w:type="spellEnd"/>
      <w:r w:rsidRPr="005D5A2E">
        <w:rPr>
          <w:rFonts w:ascii="Times New Roman" w:eastAsia="Georgia" w:hAnsi="Times New Roman"/>
        </w:rPr>
        <w:t xml:space="preserve">, E. (2021). The relative effect of student, family and school-related factors on math achievement by location of the school. Large-Scale Assessments in Education, 9(1), 22. </w:t>
      </w:r>
      <w:hyperlink r:id="rId91" w:tgtFrame="_new" w:history="1">
        <w:r w:rsidRPr="005D5A2E">
          <w:rPr>
            <w:rStyle w:val="Hyperlink"/>
            <w:rFonts w:ascii="Times New Roman" w:eastAsia="Georgia" w:hAnsi="Times New Roman"/>
          </w:rPr>
          <w:t>https://doi.org/10.1186/s40536-021-00117-1</w:t>
        </w:r>
      </w:hyperlink>
    </w:p>
    <w:p w14:paraId="56497911" w14:textId="77777777" w:rsidR="00993EEE" w:rsidRPr="005D5A2E" w:rsidRDefault="00993EEE" w:rsidP="00656BEB">
      <w:pPr>
        <w:pStyle w:val="ListParagraph"/>
        <w:numPr>
          <w:ilvl w:val="0"/>
          <w:numId w:val="8"/>
        </w:numPr>
        <w:spacing w:after="0" w:line="240" w:lineRule="auto"/>
        <w:jc w:val="both"/>
        <w:rPr>
          <w:rFonts w:ascii="Times New Roman" w:eastAsia="Georgia" w:hAnsi="Times New Roman"/>
        </w:rPr>
      </w:pPr>
      <w:r w:rsidRPr="005D5A2E">
        <w:rPr>
          <w:rFonts w:ascii="Times New Roman" w:eastAsia="Georgia" w:hAnsi="Times New Roman"/>
        </w:rPr>
        <w:t xml:space="preserve">Vukovic, R. K., Roberts, S. O., &amp; Wright, K. (2021). Parent involvement in early numeracy and children’s mathematical development. Child Development. </w:t>
      </w:r>
      <w:hyperlink r:id="rId92" w:tgtFrame="_new" w:history="1">
        <w:r w:rsidRPr="005D5A2E">
          <w:rPr>
            <w:rStyle w:val="Hyperlink"/>
            <w:rFonts w:ascii="Times New Roman" w:eastAsia="Georgia" w:hAnsi="Times New Roman"/>
          </w:rPr>
          <w:t>https://doi.org/10.1111/cdev.13587</w:t>
        </w:r>
      </w:hyperlink>
    </w:p>
    <w:p w14:paraId="5BB664C1" w14:textId="77777777" w:rsidR="00993EEE" w:rsidRPr="005D5A2E"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Wang, C. (2026). Predictors of an individual’s reading comprehension: A meta-analysis study. Reading Psychology. </w:t>
      </w:r>
      <w:hyperlink r:id="rId93" w:tgtFrame="_new" w:history="1">
        <w:r w:rsidRPr="005D5A2E">
          <w:rPr>
            <w:rStyle w:val="Hyperlink"/>
            <w:rFonts w:ascii="Times New Roman" w:eastAsia="Georgia" w:hAnsi="Times New Roman"/>
          </w:rPr>
          <w:t>https://doi.org/10.1080/02702711.2026.2644968</w:t>
        </w:r>
      </w:hyperlink>
    </w:p>
    <w:p w14:paraId="366981B1" w14:textId="77777777" w:rsidR="00D76206" w:rsidRPr="005D5A2E" w:rsidRDefault="00D76206" w:rsidP="00656BEB">
      <w:pPr>
        <w:spacing w:line="240" w:lineRule="auto"/>
      </w:pPr>
    </w:p>
    <w:p w14:paraId="29B3E248" w14:textId="3FF0A1EA"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lastRenderedPageBreak/>
        <w:t xml:space="preserve">Wang, M. T., </w:t>
      </w:r>
      <w:proofErr w:type="spellStart"/>
      <w:r w:rsidRPr="005D5A2E">
        <w:rPr>
          <w:rFonts w:ascii="Times New Roman" w:eastAsia="Georgia" w:hAnsi="Times New Roman"/>
        </w:rPr>
        <w:t>Degol</w:t>
      </w:r>
      <w:proofErr w:type="spellEnd"/>
      <w:r w:rsidRPr="005D5A2E">
        <w:rPr>
          <w:rFonts w:ascii="Times New Roman" w:eastAsia="Georgia" w:hAnsi="Times New Roman"/>
        </w:rPr>
        <w:t xml:space="preserve">, J. L., &amp; Henry, D. A. (2022). Social relationships and academic achievement: A review of mechanisms and outcomes. Educational Psychologist, 57(3), 145–161. </w:t>
      </w:r>
      <w:hyperlink r:id="rId94" w:tgtFrame="_new" w:history="1">
        <w:r w:rsidRPr="005D5A2E">
          <w:rPr>
            <w:rStyle w:val="Hyperlink"/>
            <w:rFonts w:ascii="Times New Roman" w:eastAsia="Georgia" w:hAnsi="Times New Roman"/>
          </w:rPr>
          <w:t>https://doi.org/10.1080/00461520.2022.2033567</w:t>
        </w:r>
      </w:hyperlink>
    </w:p>
    <w:p w14:paraId="1D2BE72B" w14:textId="7A485C2D" w:rsidR="00D76206" w:rsidRPr="00656BEB" w:rsidRDefault="00993EEE" w:rsidP="00656BEB">
      <w:pPr>
        <w:pStyle w:val="ListParagraph"/>
        <w:numPr>
          <w:ilvl w:val="0"/>
          <w:numId w:val="8"/>
        </w:numPr>
        <w:spacing w:after="0" w:line="240" w:lineRule="auto"/>
        <w:jc w:val="both"/>
        <w:rPr>
          <w:rFonts w:ascii="Times New Roman" w:hAnsi="Times New Roman"/>
        </w:rPr>
      </w:pPr>
      <w:r w:rsidRPr="005D5A2E">
        <w:rPr>
          <w:rFonts w:ascii="Times New Roman" w:eastAsia="Georgia" w:hAnsi="Times New Roman"/>
        </w:rPr>
        <w:t xml:space="preserve">Wang, X., &amp; Wei, Y. (2024). The influence of parental involvement on students' math performance: A meta-analysis. Frontiers in Psychology, 15, 1463359. </w:t>
      </w:r>
      <w:hyperlink r:id="rId95" w:tgtFrame="_new" w:history="1">
        <w:r w:rsidRPr="005D5A2E">
          <w:rPr>
            <w:rStyle w:val="Hyperlink"/>
            <w:rFonts w:ascii="Times New Roman" w:eastAsia="Georgia" w:hAnsi="Times New Roman"/>
          </w:rPr>
          <w:t>https://doi.org/10.3389/fpsyg.2024.1463359</w:t>
        </w:r>
      </w:hyperlink>
    </w:p>
    <w:p w14:paraId="7F0376E0" w14:textId="1DCDC64F" w:rsidR="00993EEE" w:rsidRPr="00656BEB" w:rsidRDefault="00993EEE" w:rsidP="00656BEB">
      <w:pPr>
        <w:pStyle w:val="ListParagraph"/>
        <w:numPr>
          <w:ilvl w:val="0"/>
          <w:numId w:val="8"/>
        </w:numPr>
        <w:spacing w:after="0" w:line="240" w:lineRule="auto"/>
        <w:jc w:val="both"/>
        <w:rPr>
          <w:rFonts w:ascii="Times New Roman" w:eastAsia="Georgia" w:hAnsi="Times New Roman"/>
        </w:rPr>
      </w:pPr>
      <w:r w:rsidRPr="005D5A2E">
        <w:rPr>
          <w:rFonts w:ascii="Times New Roman" w:eastAsia="Georgia" w:hAnsi="Times New Roman"/>
        </w:rPr>
        <w:t xml:space="preserve">Yeung, S. S.-S., King, R. B., </w:t>
      </w:r>
      <w:proofErr w:type="spellStart"/>
      <w:r w:rsidRPr="005D5A2E">
        <w:rPr>
          <w:rFonts w:ascii="Times New Roman" w:eastAsia="Georgia" w:hAnsi="Times New Roman"/>
        </w:rPr>
        <w:t>Nalipay</w:t>
      </w:r>
      <w:proofErr w:type="spellEnd"/>
      <w:r w:rsidRPr="005D5A2E">
        <w:rPr>
          <w:rFonts w:ascii="Times New Roman" w:eastAsia="Georgia" w:hAnsi="Times New Roman"/>
        </w:rPr>
        <w:t xml:space="preserve">, M. J. N., &amp; Cai, Y. (2022). Exploring the interplay between socioeconomic status and reading achievement: An expectancy-value perspective. British Journal of Educational Psychology, 92(3), 1196–1214. </w:t>
      </w:r>
      <w:hyperlink r:id="rId96" w:tgtFrame="_new" w:history="1">
        <w:r w:rsidRPr="005D5A2E">
          <w:rPr>
            <w:rStyle w:val="Hyperlink"/>
            <w:rFonts w:ascii="Times New Roman" w:eastAsia="Georgia" w:hAnsi="Times New Roman"/>
          </w:rPr>
          <w:t>https://doi.org/10.1111/bjep.12495</w:t>
        </w:r>
      </w:hyperlink>
    </w:p>
    <w:p w14:paraId="42F46B62" w14:textId="77777777" w:rsidR="00993EEE" w:rsidRPr="005D5A2E" w:rsidRDefault="00993EEE" w:rsidP="00656BEB">
      <w:pPr>
        <w:pStyle w:val="ListParagraph"/>
        <w:numPr>
          <w:ilvl w:val="0"/>
          <w:numId w:val="8"/>
        </w:numPr>
        <w:spacing w:after="0" w:line="240" w:lineRule="auto"/>
        <w:jc w:val="both"/>
        <w:rPr>
          <w:rFonts w:ascii="Times New Roman" w:eastAsia="Georgia" w:hAnsi="Times New Roman"/>
        </w:rPr>
      </w:pPr>
      <w:r w:rsidRPr="005D5A2E">
        <w:rPr>
          <w:rFonts w:ascii="Times New Roman" w:eastAsia="Georgia" w:hAnsi="Times New Roman"/>
        </w:rPr>
        <w:t xml:space="preserve">Zhang, S. Z., Inoue, T., Cao, G., Li, L., &amp; Georgiou, G. K. (2023). Unpacking the effects of parents on their children’s emergent literacy skills and word reading: Evidence from urban and rural settings in China. Scientific Studies of Reading, 27(4), 355–374. </w:t>
      </w:r>
      <w:hyperlink r:id="rId97" w:tgtFrame="_new" w:history="1">
        <w:r w:rsidRPr="005D5A2E">
          <w:rPr>
            <w:rStyle w:val="Hyperlink"/>
            <w:rFonts w:ascii="Times New Roman" w:eastAsia="Georgia" w:hAnsi="Times New Roman"/>
          </w:rPr>
          <w:t>https://doi.org/10.1080/10888438.2023.2169147</w:t>
        </w:r>
      </w:hyperlink>
    </w:p>
    <w:p w14:paraId="0C2C1999" w14:textId="77777777" w:rsidR="00E201B1" w:rsidRPr="005D5A2E" w:rsidRDefault="00E201B1" w:rsidP="00F44221">
      <w:pPr>
        <w:spacing w:line="240" w:lineRule="auto"/>
      </w:pPr>
    </w:p>
    <w:p w14:paraId="7E1102D5" w14:textId="77777777" w:rsidR="00E27D30" w:rsidRPr="001D252E" w:rsidRDefault="00E27D30" w:rsidP="00F44221">
      <w:pPr>
        <w:spacing w:line="240" w:lineRule="auto"/>
        <w:rPr>
          <w:rFonts w:eastAsia="Georgia"/>
          <w:bCs/>
          <w:i/>
          <w:iCs/>
          <w:color w:val="000000" w:themeColor="text1"/>
          <w:sz w:val="28"/>
          <w:szCs w:val="28"/>
        </w:rPr>
      </w:pPr>
    </w:p>
    <w:sectPr w:rsidR="00E27D30" w:rsidRPr="001D252E" w:rsidSect="00F44221">
      <w:headerReference w:type="even" r:id="rId98"/>
      <w:headerReference w:type="default" r:id="rId99"/>
      <w:footerReference w:type="even" r:id="rId100"/>
      <w:headerReference w:type="first" r:id="rId101"/>
      <w:footerReference w:type="first" r:id="rId102"/>
      <w:pgSz w:w="11906" w:h="16838" w:code="9"/>
      <w:pgMar w:top="1080" w:right="605" w:bottom="605" w:left="605" w:header="346" w:footer="40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227D" w14:textId="77777777" w:rsidR="008D086B" w:rsidRDefault="008D086B">
      <w:pPr>
        <w:spacing w:line="240" w:lineRule="auto"/>
      </w:pPr>
      <w:r>
        <w:separator/>
      </w:r>
    </w:p>
  </w:endnote>
  <w:endnote w:type="continuationSeparator" w:id="0">
    <w:p w14:paraId="7BBC8889" w14:textId="77777777" w:rsidR="008D086B" w:rsidRDefault="008D0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1977" w14:textId="77777777" w:rsidR="00E65671" w:rsidRDefault="00E65671" w:rsidP="00E65671">
    <w:pPr>
      <w:pBdr>
        <w:top w:val="nil"/>
        <w:left w:val="nil"/>
        <w:bottom w:val="nil"/>
        <w:right w:val="nil"/>
        <w:between w:val="nil"/>
      </w:pBdr>
      <w:tabs>
        <w:tab w:val="center" w:pos="4680"/>
        <w:tab w:val="right" w:pos="9360"/>
      </w:tabs>
      <w:spacing w:line="240" w:lineRule="auto"/>
      <w:jc w:val="center"/>
      <w:rPr>
        <w:rFonts w:ascii="Georgia" w:eastAsia="Georgia" w:hAnsi="Georgia" w:cs="Georg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91F7" w14:textId="77777777" w:rsidR="000E5072" w:rsidRDefault="000E5072" w:rsidP="0079636F">
    <w:pPr>
      <w:pBdr>
        <w:top w:val="nil"/>
        <w:left w:val="nil"/>
        <w:bottom w:val="nil"/>
        <w:right w:val="nil"/>
        <w:between w:val="nil"/>
      </w:pBdr>
      <w:tabs>
        <w:tab w:val="center" w:pos="4680"/>
        <w:tab w:val="right" w:pos="9360"/>
      </w:tabs>
      <w:spacing w:line="240" w:lineRule="auto"/>
      <w:jc w:val="center"/>
      <w:rPr>
        <w:rFonts w:ascii="Georgia" w:eastAsia="Georgia" w:hAnsi="Georgia" w:cs="Georgia"/>
        <w:sz w:val="18"/>
        <w:szCs w:val="18"/>
      </w:rPr>
    </w:pPr>
  </w:p>
  <w:p w14:paraId="3857EE02" w14:textId="744CC4C0" w:rsidR="001075C5" w:rsidRPr="00727B33" w:rsidRDefault="001075C5" w:rsidP="00727B33">
    <w:pPr>
      <w:pBdr>
        <w:top w:val="nil"/>
        <w:left w:val="nil"/>
        <w:bottom w:val="nil"/>
        <w:right w:val="nil"/>
        <w:between w:val="nil"/>
      </w:pBdr>
      <w:tabs>
        <w:tab w:val="center" w:pos="4680"/>
        <w:tab w:val="right" w:pos="9360"/>
      </w:tabs>
      <w:spacing w:line="240" w:lineRule="auto"/>
      <w:jc w:val="center"/>
      <w:rPr>
        <w:rFonts w:eastAsia="Georg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6A4B" w14:textId="77777777" w:rsidR="008D086B" w:rsidRDefault="008D086B">
      <w:pPr>
        <w:spacing w:line="240" w:lineRule="auto"/>
      </w:pPr>
      <w:r>
        <w:separator/>
      </w:r>
    </w:p>
  </w:footnote>
  <w:footnote w:type="continuationSeparator" w:id="0">
    <w:p w14:paraId="7F2F7573" w14:textId="77777777" w:rsidR="008D086B" w:rsidRDefault="008D08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A96A" w14:textId="77777777" w:rsidR="001075C5" w:rsidRDefault="001075C5">
    <w:pPr>
      <w:pBdr>
        <w:top w:val="nil"/>
        <w:left w:val="nil"/>
        <w:bottom w:val="nil"/>
        <w:right w:val="nil"/>
        <w:between w:val="nil"/>
      </w:pBdr>
      <w:tabs>
        <w:tab w:val="center" w:pos="4680"/>
        <w:tab w:val="right" w:pos="9360"/>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3F2C" w14:textId="77777777" w:rsidR="00F61EB4" w:rsidRPr="00F61EB4" w:rsidRDefault="00F61EB4" w:rsidP="00F61EB4">
    <w:pPr>
      <w:pBdr>
        <w:top w:val="nil"/>
        <w:left w:val="nil"/>
        <w:right w:val="nil"/>
        <w:between w:val="nil"/>
      </w:pBdr>
      <w:tabs>
        <w:tab w:val="center" w:pos="4680"/>
        <w:tab w:val="right" w:pos="9360"/>
      </w:tabs>
      <w:spacing w:line="240" w:lineRule="auto"/>
      <w:rPr>
        <w:rFonts w:eastAsia="Georg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DE0E" w14:textId="77777777" w:rsidR="00F61EB4" w:rsidRPr="00F61EB4" w:rsidRDefault="00F61EB4" w:rsidP="001D252E">
    <w:pPr>
      <w:pBdr>
        <w:top w:val="nil"/>
        <w:left w:val="nil"/>
        <w:right w:val="nil"/>
        <w:between w:val="nil"/>
      </w:pBdr>
      <w:tabs>
        <w:tab w:val="center" w:pos="4680"/>
        <w:tab w:val="right" w:pos="9360"/>
      </w:tabs>
      <w:spacing w:line="240" w:lineRule="auto"/>
      <w:rPr>
        <w:rFonts w:eastAsia="Georgia"/>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EE2"/>
    <w:multiLevelType w:val="multilevel"/>
    <w:tmpl w:val="E5BC0B1C"/>
    <w:lvl w:ilvl="0">
      <w:start w:val="1"/>
      <w:numFmt w:val="decimal"/>
      <w:pStyle w:val="MDPI37itemize"/>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8449BA"/>
    <w:multiLevelType w:val="hybridMultilevel"/>
    <w:tmpl w:val="AB846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16646"/>
    <w:multiLevelType w:val="multilevel"/>
    <w:tmpl w:val="B4269C46"/>
    <w:lvl w:ilvl="0">
      <w:start w:val="1"/>
      <w:numFmt w:val="decimal"/>
      <w:pStyle w:val="MDPI38bullet"/>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47DB6BD2"/>
    <w:multiLevelType w:val="multilevel"/>
    <w:tmpl w:val="5EA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D7430"/>
    <w:multiLevelType w:val="hybridMultilevel"/>
    <w:tmpl w:val="46325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160288"/>
    <w:multiLevelType w:val="hybridMultilevel"/>
    <w:tmpl w:val="79AC5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FA0702"/>
    <w:multiLevelType w:val="hybridMultilevel"/>
    <w:tmpl w:val="E520BD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797871"/>
    <w:multiLevelType w:val="multilevel"/>
    <w:tmpl w:val="921CD8D8"/>
    <w:lvl w:ilvl="0">
      <w:start w:val="1"/>
      <w:numFmt w:val="bullet"/>
      <w:pStyle w:val="MDPI71References"/>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697005531">
    <w:abstractNumId w:val="0"/>
  </w:num>
  <w:num w:numId="2" w16cid:durableId="1352340094">
    <w:abstractNumId w:val="2"/>
  </w:num>
  <w:num w:numId="3" w16cid:durableId="307980640">
    <w:abstractNumId w:val="7"/>
  </w:num>
  <w:num w:numId="4" w16cid:durableId="343558882">
    <w:abstractNumId w:val="3"/>
  </w:num>
  <w:num w:numId="5" w16cid:durableId="248775673">
    <w:abstractNumId w:val="1"/>
  </w:num>
  <w:num w:numId="6" w16cid:durableId="165561413">
    <w:abstractNumId w:val="6"/>
  </w:num>
  <w:num w:numId="7" w16cid:durableId="2097633234">
    <w:abstractNumId w:val="4"/>
  </w:num>
  <w:num w:numId="8" w16cid:durableId="82624392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zsbCwNDcxNDc0NrBU0lEKTi0uzszPAykwrwUABM5sGiwAAAA="/>
  </w:docVars>
  <w:rsids>
    <w:rsidRoot w:val="00BE19DE"/>
    <w:rsid w:val="0000023D"/>
    <w:rsid w:val="0000097A"/>
    <w:rsid w:val="00001459"/>
    <w:rsid w:val="00001EFA"/>
    <w:rsid w:val="00002212"/>
    <w:rsid w:val="00003074"/>
    <w:rsid w:val="000030D3"/>
    <w:rsid w:val="000035CD"/>
    <w:rsid w:val="00003FB9"/>
    <w:rsid w:val="0000420E"/>
    <w:rsid w:val="00005247"/>
    <w:rsid w:val="000054A4"/>
    <w:rsid w:val="000056A7"/>
    <w:rsid w:val="00005C22"/>
    <w:rsid w:val="00006149"/>
    <w:rsid w:val="000079D4"/>
    <w:rsid w:val="00007E4E"/>
    <w:rsid w:val="00010282"/>
    <w:rsid w:val="00010E7E"/>
    <w:rsid w:val="000113D9"/>
    <w:rsid w:val="00011641"/>
    <w:rsid w:val="0001177D"/>
    <w:rsid w:val="00011BB1"/>
    <w:rsid w:val="0001289C"/>
    <w:rsid w:val="00012CFE"/>
    <w:rsid w:val="00012DCE"/>
    <w:rsid w:val="0001311D"/>
    <w:rsid w:val="000135B4"/>
    <w:rsid w:val="0001380A"/>
    <w:rsid w:val="00013E88"/>
    <w:rsid w:val="00013FCC"/>
    <w:rsid w:val="00013FD6"/>
    <w:rsid w:val="00014E42"/>
    <w:rsid w:val="00014F41"/>
    <w:rsid w:val="00016557"/>
    <w:rsid w:val="0001656A"/>
    <w:rsid w:val="00016B67"/>
    <w:rsid w:val="0001738B"/>
    <w:rsid w:val="00017443"/>
    <w:rsid w:val="0001758D"/>
    <w:rsid w:val="00017858"/>
    <w:rsid w:val="0001795F"/>
    <w:rsid w:val="0002028B"/>
    <w:rsid w:val="00020B19"/>
    <w:rsid w:val="00020F62"/>
    <w:rsid w:val="00020FBE"/>
    <w:rsid w:val="000211A6"/>
    <w:rsid w:val="000213E2"/>
    <w:rsid w:val="00021772"/>
    <w:rsid w:val="00022B3C"/>
    <w:rsid w:val="00022B49"/>
    <w:rsid w:val="000230C5"/>
    <w:rsid w:val="00023ACB"/>
    <w:rsid w:val="00023AE1"/>
    <w:rsid w:val="000240CA"/>
    <w:rsid w:val="000246FB"/>
    <w:rsid w:val="00024CBD"/>
    <w:rsid w:val="00024EDC"/>
    <w:rsid w:val="000251C1"/>
    <w:rsid w:val="000259D9"/>
    <w:rsid w:val="00025DC3"/>
    <w:rsid w:val="00025EA6"/>
    <w:rsid w:val="00026A80"/>
    <w:rsid w:val="00026E82"/>
    <w:rsid w:val="00027957"/>
    <w:rsid w:val="000304AC"/>
    <w:rsid w:val="000319CB"/>
    <w:rsid w:val="00031A36"/>
    <w:rsid w:val="00031EDB"/>
    <w:rsid w:val="000329F1"/>
    <w:rsid w:val="00032BA0"/>
    <w:rsid w:val="00032C51"/>
    <w:rsid w:val="00032C60"/>
    <w:rsid w:val="00034026"/>
    <w:rsid w:val="000340BD"/>
    <w:rsid w:val="000347B1"/>
    <w:rsid w:val="000364A6"/>
    <w:rsid w:val="0003651A"/>
    <w:rsid w:val="00036D24"/>
    <w:rsid w:val="00036FF7"/>
    <w:rsid w:val="000374D1"/>
    <w:rsid w:val="0003790B"/>
    <w:rsid w:val="00037B35"/>
    <w:rsid w:val="00037C19"/>
    <w:rsid w:val="000403F1"/>
    <w:rsid w:val="000405BF"/>
    <w:rsid w:val="00040924"/>
    <w:rsid w:val="00041C94"/>
    <w:rsid w:val="00041E96"/>
    <w:rsid w:val="000421A2"/>
    <w:rsid w:val="0004282E"/>
    <w:rsid w:val="00042A98"/>
    <w:rsid w:val="00042DBF"/>
    <w:rsid w:val="00043741"/>
    <w:rsid w:val="00043785"/>
    <w:rsid w:val="00043FCE"/>
    <w:rsid w:val="00044253"/>
    <w:rsid w:val="00044BDB"/>
    <w:rsid w:val="00044FE7"/>
    <w:rsid w:val="0004501A"/>
    <w:rsid w:val="00045A82"/>
    <w:rsid w:val="00045B48"/>
    <w:rsid w:val="00046897"/>
    <w:rsid w:val="0004689B"/>
    <w:rsid w:val="00046A42"/>
    <w:rsid w:val="00046DA2"/>
    <w:rsid w:val="0004761F"/>
    <w:rsid w:val="000476EB"/>
    <w:rsid w:val="000505BB"/>
    <w:rsid w:val="00050893"/>
    <w:rsid w:val="00050AE7"/>
    <w:rsid w:val="00050CEB"/>
    <w:rsid w:val="00050DC1"/>
    <w:rsid w:val="00050ED1"/>
    <w:rsid w:val="00051BFE"/>
    <w:rsid w:val="00051D3A"/>
    <w:rsid w:val="00051F0D"/>
    <w:rsid w:val="000522DF"/>
    <w:rsid w:val="000525B2"/>
    <w:rsid w:val="000528E5"/>
    <w:rsid w:val="0005326B"/>
    <w:rsid w:val="00053B86"/>
    <w:rsid w:val="00053C95"/>
    <w:rsid w:val="00053E5A"/>
    <w:rsid w:val="000548BD"/>
    <w:rsid w:val="00055920"/>
    <w:rsid w:val="00056501"/>
    <w:rsid w:val="000566CD"/>
    <w:rsid w:val="00056ABE"/>
    <w:rsid w:val="00056AC0"/>
    <w:rsid w:val="000573F5"/>
    <w:rsid w:val="0005757C"/>
    <w:rsid w:val="00057830"/>
    <w:rsid w:val="000578FA"/>
    <w:rsid w:val="00060215"/>
    <w:rsid w:val="00060236"/>
    <w:rsid w:val="00060717"/>
    <w:rsid w:val="000609D9"/>
    <w:rsid w:val="00060D91"/>
    <w:rsid w:val="00061208"/>
    <w:rsid w:val="00061F0B"/>
    <w:rsid w:val="0006224C"/>
    <w:rsid w:val="00062809"/>
    <w:rsid w:val="0006283F"/>
    <w:rsid w:val="00062B2A"/>
    <w:rsid w:val="00062B5F"/>
    <w:rsid w:val="0006314A"/>
    <w:rsid w:val="000632D9"/>
    <w:rsid w:val="0006331E"/>
    <w:rsid w:val="000633B7"/>
    <w:rsid w:val="00063DC0"/>
    <w:rsid w:val="00063ED5"/>
    <w:rsid w:val="0006492E"/>
    <w:rsid w:val="00064AF5"/>
    <w:rsid w:val="00065BD4"/>
    <w:rsid w:val="00065EFA"/>
    <w:rsid w:val="000661B2"/>
    <w:rsid w:val="00066A83"/>
    <w:rsid w:val="00067063"/>
    <w:rsid w:val="000671E1"/>
    <w:rsid w:val="000678B0"/>
    <w:rsid w:val="00067A95"/>
    <w:rsid w:val="00067C2B"/>
    <w:rsid w:val="00070AB0"/>
    <w:rsid w:val="00071348"/>
    <w:rsid w:val="0007301F"/>
    <w:rsid w:val="00073196"/>
    <w:rsid w:val="0007319A"/>
    <w:rsid w:val="00073329"/>
    <w:rsid w:val="000733A8"/>
    <w:rsid w:val="0007340F"/>
    <w:rsid w:val="00074510"/>
    <w:rsid w:val="00074677"/>
    <w:rsid w:val="00075420"/>
    <w:rsid w:val="0007572E"/>
    <w:rsid w:val="00075D70"/>
    <w:rsid w:val="0007604E"/>
    <w:rsid w:val="000761FA"/>
    <w:rsid w:val="00076EC4"/>
    <w:rsid w:val="0007771C"/>
    <w:rsid w:val="00077827"/>
    <w:rsid w:val="00077CCB"/>
    <w:rsid w:val="00077D9A"/>
    <w:rsid w:val="00080200"/>
    <w:rsid w:val="00080328"/>
    <w:rsid w:val="000806C2"/>
    <w:rsid w:val="00081C3D"/>
    <w:rsid w:val="00082E55"/>
    <w:rsid w:val="000833EF"/>
    <w:rsid w:val="0008379F"/>
    <w:rsid w:val="00084575"/>
    <w:rsid w:val="00084906"/>
    <w:rsid w:val="00084953"/>
    <w:rsid w:val="00084BAA"/>
    <w:rsid w:val="0008521A"/>
    <w:rsid w:val="0008532C"/>
    <w:rsid w:val="0008742D"/>
    <w:rsid w:val="0008745E"/>
    <w:rsid w:val="000900C8"/>
    <w:rsid w:val="000901BE"/>
    <w:rsid w:val="00090489"/>
    <w:rsid w:val="00090573"/>
    <w:rsid w:val="000906ED"/>
    <w:rsid w:val="0009188C"/>
    <w:rsid w:val="00091911"/>
    <w:rsid w:val="00091F1D"/>
    <w:rsid w:val="0009248B"/>
    <w:rsid w:val="000926EB"/>
    <w:rsid w:val="0009283D"/>
    <w:rsid w:val="000928F3"/>
    <w:rsid w:val="00092C2A"/>
    <w:rsid w:val="000930EC"/>
    <w:rsid w:val="00093194"/>
    <w:rsid w:val="000937D1"/>
    <w:rsid w:val="00094243"/>
    <w:rsid w:val="000942DE"/>
    <w:rsid w:val="000944FA"/>
    <w:rsid w:val="00094AAF"/>
    <w:rsid w:val="000952F2"/>
    <w:rsid w:val="0009586C"/>
    <w:rsid w:val="00095B1A"/>
    <w:rsid w:val="00096567"/>
    <w:rsid w:val="000968B2"/>
    <w:rsid w:val="00097281"/>
    <w:rsid w:val="00097309"/>
    <w:rsid w:val="00097EAC"/>
    <w:rsid w:val="00097F7F"/>
    <w:rsid w:val="000A0305"/>
    <w:rsid w:val="000A041E"/>
    <w:rsid w:val="000A0C57"/>
    <w:rsid w:val="000A0DB0"/>
    <w:rsid w:val="000A1015"/>
    <w:rsid w:val="000A10AE"/>
    <w:rsid w:val="000A1419"/>
    <w:rsid w:val="000A199F"/>
    <w:rsid w:val="000A1AA2"/>
    <w:rsid w:val="000A1E8B"/>
    <w:rsid w:val="000A2191"/>
    <w:rsid w:val="000A2340"/>
    <w:rsid w:val="000A2ADB"/>
    <w:rsid w:val="000A2EF4"/>
    <w:rsid w:val="000A31BB"/>
    <w:rsid w:val="000A33E9"/>
    <w:rsid w:val="000A37C3"/>
    <w:rsid w:val="000A3D8F"/>
    <w:rsid w:val="000A4097"/>
    <w:rsid w:val="000A47DE"/>
    <w:rsid w:val="000A4814"/>
    <w:rsid w:val="000A4A16"/>
    <w:rsid w:val="000A4B8B"/>
    <w:rsid w:val="000A5D7D"/>
    <w:rsid w:val="000A66D8"/>
    <w:rsid w:val="000A6B5E"/>
    <w:rsid w:val="000A6E42"/>
    <w:rsid w:val="000A7042"/>
    <w:rsid w:val="000A7047"/>
    <w:rsid w:val="000A720B"/>
    <w:rsid w:val="000A725E"/>
    <w:rsid w:val="000A742C"/>
    <w:rsid w:val="000A747B"/>
    <w:rsid w:val="000A7B94"/>
    <w:rsid w:val="000B0091"/>
    <w:rsid w:val="000B0F37"/>
    <w:rsid w:val="000B13A5"/>
    <w:rsid w:val="000B1566"/>
    <w:rsid w:val="000B1638"/>
    <w:rsid w:val="000B1972"/>
    <w:rsid w:val="000B1EA2"/>
    <w:rsid w:val="000B27D3"/>
    <w:rsid w:val="000B350B"/>
    <w:rsid w:val="000B3EDF"/>
    <w:rsid w:val="000B3EF7"/>
    <w:rsid w:val="000B493F"/>
    <w:rsid w:val="000B4C7C"/>
    <w:rsid w:val="000B5BAC"/>
    <w:rsid w:val="000B6451"/>
    <w:rsid w:val="000B6C39"/>
    <w:rsid w:val="000B717E"/>
    <w:rsid w:val="000B7A58"/>
    <w:rsid w:val="000B7D84"/>
    <w:rsid w:val="000C0879"/>
    <w:rsid w:val="000C0CE0"/>
    <w:rsid w:val="000C1A8A"/>
    <w:rsid w:val="000C2BE5"/>
    <w:rsid w:val="000C3D37"/>
    <w:rsid w:val="000C415F"/>
    <w:rsid w:val="000C47A7"/>
    <w:rsid w:val="000C504B"/>
    <w:rsid w:val="000C5209"/>
    <w:rsid w:val="000C5515"/>
    <w:rsid w:val="000C57F1"/>
    <w:rsid w:val="000C6220"/>
    <w:rsid w:val="000C6EFA"/>
    <w:rsid w:val="000C6F06"/>
    <w:rsid w:val="000C77BD"/>
    <w:rsid w:val="000D0046"/>
    <w:rsid w:val="000D0255"/>
    <w:rsid w:val="000D0857"/>
    <w:rsid w:val="000D099C"/>
    <w:rsid w:val="000D0A58"/>
    <w:rsid w:val="000D0D1B"/>
    <w:rsid w:val="000D0EA8"/>
    <w:rsid w:val="000D17F0"/>
    <w:rsid w:val="000D29A8"/>
    <w:rsid w:val="000D322A"/>
    <w:rsid w:val="000D3660"/>
    <w:rsid w:val="000D3A32"/>
    <w:rsid w:val="000D3E66"/>
    <w:rsid w:val="000D4489"/>
    <w:rsid w:val="000D49A6"/>
    <w:rsid w:val="000D5094"/>
    <w:rsid w:val="000D5D9A"/>
    <w:rsid w:val="000D5DD2"/>
    <w:rsid w:val="000D603B"/>
    <w:rsid w:val="000D6206"/>
    <w:rsid w:val="000D6615"/>
    <w:rsid w:val="000D6783"/>
    <w:rsid w:val="000D6B44"/>
    <w:rsid w:val="000D6FEE"/>
    <w:rsid w:val="000D7211"/>
    <w:rsid w:val="000D7592"/>
    <w:rsid w:val="000E0542"/>
    <w:rsid w:val="000E14D4"/>
    <w:rsid w:val="000E1C08"/>
    <w:rsid w:val="000E1CA5"/>
    <w:rsid w:val="000E2239"/>
    <w:rsid w:val="000E26B9"/>
    <w:rsid w:val="000E2E34"/>
    <w:rsid w:val="000E31EF"/>
    <w:rsid w:val="000E32AA"/>
    <w:rsid w:val="000E390F"/>
    <w:rsid w:val="000E3CEE"/>
    <w:rsid w:val="000E4442"/>
    <w:rsid w:val="000E4713"/>
    <w:rsid w:val="000E48B4"/>
    <w:rsid w:val="000E495D"/>
    <w:rsid w:val="000E4B3D"/>
    <w:rsid w:val="000E4DE7"/>
    <w:rsid w:val="000E4F54"/>
    <w:rsid w:val="000E5072"/>
    <w:rsid w:val="000E51E7"/>
    <w:rsid w:val="000E56A8"/>
    <w:rsid w:val="000E5D92"/>
    <w:rsid w:val="000E5F9D"/>
    <w:rsid w:val="000E5FBC"/>
    <w:rsid w:val="000E5FEA"/>
    <w:rsid w:val="000E6F31"/>
    <w:rsid w:val="000E7431"/>
    <w:rsid w:val="000E7FB3"/>
    <w:rsid w:val="000E7FC8"/>
    <w:rsid w:val="000F08A9"/>
    <w:rsid w:val="000F0FF4"/>
    <w:rsid w:val="000F1406"/>
    <w:rsid w:val="000F150C"/>
    <w:rsid w:val="000F1557"/>
    <w:rsid w:val="000F1A89"/>
    <w:rsid w:val="000F2672"/>
    <w:rsid w:val="000F2D6D"/>
    <w:rsid w:val="000F31D6"/>
    <w:rsid w:val="000F39AC"/>
    <w:rsid w:val="000F3D9A"/>
    <w:rsid w:val="000F3EE5"/>
    <w:rsid w:val="000F3FB9"/>
    <w:rsid w:val="000F4247"/>
    <w:rsid w:val="000F4C7A"/>
    <w:rsid w:val="000F4E86"/>
    <w:rsid w:val="000F5141"/>
    <w:rsid w:val="000F5488"/>
    <w:rsid w:val="000F5B87"/>
    <w:rsid w:val="000F5BD8"/>
    <w:rsid w:val="000F5EEA"/>
    <w:rsid w:val="000F65D6"/>
    <w:rsid w:val="000F7442"/>
    <w:rsid w:val="000F7CFC"/>
    <w:rsid w:val="000F7DA7"/>
    <w:rsid w:val="001004C1"/>
    <w:rsid w:val="001006BC"/>
    <w:rsid w:val="00100CC6"/>
    <w:rsid w:val="00101381"/>
    <w:rsid w:val="0010141A"/>
    <w:rsid w:val="0010159D"/>
    <w:rsid w:val="001017C5"/>
    <w:rsid w:val="001017DF"/>
    <w:rsid w:val="00101ACE"/>
    <w:rsid w:val="00101FCC"/>
    <w:rsid w:val="0010281C"/>
    <w:rsid w:val="00102BF0"/>
    <w:rsid w:val="0010351B"/>
    <w:rsid w:val="00103E1F"/>
    <w:rsid w:val="00103E2E"/>
    <w:rsid w:val="00104467"/>
    <w:rsid w:val="00104896"/>
    <w:rsid w:val="00104B5E"/>
    <w:rsid w:val="00104FD7"/>
    <w:rsid w:val="00105E06"/>
    <w:rsid w:val="00105F8D"/>
    <w:rsid w:val="0010680F"/>
    <w:rsid w:val="00106923"/>
    <w:rsid w:val="00106BE2"/>
    <w:rsid w:val="001071D2"/>
    <w:rsid w:val="00107588"/>
    <w:rsid w:val="001075C5"/>
    <w:rsid w:val="0011028D"/>
    <w:rsid w:val="0011046D"/>
    <w:rsid w:val="00110825"/>
    <w:rsid w:val="00111B6C"/>
    <w:rsid w:val="0011237A"/>
    <w:rsid w:val="0011261D"/>
    <w:rsid w:val="00113473"/>
    <w:rsid w:val="0011363C"/>
    <w:rsid w:val="00113D59"/>
    <w:rsid w:val="00113DBB"/>
    <w:rsid w:val="001142E9"/>
    <w:rsid w:val="0011452B"/>
    <w:rsid w:val="001145E9"/>
    <w:rsid w:val="00114885"/>
    <w:rsid w:val="001148B7"/>
    <w:rsid w:val="001151A7"/>
    <w:rsid w:val="0011553E"/>
    <w:rsid w:val="001155D2"/>
    <w:rsid w:val="001160E2"/>
    <w:rsid w:val="001168FF"/>
    <w:rsid w:val="00116D08"/>
    <w:rsid w:val="00116E6E"/>
    <w:rsid w:val="001173BD"/>
    <w:rsid w:val="00117FB9"/>
    <w:rsid w:val="0012035C"/>
    <w:rsid w:val="00120AD8"/>
    <w:rsid w:val="00120ADE"/>
    <w:rsid w:val="00120F41"/>
    <w:rsid w:val="0012112D"/>
    <w:rsid w:val="00121BCC"/>
    <w:rsid w:val="00121CFA"/>
    <w:rsid w:val="00122194"/>
    <w:rsid w:val="0012242C"/>
    <w:rsid w:val="001228C4"/>
    <w:rsid w:val="00122BD5"/>
    <w:rsid w:val="00122F3F"/>
    <w:rsid w:val="00123116"/>
    <w:rsid w:val="00123E27"/>
    <w:rsid w:val="00124588"/>
    <w:rsid w:val="00124702"/>
    <w:rsid w:val="00124E8F"/>
    <w:rsid w:val="00125887"/>
    <w:rsid w:val="00125974"/>
    <w:rsid w:val="00125C5D"/>
    <w:rsid w:val="00127244"/>
    <w:rsid w:val="0012765A"/>
    <w:rsid w:val="001308C8"/>
    <w:rsid w:val="00130D31"/>
    <w:rsid w:val="001313A0"/>
    <w:rsid w:val="0013162D"/>
    <w:rsid w:val="00132332"/>
    <w:rsid w:val="0013284B"/>
    <w:rsid w:val="00132BD2"/>
    <w:rsid w:val="00133602"/>
    <w:rsid w:val="00133BEC"/>
    <w:rsid w:val="00133D17"/>
    <w:rsid w:val="00133D20"/>
    <w:rsid w:val="001343D3"/>
    <w:rsid w:val="001348DA"/>
    <w:rsid w:val="00134E85"/>
    <w:rsid w:val="0013529A"/>
    <w:rsid w:val="00135E1F"/>
    <w:rsid w:val="001368FD"/>
    <w:rsid w:val="001369D9"/>
    <w:rsid w:val="00137252"/>
    <w:rsid w:val="0013749B"/>
    <w:rsid w:val="00137748"/>
    <w:rsid w:val="00137977"/>
    <w:rsid w:val="00137DFE"/>
    <w:rsid w:val="001407C3"/>
    <w:rsid w:val="001415F1"/>
    <w:rsid w:val="00141F11"/>
    <w:rsid w:val="0014245E"/>
    <w:rsid w:val="00142501"/>
    <w:rsid w:val="00142654"/>
    <w:rsid w:val="00142B64"/>
    <w:rsid w:val="0014300C"/>
    <w:rsid w:val="00143DCF"/>
    <w:rsid w:val="00144486"/>
    <w:rsid w:val="00144548"/>
    <w:rsid w:val="00145137"/>
    <w:rsid w:val="001451B8"/>
    <w:rsid w:val="0014566C"/>
    <w:rsid w:val="00146058"/>
    <w:rsid w:val="001461A2"/>
    <w:rsid w:val="001463E9"/>
    <w:rsid w:val="00146A90"/>
    <w:rsid w:val="00146D2F"/>
    <w:rsid w:val="001470A8"/>
    <w:rsid w:val="00147B5C"/>
    <w:rsid w:val="00150583"/>
    <w:rsid w:val="00150DF6"/>
    <w:rsid w:val="0015258F"/>
    <w:rsid w:val="00152A46"/>
    <w:rsid w:val="00152A86"/>
    <w:rsid w:val="00152BE5"/>
    <w:rsid w:val="00152C06"/>
    <w:rsid w:val="00152E17"/>
    <w:rsid w:val="001533FA"/>
    <w:rsid w:val="001534A2"/>
    <w:rsid w:val="001539A3"/>
    <w:rsid w:val="00153CA2"/>
    <w:rsid w:val="00153CFA"/>
    <w:rsid w:val="001541E1"/>
    <w:rsid w:val="0015425B"/>
    <w:rsid w:val="00154A06"/>
    <w:rsid w:val="00154F9F"/>
    <w:rsid w:val="00154FB5"/>
    <w:rsid w:val="0015548E"/>
    <w:rsid w:val="001556C8"/>
    <w:rsid w:val="00155B09"/>
    <w:rsid w:val="00156085"/>
    <w:rsid w:val="001569A3"/>
    <w:rsid w:val="00157285"/>
    <w:rsid w:val="001572A0"/>
    <w:rsid w:val="0015745C"/>
    <w:rsid w:val="00157A75"/>
    <w:rsid w:val="00160329"/>
    <w:rsid w:val="001603AA"/>
    <w:rsid w:val="00160890"/>
    <w:rsid w:val="0016093B"/>
    <w:rsid w:val="00160BBD"/>
    <w:rsid w:val="00160E06"/>
    <w:rsid w:val="0016104A"/>
    <w:rsid w:val="0016112C"/>
    <w:rsid w:val="00161886"/>
    <w:rsid w:val="001619AE"/>
    <w:rsid w:val="0016342B"/>
    <w:rsid w:val="001634C0"/>
    <w:rsid w:val="00163521"/>
    <w:rsid w:val="001637E8"/>
    <w:rsid w:val="00163B24"/>
    <w:rsid w:val="00163B5C"/>
    <w:rsid w:val="001644D3"/>
    <w:rsid w:val="0016450F"/>
    <w:rsid w:val="00165023"/>
    <w:rsid w:val="00165135"/>
    <w:rsid w:val="00165314"/>
    <w:rsid w:val="001658E3"/>
    <w:rsid w:val="00165C4D"/>
    <w:rsid w:val="00165ED0"/>
    <w:rsid w:val="00166038"/>
    <w:rsid w:val="001664F9"/>
    <w:rsid w:val="00166A88"/>
    <w:rsid w:val="00166D02"/>
    <w:rsid w:val="00167C60"/>
    <w:rsid w:val="00167D63"/>
    <w:rsid w:val="00167E3B"/>
    <w:rsid w:val="00170D5F"/>
    <w:rsid w:val="00170DE7"/>
    <w:rsid w:val="001714B4"/>
    <w:rsid w:val="0017195F"/>
    <w:rsid w:val="00171C1B"/>
    <w:rsid w:val="00172E26"/>
    <w:rsid w:val="001731D0"/>
    <w:rsid w:val="001734ED"/>
    <w:rsid w:val="00173809"/>
    <w:rsid w:val="00173A98"/>
    <w:rsid w:val="00173B10"/>
    <w:rsid w:val="00174445"/>
    <w:rsid w:val="001754B2"/>
    <w:rsid w:val="00175857"/>
    <w:rsid w:val="00176049"/>
    <w:rsid w:val="00176474"/>
    <w:rsid w:val="00176805"/>
    <w:rsid w:val="00176895"/>
    <w:rsid w:val="00176C3C"/>
    <w:rsid w:val="00177301"/>
    <w:rsid w:val="001777FA"/>
    <w:rsid w:val="00180C32"/>
    <w:rsid w:val="00180CEF"/>
    <w:rsid w:val="001810B7"/>
    <w:rsid w:val="001813F9"/>
    <w:rsid w:val="001815DF"/>
    <w:rsid w:val="00181951"/>
    <w:rsid w:val="00181A06"/>
    <w:rsid w:val="00181CCE"/>
    <w:rsid w:val="00182196"/>
    <w:rsid w:val="001821CA"/>
    <w:rsid w:val="001823DD"/>
    <w:rsid w:val="00182683"/>
    <w:rsid w:val="00182911"/>
    <w:rsid w:val="00182912"/>
    <w:rsid w:val="0018362E"/>
    <w:rsid w:val="00184D3B"/>
    <w:rsid w:val="00185291"/>
    <w:rsid w:val="00185418"/>
    <w:rsid w:val="001857D9"/>
    <w:rsid w:val="00185DB8"/>
    <w:rsid w:val="00186025"/>
    <w:rsid w:val="00186BB7"/>
    <w:rsid w:val="00186BDA"/>
    <w:rsid w:val="0018717F"/>
    <w:rsid w:val="001871DC"/>
    <w:rsid w:val="0018758F"/>
    <w:rsid w:val="0018793F"/>
    <w:rsid w:val="001903AE"/>
    <w:rsid w:val="0019070B"/>
    <w:rsid w:val="001908C2"/>
    <w:rsid w:val="00190F00"/>
    <w:rsid w:val="001913ED"/>
    <w:rsid w:val="00191ADE"/>
    <w:rsid w:val="00191F81"/>
    <w:rsid w:val="0019207D"/>
    <w:rsid w:val="0019236F"/>
    <w:rsid w:val="001930D5"/>
    <w:rsid w:val="001933D1"/>
    <w:rsid w:val="00193A4C"/>
    <w:rsid w:val="00193C04"/>
    <w:rsid w:val="0019403F"/>
    <w:rsid w:val="001945A6"/>
    <w:rsid w:val="00194B0D"/>
    <w:rsid w:val="00194D10"/>
    <w:rsid w:val="00195172"/>
    <w:rsid w:val="0019523F"/>
    <w:rsid w:val="0019598C"/>
    <w:rsid w:val="00196739"/>
    <w:rsid w:val="001967E3"/>
    <w:rsid w:val="0019788D"/>
    <w:rsid w:val="00197ABD"/>
    <w:rsid w:val="001A0495"/>
    <w:rsid w:val="001A05E8"/>
    <w:rsid w:val="001A0C1A"/>
    <w:rsid w:val="001A210F"/>
    <w:rsid w:val="001A29C2"/>
    <w:rsid w:val="001A2CB4"/>
    <w:rsid w:val="001A2CEC"/>
    <w:rsid w:val="001A34A0"/>
    <w:rsid w:val="001A38E8"/>
    <w:rsid w:val="001A3CEE"/>
    <w:rsid w:val="001A3E68"/>
    <w:rsid w:val="001A4D72"/>
    <w:rsid w:val="001A4E24"/>
    <w:rsid w:val="001A53F2"/>
    <w:rsid w:val="001A579C"/>
    <w:rsid w:val="001A5E75"/>
    <w:rsid w:val="001A6231"/>
    <w:rsid w:val="001A62A5"/>
    <w:rsid w:val="001A7302"/>
    <w:rsid w:val="001A784A"/>
    <w:rsid w:val="001A7A3D"/>
    <w:rsid w:val="001B0248"/>
    <w:rsid w:val="001B07F0"/>
    <w:rsid w:val="001B0BB7"/>
    <w:rsid w:val="001B0EE0"/>
    <w:rsid w:val="001B13C2"/>
    <w:rsid w:val="001B171D"/>
    <w:rsid w:val="001B1C5A"/>
    <w:rsid w:val="001B2002"/>
    <w:rsid w:val="001B28C3"/>
    <w:rsid w:val="001B416B"/>
    <w:rsid w:val="001B441B"/>
    <w:rsid w:val="001B482C"/>
    <w:rsid w:val="001B4E80"/>
    <w:rsid w:val="001B4F7F"/>
    <w:rsid w:val="001B5AD3"/>
    <w:rsid w:val="001B5FE8"/>
    <w:rsid w:val="001B6579"/>
    <w:rsid w:val="001B6595"/>
    <w:rsid w:val="001B693A"/>
    <w:rsid w:val="001B69A4"/>
    <w:rsid w:val="001B77AE"/>
    <w:rsid w:val="001B792A"/>
    <w:rsid w:val="001B7A5A"/>
    <w:rsid w:val="001B7AB9"/>
    <w:rsid w:val="001B7E36"/>
    <w:rsid w:val="001C04CF"/>
    <w:rsid w:val="001C0B11"/>
    <w:rsid w:val="001C0CAD"/>
    <w:rsid w:val="001C0F02"/>
    <w:rsid w:val="001C1098"/>
    <w:rsid w:val="001C147D"/>
    <w:rsid w:val="001C23FE"/>
    <w:rsid w:val="001C241B"/>
    <w:rsid w:val="001C27EF"/>
    <w:rsid w:val="001C281F"/>
    <w:rsid w:val="001C28F2"/>
    <w:rsid w:val="001C35D1"/>
    <w:rsid w:val="001C38A2"/>
    <w:rsid w:val="001C3914"/>
    <w:rsid w:val="001C3CDF"/>
    <w:rsid w:val="001C3CEA"/>
    <w:rsid w:val="001C3D5B"/>
    <w:rsid w:val="001C3DAE"/>
    <w:rsid w:val="001C3FA9"/>
    <w:rsid w:val="001C4213"/>
    <w:rsid w:val="001C4B7F"/>
    <w:rsid w:val="001C5413"/>
    <w:rsid w:val="001C5A5F"/>
    <w:rsid w:val="001C6655"/>
    <w:rsid w:val="001C748F"/>
    <w:rsid w:val="001C769B"/>
    <w:rsid w:val="001C7BA1"/>
    <w:rsid w:val="001C7BC7"/>
    <w:rsid w:val="001C7C89"/>
    <w:rsid w:val="001D0156"/>
    <w:rsid w:val="001D0AAD"/>
    <w:rsid w:val="001D0EFA"/>
    <w:rsid w:val="001D16C4"/>
    <w:rsid w:val="001D16DA"/>
    <w:rsid w:val="001D1829"/>
    <w:rsid w:val="001D1CB5"/>
    <w:rsid w:val="001D2098"/>
    <w:rsid w:val="001D22DE"/>
    <w:rsid w:val="001D252E"/>
    <w:rsid w:val="001D2ECE"/>
    <w:rsid w:val="001D308A"/>
    <w:rsid w:val="001D38D4"/>
    <w:rsid w:val="001D3A9C"/>
    <w:rsid w:val="001D4831"/>
    <w:rsid w:val="001D4ADF"/>
    <w:rsid w:val="001D4F62"/>
    <w:rsid w:val="001D5821"/>
    <w:rsid w:val="001D5FA7"/>
    <w:rsid w:val="001D6291"/>
    <w:rsid w:val="001D638C"/>
    <w:rsid w:val="001D756A"/>
    <w:rsid w:val="001D78FA"/>
    <w:rsid w:val="001E0002"/>
    <w:rsid w:val="001E128E"/>
    <w:rsid w:val="001E20FF"/>
    <w:rsid w:val="001E2108"/>
    <w:rsid w:val="001E26F9"/>
    <w:rsid w:val="001E2728"/>
    <w:rsid w:val="001E28AE"/>
    <w:rsid w:val="001E2CD3"/>
    <w:rsid w:val="001E3322"/>
    <w:rsid w:val="001E390C"/>
    <w:rsid w:val="001E3A0D"/>
    <w:rsid w:val="001E3ADE"/>
    <w:rsid w:val="001E4C5A"/>
    <w:rsid w:val="001E5168"/>
    <w:rsid w:val="001E5332"/>
    <w:rsid w:val="001E5550"/>
    <w:rsid w:val="001E580C"/>
    <w:rsid w:val="001E5CB8"/>
    <w:rsid w:val="001E5D5B"/>
    <w:rsid w:val="001E6B7A"/>
    <w:rsid w:val="001E724B"/>
    <w:rsid w:val="001E7BF3"/>
    <w:rsid w:val="001F0473"/>
    <w:rsid w:val="001F0AC2"/>
    <w:rsid w:val="001F0C57"/>
    <w:rsid w:val="001F10CE"/>
    <w:rsid w:val="001F1126"/>
    <w:rsid w:val="001F163B"/>
    <w:rsid w:val="001F1A0C"/>
    <w:rsid w:val="001F1CE8"/>
    <w:rsid w:val="001F1F9F"/>
    <w:rsid w:val="001F2933"/>
    <w:rsid w:val="001F3620"/>
    <w:rsid w:val="001F3A37"/>
    <w:rsid w:val="001F4E39"/>
    <w:rsid w:val="001F4F9F"/>
    <w:rsid w:val="001F527C"/>
    <w:rsid w:val="001F52DC"/>
    <w:rsid w:val="001F569B"/>
    <w:rsid w:val="001F5824"/>
    <w:rsid w:val="001F58FC"/>
    <w:rsid w:val="001F59CF"/>
    <w:rsid w:val="001F681A"/>
    <w:rsid w:val="001F6862"/>
    <w:rsid w:val="001F69D7"/>
    <w:rsid w:val="001F6AEC"/>
    <w:rsid w:val="001F7473"/>
    <w:rsid w:val="0020006B"/>
    <w:rsid w:val="00200245"/>
    <w:rsid w:val="00200295"/>
    <w:rsid w:val="002006F0"/>
    <w:rsid w:val="00200906"/>
    <w:rsid w:val="002010CC"/>
    <w:rsid w:val="0020219E"/>
    <w:rsid w:val="0020287D"/>
    <w:rsid w:val="00202D6F"/>
    <w:rsid w:val="00202DD1"/>
    <w:rsid w:val="00203BD1"/>
    <w:rsid w:val="002047A3"/>
    <w:rsid w:val="00204EDD"/>
    <w:rsid w:val="00204FBF"/>
    <w:rsid w:val="00205321"/>
    <w:rsid w:val="0020595A"/>
    <w:rsid w:val="002063DA"/>
    <w:rsid w:val="002072A4"/>
    <w:rsid w:val="00207FC0"/>
    <w:rsid w:val="0021003C"/>
    <w:rsid w:val="00210168"/>
    <w:rsid w:val="00210204"/>
    <w:rsid w:val="0021053D"/>
    <w:rsid w:val="00210B40"/>
    <w:rsid w:val="00210F7A"/>
    <w:rsid w:val="00211F66"/>
    <w:rsid w:val="002120FA"/>
    <w:rsid w:val="00213CDF"/>
    <w:rsid w:val="00213F5E"/>
    <w:rsid w:val="00214E5E"/>
    <w:rsid w:val="00215C66"/>
    <w:rsid w:val="00215CDA"/>
    <w:rsid w:val="00216203"/>
    <w:rsid w:val="002164C9"/>
    <w:rsid w:val="00217626"/>
    <w:rsid w:val="00217845"/>
    <w:rsid w:val="00217E92"/>
    <w:rsid w:val="002200F7"/>
    <w:rsid w:val="00221193"/>
    <w:rsid w:val="0022193B"/>
    <w:rsid w:val="002219E2"/>
    <w:rsid w:val="00221DD0"/>
    <w:rsid w:val="002227EA"/>
    <w:rsid w:val="00222BAC"/>
    <w:rsid w:val="00222BDF"/>
    <w:rsid w:val="00222F37"/>
    <w:rsid w:val="00223089"/>
    <w:rsid w:val="0022336F"/>
    <w:rsid w:val="0022395C"/>
    <w:rsid w:val="00223A62"/>
    <w:rsid w:val="00223D79"/>
    <w:rsid w:val="00224484"/>
    <w:rsid w:val="00224E11"/>
    <w:rsid w:val="00224FD5"/>
    <w:rsid w:val="0022666B"/>
    <w:rsid w:val="00226D21"/>
    <w:rsid w:val="00227AEF"/>
    <w:rsid w:val="00227F65"/>
    <w:rsid w:val="00230038"/>
    <w:rsid w:val="0023014C"/>
    <w:rsid w:val="00230728"/>
    <w:rsid w:val="0023081A"/>
    <w:rsid w:val="00231262"/>
    <w:rsid w:val="00231613"/>
    <w:rsid w:val="00231969"/>
    <w:rsid w:val="00231B5D"/>
    <w:rsid w:val="00231CAF"/>
    <w:rsid w:val="00231DEE"/>
    <w:rsid w:val="00232817"/>
    <w:rsid w:val="00232946"/>
    <w:rsid w:val="00232D39"/>
    <w:rsid w:val="00232FCA"/>
    <w:rsid w:val="002331FB"/>
    <w:rsid w:val="00233556"/>
    <w:rsid w:val="00233B7E"/>
    <w:rsid w:val="00233CBB"/>
    <w:rsid w:val="00233CCF"/>
    <w:rsid w:val="002340E3"/>
    <w:rsid w:val="002341AA"/>
    <w:rsid w:val="002342E3"/>
    <w:rsid w:val="00234A5F"/>
    <w:rsid w:val="002352A5"/>
    <w:rsid w:val="002352FF"/>
    <w:rsid w:val="00235B17"/>
    <w:rsid w:val="00235BA9"/>
    <w:rsid w:val="002361F2"/>
    <w:rsid w:val="00236504"/>
    <w:rsid w:val="0023655A"/>
    <w:rsid w:val="00237506"/>
    <w:rsid w:val="00237C16"/>
    <w:rsid w:val="002402A2"/>
    <w:rsid w:val="002404C9"/>
    <w:rsid w:val="0024094E"/>
    <w:rsid w:val="002416EF"/>
    <w:rsid w:val="00241C25"/>
    <w:rsid w:val="00242705"/>
    <w:rsid w:val="00242A93"/>
    <w:rsid w:val="002430E4"/>
    <w:rsid w:val="0024319E"/>
    <w:rsid w:val="002433A5"/>
    <w:rsid w:val="0024397F"/>
    <w:rsid w:val="00243E0E"/>
    <w:rsid w:val="00243EE5"/>
    <w:rsid w:val="002440CF"/>
    <w:rsid w:val="0024420C"/>
    <w:rsid w:val="00245E00"/>
    <w:rsid w:val="0024650C"/>
    <w:rsid w:val="00246941"/>
    <w:rsid w:val="00247000"/>
    <w:rsid w:val="002471AE"/>
    <w:rsid w:val="00247429"/>
    <w:rsid w:val="002475BA"/>
    <w:rsid w:val="00247840"/>
    <w:rsid w:val="00247C70"/>
    <w:rsid w:val="0025028D"/>
    <w:rsid w:val="0025036B"/>
    <w:rsid w:val="00250429"/>
    <w:rsid w:val="002504B8"/>
    <w:rsid w:val="00251827"/>
    <w:rsid w:val="0025242E"/>
    <w:rsid w:val="00252510"/>
    <w:rsid w:val="00252D5C"/>
    <w:rsid w:val="00252E19"/>
    <w:rsid w:val="002539D3"/>
    <w:rsid w:val="0025403A"/>
    <w:rsid w:val="00254478"/>
    <w:rsid w:val="002545D7"/>
    <w:rsid w:val="00255318"/>
    <w:rsid w:val="00255540"/>
    <w:rsid w:val="0025555F"/>
    <w:rsid w:val="00255597"/>
    <w:rsid w:val="002559E5"/>
    <w:rsid w:val="00255B46"/>
    <w:rsid w:val="00255D1E"/>
    <w:rsid w:val="00255E57"/>
    <w:rsid w:val="00256253"/>
    <w:rsid w:val="0025634D"/>
    <w:rsid w:val="0025634E"/>
    <w:rsid w:val="002573F1"/>
    <w:rsid w:val="0025745C"/>
    <w:rsid w:val="00257B42"/>
    <w:rsid w:val="00257D0A"/>
    <w:rsid w:val="00257FBD"/>
    <w:rsid w:val="00260E74"/>
    <w:rsid w:val="00262A87"/>
    <w:rsid w:val="00262FD8"/>
    <w:rsid w:val="002637D2"/>
    <w:rsid w:val="00263864"/>
    <w:rsid w:val="00264C3D"/>
    <w:rsid w:val="00264F25"/>
    <w:rsid w:val="0026522E"/>
    <w:rsid w:val="00265611"/>
    <w:rsid w:val="00266236"/>
    <w:rsid w:val="00266549"/>
    <w:rsid w:val="00266698"/>
    <w:rsid w:val="002668BF"/>
    <w:rsid w:val="00266B25"/>
    <w:rsid w:val="0026703E"/>
    <w:rsid w:val="00267312"/>
    <w:rsid w:val="0026764D"/>
    <w:rsid w:val="00267D43"/>
    <w:rsid w:val="00270240"/>
    <w:rsid w:val="00270B08"/>
    <w:rsid w:val="00270B33"/>
    <w:rsid w:val="00270BEF"/>
    <w:rsid w:val="002711F1"/>
    <w:rsid w:val="0027157F"/>
    <w:rsid w:val="00273056"/>
    <w:rsid w:val="00273318"/>
    <w:rsid w:val="00273F8B"/>
    <w:rsid w:val="00274483"/>
    <w:rsid w:val="00274715"/>
    <w:rsid w:val="002750BC"/>
    <w:rsid w:val="002751C4"/>
    <w:rsid w:val="002756A4"/>
    <w:rsid w:val="0027577E"/>
    <w:rsid w:val="00275853"/>
    <w:rsid w:val="00275C84"/>
    <w:rsid w:val="00275F90"/>
    <w:rsid w:val="002770EB"/>
    <w:rsid w:val="00277138"/>
    <w:rsid w:val="002801A0"/>
    <w:rsid w:val="00280211"/>
    <w:rsid w:val="002805FE"/>
    <w:rsid w:val="00280CDC"/>
    <w:rsid w:val="00280CF6"/>
    <w:rsid w:val="00281199"/>
    <w:rsid w:val="00281DC2"/>
    <w:rsid w:val="0028211F"/>
    <w:rsid w:val="0028282F"/>
    <w:rsid w:val="002829FC"/>
    <w:rsid w:val="0028511C"/>
    <w:rsid w:val="002858C8"/>
    <w:rsid w:val="002864BA"/>
    <w:rsid w:val="002872C9"/>
    <w:rsid w:val="002877C9"/>
    <w:rsid w:val="0028786E"/>
    <w:rsid w:val="00287CE1"/>
    <w:rsid w:val="00287F60"/>
    <w:rsid w:val="00291001"/>
    <w:rsid w:val="0029104A"/>
    <w:rsid w:val="00291472"/>
    <w:rsid w:val="00291604"/>
    <w:rsid w:val="00291AF4"/>
    <w:rsid w:val="0029270F"/>
    <w:rsid w:val="00292A8C"/>
    <w:rsid w:val="00292F4D"/>
    <w:rsid w:val="00293004"/>
    <w:rsid w:val="00293208"/>
    <w:rsid w:val="002937EA"/>
    <w:rsid w:val="0029429B"/>
    <w:rsid w:val="00294495"/>
    <w:rsid w:val="00294850"/>
    <w:rsid w:val="002951C8"/>
    <w:rsid w:val="002957A0"/>
    <w:rsid w:val="00295889"/>
    <w:rsid w:val="00295C8E"/>
    <w:rsid w:val="002962AC"/>
    <w:rsid w:val="00296C93"/>
    <w:rsid w:val="002A1001"/>
    <w:rsid w:val="002A10D4"/>
    <w:rsid w:val="002A1565"/>
    <w:rsid w:val="002A15E4"/>
    <w:rsid w:val="002A17BA"/>
    <w:rsid w:val="002A1A5F"/>
    <w:rsid w:val="002A1E79"/>
    <w:rsid w:val="002A2616"/>
    <w:rsid w:val="002A3094"/>
    <w:rsid w:val="002A35DA"/>
    <w:rsid w:val="002A3A9D"/>
    <w:rsid w:val="002A4711"/>
    <w:rsid w:val="002A48FE"/>
    <w:rsid w:val="002A4D09"/>
    <w:rsid w:val="002A4D9D"/>
    <w:rsid w:val="002A5832"/>
    <w:rsid w:val="002A5EE5"/>
    <w:rsid w:val="002A682C"/>
    <w:rsid w:val="002A6E53"/>
    <w:rsid w:val="002A6E6E"/>
    <w:rsid w:val="002A7ABA"/>
    <w:rsid w:val="002A7CC3"/>
    <w:rsid w:val="002A7D7B"/>
    <w:rsid w:val="002A7D97"/>
    <w:rsid w:val="002A7E4D"/>
    <w:rsid w:val="002B0848"/>
    <w:rsid w:val="002B0A47"/>
    <w:rsid w:val="002B13AD"/>
    <w:rsid w:val="002B1564"/>
    <w:rsid w:val="002B17AD"/>
    <w:rsid w:val="002B1ABE"/>
    <w:rsid w:val="002B1DCC"/>
    <w:rsid w:val="002B20C0"/>
    <w:rsid w:val="002B2B02"/>
    <w:rsid w:val="002B2CC9"/>
    <w:rsid w:val="002B2DAD"/>
    <w:rsid w:val="002B3229"/>
    <w:rsid w:val="002B32AF"/>
    <w:rsid w:val="002B35B2"/>
    <w:rsid w:val="002B3A36"/>
    <w:rsid w:val="002B41CA"/>
    <w:rsid w:val="002B4A42"/>
    <w:rsid w:val="002B4EA8"/>
    <w:rsid w:val="002B5007"/>
    <w:rsid w:val="002B5525"/>
    <w:rsid w:val="002B59D3"/>
    <w:rsid w:val="002B61F6"/>
    <w:rsid w:val="002B6235"/>
    <w:rsid w:val="002B6595"/>
    <w:rsid w:val="002B67D3"/>
    <w:rsid w:val="002B6ED0"/>
    <w:rsid w:val="002B714C"/>
    <w:rsid w:val="002B71A7"/>
    <w:rsid w:val="002B76B8"/>
    <w:rsid w:val="002B7D5C"/>
    <w:rsid w:val="002C0389"/>
    <w:rsid w:val="002C0CF4"/>
    <w:rsid w:val="002C2E67"/>
    <w:rsid w:val="002C346D"/>
    <w:rsid w:val="002C3885"/>
    <w:rsid w:val="002C4435"/>
    <w:rsid w:val="002C498C"/>
    <w:rsid w:val="002C4E65"/>
    <w:rsid w:val="002C528F"/>
    <w:rsid w:val="002C5710"/>
    <w:rsid w:val="002C5EB6"/>
    <w:rsid w:val="002C6D16"/>
    <w:rsid w:val="002C7AB9"/>
    <w:rsid w:val="002C7EA9"/>
    <w:rsid w:val="002C7FF8"/>
    <w:rsid w:val="002D0715"/>
    <w:rsid w:val="002D0CDB"/>
    <w:rsid w:val="002D1B5C"/>
    <w:rsid w:val="002D1B61"/>
    <w:rsid w:val="002D1CD1"/>
    <w:rsid w:val="002D1D5F"/>
    <w:rsid w:val="002D2335"/>
    <w:rsid w:val="002D2751"/>
    <w:rsid w:val="002D27BF"/>
    <w:rsid w:val="002D2C0C"/>
    <w:rsid w:val="002D3328"/>
    <w:rsid w:val="002D399D"/>
    <w:rsid w:val="002D3E0F"/>
    <w:rsid w:val="002D4656"/>
    <w:rsid w:val="002D467A"/>
    <w:rsid w:val="002D4D19"/>
    <w:rsid w:val="002D5308"/>
    <w:rsid w:val="002D58BA"/>
    <w:rsid w:val="002D5CD6"/>
    <w:rsid w:val="002D5E60"/>
    <w:rsid w:val="002D6025"/>
    <w:rsid w:val="002D720F"/>
    <w:rsid w:val="002D733F"/>
    <w:rsid w:val="002D74C2"/>
    <w:rsid w:val="002D766C"/>
    <w:rsid w:val="002D7CAC"/>
    <w:rsid w:val="002E03DF"/>
    <w:rsid w:val="002E06D8"/>
    <w:rsid w:val="002E102C"/>
    <w:rsid w:val="002E12DB"/>
    <w:rsid w:val="002E145F"/>
    <w:rsid w:val="002E1C7C"/>
    <w:rsid w:val="002E1C8A"/>
    <w:rsid w:val="002E1CAA"/>
    <w:rsid w:val="002E1DA5"/>
    <w:rsid w:val="002E20F5"/>
    <w:rsid w:val="002E21D9"/>
    <w:rsid w:val="002E2247"/>
    <w:rsid w:val="002E2669"/>
    <w:rsid w:val="002E2B36"/>
    <w:rsid w:val="002E2FD8"/>
    <w:rsid w:val="002E371B"/>
    <w:rsid w:val="002E3759"/>
    <w:rsid w:val="002E3ACA"/>
    <w:rsid w:val="002E41E2"/>
    <w:rsid w:val="002E4502"/>
    <w:rsid w:val="002E4BB0"/>
    <w:rsid w:val="002E4E92"/>
    <w:rsid w:val="002E574E"/>
    <w:rsid w:val="002E6993"/>
    <w:rsid w:val="002E6A3B"/>
    <w:rsid w:val="002E6E99"/>
    <w:rsid w:val="002E775F"/>
    <w:rsid w:val="002F00F5"/>
    <w:rsid w:val="002F0108"/>
    <w:rsid w:val="002F0777"/>
    <w:rsid w:val="002F0834"/>
    <w:rsid w:val="002F0A74"/>
    <w:rsid w:val="002F0BC6"/>
    <w:rsid w:val="002F19EE"/>
    <w:rsid w:val="002F2037"/>
    <w:rsid w:val="002F21E6"/>
    <w:rsid w:val="002F263A"/>
    <w:rsid w:val="002F2AAD"/>
    <w:rsid w:val="002F3B24"/>
    <w:rsid w:val="002F3B7D"/>
    <w:rsid w:val="002F3FF5"/>
    <w:rsid w:val="002F4021"/>
    <w:rsid w:val="002F47BE"/>
    <w:rsid w:val="002F4BED"/>
    <w:rsid w:val="002F5632"/>
    <w:rsid w:val="002F572C"/>
    <w:rsid w:val="002F5E48"/>
    <w:rsid w:val="002F6616"/>
    <w:rsid w:val="002F6C85"/>
    <w:rsid w:val="002F702F"/>
    <w:rsid w:val="002F766E"/>
    <w:rsid w:val="002F79DC"/>
    <w:rsid w:val="002F7A56"/>
    <w:rsid w:val="002F7AD5"/>
    <w:rsid w:val="002F7BC9"/>
    <w:rsid w:val="00300964"/>
    <w:rsid w:val="00300F6B"/>
    <w:rsid w:val="0030193E"/>
    <w:rsid w:val="00301BEA"/>
    <w:rsid w:val="00302C68"/>
    <w:rsid w:val="003038F1"/>
    <w:rsid w:val="00303BB6"/>
    <w:rsid w:val="00304098"/>
    <w:rsid w:val="003040C5"/>
    <w:rsid w:val="00304720"/>
    <w:rsid w:val="00304F30"/>
    <w:rsid w:val="00304F94"/>
    <w:rsid w:val="0030503E"/>
    <w:rsid w:val="0030542E"/>
    <w:rsid w:val="00305AC0"/>
    <w:rsid w:val="003061B1"/>
    <w:rsid w:val="003062DE"/>
    <w:rsid w:val="003063B9"/>
    <w:rsid w:val="0030675F"/>
    <w:rsid w:val="00306A94"/>
    <w:rsid w:val="00310051"/>
    <w:rsid w:val="0031099F"/>
    <w:rsid w:val="00310F05"/>
    <w:rsid w:val="003113DD"/>
    <w:rsid w:val="00312980"/>
    <w:rsid w:val="003129A4"/>
    <w:rsid w:val="003136C3"/>
    <w:rsid w:val="003140BC"/>
    <w:rsid w:val="00315017"/>
    <w:rsid w:val="00315D30"/>
    <w:rsid w:val="00315DF1"/>
    <w:rsid w:val="00315E11"/>
    <w:rsid w:val="00315F23"/>
    <w:rsid w:val="00316234"/>
    <w:rsid w:val="00316953"/>
    <w:rsid w:val="00317267"/>
    <w:rsid w:val="003172AC"/>
    <w:rsid w:val="003207F6"/>
    <w:rsid w:val="0032145A"/>
    <w:rsid w:val="003218B9"/>
    <w:rsid w:val="003222AC"/>
    <w:rsid w:val="00322552"/>
    <w:rsid w:val="0032276D"/>
    <w:rsid w:val="003227E2"/>
    <w:rsid w:val="003231F1"/>
    <w:rsid w:val="0032354E"/>
    <w:rsid w:val="00323935"/>
    <w:rsid w:val="00323AA2"/>
    <w:rsid w:val="00323DB5"/>
    <w:rsid w:val="00323EDC"/>
    <w:rsid w:val="00323F3E"/>
    <w:rsid w:val="00323FDA"/>
    <w:rsid w:val="00324370"/>
    <w:rsid w:val="00325519"/>
    <w:rsid w:val="003255B4"/>
    <w:rsid w:val="00325B97"/>
    <w:rsid w:val="00326444"/>
    <w:rsid w:val="00327638"/>
    <w:rsid w:val="00327CB0"/>
    <w:rsid w:val="00330857"/>
    <w:rsid w:val="00330956"/>
    <w:rsid w:val="003310F6"/>
    <w:rsid w:val="00331A10"/>
    <w:rsid w:val="00331C74"/>
    <w:rsid w:val="00331C79"/>
    <w:rsid w:val="00331E64"/>
    <w:rsid w:val="00332179"/>
    <w:rsid w:val="00333532"/>
    <w:rsid w:val="00333731"/>
    <w:rsid w:val="003338EB"/>
    <w:rsid w:val="0033403D"/>
    <w:rsid w:val="003340E4"/>
    <w:rsid w:val="00334329"/>
    <w:rsid w:val="00334E09"/>
    <w:rsid w:val="00334E11"/>
    <w:rsid w:val="0033575F"/>
    <w:rsid w:val="00335AA1"/>
    <w:rsid w:val="00335B9B"/>
    <w:rsid w:val="00335D05"/>
    <w:rsid w:val="00335F44"/>
    <w:rsid w:val="003362D9"/>
    <w:rsid w:val="003363B6"/>
    <w:rsid w:val="003367D6"/>
    <w:rsid w:val="003369E5"/>
    <w:rsid w:val="00336A86"/>
    <w:rsid w:val="00336CB1"/>
    <w:rsid w:val="00336CB5"/>
    <w:rsid w:val="00336D42"/>
    <w:rsid w:val="00336D9A"/>
    <w:rsid w:val="003375D1"/>
    <w:rsid w:val="003379AC"/>
    <w:rsid w:val="003379CF"/>
    <w:rsid w:val="00337B1D"/>
    <w:rsid w:val="00337CB0"/>
    <w:rsid w:val="00337EA4"/>
    <w:rsid w:val="00340688"/>
    <w:rsid w:val="00340DE6"/>
    <w:rsid w:val="00340E20"/>
    <w:rsid w:val="0034191D"/>
    <w:rsid w:val="00341C5F"/>
    <w:rsid w:val="00341CBE"/>
    <w:rsid w:val="0034211E"/>
    <w:rsid w:val="0034261A"/>
    <w:rsid w:val="003429C4"/>
    <w:rsid w:val="00342F40"/>
    <w:rsid w:val="00343CE0"/>
    <w:rsid w:val="00343E1F"/>
    <w:rsid w:val="003455F6"/>
    <w:rsid w:val="003457A1"/>
    <w:rsid w:val="00346725"/>
    <w:rsid w:val="00346FF4"/>
    <w:rsid w:val="003473D6"/>
    <w:rsid w:val="003477FF"/>
    <w:rsid w:val="00347C4D"/>
    <w:rsid w:val="00347DAF"/>
    <w:rsid w:val="003500CC"/>
    <w:rsid w:val="0035030B"/>
    <w:rsid w:val="00350541"/>
    <w:rsid w:val="00350CB6"/>
    <w:rsid w:val="00350CBE"/>
    <w:rsid w:val="003513B0"/>
    <w:rsid w:val="003514CD"/>
    <w:rsid w:val="0035170B"/>
    <w:rsid w:val="00351866"/>
    <w:rsid w:val="00351C92"/>
    <w:rsid w:val="00352D49"/>
    <w:rsid w:val="00352DEE"/>
    <w:rsid w:val="00353395"/>
    <w:rsid w:val="00353552"/>
    <w:rsid w:val="003539E6"/>
    <w:rsid w:val="00353F1C"/>
    <w:rsid w:val="00353FBC"/>
    <w:rsid w:val="0035480A"/>
    <w:rsid w:val="00354C36"/>
    <w:rsid w:val="00354E0A"/>
    <w:rsid w:val="00354FA9"/>
    <w:rsid w:val="003562B4"/>
    <w:rsid w:val="003575D5"/>
    <w:rsid w:val="003578CC"/>
    <w:rsid w:val="00357BA6"/>
    <w:rsid w:val="003602AD"/>
    <w:rsid w:val="00360CB4"/>
    <w:rsid w:val="00361185"/>
    <w:rsid w:val="003611B6"/>
    <w:rsid w:val="003617BA"/>
    <w:rsid w:val="003622F8"/>
    <w:rsid w:val="00362628"/>
    <w:rsid w:val="00362928"/>
    <w:rsid w:val="00362E19"/>
    <w:rsid w:val="00363760"/>
    <w:rsid w:val="003637A1"/>
    <w:rsid w:val="00363C83"/>
    <w:rsid w:val="00364057"/>
    <w:rsid w:val="00364386"/>
    <w:rsid w:val="00365207"/>
    <w:rsid w:val="00365F93"/>
    <w:rsid w:val="003671B0"/>
    <w:rsid w:val="003674D1"/>
    <w:rsid w:val="00370B12"/>
    <w:rsid w:val="00370D22"/>
    <w:rsid w:val="00371D36"/>
    <w:rsid w:val="003722BF"/>
    <w:rsid w:val="0037280C"/>
    <w:rsid w:val="00372FF9"/>
    <w:rsid w:val="00373770"/>
    <w:rsid w:val="003747B9"/>
    <w:rsid w:val="003748BA"/>
    <w:rsid w:val="00374B29"/>
    <w:rsid w:val="0037519A"/>
    <w:rsid w:val="003756B6"/>
    <w:rsid w:val="00375729"/>
    <w:rsid w:val="00375A76"/>
    <w:rsid w:val="00375BA6"/>
    <w:rsid w:val="00375C4A"/>
    <w:rsid w:val="00375CEA"/>
    <w:rsid w:val="0037715B"/>
    <w:rsid w:val="00377AC0"/>
    <w:rsid w:val="00377C21"/>
    <w:rsid w:val="00377F3B"/>
    <w:rsid w:val="003801FE"/>
    <w:rsid w:val="003805B2"/>
    <w:rsid w:val="003806F2"/>
    <w:rsid w:val="00380769"/>
    <w:rsid w:val="0038130A"/>
    <w:rsid w:val="003813DE"/>
    <w:rsid w:val="00381499"/>
    <w:rsid w:val="0038244D"/>
    <w:rsid w:val="00382543"/>
    <w:rsid w:val="003829FC"/>
    <w:rsid w:val="00383125"/>
    <w:rsid w:val="00383221"/>
    <w:rsid w:val="003832DD"/>
    <w:rsid w:val="0038377F"/>
    <w:rsid w:val="003837FE"/>
    <w:rsid w:val="00383AF2"/>
    <w:rsid w:val="00384724"/>
    <w:rsid w:val="003847A9"/>
    <w:rsid w:val="00384986"/>
    <w:rsid w:val="00384EF3"/>
    <w:rsid w:val="00384F3F"/>
    <w:rsid w:val="00385016"/>
    <w:rsid w:val="0038554C"/>
    <w:rsid w:val="0038573C"/>
    <w:rsid w:val="003858AB"/>
    <w:rsid w:val="003863CC"/>
    <w:rsid w:val="00386AAB"/>
    <w:rsid w:val="00387201"/>
    <w:rsid w:val="00387266"/>
    <w:rsid w:val="003872DC"/>
    <w:rsid w:val="00387CD6"/>
    <w:rsid w:val="0039042E"/>
    <w:rsid w:val="00390580"/>
    <w:rsid w:val="003905DD"/>
    <w:rsid w:val="00390B44"/>
    <w:rsid w:val="00391530"/>
    <w:rsid w:val="00392DC2"/>
    <w:rsid w:val="00392EF7"/>
    <w:rsid w:val="00393689"/>
    <w:rsid w:val="00393A39"/>
    <w:rsid w:val="00393C2A"/>
    <w:rsid w:val="0039403B"/>
    <w:rsid w:val="00394137"/>
    <w:rsid w:val="003945A1"/>
    <w:rsid w:val="00394BA6"/>
    <w:rsid w:val="00394F1B"/>
    <w:rsid w:val="00394FBF"/>
    <w:rsid w:val="003955FC"/>
    <w:rsid w:val="00395EB6"/>
    <w:rsid w:val="00396699"/>
    <w:rsid w:val="00396711"/>
    <w:rsid w:val="00396AB9"/>
    <w:rsid w:val="0039775C"/>
    <w:rsid w:val="00397FAA"/>
    <w:rsid w:val="003A01B2"/>
    <w:rsid w:val="003A022D"/>
    <w:rsid w:val="003A034A"/>
    <w:rsid w:val="003A0730"/>
    <w:rsid w:val="003A159C"/>
    <w:rsid w:val="003A2CC1"/>
    <w:rsid w:val="003A2E83"/>
    <w:rsid w:val="003A3371"/>
    <w:rsid w:val="003A3E7B"/>
    <w:rsid w:val="003A4759"/>
    <w:rsid w:val="003A4932"/>
    <w:rsid w:val="003A4BDB"/>
    <w:rsid w:val="003A4E68"/>
    <w:rsid w:val="003A50C1"/>
    <w:rsid w:val="003A53E4"/>
    <w:rsid w:val="003A560C"/>
    <w:rsid w:val="003A600A"/>
    <w:rsid w:val="003A66DE"/>
    <w:rsid w:val="003A68A4"/>
    <w:rsid w:val="003A7174"/>
    <w:rsid w:val="003A7453"/>
    <w:rsid w:val="003A7C43"/>
    <w:rsid w:val="003A7DB8"/>
    <w:rsid w:val="003B05C9"/>
    <w:rsid w:val="003B069F"/>
    <w:rsid w:val="003B0A4D"/>
    <w:rsid w:val="003B0AB2"/>
    <w:rsid w:val="003B0C00"/>
    <w:rsid w:val="003B1108"/>
    <w:rsid w:val="003B13F2"/>
    <w:rsid w:val="003B1823"/>
    <w:rsid w:val="003B1A59"/>
    <w:rsid w:val="003B2195"/>
    <w:rsid w:val="003B229E"/>
    <w:rsid w:val="003B24BC"/>
    <w:rsid w:val="003B2E8D"/>
    <w:rsid w:val="003B33F3"/>
    <w:rsid w:val="003B3502"/>
    <w:rsid w:val="003B35BC"/>
    <w:rsid w:val="003B375A"/>
    <w:rsid w:val="003B3EA6"/>
    <w:rsid w:val="003B407D"/>
    <w:rsid w:val="003B43EE"/>
    <w:rsid w:val="003B4552"/>
    <w:rsid w:val="003B4E6D"/>
    <w:rsid w:val="003B51CD"/>
    <w:rsid w:val="003B55CD"/>
    <w:rsid w:val="003B5AAD"/>
    <w:rsid w:val="003B5FFA"/>
    <w:rsid w:val="003B67AB"/>
    <w:rsid w:val="003B6F13"/>
    <w:rsid w:val="003B7146"/>
    <w:rsid w:val="003B79A8"/>
    <w:rsid w:val="003B7A1A"/>
    <w:rsid w:val="003C05D6"/>
    <w:rsid w:val="003C075B"/>
    <w:rsid w:val="003C0916"/>
    <w:rsid w:val="003C0BAF"/>
    <w:rsid w:val="003C1361"/>
    <w:rsid w:val="003C297E"/>
    <w:rsid w:val="003C2BD0"/>
    <w:rsid w:val="003C2FA3"/>
    <w:rsid w:val="003C3B28"/>
    <w:rsid w:val="003C3FFB"/>
    <w:rsid w:val="003C400B"/>
    <w:rsid w:val="003C48F2"/>
    <w:rsid w:val="003C4B66"/>
    <w:rsid w:val="003C589B"/>
    <w:rsid w:val="003C5C08"/>
    <w:rsid w:val="003C5F3C"/>
    <w:rsid w:val="003C5F59"/>
    <w:rsid w:val="003C684C"/>
    <w:rsid w:val="003C6DC8"/>
    <w:rsid w:val="003C7179"/>
    <w:rsid w:val="003C755E"/>
    <w:rsid w:val="003C787E"/>
    <w:rsid w:val="003C7896"/>
    <w:rsid w:val="003C7EB8"/>
    <w:rsid w:val="003D010A"/>
    <w:rsid w:val="003D0865"/>
    <w:rsid w:val="003D0E41"/>
    <w:rsid w:val="003D1B4B"/>
    <w:rsid w:val="003D2012"/>
    <w:rsid w:val="003D204A"/>
    <w:rsid w:val="003D21E1"/>
    <w:rsid w:val="003D22BC"/>
    <w:rsid w:val="003D2880"/>
    <w:rsid w:val="003D2B1F"/>
    <w:rsid w:val="003D2B2E"/>
    <w:rsid w:val="003D2B48"/>
    <w:rsid w:val="003D3178"/>
    <w:rsid w:val="003D3348"/>
    <w:rsid w:val="003D353F"/>
    <w:rsid w:val="003D35DC"/>
    <w:rsid w:val="003D37AC"/>
    <w:rsid w:val="003D3B0F"/>
    <w:rsid w:val="003D3BCF"/>
    <w:rsid w:val="003D439C"/>
    <w:rsid w:val="003D43CE"/>
    <w:rsid w:val="003D48AB"/>
    <w:rsid w:val="003D577A"/>
    <w:rsid w:val="003D66E1"/>
    <w:rsid w:val="003D67DF"/>
    <w:rsid w:val="003D6BC3"/>
    <w:rsid w:val="003D7868"/>
    <w:rsid w:val="003D793F"/>
    <w:rsid w:val="003D7B63"/>
    <w:rsid w:val="003D7E11"/>
    <w:rsid w:val="003D7F88"/>
    <w:rsid w:val="003E0045"/>
    <w:rsid w:val="003E06AC"/>
    <w:rsid w:val="003E0ACA"/>
    <w:rsid w:val="003E0C70"/>
    <w:rsid w:val="003E202E"/>
    <w:rsid w:val="003E2059"/>
    <w:rsid w:val="003E2889"/>
    <w:rsid w:val="003E2AC6"/>
    <w:rsid w:val="003E2CCF"/>
    <w:rsid w:val="003E4BCC"/>
    <w:rsid w:val="003E4E81"/>
    <w:rsid w:val="003E53F5"/>
    <w:rsid w:val="003E5937"/>
    <w:rsid w:val="003E5C79"/>
    <w:rsid w:val="003E5FFC"/>
    <w:rsid w:val="003E6117"/>
    <w:rsid w:val="003E62A4"/>
    <w:rsid w:val="003E6F11"/>
    <w:rsid w:val="003E745D"/>
    <w:rsid w:val="003F0010"/>
    <w:rsid w:val="003F04BF"/>
    <w:rsid w:val="003F119A"/>
    <w:rsid w:val="003F145D"/>
    <w:rsid w:val="003F1620"/>
    <w:rsid w:val="003F1796"/>
    <w:rsid w:val="003F18A2"/>
    <w:rsid w:val="003F1A97"/>
    <w:rsid w:val="003F1EED"/>
    <w:rsid w:val="003F1EEF"/>
    <w:rsid w:val="003F243A"/>
    <w:rsid w:val="003F283A"/>
    <w:rsid w:val="003F2C74"/>
    <w:rsid w:val="003F3090"/>
    <w:rsid w:val="003F3116"/>
    <w:rsid w:val="003F31F5"/>
    <w:rsid w:val="003F3BAF"/>
    <w:rsid w:val="003F3FFF"/>
    <w:rsid w:val="003F5096"/>
    <w:rsid w:val="003F5274"/>
    <w:rsid w:val="003F5795"/>
    <w:rsid w:val="003F68E7"/>
    <w:rsid w:val="003F6C00"/>
    <w:rsid w:val="003F6DC4"/>
    <w:rsid w:val="003F7295"/>
    <w:rsid w:val="003F7466"/>
    <w:rsid w:val="003F76E2"/>
    <w:rsid w:val="003F7897"/>
    <w:rsid w:val="00400048"/>
    <w:rsid w:val="004003BA"/>
    <w:rsid w:val="00400C26"/>
    <w:rsid w:val="00400DB6"/>
    <w:rsid w:val="00400E3B"/>
    <w:rsid w:val="00400F3E"/>
    <w:rsid w:val="00401633"/>
    <w:rsid w:val="00401AFC"/>
    <w:rsid w:val="00401D1A"/>
    <w:rsid w:val="00401F27"/>
    <w:rsid w:val="00402651"/>
    <w:rsid w:val="00402FB7"/>
    <w:rsid w:val="0040316C"/>
    <w:rsid w:val="004033D1"/>
    <w:rsid w:val="00403CF2"/>
    <w:rsid w:val="00403F82"/>
    <w:rsid w:val="004048D0"/>
    <w:rsid w:val="00404CAB"/>
    <w:rsid w:val="00405075"/>
    <w:rsid w:val="0040525E"/>
    <w:rsid w:val="0040563F"/>
    <w:rsid w:val="0040567B"/>
    <w:rsid w:val="004066DF"/>
    <w:rsid w:val="00406CDB"/>
    <w:rsid w:val="004079B2"/>
    <w:rsid w:val="00407D3A"/>
    <w:rsid w:val="00410FE1"/>
    <w:rsid w:val="00411417"/>
    <w:rsid w:val="004114E9"/>
    <w:rsid w:val="00411514"/>
    <w:rsid w:val="00411933"/>
    <w:rsid w:val="00411AA8"/>
    <w:rsid w:val="00411E1D"/>
    <w:rsid w:val="0041298F"/>
    <w:rsid w:val="00412D77"/>
    <w:rsid w:val="00413B7D"/>
    <w:rsid w:val="00413C46"/>
    <w:rsid w:val="00413E57"/>
    <w:rsid w:val="00414C39"/>
    <w:rsid w:val="00414F82"/>
    <w:rsid w:val="004152D9"/>
    <w:rsid w:val="00415A76"/>
    <w:rsid w:val="00416421"/>
    <w:rsid w:val="00416971"/>
    <w:rsid w:val="00416997"/>
    <w:rsid w:val="00416C27"/>
    <w:rsid w:val="0042028C"/>
    <w:rsid w:val="00421594"/>
    <w:rsid w:val="00422535"/>
    <w:rsid w:val="00422618"/>
    <w:rsid w:val="0042285F"/>
    <w:rsid w:val="004228D0"/>
    <w:rsid w:val="00422EDE"/>
    <w:rsid w:val="004244AF"/>
    <w:rsid w:val="00424798"/>
    <w:rsid w:val="00424EE4"/>
    <w:rsid w:val="004252B6"/>
    <w:rsid w:val="00425355"/>
    <w:rsid w:val="004272E0"/>
    <w:rsid w:val="004273D9"/>
    <w:rsid w:val="00427697"/>
    <w:rsid w:val="004300F0"/>
    <w:rsid w:val="00430257"/>
    <w:rsid w:val="0043030B"/>
    <w:rsid w:val="00430CC7"/>
    <w:rsid w:val="0043116A"/>
    <w:rsid w:val="00431375"/>
    <w:rsid w:val="004314B7"/>
    <w:rsid w:val="00432C5D"/>
    <w:rsid w:val="0043329A"/>
    <w:rsid w:val="004333A3"/>
    <w:rsid w:val="00433632"/>
    <w:rsid w:val="00433D9D"/>
    <w:rsid w:val="00433DA7"/>
    <w:rsid w:val="00434565"/>
    <w:rsid w:val="0043465E"/>
    <w:rsid w:val="004346BC"/>
    <w:rsid w:val="00434A90"/>
    <w:rsid w:val="00434C0C"/>
    <w:rsid w:val="0043530D"/>
    <w:rsid w:val="004356A7"/>
    <w:rsid w:val="0043651B"/>
    <w:rsid w:val="00436758"/>
    <w:rsid w:val="00437694"/>
    <w:rsid w:val="004402FB"/>
    <w:rsid w:val="00440EBC"/>
    <w:rsid w:val="004415FD"/>
    <w:rsid w:val="004417DC"/>
    <w:rsid w:val="00441AA7"/>
    <w:rsid w:val="0044232F"/>
    <w:rsid w:val="00442806"/>
    <w:rsid w:val="00442986"/>
    <w:rsid w:val="004435D9"/>
    <w:rsid w:val="00443A28"/>
    <w:rsid w:val="00443B30"/>
    <w:rsid w:val="00443DF3"/>
    <w:rsid w:val="004440DF"/>
    <w:rsid w:val="0044423D"/>
    <w:rsid w:val="004447CE"/>
    <w:rsid w:val="00445254"/>
    <w:rsid w:val="00445870"/>
    <w:rsid w:val="00445D1E"/>
    <w:rsid w:val="00446543"/>
    <w:rsid w:val="00446CF1"/>
    <w:rsid w:val="00447651"/>
    <w:rsid w:val="00450134"/>
    <w:rsid w:val="00450272"/>
    <w:rsid w:val="0045192C"/>
    <w:rsid w:val="00452011"/>
    <w:rsid w:val="00452C5C"/>
    <w:rsid w:val="00452DA9"/>
    <w:rsid w:val="0045366E"/>
    <w:rsid w:val="004546D5"/>
    <w:rsid w:val="00454E14"/>
    <w:rsid w:val="0045501C"/>
    <w:rsid w:val="0045519B"/>
    <w:rsid w:val="0045593F"/>
    <w:rsid w:val="00455BD6"/>
    <w:rsid w:val="00456015"/>
    <w:rsid w:val="004560CA"/>
    <w:rsid w:val="0045612F"/>
    <w:rsid w:val="004566FD"/>
    <w:rsid w:val="0045671D"/>
    <w:rsid w:val="00456B8E"/>
    <w:rsid w:val="00456DA5"/>
    <w:rsid w:val="00456DF5"/>
    <w:rsid w:val="0045730B"/>
    <w:rsid w:val="004575CE"/>
    <w:rsid w:val="004578F0"/>
    <w:rsid w:val="00457BE8"/>
    <w:rsid w:val="00457C81"/>
    <w:rsid w:val="0046010E"/>
    <w:rsid w:val="00460621"/>
    <w:rsid w:val="00461482"/>
    <w:rsid w:val="00461541"/>
    <w:rsid w:val="004616A2"/>
    <w:rsid w:val="00461871"/>
    <w:rsid w:val="0046198F"/>
    <w:rsid w:val="004619C9"/>
    <w:rsid w:val="00461C0F"/>
    <w:rsid w:val="00462634"/>
    <w:rsid w:val="004627BE"/>
    <w:rsid w:val="00462A6A"/>
    <w:rsid w:val="00463AE7"/>
    <w:rsid w:val="00464289"/>
    <w:rsid w:val="00464CDB"/>
    <w:rsid w:val="00464DB9"/>
    <w:rsid w:val="00465185"/>
    <w:rsid w:val="00465551"/>
    <w:rsid w:val="004655A5"/>
    <w:rsid w:val="004657D5"/>
    <w:rsid w:val="00466BAF"/>
    <w:rsid w:val="00466D15"/>
    <w:rsid w:val="004672D6"/>
    <w:rsid w:val="004677D4"/>
    <w:rsid w:val="00467B31"/>
    <w:rsid w:val="00467D33"/>
    <w:rsid w:val="00467F46"/>
    <w:rsid w:val="004703EE"/>
    <w:rsid w:val="00470473"/>
    <w:rsid w:val="004708C7"/>
    <w:rsid w:val="00470992"/>
    <w:rsid w:val="0047241B"/>
    <w:rsid w:val="004725B2"/>
    <w:rsid w:val="004726F8"/>
    <w:rsid w:val="00473059"/>
    <w:rsid w:val="0047345A"/>
    <w:rsid w:val="00473545"/>
    <w:rsid w:val="004736A8"/>
    <w:rsid w:val="0047442B"/>
    <w:rsid w:val="004745E2"/>
    <w:rsid w:val="00474D30"/>
    <w:rsid w:val="004757A6"/>
    <w:rsid w:val="00475DB7"/>
    <w:rsid w:val="004763AF"/>
    <w:rsid w:val="00476491"/>
    <w:rsid w:val="004768FB"/>
    <w:rsid w:val="00476A92"/>
    <w:rsid w:val="0047786C"/>
    <w:rsid w:val="00477D45"/>
    <w:rsid w:val="00477D75"/>
    <w:rsid w:val="004801EC"/>
    <w:rsid w:val="00480954"/>
    <w:rsid w:val="00480B69"/>
    <w:rsid w:val="00480BD9"/>
    <w:rsid w:val="00480C25"/>
    <w:rsid w:val="00481D3F"/>
    <w:rsid w:val="00481DD9"/>
    <w:rsid w:val="00481F49"/>
    <w:rsid w:val="004824CE"/>
    <w:rsid w:val="00482841"/>
    <w:rsid w:val="00482CFB"/>
    <w:rsid w:val="00482D80"/>
    <w:rsid w:val="00483160"/>
    <w:rsid w:val="0048318F"/>
    <w:rsid w:val="00483451"/>
    <w:rsid w:val="00483D09"/>
    <w:rsid w:val="00483D3E"/>
    <w:rsid w:val="00483D63"/>
    <w:rsid w:val="00484860"/>
    <w:rsid w:val="00484DE3"/>
    <w:rsid w:val="004863C8"/>
    <w:rsid w:val="00486653"/>
    <w:rsid w:val="00486D24"/>
    <w:rsid w:val="00487320"/>
    <w:rsid w:val="004873D6"/>
    <w:rsid w:val="00487663"/>
    <w:rsid w:val="0048789C"/>
    <w:rsid w:val="00490873"/>
    <w:rsid w:val="00490B08"/>
    <w:rsid w:val="00490CDE"/>
    <w:rsid w:val="00490DCB"/>
    <w:rsid w:val="004910F6"/>
    <w:rsid w:val="0049168D"/>
    <w:rsid w:val="004916BA"/>
    <w:rsid w:val="0049201F"/>
    <w:rsid w:val="00492EAF"/>
    <w:rsid w:val="00492F31"/>
    <w:rsid w:val="00492FF5"/>
    <w:rsid w:val="00493504"/>
    <w:rsid w:val="00493B1B"/>
    <w:rsid w:val="00493B23"/>
    <w:rsid w:val="0049471E"/>
    <w:rsid w:val="00494786"/>
    <w:rsid w:val="0049488E"/>
    <w:rsid w:val="00494ACB"/>
    <w:rsid w:val="00494EAB"/>
    <w:rsid w:val="00495819"/>
    <w:rsid w:val="00495DFE"/>
    <w:rsid w:val="0049608E"/>
    <w:rsid w:val="00496B73"/>
    <w:rsid w:val="00496B9C"/>
    <w:rsid w:val="00496D29"/>
    <w:rsid w:val="0049730A"/>
    <w:rsid w:val="00497AFC"/>
    <w:rsid w:val="00497CC7"/>
    <w:rsid w:val="00497F60"/>
    <w:rsid w:val="00497F93"/>
    <w:rsid w:val="004A00BB"/>
    <w:rsid w:val="004A0C92"/>
    <w:rsid w:val="004A10B1"/>
    <w:rsid w:val="004A156D"/>
    <w:rsid w:val="004A1843"/>
    <w:rsid w:val="004A1847"/>
    <w:rsid w:val="004A1C89"/>
    <w:rsid w:val="004A1E30"/>
    <w:rsid w:val="004A21BF"/>
    <w:rsid w:val="004A2DF7"/>
    <w:rsid w:val="004A3154"/>
    <w:rsid w:val="004A34DA"/>
    <w:rsid w:val="004A3728"/>
    <w:rsid w:val="004A3AD2"/>
    <w:rsid w:val="004A3C78"/>
    <w:rsid w:val="004A3C98"/>
    <w:rsid w:val="004A44D5"/>
    <w:rsid w:val="004A4657"/>
    <w:rsid w:val="004A4D9C"/>
    <w:rsid w:val="004A5354"/>
    <w:rsid w:val="004A683D"/>
    <w:rsid w:val="004A6B3E"/>
    <w:rsid w:val="004A724B"/>
    <w:rsid w:val="004A72AE"/>
    <w:rsid w:val="004B0FF2"/>
    <w:rsid w:val="004B1068"/>
    <w:rsid w:val="004B1B76"/>
    <w:rsid w:val="004B2139"/>
    <w:rsid w:val="004B2B42"/>
    <w:rsid w:val="004B3485"/>
    <w:rsid w:val="004B3655"/>
    <w:rsid w:val="004B383C"/>
    <w:rsid w:val="004B3C86"/>
    <w:rsid w:val="004B3F67"/>
    <w:rsid w:val="004B4CE3"/>
    <w:rsid w:val="004B579D"/>
    <w:rsid w:val="004B5BC8"/>
    <w:rsid w:val="004B7531"/>
    <w:rsid w:val="004B7F5B"/>
    <w:rsid w:val="004C0483"/>
    <w:rsid w:val="004C0737"/>
    <w:rsid w:val="004C081D"/>
    <w:rsid w:val="004C0F39"/>
    <w:rsid w:val="004C10AB"/>
    <w:rsid w:val="004C10AD"/>
    <w:rsid w:val="004C10DE"/>
    <w:rsid w:val="004C16A4"/>
    <w:rsid w:val="004C1A7C"/>
    <w:rsid w:val="004C1C1B"/>
    <w:rsid w:val="004C218B"/>
    <w:rsid w:val="004C284A"/>
    <w:rsid w:val="004C2860"/>
    <w:rsid w:val="004C2986"/>
    <w:rsid w:val="004C2CF1"/>
    <w:rsid w:val="004C2E52"/>
    <w:rsid w:val="004C3274"/>
    <w:rsid w:val="004C34D7"/>
    <w:rsid w:val="004C3D23"/>
    <w:rsid w:val="004C3DDC"/>
    <w:rsid w:val="004C3F3B"/>
    <w:rsid w:val="004C4082"/>
    <w:rsid w:val="004C437E"/>
    <w:rsid w:val="004C4EB6"/>
    <w:rsid w:val="004C5371"/>
    <w:rsid w:val="004C544F"/>
    <w:rsid w:val="004C5802"/>
    <w:rsid w:val="004C6CDF"/>
    <w:rsid w:val="004C6EE5"/>
    <w:rsid w:val="004C74A2"/>
    <w:rsid w:val="004C7C77"/>
    <w:rsid w:val="004C7F89"/>
    <w:rsid w:val="004D022F"/>
    <w:rsid w:val="004D09C6"/>
    <w:rsid w:val="004D0AF0"/>
    <w:rsid w:val="004D0E62"/>
    <w:rsid w:val="004D11F9"/>
    <w:rsid w:val="004D1485"/>
    <w:rsid w:val="004D1603"/>
    <w:rsid w:val="004D1E22"/>
    <w:rsid w:val="004D217C"/>
    <w:rsid w:val="004D29BF"/>
    <w:rsid w:val="004D3276"/>
    <w:rsid w:val="004D32FC"/>
    <w:rsid w:val="004D3622"/>
    <w:rsid w:val="004D3894"/>
    <w:rsid w:val="004D4B51"/>
    <w:rsid w:val="004D4F95"/>
    <w:rsid w:val="004D518B"/>
    <w:rsid w:val="004D5D26"/>
    <w:rsid w:val="004D5D9D"/>
    <w:rsid w:val="004D5FD8"/>
    <w:rsid w:val="004D6073"/>
    <w:rsid w:val="004D613C"/>
    <w:rsid w:val="004D6A0F"/>
    <w:rsid w:val="004D6ADE"/>
    <w:rsid w:val="004D6B4E"/>
    <w:rsid w:val="004D6C38"/>
    <w:rsid w:val="004D7264"/>
    <w:rsid w:val="004D770A"/>
    <w:rsid w:val="004D7714"/>
    <w:rsid w:val="004D77C7"/>
    <w:rsid w:val="004D78BC"/>
    <w:rsid w:val="004E00DB"/>
    <w:rsid w:val="004E073D"/>
    <w:rsid w:val="004E0997"/>
    <w:rsid w:val="004E10BB"/>
    <w:rsid w:val="004E10CC"/>
    <w:rsid w:val="004E11A4"/>
    <w:rsid w:val="004E1249"/>
    <w:rsid w:val="004E16DA"/>
    <w:rsid w:val="004E2706"/>
    <w:rsid w:val="004E2A41"/>
    <w:rsid w:val="004E2B4D"/>
    <w:rsid w:val="004E2D44"/>
    <w:rsid w:val="004E2D6D"/>
    <w:rsid w:val="004E36D2"/>
    <w:rsid w:val="004E371F"/>
    <w:rsid w:val="004E40EB"/>
    <w:rsid w:val="004E47D7"/>
    <w:rsid w:val="004E4BD7"/>
    <w:rsid w:val="004E4D5E"/>
    <w:rsid w:val="004E4FA2"/>
    <w:rsid w:val="004E4FB5"/>
    <w:rsid w:val="004E5FAE"/>
    <w:rsid w:val="004E6261"/>
    <w:rsid w:val="004E6817"/>
    <w:rsid w:val="004E786B"/>
    <w:rsid w:val="004E795E"/>
    <w:rsid w:val="004F045A"/>
    <w:rsid w:val="004F096B"/>
    <w:rsid w:val="004F129F"/>
    <w:rsid w:val="004F13D8"/>
    <w:rsid w:val="004F2797"/>
    <w:rsid w:val="004F2B2B"/>
    <w:rsid w:val="004F3289"/>
    <w:rsid w:val="004F36E3"/>
    <w:rsid w:val="004F373B"/>
    <w:rsid w:val="004F4138"/>
    <w:rsid w:val="004F41B0"/>
    <w:rsid w:val="004F44CD"/>
    <w:rsid w:val="004F4566"/>
    <w:rsid w:val="004F56C7"/>
    <w:rsid w:val="004F665D"/>
    <w:rsid w:val="004F6B5F"/>
    <w:rsid w:val="004F7137"/>
    <w:rsid w:val="004F71C7"/>
    <w:rsid w:val="00500523"/>
    <w:rsid w:val="005006C1"/>
    <w:rsid w:val="00500CBC"/>
    <w:rsid w:val="00500ED4"/>
    <w:rsid w:val="00501E69"/>
    <w:rsid w:val="0050279D"/>
    <w:rsid w:val="00502FBF"/>
    <w:rsid w:val="005037F8"/>
    <w:rsid w:val="00503934"/>
    <w:rsid w:val="00503E70"/>
    <w:rsid w:val="00503EE6"/>
    <w:rsid w:val="005042D3"/>
    <w:rsid w:val="00504E7A"/>
    <w:rsid w:val="00504E90"/>
    <w:rsid w:val="00505432"/>
    <w:rsid w:val="00505979"/>
    <w:rsid w:val="00505B17"/>
    <w:rsid w:val="00505F94"/>
    <w:rsid w:val="00506117"/>
    <w:rsid w:val="00506263"/>
    <w:rsid w:val="00506733"/>
    <w:rsid w:val="005068AF"/>
    <w:rsid w:val="005069FF"/>
    <w:rsid w:val="0050796B"/>
    <w:rsid w:val="00507CC6"/>
    <w:rsid w:val="00510169"/>
    <w:rsid w:val="00510282"/>
    <w:rsid w:val="005102F4"/>
    <w:rsid w:val="00510BF3"/>
    <w:rsid w:val="00511029"/>
    <w:rsid w:val="0051175A"/>
    <w:rsid w:val="00511988"/>
    <w:rsid w:val="00512036"/>
    <w:rsid w:val="00512416"/>
    <w:rsid w:val="005128A8"/>
    <w:rsid w:val="00512B5F"/>
    <w:rsid w:val="005139D7"/>
    <w:rsid w:val="00513EFC"/>
    <w:rsid w:val="005145F3"/>
    <w:rsid w:val="00514A48"/>
    <w:rsid w:val="00516127"/>
    <w:rsid w:val="005164F5"/>
    <w:rsid w:val="00516689"/>
    <w:rsid w:val="005175FD"/>
    <w:rsid w:val="00517ACC"/>
    <w:rsid w:val="00517AD6"/>
    <w:rsid w:val="00517D52"/>
    <w:rsid w:val="0052011B"/>
    <w:rsid w:val="0052062F"/>
    <w:rsid w:val="005209D8"/>
    <w:rsid w:val="00520C7A"/>
    <w:rsid w:val="005219D1"/>
    <w:rsid w:val="005219F8"/>
    <w:rsid w:val="00521CA5"/>
    <w:rsid w:val="005224AE"/>
    <w:rsid w:val="00523311"/>
    <w:rsid w:val="00523B08"/>
    <w:rsid w:val="00523B86"/>
    <w:rsid w:val="0052400C"/>
    <w:rsid w:val="00524640"/>
    <w:rsid w:val="0052486A"/>
    <w:rsid w:val="0052509E"/>
    <w:rsid w:val="005255F5"/>
    <w:rsid w:val="0052629D"/>
    <w:rsid w:val="005263D6"/>
    <w:rsid w:val="00526C56"/>
    <w:rsid w:val="00527990"/>
    <w:rsid w:val="00527C75"/>
    <w:rsid w:val="00530344"/>
    <w:rsid w:val="005303E7"/>
    <w:rsid w:val="0053051E"/>
    <w:rsid w:val="00530B56"/>
    <w:rsid w:val="005312A7"/>
    <w:rsid w:val="0053141B"/>
    <w:rsid w:val="005321E4"/>
    <w:rsid w:val="0053225E"/>
    <w:rsid w:val="00532912"/>
    <w:rsid w:val="00533208"/>
    <w:rsid w:val="005334D9"/>
    <w:rsid w:val="00533D6D"/>
    <w:rsid w:val="00533DDE"/>
    <w:rsid w:val="005343AF"/>
    <w:rsid w:val="00535708"/>
    <w:rsid w:val="00535D22"/>
    <w:rsid w:val="0053602D"/>
    <w:rsid w:val="005370BA"/>
    <w:rsid w:val="005379A2"/>
    <w:rsid w:val="00537B36"/>
    <w:rsid w:val="00537BB6"/>
    <w:rsid w:val="00537D23"/>
    <w:rsid w:val="005403C7"/>
    <w:rsid w:val="005405CB"/>
    <w:rsid w:val="00540613"/>
    <w:rsid w:val="005409F8"/>
    <w:rsid w:val="00540D7F"/>
    <w:rsid w:val="00540FD4"/>
    <w:rsid w:val="005410BC"/>
    <w:rsid w:val="005412BB"/>
    <w:rsid w:val="00541404"/>
    <w:rsid w:val="00541B80"/>
    <w:rsid w:val="00541FDF"/>
    <w:rsid w:val="00542CBF"/>
    <w:rsid w:val="00542FEA"/>
    <w:rsid w:val="0054395D"/>
    <w:rsid w:val="00543AC0"/>
    <w:rsid w:val="00544B8F"/>
    <w:rsid w:val="005453E0"/>
    <w:rsid w:val="0054691C"/>
    <w:rsid w:val="00546F48"/>
    <w:rsid w:val="00547912"/>
    <w:rsid w:val="00547FA2"/>
    <w:rsid w:val="005503F1"/>
    <w:rsid w:val="00550F1B"/>
    <w:rsid w:val="00551259"/>
    <w:rsid w:val="005514E2"/>
    <w:rsid w:val="00551C04"/>
    <w:rsid w:val="00551E75"/>
    <w:rsid w:val="0055251C"/>
    <w:rsid w:val="0055294D"/>
    <w:rsid w:val="00552BA4"/>
    <w:rsid w:val="00552F3C"/>
    <w:rsid w:val="00553125"/>
    <w:rsid w:val="00553143"/>
    <w:rsid w:val="00553547"/>
    <w:rsid w:val="00554D0F"/>
    <w:rsid w:val="00554D58"/>
    <w:rsid w:val="00555382"/>
    <w:rsid w:val="00556080"/>
    <w:rsid w:val="005565C4"/>
    <w:rsid w:val="005567D8"/>
    <w:rsid w:val="00556BCD"/>
    <w:rsid w:val="005575BB"/>
    <w:rsid w:val="00557B29"/>
    <w:rsid w:val="00557CBE"/>
    <w:rsid w:val="0056037B"/>
    <w:rsid w:val="005607C2"/>
    <w:rsid w:val="00560F85"/>
    <w:rsid w:val="005615BC"/>
    <w:rsid w:val="005630B2"/>
    <w:rsid w:val="00563226"/>
    <w:rsid w:val="00563517"/>
    <w:rsid w:val="00563F83"/>
    <w:rsid w:val="00564008"/>
    <w:rsid w:val="005640C7"/>
    <w:rsid w:val="00564C77"/>
    <w:rsid w:val="0056500B"/>
    <w:rsid w:val="005652AD"/>
    <w:rsid w:val="00566176"/>
    <w:rsid w:val="00566852"/>
    <w:rsid w:val="00566DE6"/>
    <w:rsid w:val="005675F3"/>
    <w:rsid w:val="00567A48"/>
    <w:rsid w:val="00567DAE"/>
    <w:rsid w:val="005702C1"/>
    <w:rsid w:val="00570951"/>
    <w:rsid w:val="00571690"/>
    <w:rsid w:val="00571C9F"/>
    <w:rsid w:val="00571DE8"/>
    <w:rsid w:val="00572024"/>
    <w:rsid w:val="00572E75"/>
    <w:rsid w:val="00572FB8"/>
    <w:rsid w:val="005738E5"/>
    <w:rsid w:val="00573D87"/>
    <w:rsid w:val="00574127"/>
    <w:rsid w:val="00574ED8"/>
    <w:rsid w:val="00575037"/>
    <w:rsid w:val="00575162"/>
    <w:rsid w:val="005751CE"/>
    <w:rsid w:val="00575659"/>
    <w:rsid w:val="00575845"/>
    <w:rsid w:val="00575BE8"/>
    <w:rsid w:val="00575EBC"/>
    <w:rsid w:val="0057632D"/>
    <w:rsid w:val="005768F6"/>
    <w:rsid w:val="00576CD6"/>
    <w:rsid w:val="00576CDE"/>
    <w:rsid w:val="00576E37"/>
    <w:rsid w:val="0057716E"/>
    <w:rsid w:val="005772AF"/>
    <w:rsid w:val="005778F7"/>
    <w:rsid w:val="00577C90"/>
    <w:rsid w:val="00577FE8"/>
    <w:rsid w:val="005800B0"/>
    <w:rsid w:val="00580132"/>
    <w:rsid w:val="00580322"/>
    <w:rsid w:val="00582170"/>
    <w:rsid w:val="005824EA"/>
    <w:rsid w:val="00582600"/>
    <w:rsid w:val="00582AD5"/>
    <w:rsid w:val="00582B1D"/>
    <w:rsid w:val="00583127"/>
    <w:rsid w:val="00583F8F"/>
    <w:rsid w:val="00583FCA"/>
    <w:rsid w:val="00584754"/>
    <w:rsid w:val="00584D05"/>
    <w:rsid w:val="00585ABD"/>
    <w:rsid w:val="00585CC6"/>
    <w:rsid w:val="00585FE6"/>
    <w:rsid w:val="00586B0B"/>
    <w:rsid w:val="00586BA6"/>
    <w:rsid w:val="00587539"/>
    <w:rsid w:val="005876A4"/>
    <w:rsid w:val="00587914"/>
    <w:rsid w:val="00587BEC"/>
    <w:rsid w:val="005908BE"/>
    <w:rsid w:val="005914D4"/>
    <w:rsid w:val="005917F0"/>
    <w:rsid w:val="0059188A"/>
    <w:rsid w:val="00591BF3"/>
    <w:rsid w:val="00591C55"/>
    <w:rsid w:val="0059206F"/>
    <w:rsid w:val="00592A57"/>
    <w:rsid w:val="00592C25"/>
    <w:rsid w:val="00593A22"/>
    <w:rsid w:val="005941F1"/>
    <w:rsid w:val="0059439D"/>
    <w:rsid w:val="0059456B"/>
    <w:rsid w:val="005952B6"/>
    <w:rsid w:val="00595329"/>
    <w:rsid w:val="005963AC"/>
    <w:rsid w:val="00596E42"/>
    <w:rsid w:val="00597066"/>
    <w:rsid w:val="005972E0"/>
    <w:rsid w:val="005972E8"/>
    <w:rsid w:val="00597635"/>
    <w:rsid w:val="005A08FD"/>
    <w:rsid w:val="005A0C38"/>
    <w:rsid w:val="005A1474"/>
    <w:rsid w:val="005A1A28"/>
    <w:rsid w:val="005A1A9C"/>
    <w:rsid w:val="005A29B5"/>
    <w:rsid w:val="005A3341"/>
    <w:rsid w:val="005A3464"/>
    <w:rsid w:val="005A35DB"/>
    <w:rsid w:val="005A376D"/>
    <w:rsid w:val="005A3C56"/>
    <w:rsid w:val="005A408E"/>
    <w:rsid w:val="005A43A4"/>
    <w:rsid w:val="005A459F"/>
    <w:rsid w:val="005A4689"/>
    <w:rsid w:val="005A4C54"/>
    <w:rsid w:val="005A4CBA"/>
    <w:rsid w:val="005A4FCE"/>
    <w:rsid w:val="005A5276"/>
    <w:rsid w:val="005A593B"/>
    <w:rsid w:val="005A5E14"/>
    <w:rsid w:val="005A685F"/>
    <w:rsid w:val="005A6DAC"/>
    <w:rsid w:val="005A6FFF"/>
    <w:rsid w:val="005A7080"/>
    <w:rsid w:val="005A70A2"/>
    <w:rsid w:val="005A75D1"/>
    <w:rsid w:val="005A7728"/>
    <w:rsid w:val="005A7AE7"/>
    <w:rsid w:val="005A7B4B"/>
    <w:rsid w:val="005A7F62"/>
    <w:rsid w:val="005B0111"/>
    <w:rsid w:val="005B0D10"/>
    <w:rsid w:val="005B0F00"/>
    <w:rsid w:val="005B1076"/>
    <w:rsid w:val="005B1264"/>
    <w:rsid w:val="005B1347"/>
    <w:rsid w:val="005B137D"/>
    <w:rsid w:val="005B1CF8"/>
    <w:rsid w:val="005B2391"/>
    <w:rsid w:val="005B23E8"/>
    <w:rsid w:val="005B25E3"/>
    <w:rsid w:val="005B26E4"/>
    <w:rsid w:val="005B2CB4"/>
    <w:rsid w:val="005B2D1C"/>
    <w:rsid w:val="005B3049"/>
    <w:rsid w:val="005B3235"/>
    <w:rsid w:val="005B35B1"/>
    <w:rsid w:val="005B3621"/>
    <w:rsid w:val="005B39DF"/>
    <w:rsid w:val="005B3D82"/>
    <w:rsid w:val="005B3F47"/>
    <w:rsid w:val="005B41DA"/>
    <w:rsid w:val="005B4721"/>
    <w:rsid w:val="005B4AD4"/>
    <w:rsid w:val="005B4BF7"/>
    <w:rsid w:val="005B4FAF"/>
    <w:rsid w:val="005B4FB5"/>
    <w:rsid w:val="005B500F"/>
    <w:rsid w:val="005B51C6"/>
    <w:rsid w:val="005B5A78"/>
    <w:rsid w:val="005B62A2"/>
    <w:rsid w:val="005B6573"/>
    <w:rsid w:val="005B6B35"/>
    <w:rsid w:val="005B7074"/>
    <w:rsid w:val="005B73E4"/>
    <w:rsid w:val="005B7B60"/>
    <w:rsid w:val="005B7CB8"/>
    <w:rsid w:val="005C0607"/>
    <w:rsid w:val="005C06B0"/>
    <w:rsid w:val="005C0C72"/>
    <w:rsid w:val="005C0C9D"/>
    <w:rsid w:val="005C0D9D"/>
    <w:rsid w:val="005C1064"/>
    <w:rsid w:val="005C1564"/>
    <w:rsid w:val="005C1618"/>
    <w:rsid w:val="005C186A"/>
    <w:rsid w:val="005C21C1"/>
    <w:rsid w:val="005C2A5D"/>
    <w:rsid w:val="005C2DA7"/>
    <w:rsid w:val="005C3514"/>
    <w:rsid w:val="005C35DF"/>
    <w:rsid w:val="005C39C2"/>
    <w:rsid w:val="005C3D22"/>
    <w:rsid w:val="005C42F7"/>
    <w:rsid w:val="005C49A9"/>
    <w:rsid w:val="005C4A2E"/>
    <w:rsid w:val="005C53DF"/>
    <w:rsid w:val="005C588C"/>
    <w:rsid w:val="005C5EA9"/>
    <w:rsid w:val="005C6353"/>
    <w:rsid w:val="005C6BD2"/>
    <w:rsid w:val="005C7E89"/>
    <w:rsid w:val="005C7EE5"/>
    <w:rsid w:val="005C7FBD"/>
    <w:rsid w:val="005D0185"/>
    <w:rsid w:val="005D0239"/>
    <w:rsid w:val="005D0356"/>
    <w:rsid w:val="005D0C2C"/>
    <w:rsid w:val="005D0E48"/>
    <w:rsid w:val="005D1DB4"/>
    <w:rsid w:val="005D2102"/>
    <w:rsid w:val="005D2116"/>
    <w:rsid w:val="005D22B6"/>
    <w:rsid w:val="005D291C"/>
    <w:rsid w:val="005D2A2A"/>
    <w:rsid w:val="005D3662"/>
    <w:rsid w:val="005D3E12"/>
    <w:rsid w:val="005D43E9"/>
    <w:rsid w:val="005D476B"/>
    <w:rsid w:val="005D5116"/>
    <w:rsid w:val="005D537F"/>
    <w:rsid w:val="005D54EA"/>
    <w:rsid w:val="005D5602"/>
    <w:rsid w:val="005D5A2E"/>
    <w:rsid w:val="005D5FFB"/>
    <w:rsid w:val="005D60A5"/>
    <w:rsid w:val="005D60E2"/>
    <w:rsid w:val="005D6975"/>
    <w:rsid w:val="005D69C6"/>
    <w:rsid w:val="005D7318"/>
    <w:rsid w:val="005D76D3"/>
    <w:rsid w:val="005D793F"/>
    <w:rsid w:val="005E3D34"/>
    <w:rsid w:val="005E4F5E"/>
    <w:rsid w:val="005E50E3"/>
    <w:rsid w:val="005E53D7"/>
    <w:rsid w:val="005E5A8F"/>
    <w:rsid w:val="005E638C"/>
    <w:rsid w:val="005E63B3"/>
    <w:rsid w:val="005E66AB"/>
    <w:rsid w:val="005E683F"/>
    <w:rsid w:val="005E715B"/>
    <w:rsid w:val="005E79FA"/>
    <w:rsid w:val="005F01E1"/>
    <w:rsid w:val="005F0AAA"/>
    <w:rsid w:val="005F13E1"/>
    <w:rsid w:val="005F19E7"/>
    <w:rsid w:val="005F2891"/>
    <w:rsid w:val="005F2C16"/>
    <w:rsid w:val="005F30AA"/>
    <w:rsid w:val="005F3A79"/>
    <w:rsid w:val="005F3BE8"/>
    <w:rsid w:val="005F426C"/>
    <w:rsid w:val="005F43B4"/>
    <w:rsid w:val="005F4821"/>
    <w:rsid w:val="005F4861"/>
    <w:rsid w:val="005F48B7"/>
    <w:rsid w:val="005F4C91"/>
    <w:rsid w:val="005F4F4A"/>
    <w:rsid w:val="005F564E"/>
    <w:rsid w:val="005F6903"/>
    <w:rsid w:val="005F6E87"/>
    <w:rsid w:val="005F7E5C"/>
    <w:rsid w:val="006000AF"/>
    <w:rsid w:val="006002D9"/>
    <w:rsid w:val="006008E6"/>
    <w:rsid w:val="00601212"/>
    <w:rsid w:val="00601383"/>
    <w:rsid w:val="00601ADC"/>
    <w:rsid w:val="00601C63"/>
    <w:rsid w:val="00601CEA"/>
    <w:rsid w:val="0060236F"/>
    <w:rsid w:val="00602501"/>
    <w:rsid w:val="00602524"/>
    <w:rsid w:val="00602CA7"/>
    <w:rsid w:val="00603566"/>
    <w:rsid w:val="006039B2"/>
    <w:rsid w:val="00603B39"/>
    <w:rsid w:val="00603CDD"/>
    <w:rsid w:val="00604A1B"/>
    <w:rsid w:val="00604DFE"/>
    <w:rsid w:val="00605488"/>
    <w:rsid w:val="0060593D"/>
    <w:rsid w:val="00605B17"/>
    <w:rsid w:val="00605D4B"/>
    <w:rsid w:val="006060ED"/>
    <w:rsid w:val="00606145"/>
    <w:rsid w:val="00606249"/>
    <w:rsid w:val="006069EB"/>
    <w:rsid w:val="00606A28"/>
    <w:rsid w:val="00606CC8"/>
    <w:rsid w:val="006070CA"/>
    <w:rsid w:val="0060755C"/>
    <w:rsid w:val="00607D8C"/>
    <w:rsid w:val="00610175"/>
    <w:rsid w:val="00610232"/>
    <w:rsid w:val="00610AFB"/>
    <w:rsid w:val="00611448"/>
    <w:rsid w:val="006115DC"/>
    <w:rsid w:val="00611D6C"/>
    <w:rsid w:val="00611DF1"/>
    <w:rsid w:val="00612BEB"/>
    <w:rsid w:val="00612E36"/>
    <w:rsid w:val="00613772"/>
    <w:rsid w:val="00613922"/>
    <w:rsid w:val="00613DCC"/>
    <w:rsid w:val="00613F59"/>
    <w:rsid w:val="006141F2"/>
    <w:rsid w:val="00614252"/>
    <w:rsid w:val="00614BCA"/>
    <w:rsid w:val="00615234"/>
    <w:rsid w:val="00615876"/>
    <w:rsid w:val="00615995"/>
    <w:rsid w:val="006168A3"/>
    <w:rsid w:val="00617584"/>
    <w:rsid w:val="00617759"/>
    <w:rsid w:val="006177DF"/>
    <w:rsid w:val="00617B6E"/>
    <w:rsid w:val="00621256"/>
    <w:rsid w:val="00621E36"/>
    <w:rsid w:val="0062249E"/>
    <w:rsid w:val="0062259C"/>
    <w:rsid w:val="006227BB"/>
    <w:rsid w:val="00623CE0"/>
    <w:rsid w:val="00624A2E"/>
    <w:rsid w:val="00624B1B"/>
    <w:rsid w:val="00625A55"/>
    <w:rsid w:val="00625EE9"/>
    <w:rsid w:val="00626288"/>
    <w:rsid w:val="006262DA"/>
    <w:rsid w:val="006267D6"/>
    <w:rsid w:val="00626963"/>
    <w:rsid w:val="00626DEA"/>
    <w:rsid w:val="00627813"/>
    <w:rsid w:val="00627C98"/>
    <w:rsid w:val="006304A4"/>
    <w:rsid w:val="006308BE"/>
    <w:rsid w:val="006314C3"/>
    <w:rsid w:val="00631555"/>
    <w:rsid w:val="0063199C"/>
    <w:rsid w:val="00631D2D"/>
    <w:rsid w:val="00632070"/>
    <w:rsid w:val="00632868"/>
    <w:rsid w:val="006336E9"/>
    <w:rsid w:val="0063464E"/>
    <w:rsid w:val="006348CD"/>
    <w:rsid w:val="00636259"/>
    <w:rsid w:val="006365C5"/>
    <w:rsid w:val="00636A47"/>
    <w:rsid w:val="00636E50"/>
    <w:rsid w:val="00636FC3"/>
    <w:rsid w:val="00636FD1"/>
    <w:rsid w:val="00637063"/>
    <w:rsid w:val="006401C9"/>
    <w:rsid w:val="00640B20"/>
    <w:rsid w:val="00640FD6"/>
    <w:rsid w:val="006413BE"/>
    <w:rsid w:val="0064264F"/>
    <w:rsid w:val="006427FA"/>
    <w:rsid w:val="00642B2D"/>
    <w:rsid w:val="00642BF2"/>
    <w:rsid w:val="006435E2"/>
    <w:rsid w:val="00643632"/>
    <w:rsid w:val="00643DA9"/>
    <w:rsid w:val="006448AB"/>
    <w:rsid w:val="0064497E"/>
    <w:rsid w:val="00644BF2"/>
    <w:rsid w:val="00645394"/>
    <w:rsid w:val="00645AC8"/>
    <w:rsid w:val="00646115"/>
    <w:rsid w:val="00646583"/>
    <w:rsid w:val="00646594"/>
    <w:rsid w:val="00646DBF"/>
    <w:rsid w:val="0064714F"/>
    <w:rsid w:val="0064725A"/>
    <w:rsid w:val="0064743B"/>
    <w:rsid w:val="00647AC3"/>
    <w:rsid w:val="00647B4A"/>
    <w:rsid w:val="006501DB"/>
    <w:rsid w:val="00650304"/>
    <w:rsid w:val="00650588"/>
    <w:rsid w:val="006507F0"/>
    <w:rsid w:val="00651622"/>
    <w:rsid w:val="0065178D"/>
    <w:rsid w:val="00651E7A"/>
    <w:rsid w:val="006520A8"/>
    <w:rsid w:val="00652218"/>
    <w:rsid w:val="006529B2"/>
    <w:rsid w:val="0065304C"/>
    <w:rsid w:val="00653342"/>
    <w:rsid w:val="0065470F"/>
    <w:rsid w:val="00655553"/>
    <w:rsid w:val="006555D8"/>
    <w:rsid w:val="00655BEA"/>
    <w:rsid w:val="00655C91"/>
    <w:rsid w:val="00656BEB"/>
    <w:rsid w:val="00657099"/>
    <w:rsid w:val="0065749D"/>
    <w:rsid w:val="006578B5"/>
    <w:rsid w:val="00660370"/>
    <w:rsid w:val="00660679"/>
    <w:rsid w:val="006609BB"/>
    <w:rsid w:val="00660D7A"/>
    <w:rsid w:val="006621C9"/>
    <w:rsid w:val="006621D0"/>
    <w:rsid w:val="00662801"/>
    <w:rsid w:val="00662E69"/>
    <w:rsid w:val="00662F66"/>
    <w:rsid w:val="00663091"/>
    <w:rsid w:val="006630D6"/>
    <w:rsid w:val="0066318E"/>
    <w:rsid w:val="00663F53"/>
    <w:rsid w:val="00664561"/>
    <w:rsid w:val="00664EC5"/>
    <w:rsid w:val="00664FCC"/>
    <w:rsid w:val="00665052"/>
    <w:rsid w:val="00665C79"/>
    <w:rsid w:val="00665EC0"/>
    <w:rsid w:val="00666324"/>
    <w:rsid w:val="006673BE"/>
    <w:rsid w:val="00667F85"/>
    <w:rsid w:val="00670273"/>
    <w:rsid w:val="006702B6"/>
    <w:rsid w:val="006702DB"/>
    <w:rsid w:val="00670F33"/>
    <w:rsid w:val="00671704"/>
    <w:rsid w:val="00672378"/>
    <w:rsid w:val="0067292F"/>
    <w:rsid w:val="00673611"/>
    <w:rsid w:val="00673A76"/>
    <w:rsid w:val="00673B42"/>
    <w:rsid w:val="00673D2C"/>
    <w:rsid w:val="00674282"/>
    <w:rsid w:val="00674E41"/>
    <w:rsid w:val="00675195"/>
    <w:rsid w:val="006751EF"/>
    <w:rsid w:val="006753EE"/>
    <w:rsid w:val="00675B75"/>
    <w:rsid w:val="006761C5"/>
    <w:rsid w:val="006762B2"/>
    <w:rsid w:val="006765BF"/>
    <w:rsid w:val="00676B78"/>
    <w:rsid w:val="00676CD5"/>
    <w:rsid w:val="00677E2E"/>
    <w:rsid w:val="00677F89"/>
    <w:rsid w:val="0068016E"/>
    <w:rsid w:val="00682330"/>
    <w:rsid w:val="00682861"/>
    <w:rsid w:val="00682CF3"/>
    <w:rsid w:val="006831C8"/>
    <w:rsid w:val="006832C7"/>
    <w:rsid w:val="00683603"/>
    <w:rsid w:val="00683CDE"/>
    <w:rsid w:val="00684592"/>
    <w:rsid w:val="00684A22"/>
    <w:rsid w:val="00684F5C"/>
    <w:rsid w:val="00685182"/>
    <w:rsid w:val="006851D1"/>
    <w:rsid w:val="006852E2"/>
    <w:rsid w:val="0068562A"/>
    <w:rsid w:val="006858D6"/>
    <w:rsid w:val="00685C1E"/>
    <w:rsid w:val="00685E18"/>
    <w:rsid w:val="00686180"/>
    <w:rsid w:val="006861A5"/>
    <w:rsid w:val="00686696"/>
    <w:rsid w:val="00687224"/>
    <w:rsid w:val="006909D8"/>
    <w:rsid w:val="00690E1F"/>
    <w:rsid w:val="0069100F"/>
    <w:rsid w:val="00691322"/>
    <w:rsid w:val="006915F0"/>
    <w:rsid w:val="006925D2"/>
    <w:rsid w:val="0069321F"/>
    <w:rsid w:val="00693234"/>
    <w:rsid w:val="006934CF"/>
    <w:rsid w:val="0069397C"/>
    <w:rsid w:val="00693AC7"/>
    <w:rsid w:val="0069407C"/>
    <w:rsid w:val="006943BA"/>
    <w:rsid w:val="00694618"/>
    <w:rsid w:val="00694946"/>
    <w:rsid w:val="0069512C"/>
    <w:rsid w:val="006955CF"/>
    <w:rsid w:val="0069580C"/>
    <w:rsid w:val="00695BFF"/>
    <w:rsid w:val="00695D83"/>
    <w:rsid w:val="00695E77"/>
    <w:rsid w:val="00695FB9"/>
    <w:rsid w:val="006962DB"/>
    <w:rsid w:val="006978D6"/>
    <w:rsid w:val="00697A51"/>
    <w:rsid w:val="006A00C1"/>
    <w:rsid w:val="006A0ED6"/>
    <w:rsid w:val="006A1144"/>
    <w:rsid w:val="006A19D3"/>
    <w:rsid w:val="006A1BAA"/>
    <w:rsid w:val="006A27CB"/>
    <w:rsid w:val="006A27EB"/>
    <w:rsid w:val="006A3054"/>
    <w:rsid w:val="006A3CAD"/>
    <w:rsid w:val="006A4328"/>
    <w:rsid w:val="006A4AE1"/>
    <w:rsid w:val="006A4DB1"/>
    <w:rsid w:val="006A4E1F"/>
    <w:rsid w:val="006A4EFD"/>
    <w:rsid w:val="006A51DF"/>
    <w:rsid w:val="006A66E4"/>
    <w:rsid w:val="006A66FB"/>
    <w:rsid w:val="006A6795"/>
    <w:rsid w:val="006A6E30"/>
    <w:rsid w:val="006A70F8"/>
    <w:rsid w:val="006A72A1"/>
    <w:rsid w:val="006A749A"/>
    <w:rsid w:val="006A7B89"/>
    <w:rsid w:val="006B0869"/>
    <w:rsid w:val="006B0DC6"/>
    <w:rsid w:val="006B0F9E"/>
    <w:rsid w:val="006B1056"/>
    <w:rsid w:val="006B12F4"/>
    <w:rsid w:val="006B16E7"/>
    <w:rsid w:val="006B1E5E"/>
    <w:rsid w:val="006B2A26"/>
    <w:rsid w:val="006B2D79"/>
    <w:rsid w:val="006B2ECE"/>
    <w:rsid w:val="006B38D4"/>
    <w:rsid w:val="006B39BA"/>
    <w:rsid w:val="006B3A94"/>
    <w:rsid w:val="006B4FC8"/>
    <w:rsid w:val="006B5535"/>
    <w:rsid w:val="006B5538"/>
    <w:rsid w:val="006B59F1"/>
    <w:rsid w:val="006B5C28"/>
    <w:rsid w:val="006B639F"/>
    <w:rsid w:val="006B6706"/>
    <w:rsid w:val="006B6963"/>
    <w:rsid w:val="006B6E41"/>
    <w:rsid w:val="006B7161"/>
    <w:rsid w:val="006B7526"/>
    <w:rsid w:val="006B79CC"/>
    <w:rsid w:val="006C060F"/>
    <w:rsid w:val="006C074D"/>
    <w:rsid w:val="006C100A"/>
    <w:rsid w:val="006C1872"/>
    <w:rsid w:val="006C1CB6"/>
    <w:rsid w:val="006C22D6"/>
    <w:rsid w:val="006C3058"/>
    <w:rsid w:val="006C3540"/>
    <w:rsid w:val="006C3BDF"/>
    <w:rsid w:val="006C3F93"/>
    <w:rsid w:val="006C467A"/>
    <w:rsid w:val="006C4D73"/>
    <w:rsid w:val="006C54B1"/>
    <w:rsid w:val="006C5688"/>
    <w:rsid w:val="006C577C"/>
    <w:rsid w:val="006C5C2E"/>
    <w:rsid w:val="006C7086"/>
    <w:rsid w:val="006C7137"/>
    <w:rsid w:val="006D051D"/>
    <w:rsid w:val="006D095F"/>
    <w:rsid w:val="006D1402"/>
    <w:rsid w:val="006D190D"/>
    <w:rsid w:val="006D19B5"/>
    <w:rsid w:val="006D1A9E"/>
    <w:rsid w:val="006D20A0"/>
    <w:rsid w:val="006D2409"/>
    <w:rsid w:val="006D2538"/>
    <w:rsid w:val="006D2B82"/>
    <w:rsid w:val="006D3A56"/>
    <w:rsid w:val="006D3C6B"/>
    <w:rsid w:val="006D47AA"/>
    <w:rsid w:val="006D48DD"/>
    <w:rsid w:val="006D4E99"/>
    <w:rsid w:val="006D5054"/>
    <w:rsid w:val="006D52B1"/>
    <w:rsid w:val="006D5C2C"/>
    <w:rsid w:val="006D5E15"/>
    <w:rsid w:val="006D61F0"/>
    <w:rsid w:val="006D657F"/>
    <w:rsid w:val="006D68F2"/>
    <w:rsid w:val="006D6953"/>
    <w:rsid w:val="006D6F56"/>
    <w:rsid w:val="006D744E"/>
    <w:rsid w:val="006D7EA8"/>
    <w:rsid w:val="006E0C2A"/>
    <w:rsid w:val="006E0D53"/>
    <w:rsid w:val="006E0E03"/>
    <w:rsid w:val="006E1A07"/>
    <w:rsid w:val="006E1B7B"/>
    <w:rsid w:val="006E233D"/>
    <w:rsid w:val="006E2DBE"/>
    <w:rsid w:val="006E344F"/>
    <w:rsid w:val="006E3B06"/>
    <w:rsid w:val="006E3B8C"/>
    <w:rsid w:val="006E4CE5"/>
    <w:rsid w:val="006E511A"/>
    <w:rsid w:val="006E55F6"/>
    <w:rsid w:val="006E5880"/>
    <w:rsid w:val="006E5A44"/>
    <w:rsid w:val="006E623A"/>
    <w:rsid w:val="006E6EA5"/>
    <w:rsid w:val="006E712F"/>
    <w:rsid w:val="006E782C"/>
    <w:rsid w:val="006F03F2"/>
    <w:rsid w:val="006F054B"/>
    <w:rsid w:val="006F0FDE"/>
    <w:rsid w:val="006F1512"/>
    <w:rsid w:val="006F163E"/>
    <w:rsid w:val="006F1693"/>
    <w:rsid w:val="006F1A01"/>
    <w:rsid w:val="006F1A2D"/>
    <w:rsid w:val="006F1EAF"/>
    <w:rsid w:val="006F202B"/>
    <w:rsid w:val="006F3486"/>
    <w:rsid w:val="006F41E6"/>
    <w:rsid w:val="006F4670"/>
    <w:rsid w:val="006F4FA8"/>
    <w:rsid w:val="006F5539"/>
    <w:rsid w:val="006F5787"/>
    <w:rsid w:val="006F57B3"/>
    <w:rsid w:val="006F5B6A"/>
    <w:rsid w:val="006F6B7C"/>
    <w:rsid w:val="006F7F96"/>
    <w:rsid w:val="007001F3"/>
    <w:rsid w:val="007003EB"/>
    <w:rsid w:val="00700957"/>
    <w:rsid w:val="007009E4"/>
    <w:rsid w:val="00701682"/>
    <w:rsid w:val="00701C6B"/>
    <w:rsid w:val="00701DEE"/>
    <w:rsid w:val="00702266"/>
    <w:rsid w:val="007025B2"/>
    <w:rsid w:val="007030C9"/>
    <w:rsid w:val="0070333D"/>
    <w:rsid w:val="00703B86"/>
    <w:rsid w:val="007041E0"/>
    <w:rsid w:val="007042C9"/>
    <w:rsid w:val="0070443C"/>
    <w:rsid w:val="00704A9D"/>
    <w:rsid w:val="00705498"/>
    <w:rsid w:val="00706106"/>
    <w:rsid w:val="00706916"/>
    <w:rsid w:val="007069B8"/>
    <w:rsid w:val="00706C47"/>
    <w:rsid w:val="00707119"/>
    <w:rsid w:val="0070764C"/>
    <w:rsid w:val="00707DCB"/>
    <w:rsid w:val="00707DD3"/>
    <w:rsid w:val="007102BA"/>
    <w:rsid w:val="0071053B"/>
    <w:rsid w:val="007113CA"/>
    <w:rsid w:val="00711452"/>
    <w:rsid w:val="007115B6"/>
    <w:rsid w:val="0071199B"/>
    <w:rsid w:val="00711D0F"/>
    <w:rsid w:val="00711F92"/>
    <w:rsid w:val="007126EC"/>
    <w:rsid w:val="00715394"/>
    <w:rsid w:val="00715EE0"/>
    <w:rsid w:val="007173F4"/>
    <w:rsid w:val="00717F8B"/>
    <w:rsid w:val="0072039A"/>
    <w:rsid w:val="00720935"/>
    <w:rsid w:val="00720AEF"/>
    <w:rsid w:val="00720E4D"/>
    <w:rsid w:val="00721652"/>
    <w:rsid w:val="00721B42"/>
    <w:rsid w:val="00721C58"/>
    <w:rsid w:val="00721E0B"/>
    <w:rsid w:val="00721FF0"/>
    <w:rsid w:val="00722070"/>
    <w:rsid w:val="00722166"/>
    <w:rsid w:val="007221FC"/>
    <w:rsid w:val="0072228E"/>
    <w:rsid w:val="00722759"/>
    <w:rsid w:val="00722C08"/>
    <w:rsid w:val="00722D02"/>
    <w:rsid w:val="00724558"/>
    <w:rsid w:val="00725563"/>
    <w:rsid w:val="007256A7"/>
    <w:rsid w:val="0072580A"/>
    <w:rsid w:val="00725A7A"/>
    <w:rsid w:val="00727261"/>
    <w:rsid w:val="00727772"/>
    <w:rsid w:val="007277E4"/>
    <w:rsid w:val="00727AE8"/>
    <w:rsid w:val="00727B33"/>
    <w:rsid w:val="00727C66"/>
    <w:rsid w:val="00727D55"/>
    <w:rsid w:val="00730799"/>
    <w:rsid w:val="00730CBF"/>
    <w:rsid w:val="00732A10"/>
    <w:rsid w:val="00732CA2"/>
    <w:rsid w:val="0073316A"/>
    <w:rsid w:val="00733314"/>
    <w:rsid w:val="0073345D"/>
    <w:rsid w:val="00733484"/>
    <w:rsid w:val="00733E20"/>
    <w:rsid w:val="00734A0A"/>
    <w:rsid w:val="007350BA"/>
    <w:rsid w:val="007353BC"/>
    <w:rsid w:val="0073566A"/>
    <w:rsid w:val="00735BAE"/>
    <w:rsid w:val="00735E05"/>
    <w:rsid w:val="00735E7B"/>
    <w:rsid w:val="00735FC7"/>
    <w:rsid w:val="0073641D"/>
    <w:rsid w:val="00736463"/>
    <w:rsid w:val="00736A38"/>
    <w:rsid w:val="00736E56"/>
    <w:rsid w:val="00737B42"/>
    <w:rsid w:val="007405E8"/>
    <w:rsid w:val="00740736"/>
    <w:rsid w:val="0074086D"/>
    <w:rsid w:val="007421AE"/>
    <w:rsid w:val="007427A6"/>
    <w:rsid w:val="00743384"/>
    <w:rsid w:val="007437BD"/>
    <w:rsid w:val="00743A4F"/>
    <w:rsid w:val="00744224"/>
    <w:rsid w:val="007444CB"/>
    <w:rsid w:val="0074542A"/>
    <w:rsid w:val="00745897"/>
    <w:rsid w:val="00746191"/>
    <w:rsid w:val="0074650F"/>
    <w:rsid w:val="00746599"/>
    <w:rsid w:val="007468DE"/>
    <w:rsid w:val="00746978"/>
    <w:rsid w:val="00746B82"/>
    <w:rsid w:val="00746EC1"/>
    <w:rsid w:val="007504F9"/>
    <w:rsid w:val="007508A1"/>
    <w:rsid w:val="00750DF9"/>
    <w:rsid w:val="00750EEF"/>
    <w:rsid w:val="00751264"/>
    <w:rsid w:val="007514AA"/>
    <w:rsid w:val="007516AA"/>
    <w:rsid w:val="00751DFB"/>
    <w:rsid w:val="00751EAC"/>
    <w:rsid w:val="00752813"/>
    <w:rsid w:val="00752C14"/>
    <w:rsid w:val="00752D39"/>
    <w:rsid w:val="00753459"/>
    <w:rsid w:val="007536B4"/>
    <w:rsid w:val="00753BCD"/>
    <w:rsid w:val="00753CF2"/>
    <w:rsid w:val="00754860"/>
    <w:rsid w:val="00754921"/>
    <w:rsid w:val="007550EA"/>
    <w:rsid w:val="00755385"/>
    <w:rsid w:val="007553DE"/>
    <w:rsid w:val="00755ECC"/>
    <w:rsid w:val="00756CAF"/>
    <w:rsid w:val="00757A3F"/>
    <w:rsid w:val="00757D06"/>
    <w:rsid w:val="00760451"/>
    <w:rsid w:val="007604F3"/>
    <w:rsid w:val="0076084C"/>
    <w:rsid w:val="007609A5"/>
    <w:rsid w:val="007609D0"/>
    <w:rsid w:val="00760C3C"/>
    <w:rsid w:val="00761457"/>
    <w:rsid w:val="007624B9"/>
    <w:rsid w:val="00762AEF"/>
    <w:rsid w:val="0076367F"/>
    <w:rsid w:val="007636BC"/>
    <w:rsid w:val="00763F86"/>
    <w:rsid w:val="007644E8"/>
    <w:rsid w:val="00764C5B"/>
    <w:rsid w:val="00764D32"/>
    <w:rsid w:val="00765B3A"/>
    <w:rsid w:val="00765B88"/>
    <w:rsid w:val="0076679D"/>
    <w:rsid w:val="007669F9"/>
    <w:rsid w:val="00767710"/>
    <w:rsid w:val="00767B71"/>
    <w:rsid w:val="00767D9A"/>
    <w:rsid w:val="00770B3A"/>
    <w:rsid w:val="00770D21"/>
    <w:rsid w:val="00771288"/>
    <w:rsid w:val="00771EC5"/>
    <w:rsid w:val="0077296F"/>
    <w:rsid w:val="00772F8C"/>
    <w:rsid w:val="007732C9"/>
    <w:rsid w:val="00773358"/>
    <w:rsid w:val="0077353F"/>
    <w:rsid w:val="0077390E"/>
    <w:rsid w:val="00773A45"/>
    <w:rsid w:val="00773D0A"/>
    <w:rsid w:val="00773F34"/>
    <w:rsid w:val="007742CB"/>
    <w:rsid w:val="00774A96"/>
    <w:rsid w:val="00774C3C"/>
    <w:rsid w:val="00774FDF"/>
    <w:rsid w:val="00775326"/>
    <w:rsid w:val="00775E1F"/>
    <w:rsid w:val="00775F71"/>
    <w:rsid w:val="0077606E"/>
    <w:rsid w:val="007761C6"/>
    <w:rsid w:val="00777229"/>
    <w:rsid w:val="0077723C"/>
    <w:rsid w:val="0077748A"/>
    <w:rsid w:val="00777D98"/>
    <w:rsid w:val="007805F4"/>
    <w:rsid w:val="00780E7F"/>
    <w:rsid w:val="00780E90"/>
    <w:rsid w:val="00780F20"/>
    <w:rsid w:val="00781495"/>
    <w:rsid w:val="00781ED7"/>
    <w:rsid w:val="007824C3"/>
    <w:rsid w:val="0078294F"/>
    <w:rsid w:val="00782D16"/>
    <w:rsid w:val="00783325"/>
    <w:rsid w:val="007837D4"/>
    <w:rsid w:val="00783BBE"/>
    <w:rsid w:val="00783F90"/>
    <w:rsid w:val="00783FEA"/>
    <w:rsid w:val="00784190"/>
    <w:rsid w:val="0078561E"/>
    <w:rsid w:val="00785705"/>
    <w:rsid w:val="00785C6F"/>
    <w:rsid w:val="0078684D"/>
    <w:rsid w:val="00786B8E"/>
    <w:rsid w:val="00786FA3"/>
    <w:rsid w:val="00787251"/>
    <w:rsid w:val="00787FCD"/>
    <w:rsid w:val="0079025E"/>
    <w:rsid w:val="00790A6B"/>
    <w:rsid w:val="00790C61"/>
    <w:rsid w:val="00790CA9"/>
    <w:rsid w:val="00790D68"/>
    <w:rsid w:val="00790E0C"/>
    <w:rsid w:val="007910F3"/>
    <w:rsid w:val="00791306"/>
    <w:rsid w:val="007919EC"/>
    <w:rsid w:val="00791B71"/>
    <w:rsid w:val="0079252A"/>
    <w:rsid w:val="00792E10"/>
    <w:rsid w:val="00793456"/>
    <w:rsid w:val="00793711"/>
    <w:rsid w:val="00793D83"/>
    <w:rsid w:val="00794039"/>
    <w:rsid w:val="007943B4"/>
    <w:rsid w:val="007944AA"/>
    <w:rsid w:val="00795540"/>
    <w:rsid w:val="00795689"/>
    <w:rsid w:val="0079572E"/>
    <w:rsid w:val="00795F6C"/>
    <w:rsid w:val="0079636F"/>
    <w:rsid w:val="00796CB6"/>
    <w:rsid w:val="0079742E"/>
    <w:rsid w:val="007977AC"/>
    <w:rsid w:val="00797AAC"/>
    <w:rsid w:val="00797B43"/>
    <w:rsid w:val="007A0A7B"/>
    <w:rsid w:val="007A0CC4"/>
    <w:rsid w:val="007A16C9"/>
    <w:rsid w:val="007A1977"/>
    <w:rsid w:val="007A1C1A"/>
    <w:rsid w:val="007A1D7F"/>
    <w:rsid w:val="007A1FDB"/>
    <w:rsid w:val="007A2E8F"/>
    <w:rsid w:val="007A397D"/>
    <w:rsid w:val="007A39F2"/>
    <w:rsid w:val="007A45BB"/>
    <w:rsid w:val="007A4874"/>
    <w:rsid w:val="007A4C3E"/>
    <w:rsid w:val="007A4C44"/>
    <w:rsid w:val="007A4DDD"/>
    <w:rsid w:val="007A5380"/>
    <w:rsid w:val="007A5649"/>
    <w:rsid w:val="007A595C"/>
    <w:rsid w:val="007A5A10"/>
    <w:rsid w:val="007A5AA8"/>
    <w:rsid w:val="007A5D8E"/>
    <w:rsid w:val="007A6AFE"/>
    <w:rsid w:val="007A7AE5"/>
    <w:rsid w:val="007A7B4D"/>
    <w:rsid w:val="007B0087"/>
    <w:rsid w:val="007B04F3"/>
    <w:rsid w:val="007B19A2"/>
    <w:rsid w:val="007B1FE2"/>
    <w:rsid w:val="007B2562"/>
    <w:rsid w:val="007B25C4"/>
    <w:rsid w:val="007B307D"/>
    <w:rsid w:val="007B3629"/>
    <w:rsid w:val="007B3BFA"/>
    <w:rsid w:val="007B3C15"/>
    <w:rsid w:val="007B3D3A"/>
    <w:rsid w:val="007B4582"/>
    <w:rsid w:val="007B466A"/>
    <w:rsid w:val="007B482D"/>
    <w:rsid w:val="007B4981"/>
    <w:rsid w:val="007B4A8C"/>
    <w:rsid w:val="007B4B59"/>
    <w:rsid w:val="007B4F1D"/>
    <w:rsid w:val="007B5591"/>
    <w:rsid w:val="007B5AB7"/>
    <w:rsid w:val="007B5F25"/>
    <w:rsid w:val="007B6199"/>
    <w:rsid w:val="007B633D"/>
    <w:rsid w:val="007B637B"/>
    <w:rsid w:val="007B7FD8"/>
    <w:rsid w:val="007C050D"/>
    <w:rsid w:val="007C078D"/>
    <w:rsid w:val="007C0896"/>
    <w:rsid w:val="007C0C65"/>
    <w:rsid w:val="007C0F5D"/>
    <w:rsid w:val="007C21F9"/>
    <w:rsid w:val="007C22F6"/>
    <w:rsid w:val="007C2A94"/>
    <w:rsid w:val="007C2B47"/>
    <w:rsid w:val="007C2CC0"/>
    <w:rsid w:val="007C30BE"/>
    <w:rsid w:val="007C3BE5"/>
    <w:rsid w:val="007C454D"/>
    <w:rsid w:val="007C4C9D"/>
    <w:rsid w:val="007C4E29"/>
    <w:rsid w:val="007C54FC"/>
    <w:rsid w:val="007C5732"/>
    <w:rsid w:val="007C5A0A"/>
    <w:rsid w:val="007C5C47"/>
    <w:rsid w:val="007C635A"/>
    <w:rsid w:val="007C6823"/>
    <w:rsid w:val="007C707C"/>
    <w:rsid w:val="007C78BD"/>
    <w:rsid w:val="007C7CEB"/>
    <w:rsid w:val="007C7D03"/>
    <w:rsid w:val="007C7FEE"/>
    <w:rsid w:val="007D0154"/>
    <w:rsid w:val="007D0208"/>
    <w:rsid w:val="007D05D7"/>
    <w:rsid w:val="007D0B4B"/>
    <w:rsid w:val="007D0CDF"/>
    <w:rsid w:val="007D1B45"/>
    <w:rsid w:val="007D1C3C"/>
    <w:rsid w:val="007D24FD"/>
    <w:rsid w:val="007D2DBB"/>
    <w:rsid w:val="007D38A5"/>
    <w:rsid w:val="007D3C10"/>
    <w:rsid w:val="007D4CDB"/>
    <w:rsid w:val="007D4EA5"/>
    <w:rsid w:val="007D506F"/>
    <w:rsid w:val="007D53C5"/>
    <w:rsid w:val="007D5B32"/>
    <w:rsid w:val="007D60DF"/>
    <w:rsid w:val="007D61DE"/>
    <w:rsid w:val="007D66EA"/>
    <w:rsid w:val="007D67C9"/>
    <w:rsid w:val="007D6A97"/>
    <w:rsid w:val="007D6F1A"/>
    <w:rsid w:val="007D71A7"/>
    <w:rsid w:val="007D7417"/>
    <w:rsid w:val="007D7CDF"/>
    <w:rsid w:val="007E0454"/>
    <w:rsid w:val="007E0550"/>
    <w:rsid w:val="007E07CB"/>
    <w:rsid w:val="007E0851"/>
    <w:rsid w:val="007E1058"/>
    <w:rsid w:val="007E11BB"/>
    <w:rsid w:val="007E122D"/>
    <w:rsid w:val="007E1464"/>
    <w:rsid w:val="007E181F"/>
    <w:rsid w:val="007E1889"/>
    <w:rsid w:val="007E1FAE"/>
    <w:rsid w:val="007E2377"/>
    <w:rsid w:val="007E275F"/>
    <w:rsid w:val="007E29C8"/>
    <w:rsid w:val="007E2C31"/>
    <w:rsid w:val="007E2FC1"/>
    <w:rsid w:val="007E383E"/>
    <w:rsid w:val="007E39D1"/>
    <w:rsid w:val="007E3F99"/>
    <w:rsid w:val="007E420E"/>
    <w:rsid w:val="007E4654"/>
    <w:rsid w:val="007E4A98"/>
    <w:rsid w:val="007E4C7F"/>
    <w:rsid w:val="007E4F89"/>
    <w:rsid w:val="007E5262"/>
    <w:rsid w:val="007E5C25"/>
    <w:rsid w:val="007E5C60"/>
    <w:rsid w:val="007E5EFD"/>
    <w:rsid w:val="007E68C7"/>
    <w:rsid w:val="007E71F0"/>
    <w:rsid w:val="007E72AE"/>
    <w:rsid w:val="007E73F2"/>
    <w:rsid w:val="007E7934"/>
    <w:rsid w:val="007E7C33"/>
    <w:rsid w:val="007F0691"/>
    <w:rsid w:val="007F0829"/>
    <w:rsid w:val="007F0A02"/>
    <w:rsid w:val="007F0A53"/>
    <w:rsid w:val="007F0BE3"/>
    <w:rsid w:val="007F0DC8"/>
    <w:rsid w:val="007F10B1"/>
    <w:rsid w:val="007F1448"/>
    <w:rsid w:val="007F1504"/>
    <w:rsid w:val="007F1798"/>
    <w:rsid w:val="007F2012"/>
    <w:rsid w:val="007F2BD5"/>
    <w:rsid w:val="007F2C70"/>
    <w:rsid w:val="007F2EC6"/>
    <w:rsid w:val="007F3B8E"/>
    <w:rsid w:val="007F3F1B"/>
    <w:rsid w:val="007F4483"/>
    <w:rsid w:val="007F47CA"/>
    <w:rsid w:val="007F4C30"/>
    <w:rsid w:val="007F4F8B"/>
    <w:rsid w:val="007F52A6"/>
    <w:rsid w:val="007F535A"/>
    <w:rsid w:val="007F5C77"/>
    <w:rsid w:val="007F5DF1"/>
    <w:rsid w:val="007F605F"/>
    <w:rsid w:val="007F6120"/>
    <w:rsid w:val="007F69BF"/>
    <w:rsid w:val="007F6B74"/>
    <w:rsid w:val="007F7B1D"/>
    <w:rsid w:val="007F7DBF"/>
    <w:rsid w:val="0080004B"/>
    <w:rsid w:val="008006B7"/>
    <w:rsid w:val="00800813"/>
    <w:rsid w:val="00800918"/>
    <w:rsid w:val="008009F1"/>
    <w:rsid w:val="00800C8F"/>
    <w:rsid w:val="00800D7D"/>
    <w:rsid w:val="00800EB2"/>
    <w:rsid w:val="00800EE7"/>
    <w:rsid w:val="008016A9"/>
    <w:rsid w:val="00801CE4"/>
    <w:rsid w:val="0080254A"/>
    <w:rsid w:val="008034A1"/>
    <w:rsid w:val="008034C2"/>
    <w:rsid w:val="008034F7"/>
    <w:rsid w:val="00803BBA"/>
    <w:rsid w:val="0080402D"/>
    <w:rsid w:val="008040BA"/>
    <w:rsid w:val="00805386"/>
    <w:rsid w:val="00805B12"/>
    <w:rsid w:val="00805B27"/>
    <w:rsid w:val="00807B82"/>
    <w:rsid w:val="008106EC"/>
    <w:rsid w:val="0081073F"/>
    <w:rsid w:val="00810BFC"/>
    <w:rsid w:val="00811351"/>
    <w:rsid w:val="00811B38"/>
    <w:rsid w:val="00811CF6"/>
    <w:rsid w:val="00812418"/>
    <w:rsid w:val="008125D8"/>
    <w:rsid w:val="00812B70"/>
    <w:rsid w:val="0081345A"/>
    <w:rsid w:val="008144BB"/>
    <w:rsid w:val="008146D4"/>
    <w:rsid w:val="0081495B"/>
    <w:rsid w:val="00814B10"/>
    <w:rsid w:val="00814B31"/>
    <w:rsid w:val="00814B49"/>
    <w:rsid w:val="00814B51"/>
    <w:rsid w:val="00814CA4"/>
    <w:rsid w:val="00814F58"/>
    <w:rsid w:val="00815528"/>
    <w:rsid w:val="008158D8"/>
    <w:rsid w:val="00815C86"/>
    <w:rsid w:val="00816303"/>
    <w:rsid w:val="00816BD5"/>
    <w:rsid w:val="008170A2"/>
    <w:rsid w:val="00817A05"/>
    <w:rsid w:val="00817A59"/>
    <w:rsid w:val="00817ACD"/>
    <w:rsid w:val="00820DBF"/>
    <w:rsid w:val="00820F52"/>
    <w:rsid w:val="0082208F"/>
    <w:rsid w:val="008220A5"/>
    <w:rsid w:val="00822511"/>
    <w:rsid w:val="0082272E"/>
    <w:rsid w:val="00822830"/>
    <w:rsid w:val="00822966"/>
    <w:rsid w:val="00823505"/>
    <w:rsid w:val="008236A1"/>
    <w:rsid w:val="00823A8F"/>
    <w:rsid w:val="00823ACE"/>
    <w:rsid w:val="00823CFC"/>
    <w:rsid w:val="008249A8"/>
    <w:rsid w:val="008251C8"/>
    <w:rsid w:val="0082554F"/>
    <w:rsid w:val="008255DC"/>
    <w:rsid w:val="00826342"/>
    <w:rsid w:val="00826438"/>
    <w:rsid w:val="008268BB"/>
    <w:rsid w:val="00827136"/>
    <w:rsid w:val="008273AB"/>
    <w:rsid w:val="00827C0F"/>
    <w:rsid w:val="008302A3"/>
    <w:rsid w:val="008302FD"/>
    <w:rsid w:val="008307EE"/>
    <w:rsid w:val="0083086A"/>
    <w:rsid w:val="00830AAB"/>
    <w:rsid w:val="00830E8A"/>
    <w:rsid w:val="00831752"/>
    <w:rsid w:val="008318B2"/>
    <w:rsid w:val="00831B08"/>
    <w:rsid w:val="00831D8B"/>
    <w:rsid w:val="00832030"/>
    <w:rsid w:val="008321D7"/>
    <w:rsid w:val="008324BD"/>
    <w:rsid w:val="00832587"/>
    <w:rsid w:val="00832FDA"/>
    <w:rsid w:val="0083309E"/>
    <w:rsid w:val="00833E1F"/>
    <w:rsid w:val="00834430"/>
    <w:rsid w:val="00834B83"/>
    <w:rsid w:val="00835093"/>
    <w:rsid w:val="0083596A"/>
    <w:rsid w:val="00835995"/>
    <w:rsid w:val="00836D48"/>
    <w:rsid w:val="00836F44"/>
    <w:rsid w:val="008378D6"/>
    <w:rsid w:val="00837BCF"/>
    <w:rsid w:val="00840234"/>
    <w:rsid w:val="0084114A"/>
    <w:rsid w:val="00841C65"/>
    <w:rsid w:val="00841E7F"/>
    <w:rsid w:val="00842215"/>
    <w:rsid w:val="008424A8"/>
    <w:rsid w:val="008424B5"/>
    <w:rsid w:val="00842C7E"/>
    <w:rsid w:val="00843176"/>
    <w:rsid w:val="0084381F"/>
    <w:rsid w:val="00843F97"/>
    <w:rsid w:val="00844CFA"/>
    <w:rsid w:val="00845783"/>
    <w:rsid w:val="00846923"/>
    <w:rsid w:val="0085067E"/>
    <w:rsid w:val="00850A23"/>
    <w:rsid w:val="008514D6"/>
    <w:rsid w:val="0085158D"/>
    <w:rsid w:val="00851E58"/>
    <w:rsid w:val="00851F99"/>
    <w:rsid w:val="008521A2"/>
    <w:rsid w:val="00852AB1"/>
    <w:rsid w:val="00852FCE"/>
    <w:rsid w:val="00853530"/>
    <w:rsid w:val="00854192"/>
    <w:rsid w:val="0085437F"/>
    <w:rsid w:val="00854415"/>
    <w:rsid w:val="00854494"/>
    <w:rsid w:val="008544E4"/>
    <w:rsid w:val="0085497F"/>
    <w:rsid w:val="00854F7C"/>
    <w:rsid w:val="008555D0"/>
    <w:rsid w:val="00856373"/>
    <w:rsid w:val="00856A79"/>
    <w:rsid w:val="00856EC5"/>
    <w:rsid w:val="00856F37"/>
    <w:rsid w:val="008570E0"/>
    <w:rsid w:val="00857103"/>
    <w:rsid w:val="008572D5"/>
    <w:rsid w:val="00860495"/>
    <w:rsid w:val="00862480"/>
    <w:rsid w:val="00862508"/>
    <w:rsid w:val="00862614"/>
    <w:rsid w:val="00862E2E"/>
    <w:rsid w:val="00862F03"/>
    <w:rsid w:val="00863079"/>
    <w:rsid w:val="008634E0"/>
    <w:rsid w:val="00863DA7"/>
    <w:rsid w:val="00864A36"/>
    <w:rsid w:val="00864A5F"/>
    <w:rsid w:val="0086513B"/>
    <w:rsid w:val="0086564D"/>
    <w:rsid w:val="008656BD"/>
    <w:rsid w:val="00865B7E"/>
    <w:rsid w:val="00865EC8"/>
    <w:rsid w:val="00866559"/>
    <w:rsid w:val="00866C04"/>
    <w:rsid w:val="0086711A"/>
    <w:rsid w:val="008700BC"/>
    <w:rsid w:val="008700D1"/>
    <w:rsid w:val="008722A7"/>
    <w:rsid w:val="00872474"/>
    <w:rsid w:val="0087283C"/>
    <w:rsid w:val="00872B60"/>
    <w:rsid w:val="008736F5"/>
    <w:rsid w:val="00873824"/>
    <w:rsid w:val="008738C1"/>
    <w:rsid w:val="008739AA"/>
    <w:rsid w:val="00874EA0"/>
    <w:rsid w:val="00875E1B"/>
    <w:rsid w:val="00875FBF"/>
    <w:rsid w:val="008766F7"/>
    <w:rsid w:val="008767E0"/>
    <w:rsid w:val="00876CF3"/>
    <w:rsid w:val="00876E4B"/>
    <w:rsid w:val="00877905"/>
    <w:rsid w:val="00877C61"/>
    <w:rsid w:val="00880999"/>
    <w:rsid w:val="0088145C"/>
    <w:rsid w:val="00881916"/>
    <w:rsid w:val="00881B97"/>
    <w:rsid w:val="00881C93"/>
    <w:rsid w:val="00881D46"/>
    <w:rsid w:val="00881F8F"/>
    <w:rsid w:val="008826A2"/>
    <w:rsid w:val="00882D1F"/>
    <w:rsid w:val="00882F77"/>
    <w:rsid w:val="008833D9"/>
    <w:rsid w:val="0088478E"/>
    <w:rsid w:val="0088479F"/>
    <w:rsid w:val="00884DCE"/>
    <w:rsid w:val="0088557F"/>
    <w:rsid w:val="0088589D"/>
    <w:rsid w:val="0088597B"/>
    <w:rsid w:val="0088602E"/>
    <w:rsid w:val="00887A5E"/>
    <w:rsid w:val="00887BC2"/>
    <w:rsid w:val="00890045"/>
    <w:rsid w:val="0089016F"/>
    <w:rsid w:val="008907B2"/>
    <w:rsid w:val="00891310"/>
    <w:rsid w:val="00891464"/>
    <w:rsid w:val="0089218B"/>
    <w:rsid w:val="0089241B"/>
    <w:rsid w:val="00892725"/>
    <w:rsid w:val="008929EB"/>
    <w:rsid w:val="00892B30"/>
    <w:rsid w:val="00892E38"/>
    <w:rsid w:val="00892F01"/>
    <w:rsid w:val="00893342"/>
    <w:rsid w:val="008948FD"/>
    <w:rsid w:val="00895094"/>
    <w:rsid w:val="0089553D"/>
    <w:rsid w:val="0089601E"/>
    <w:rsid w:val="008962BF"/>
    <w:rsid w:val="00896FEB"/>
    <w:rsid w:val="008970F0"/>
    <w:rsid w:val="00897F66"/>
    <w:rsid w:val="008A00A7"/>
    <w:rsid w:val="008A047D"/>
    <w:rsid w:val="008A0596"/>
    <w:rsid w:val="008A09B0"/>
    <w:rsid w:val="008A1EA6"/>
    <w:rsid w:val="008A1EC2"/>
    <w:rsid w:val="008A1F94"/>
    <w:rsid w:val="008A223B"/>
    <w:rsid w:val="008A2371"/>
    <w:rsid w:val="008A257D"/>
    <w:rsid w:val="008A25F3"/>
    <w:rsid w:val="008A2961"/>
    <w:rsid w:val="008A38C2"/>
    <w:rsid w:val="008A38E5"/>
    <w:rsid w:val="008A3BF6"/>
    <w:rsid w:val="008A433D"/>
    <w:rsid w:val="008A44B6"/>
    <w:rsid w:val="008A5255"/>
    <w:rsid w:val="008A54FD"/>
    <w:rsid w:val="008A559A"/>
    <w:rsid w:val="008A7408"/>
    <w:rsid w:val="008B039F"/>
    <w:rsid w:val="008B08B0"/>
    <w:rsid w:val="008B0C7A"/>
    <w:rsid w:val="008B1546"/>
    <w:rsid w:val="008B1FB2"/>
    <w:rsid w:val="008B2460"/>
    <w:rsid w:val="008B2A4A"/>
    <w:rsid w:val="008B2B5E"/>
    <w:rsid w:val="008B3031"/>
    <w:rsid w:val="008B3724"/>
    <w:rsid w:val="008B3B83"/>
    <w:rsid w:val="008B3E58"/>
    <w:rsid w:val="008B43D1"/>
    <w:rsid w:val="008B48FF"/>
    <w:rsid w:val="008B4CE0"/>
    <w:rsid w:val="008B5429"/>
    <w:rsid w:val="008B55AB"/>
    <w:rsid w:val="008B5C4B"/>
    <w:rsid w:val="008B5E1F"/>
    <w:rsid w:val="008B677E"/>
    <w:rsid w:val="008B689D"/>
    <w:rsid w:val="008B6F87"/>
    <w:rsid w:val="008B7141"/>
    <w:rsid w:val="008B719F"/>
    <w:rsid w:val="008B789A"/>
    <w:rsid w:val="008B7FF3"/>
    <w:rsid w:val="008C047A"/>
    <w:rsid w:val="008C0D60"/>
    <w:rsid w:val="008C0EDC"/>
    <w:rsid w:val="008C1CB6"/>
    <w:rsid w:val="008C23D3"/>
    <w:rsid w:val="008C28F7"/>
    <w:rsid w:val="008C356E"/>
    <w:rsid w:val="008C4531"/>
    <w:rsid w:val="008C54A5"/>
    <w:rsid w:val="008C5B0B"/>
    <w:rsid w:val="008C605F"/>
    <w:rsid w:val="008C6CA4"/>
    <w:rsid w:val="008C6CB2"/>
    <w:rsid w:val="008C6E5B"/>
    <w:rsid w:val="008C7691"/>
    <w:rsid w:val="008C79CA"/>
    <w:rsid w:val="008D019B"/>
    <w:rsid w:val="008D04C3"/>
    <w:rsid w:val="008D0786"/>
    <w:rsid w:val="008D086B"/>
    <w:rsid w:val="008D0D2B"/>
    <w:rsid w:val="008D1618"/>
    <w:rsid w:val="008D189C"/>
    <w:rsid w:val="008D2ACD"/>
    <w:rsid w:val="008D2CB9"/>
    <w:rsid w:val="008D2E21"/>
    <w:rsid w:val="008D360A"/>
    <w:rsid w:val="008D3746"/>
    <w:rsid w:val="008D3BD4"/>
    <w:rsid w:val="008D47C0"/>
    <w:rsid w:val="008D4B4B"/>
    <w:rsid w:val="008D4EF1"/>
    <w:rsid w:val="008D52F2"/>
    <w:rsid w:val="008D534E"/>
    <w:rsid w:val="008D5702"/>
    <w:rsid w:val="008D5AFE"/>
    <w:rsid w:val="008D5B63"/>
    <w:rsid w:val="008D6C5E"/>
    <w:rsid w:val="008E12E6"/>
    <w:rsid w:val="008E16A0"/>
    <w:rsid w:val="008E2658"/>
    <w:rsid w:val="008E2768"/>
    <w:rsid w:val="008E2840"/>
    <w:rsid w:val="008E2896"/>
    <w:rsid w:val="008E2F38"/>
    <w:rsid w:val="008E3513"/>
    <w:rsid w:val="008E3827"/>
    <w:rsid w:val="008E3CEE"/>
    <w:rsid w:val="008E5391"/>
    <w:rsid w:val="008E58A9"/>
    <w:rsid w:val="008E59EB"/>
    <w:rsid w:val="008E6296"/>
    <w:rsid w:val="008E6633"/>
    <w:rsid w:val="008E66B5"/>
    <w:rsid w:val="008F0133"/>
    <w:rsid w:val="008F0752"/>
    <w:rsid w:val="008F0A0E"/>
    <w:rsid w:val="008F0D20"/>
    <w:rsid w:val="008F0FAB"/>
    <w:rsid w:val="008F1717"/>
    <w:rsid w:val="008F1AE7"/>
    <w:rsid w:val="008F233C"/>
    <w:rsid w:val="008F26C6"/>
    <w:rsid w:val="008F2869"/>
    <w:rsid w:val="008F28E0"/>
    <w:rsid w:val="008F2D33"/>
    <w:rsid w:val="008F2D59"/>
    <w:rsid w:val="008F2D80"/>
    <w:rsid w:val="008F3496"/>
    <w:rsid w:val="008F3E08"/>
    <w:rsid w:val="008F4324"/>
    <w:rsid w:val="008F4387"/>
    <w:rsid w:val="008F458F"/>
    <w:rsid w:val="008F4D6D"/>
    <w:rsid w:val="008F5C54"/>
    <w:rsid w:val="008F5D5E"/>
    <w:rsid w:val="008F5D79"/>
    <w:rsid w:val="008F693E"/>
    <w:rsid w:val="008F6D50"/>
    <w:rsid w:val="008F6E62"/>
    <w:rsid w:val="008F720C"/>
    <w:rsid w:val="008F7363"/>
    <w:rsid w:val="008F7589"/>
    <w:rsid w:val="0090074C"/>
    <w:rsid w:val="009009C4"/>
    <w:rsid w:val="00900FD3"/>
    <w:rsid w:val="00901CBB"/>
    <w:rsid w:val="00901D3C"/>
    <w:rsid w:val="00902221"/>
    <w:rsid w:val="009027E8"/>
    <w:rsid w:val="00902DB1"/>
    <w:rsid w:val="00903774"/>
    <w:rsid w:val="00903937"/>
    <w:rsid w:val="009040A3"/>
    <w:rsid w:val="00904126"/>
    <w:rsid w:val="009053F3"/>
    <w:rsid w:val="009056AC"/>
    <w:rsid w:val="009056EB"/>
    <w:rsid w:val="00905AFD"/>
    <w:rsid w:val="00905C49"/>
    <w:rsid w:val="00905CEC"/>
    <w:rsid w:val="00905E14"/>
    <w:rsid w:val="00907063"/>
    <w:rsid w:val="00907118"/>
    <w:rsid w:val="00907792"/>
    <w:rsid w:val="00907813"/>
    <w:rsid w:val="00910617"/>
    <w:rsid w:val="0091142A"/>
    <w:rsid w:val="009116CF"/>
    <w:rsid w:val="00911AA4"/>
    <w:rsid w:val="00912230"/>
    <w:rsid w:val="009123E1"/>
    <w:rsid w:val="00912D3E"/>
    <w:rsid w:val="009139E1"/>
    <w:rsid w:val="00913B46"/>
    <w:rsid w:val="00913BFF"/>
    <w:rsid w:val="00913FF4"/>
    <w:rsid w:val="0091473A"/>
    <w:rsid w:val="00914E1E"/>
    <w:rsid w:val="00915174"/>
    <w:rsid w:val="00915C13"/>
    <w:rsid w:val="00915E03"/>
    <w:rsid w:val="00915F4D"/>
    <w:rsid w:val="00916366"/>
    <w:rsid w:val="0091713E"/>
    <w:rsid w:val="00917417"/>
    <w:rsid w:val="00917D2F"/>
    <w:rsid w:val="00917EAF"/>
    <w:rsid w:val="00920448"/>
    <w:rsid w:val="0092096E"/>
    <w:rsid w:val="00920E97"/>
    <w:rsid w:val="00920EBF"/>
    <w:rsid w:val="0092195A"/>
    <w:rsid w:val="00921CDF"/>
    <w:rsid w:val="00923230"/>
    <w:rsid w:val="0092364C"/>
    <w:rsid w:val="00923835"/>
    <w:rsid w:val="009246E5"/>
    <w:rsid w:val="00924AC1"/>
    <w:rsid w:val="00924E59"/>
    <w:rsid w:val="009250AF"/>
    <w:rsid w:val="00925B14"/>
    <w:rsid w:val="00925BD0"/>
    <w:rsid w:val="00926A08"/>
    <w:rsid w:val="00927C3E"/>
    <w:rsid w:val="009300BE"/>
    <w:rsid w:val="00930B0A"/>
    <w:rsid w:val="009311C5"/>
    <w:rsid w:val="0093200C"/>
    <w:rsid w:val="009328B7"/>
    <w:rsid w:val="00932A5A"/>
    <w:rsid w:val="00932EC5"/>
    <w:rsid w:val="00933078"/>
    <w:rsid w:val="009337B7"/>
    <w:rsid w:val="00933B46"/>
    <w:rsid w:val="0093401A"/>
    <w:rsid w:val="009342D5"/>
    <w:rsid w:val="00934D32"/>
    <w:rsid w:val="009358D2"/>
    <w:rsid w:val="00935907"/>
    <w:rsid w:val="00935CD6"/>
    <w:rsid w:val="00935D12"/>
    <w:rsid w:val="00936040"/>
    <w:rsid w:val="00936047"/>
    <w:rsid w:val="00936559"/>
    <w:rsid w:val="009370CE"/>
    <w:rsid w:val="0093781E"/>
    <w:rsid w:val="00937CF6"/>
    <w:rsid w:val="00940A5F"/>
    <w:rsid w:val="00940AC3"/>
    <w:rsid w:val="00940CD1"/>
    <w:rsid w:val="00940F99"/>
    <w:rsid w:val="00941368"/>
    <w:rsid w:val="009414DB"/>
    <w:rsid w:val="0094268C"/>
    <w:rsid w:val="009426A2"/>
    <w:rsid w:val="00942D55"/>
    <w:rsid w:val="009434F1"/>
    <w:rsid w:val="00943573"/>
    <w:rsid w:val="00943BEA"/>
    <w:rsid w:val="00944C86"/>
    <w:rsid w:val="00944D27"/>
    <w:rsid w:val="00944DCE"/>
    <w:rsid w:val="00944E95"/>
    <w:rsid w:val="00945208"/>
    <w:rsid w:val="009460AC"/>
    <w:rsid w:val="009467FF"/>
    <w:rsid w:val="00946833"/>
    <w:rsid w:val="00946881"/>
    <w:rsid w:val="00946A68"/>
    <w:rsid w:val="00946D8E"/>
    <w:rsid w:val="009470B5"/>
    <w:rsid w:val="00947ABA"/>
    <w:rsid w:val="00947DF1"/>
    <w:rsid w:val="0095101E"/>
    <w:rsid w:val="00951DC2"/>
    <w:rsid w:val="00951FAE"/>
    <w:rsid w:val="00952120"/>
    <w:rsid w:val="0095262D"/>
    <w:rsid w:val="00952753"/>
    <w:rsid w:val="00953AE3"/>
    <w:rsid w:val="009541B6"/>
    <w:rsid w:val="009542E1"/>
    <w:rsid w:val="00954A94"/>
    <w:rsid w:val="00954C4E"/>
    <w:rsid w:val="009550AB"/>
    <w:rsid w:val="009562CC"/>
    <w:rsid w:val="00956B5D"/>
    <w:rsid w:val="00957046"/>
    <w:rsid w:val="00957C34"/>
    <w:rsid w:val="00957C3B"/>
    <w:rsid w:val="0096046D"/>
    <w:rsid w:val="00960D2F"/>
    <w:rsid w:val="00960E95"/>
    <w:rsid w:val="00960F1F"/>
    <w:rsid w:val="00961071"/>
    <w:rsid w:val="009612FA"/>
    <w:rsid w:val="009618EC"/>
    <w:rsid w:val="00961A22"/>
    <w:rsid w:val="00961FE0"/>
    <w:rsid w:val="00962031"/>
    <w:rsid w:val="0096299B"/>
    <w:rsid w:val="00962B9C"/>
    <w:rsid w:val="00962EE3"/>
    <w:rsid w:val="009631AE"/>
    <w:rsid w:val="00963AAB"/>
    <w:rsid w:val="00963E57"/>
    <w:rsid w:val="00964140"/>
    <w:rsid w:val="0096471F"/>
    <w:rsid w:val="00964723"/>
    <w:rsid w:val="00965EB2"/>
    <w:rsid w:val="00966013"/>
    <w:rsid w:val="0096613A"/>
    <w:rsid w:val="009661D3"/>
    <w:rsid w:val="009667DC"/>
    <w:rsid w:val="009674B6"/>
    <w:rsid w:val="00967B4B"/>
    <w:rsid w:val="009706A5"/>
    <w:rsid w:val="00970D97"/>
    <w:rsid w:val="0097108F"/>
    <w:rsid w:val="00971985"/>
    <w:rsid w:val="00971AA3"/>
    <w:rsid w:val="00971CE4"/>
    <w:rsid w:val="00971EB3"/>
    <w:rsid w:val="009727F7"/>
    <w:rsid w:val="00972B10"/>
    <w:rsid w:val="00973662"/>
    <w:rsid w:val="00973683"/>
    <w:rsid w:val="009742D9"/>
    <w:rsid w:val="0097433B"/>
    <w:rsid w:val="00974A2E"/>
    <w:rsid w:val="00975784"/>
    <w:rsid w:val="00975B94"/>
    <w:rsid w:val="00975CBD"/>
    <w:rsid w:val="00975DAF"/>
    <w:rsid w:val="009763D7"/>
    <w:rsid w:val="0097686D"/>
    <w:rsid w:val="00976EA9"/>
    <w:rsid w:val="00977091"/>
    <w:rsid w:val="00977218"/>
    <w:rsid w:val="009778DB"/>
    <w:rsid w:val="00977DDF"/>
    <w:rsid w:val="00977EFA"/>
    <w:rsid w:val="0098020F"/>
    <w:rsid w:val="00980647"/>
    <w:rsid w:val="009815F5"/>
    <w:rsid w:val="0098197B"/>
    <w:rsid w:val="00981AFA"/>
    <w:rsid w:val="009821D9"/>
    <w:rsid w:val="009828DC"/>
    <w:rsid w:val="009833DA"/>
    <w:rsid w:val="00984FD2"/>
    <w:rsid w:val="00986150"/>
    <w:rsid w:val="009868D4"/>
    <w:rsid w:val="009871B2"/>
    <w:rsid w:val="00987573"/>
    <w:rsid w:val="009877A6"/>
    <w:rsid w:val="00987926"/>
    <w:rsid w:val="00987A0E"/>
    <w:rsid w:val="009902C9"/>
    <w:rsid w:val="00990714"/>
    <w:rsid w:val="00990FF5"/>
    <w:rsid w:val="00991273"/>
    <w:rsid w:val="009912F5"/>
    <w:rsid w:val="009922B9"/>
    <w:rsid w:val="009923ED"/>
    <w:rsid w:val="009929D0"/>
    <w:rsid w:val="009934F6"/>
    <w:rsid w:val="00993EAE"/>
    <w:rsid w:val="00993EEE"/>
    <w:rsid w:val="0099419A"/>
    <w:rsid w:val="009950E6"/>
    <w:rsid w:val="009956CD"/>
    <w:rsid w:val="00995A11"/>
    <w:rsid w:val="0099630D"/>
    <w:rsid w:val="009965CB"/>
    <w:rsid w:val="009966EA"/>
    <w:rsid w:val="00996D5A"/>
    <w:rsid w:val="00996E3D"/>
    <w:rsid w:val="00997564"/>
    <w:rsid w:val="00997569"/>
    <w:rsid w:val="00997B8F"/>
    <w:rsid w:val="00997BF2"/>
    <w:rsid w:val="009A0066"/>
    <w:rsid w:val="009A0947"/>
    <w:rsid w:val="009A0D05"/>
    <w:rsid w:val="009A12C9"/>
    <w:rsid w:val="009A1594"/>
    <w:rsid w:val="009A1D06"/>
    <w:rsid w:val="009A1D1E"/>
    <w:rsid w:val="009A1D91"/>
    <w:rsid w:val="009A21C6"/>
    <w:rsid w:val="009A2A44"/>
    <w:rsid w:val="009A2FB3"/>
    <w:rsid w:val="009A3060"/>
    <w:rsid w:val="009A30CF"/>
    <w:rsid w:val="009A3B0C"/>
    <w:rsid w:val="009A3C95"/>
    <w:rsid w:val="009A3CF1"/>
    <w:rsid w:val="009A3E9F"/>
    <w:rsid w:val="009A3F80"/>
    <w:rsid w:val="009A51FE"/>
    <w:rsid w:val="009A56C9"/>
    <w:rsid w:val="009A5AA5"/>
    <w:rsid w:val="009A5CC8"/>
    <w:rsid w:val="009A65D6"/>
    <w:rsid w:val="009A696F"/>
    <w:rsid w:val="009A7579"/>
    <w:rsid w:val="009A78E9"/>
    <w:rsid w:val="009B00AE"/>
    <w:rsid w:val="009B02C6"/>
    <w:rsid w:val="009B09B9"/>
    <w:rsid w:val="009B0DCD"/>
    <w:rsid w:val="009B0EDE"/>
    <w:rsid w:val="009B17B8"/>
    <w:rsid w:val="009B1852"/>
    <w:rsid w:val="009B1ADA"/>
    <w:rsid w:val="009B1D11"/>
    <w:rsid w:val="009B22A2"/>
    <w:rsid w:val="009B25A7"/>
    <w:rsid w:val="009B2667"/>
    <w:rsid w:val="009B2892"/>
    <w:rsid w:val="009B2C57"/>
    <w:rsid w:val="009B36F1"/>
    <w:rsid w:val="009B3ABC"/>
    <w:rsid w:val="009B3CBD"/>
    <w:rsid w:val="009B4879"/>
    <w:rsid w:val="009B4B2E"/>
    <w:rsid w:val="009B500F"/>
    <w:rsid w:val="009B5172"/>
    <w:rsid w:val="009B5871"/>
    <w:rsid w:val="009B5BC6"/>
    <w:rsid w:val="009B5EEF"/>
    <w:rsid w:val="009B5FF3"/>
    <w:rsid w:val="009B6018"/>
    <w:rsid w:val="009B6456"/>
    <w:rsid w:val="009B653A"/>
    <w:rsid w:val="009B687E"/>
    <w:rsid w:val="009B6D00"/>
    <w:rsid w:val="009B6E0B"/>
    <w:rsid w:val="009B6EDD"/>
    <w:rsid w:val="009B72A6"/>
    <w:rsid w:val="009B7401"/>
    <w:rsid w:val="009B7778"/>
    <w:rsid w:val="009C09E8"/>
    <w:rsid w:val="009C0B4B"/>
    <w:rsid w:val="009C0D47"/>
    <w:rsid w:val="009C2417"/>
    <w:rsid w:val="009C24DB"/>
    <w:rsid w:val="009C26F4"/>
    <w:rsid w:val="009C29E5"/>
    <w:rsid w:val="009C32BD"/>
    <w:rsid w:val="009C371B"/>
    <w:rsid w:val="009C3923"/>
    <w:rsid w:val="009C3969"/>
    <w:rsid w:val="009C3D16"/>
    <w:rsid w:val="009C3EC8"/>
    <w:rsid w:val="009C465E"/>
    <w:rsid w:val="009C46A3"/>
    <w:rsid w:val="009C4BB9"/>
    <w:rsid w:val="009C5526"/>
    <w:rsid w:val="009C55A5"/>
    <w:rsid w:val="009C575B"/>
    <w:rsid w:val="009C5E59"/>
    <w:rsid w:val="009C6309"/>
    <w:rsid w:val="009C698F"/>
    <w:rsid w:val="009C6A08"/>
    <w:rsid w:val="009C72F6"/>
    <w:rsid w:val="009D016E"/>
    <w:rsid w:val="009D054B"/>
    <w:rsid w:val="009D0BBC"/>
    <w:rsid w:val="009D0D14"/>
    <w:rsid w:val="009D16EF"/>
    <w:rsid w:val="009D1C9E"/>
    <w:rsid w:val="009D1EBB"/>
    <w:rsid w:val="009D2822"/>
    <w:rsid w:val="009D2854"/>
    <w:rsid w:val="009D2FC9"/>
    <w:rsid w:val="009D3026"/>
    <w:rsid w:val="009D334B"/>
    <w:rsid w:val="009D3698"/>
    <w:rsid w:val="009D3D64"/>
    <w:rsid w:val="009D4B8A"/>
    <w:rsid w:val="009D4ED9"/>
    <w:rsid w:val="009D4FC3"/>
    <w:rsid w:val="009D6289"/>
    <w:rsid w:val="009D74F8"/>
    <w:rsid w:val="009D77C6"/>
    <w:rsid w:val="009D788F"/>
    <w:rsid w:val="009D7DF7"/>
    <w:rsid w:val="009E07E6"/>
    <w:rsid w:val="009E0A7A"/>
    <w:rsid w:val="009E1434"/>
    <w:rsid w:val="009E1619"/>
    <w:rsid w:val="009E1690"/>
    <w:rsid w:val="009E173C"/>
    <w:rsid w:val="009E18AE"/>
    <w:rsid w:val="009E2174"/>
    <w:rsid w:val="009E2C75"/>
    <w:rsid w:val="009E2F2B"/>
    <w:rsid w:val="009E3957"/>
    <w:rsid w:val="009E4181"/>
    <w:rsid w:val="009E4201"/>
    <w:rsid w:val="009E4C04"/>
    <w:rsid w:val="009E4F92"/>
    <w:rsid w:val="009E52DA"/>
    <w:rsid w:val="009E56B9"/>
    <w:rsid w:val="009E586A"/>
    <w:rsid w:val="009E58E1"/>
    <w:rsid w:val="009E5CEF"/>
    <w:rsid w:val="009E5F92"/>
    <w:rsid w:val="009E6387"/>
    <w:rsid w:val="009E690D"/>
    <w:rsid w:val="009E6FA1"/>
    <w:rsid w:val="009E7BDE"/>
    <w:rsid w:val="009E7C0C"/>
    <w:rsid w:val="009F0149"/>
    <w:rsid w:val="009F0163"/>
    <w:rsid w:val="009F0C65"/>
    <w:rsid w:val="009F1161"/>
    <w:rsid w:val="009F13F0"/>
    <w:rsid w:val="009F1AAD"/>
    <w:rsid w:val="009F236D"/>
    <w:rsid w:val="009F26F4"/>
    <w:rsid w:val="009F2F1A"/>
    <w:rsid w:val="009F32D2"/>
    <w:rsid w:val="009F35F9"/>
    <w:rsid w:val="009F38B5"/>
    <w:rsid w:val="009F4860"/>
    <w:rsid w:val="009F4A31"/>
    <w:rsid w:val="009F5211"/>
    <w:rsid w:val="009F52A4"/>
    <w:rsid w:val="009F5A92"/>
    <w:rsid w:val="009F5B9B"/>
    <w:rsid w:val="009F5C68"/>
    <w:rsid w:val="009F5FAC"/>
    <w:rsid w:val="009F6215"/>
    <w:rsid w:val="009F62E5"/>
    <w:rsid w:val="009F6D7D"/>
    <w:rsid w:val="009F7226"/>
    <w:rsid w:val="009F728F"/>
    <w:rsid w:val="009F7563"/>
    <w:rsid w:val="009F7783"/>
    <w:rsid w:val="00A0014A"/>
    <w:rsid w:val="00A0030C"/>
    <w:rsid w:val="00A00DAB"/>
    <w:rsid w:val="00A0146B"/>
    <w:rsid w:val="00A0156B"/>
    <w:rsid w:val="00A0255A"/>
    <w:rsid w:val="00A02E00"/>
    <w:rsid w:val="00A02F2C"/>
    <w:rsid w:val="00A03113"/>
    <w:rsid w:val="00A033B6"/>
    <w:rsid w:val="00A03BEB"/>
    <w:rsid w:val="00A03CEF"/>
    <w:rsid w:val="00A03D64"/>
    <w:rsid w:val="00A04596"/>
    <w:rsid w:val="00A04B93"/>
    <w:rsid w:val="00A05005"/>
    <w:rsid w:val="00A051F0"/>
    <w:rsid w:val="00A05267"/>
    <w:rsid w:val="00A05426"/>
    <w:rsid w:val="00A0572D"/>
    <w:rsid w:val="00A05A71"/>
    <w:rsid w:val="00A05D8D"/>
    <w:rsid w:val="00A062B2"/>
    <w:rsid w:val="00A07277"/>
    <w:rsid w:val="00A07663"/>
    <w:rsid w:val="00A07A61"/>
    <w:rsid w:val="00A07E13"/>
    <w:rsid w:val="00A102BA"/>
    <w:rsid w:val="00A10421"/>
    <w:rsid w:val="00A10606"/>
    <w:rsid w:val="00A10D9B"/>
    <w:rsid w:val="00A11139"/>
    <w:rsid w:val="00A117E9"/>
    <w:rsid w:val="00A11AC5"/>
    <w:rsid w:val="00A11B2E"/>
    <w:rsid w:val="00A143CB"/>
    <w:rsid w:val="00A14DD5"/>
    <w:rsid w:val="00A156E3"/>
    <w:rsid w:val="00A1580E"/>
    <w:rsid w:val="00A15D38"/>
    <w:rsid w:val="00A16517"/>
    <w:rsid w:val="00A16B93"/>
    <w:rsid w:val="00A16BEA"/>
    <w:rsid w:val="00A16D45"/>
    <w:rsid w:val="00A1709B"/>
    <w:rsid w:val="00A178EC"/>
    <w:rsid w:val="00A201C8"/>
    <w:rsid w:val="00A205B8"/>
    <w:rsid w:val="00A20E4B"/>
    <w:rsid w:val="00A21683"/>
    <w:rsid w:val="00A217BD"/>
    <w:rsid w:val="00A219DA"/>
    <w:rsid w:val="00A21B1B"/>
    <w:rsid w:val="00A21F32"/>
    <w:rsid w:val="00A2226B"/>
    <w:rsid w:val="00A248AC"/>
    <w:rsid w:val="00A24E1A"/>
    <w:rsid w:val="00A24E38"/>
    <w:rsid w:val="00A2673F"/>
    <w:rsid w:val="00A267AB"/>
    <w:rsid w:val="00A2766A"/>
    <w:rsid w:val="00A27942"/>
    <w:rsid w:val="00A27AF0"/>
    <w:rsid w:val="00A3078E"/>
    <w:rsid w:val="00A308BC"/>
    <w:rsid w:val="00A30A0B"/>
    <w:rsid w:val="00A3116D"/>
    <w:rsid w:val="00A31BC2"/>
    <w:rsid w:val="00A32239"/>
    <w:rsid w:val="00A324EF"/>
    <w:rsid w:val="00A33328"/>
    <w:rsid w:val="00A335FC"/>
    <w:rsid w:val="00A33CC0"/>
    <w:rsid w:val="00A34013"/>
    <w:rsid w:val="00A34383"/>
    <w:rsid w:val="00A34425"/>
    <w:rsid w:val="00A35179"/>
    <w:rsid w:val="00A35272"/>
    <w:rsid w:val="00A3545B"/>
    <w:rsid w:val="00A35A1B"/>
    <w:rsid w:val="00A35C5C"/>
    <w:rsid w:val="00A36099"/>
    <w:rsid w:val="00A3630C"/>
    <w:rsid w:val="00A3631F"/>
    <w:rsid w:val="00A3653A"/>
    <w:rsid w:val="00A36C45"/>
    <w:rsid w:val="00A36CC9"/>
    <w:rsid w:val="00A37A8D"/>
    <w:rsid w:val="00A37CF4"/>
    <w:rsid w:val="00A37DA1"/>
    <w:rsid w:val="00A400C7"/>
    <w:rsid w:val="00A40774"/>
    <w:rsid w:val="00A40BF6"/>
    <w:rsid w:val="00A40DD2"/>
    <w:rsid w:val="00A40E96"/>
    <w:rsid w:val="00A411F4"/>
    <w:rsid w:val="00A41218"/>
    <w:rsid w:val="00A413D3"/>
    <w:rsid w:val="00A42705"/>
    <w:rsid w:val="00A428E0"/>
    <w:rsid w:val="00A42B66"/>
    <w:rsid w:val="00A42D69"/>
    <w:rsid w:val="00A42E48"/>
    <w:rsid w:val="00A42F40"/>
    <w:rsid w:val="00A43051"/>
    <w:rsid w:val="00A453A9"/>
    <w:rsid w:val="00A455E4"/>
    <w:rsid w:val="00A46021"/>
    <w:rsid w:val="00A46B1B"/>
    <w:rsid w:val="00A46C69"/>
    <w:rsid w:val="00A47535"/>
    <w:rsid w:val="00A47565"/>
    <w:rsid w:val="00A506B9"/>
    <w:rsid w:val="00A51460"/>
    <w:rsid w:val="00A52F40"/>
    <w:rsid w:val="00A5405A"/>
    <w:rsid w:val="00A540DD"/>
    <w:rsid w:val="00A547E7"/>
    <w:rsid w:val="00A549D4"/>
    <w:rsid w:val="00A54EA9"/>
    <w:rsid w:val="00A55662"/>
    <w:rsid w:val="00A5576A"/>
    <w:rsid w:val="00A55FDB"/>
    <w:rsid w:val="00A564B0"/>
    <w:rsid w:val="00A56C35"/>
    <w:rsid w:val="00A56E8F"/>
    <w:rsid w:val="00A57299"/>
    <w:rsid w:val="00A575CC"/>
    <w:rsid w:val="00A57A79"/>
    <w:rsid w:val="00A57B99"/>
    <w:rsid w:val="00A57E7C"/>
    <w:rsid w:val="00A57ECE"/>
    <w:rsid w:val="00A60157"/>
    <w:rsid w:val="00A60439"/>
    <w:rsid w:val="00A60B5F"/>
    <w:rsid w:val="00A60D58"/>
    <w:rsid w:val="00A61198"/>
    <w:rsid w:val="00A61AB1"/>
    <w:rsid w:val="00A61E0F"/>
    <w:rsid w:val="00A6200B"/>
    <w:rsid w:val="00A63309"/>
    <w:rsid w:val="00A63313"/>
    <w:rsid w:val="00A638EA"/>
    <w:rsid w:val="00A63B32"/>
    <w:rsid w:val="00A63E9C"/>
    <w:rsid w:val="00A6416B"/>
    <w:rsid w:val="00A647EB"/>
    <w:rsid w:val="00A64950"/>
    <w:rsid w:val="00A64A50"/>
    <w:rsid w:val="00A6508C"/>
    <w:rsid w:val="00A652A7"/>
    <w:rsid w:val="00A65497"/>
    <w:rsid w:val="00A65D0B"/>
    <w:rsid w:val="00A65D9C"/>
    <w:rsid w:val="00A66D9C"/>
    <w:rsid w:val="00A67836"/>
    <w:rsid w:val="00A702A8"/>
    <w:rsid w:val="00A70DA5"/>
    <w:rsid w:val="00A70E68"/>
    <w:rsid w:val="00A7199E"/>
    <w:rsid w:val="00A733A0"/>
    <w:rsid w:val="00A743B4"/>
    <w:rsid w:val="00A76055"/>
    <w:rsid w:val="00A76D9C"/>
    <w:rsid w:val="00A77CF0"/>
    <w:rsid w:val="00A77FBC"/>
    <w:rsid w:val="00A8027D"/>
    <w:rsid w:val="00A80A5E"/>
    <w:rsid w:val="00A80D38"/>
    <w:rsid w:val="00A81172"/>
    <w:rsid w:val="00A811CD"/>
    <w:rsid w:val="00A815A2"/>
    <w:rsid w:val="00A817E1"/>
    <w:rsid w:val="00A81CCC"/>
    <w:rsid w:val="00A82E27"/>
    <w:rsid w:val="00A83149"/>
    <w:rsid w:val="00A832D8"/>
    <w:rsid w:val="00A8357B"/>
    <w:rsid w:val="00A84092"/>
    <w:rsid w:val="00A840EB"/>
    <w:rsid w:val="00A8417C"/>
    <w:rsid w:val="00A84323"/>
    <w:rsid w:val="00A843DE"/>
    <w:rsid w:val="00A84616"/>
    <w:rsid w:val="00A8474F"/>
    <w:rsid w:val="00A8529E"/>
    <w:rsid w:val="00A8583B"/>
    <w:rsid w:val="00A85E77"/>
    <w:rsid w:val="00A86127"/>
    <w:rsid w:val="00A862C2"/>
    <w:rsid w:val="00A87245"/>
    <w:rsid w:val="00A87EF6"/>
    <w:rsid w:val="00A90105"/>
    <w:rsid w:val="00A901BA"/>
    <w:rsid w:val="00A902FF"/>
    <w:rsid w:val="00A90667"/>
    <w:rsid w:val="00A90E9D"/>
    <w:rsid w:val="00A91171"/>
    <w:rsid w:val="00A915F2"/>
    <w:rsid w:val="00A91AC1"/>
    <w:rsid w:val="00A91F24"/>
    <w:rsid w:val="00A92178"/>
    <w:rsid w:val="00A9267F"/>
    <w:rsid w:val="00A92D16"/>
    <w:rsid w:val="00A9314B"/>
    <w:rsid w:val="00A937EB"/>
    <w:rsid w:val="00A93AF8"/>
    <w:rsid w:val="00A946E4"/>
    <w:rsid w:val="00A957C0"/>
    <w:rsid w:val="00A958BD"/>
    <w:rsid w:val="00A959FD"/>
    <w:rsid w:val="00A95AD3"/>
    <w:rsid w:val="00A95DEA"/>
    <w:rsid w:val="00A95F58"/>
    <w:rsid w:val="00A9620A"/>
    <w:rsid w:val="00A96AF5"/>
    <w:rsid w:val="00A979E9"/>
    <w:rsid w:val="00A97A51"/>
    <w:rsid w:val="00A97B20"/>
    <w:rsid w:val="00A97FBE"/>
    <w:rsid w:val="00AA0120"/>
    <w:rsid w:val="00AA0300"/>
    <w:rsid w:val="00AA17D1"/>
    <w:rsid w:val="00AA1954"/>
    <w:rsid w:val="00AA19FC"/>
    <w:rsid w:val="00AA1C57"/>
    <w:rsid w:val="00AA20EA"/>
    <w:rsid w:val="00AA2176"/>
    <w:rsid w:val="00AA25B6"/>
    <w:rsid w:val="00AA26F9"/>
    <w:rsid w:val="00AA276B"/>
    <w:rsid w:val="00AA281A"/>
    <w:rsid w:val="00AA2A12"/>
    <w:rsid w:val="00AA3261"/>
    <w:rsid w:val="00AA33D6"/>
    <w:rsid w:val="00AA3589"/>
    <w:rsid w:val="00AA3D68"/>
    <w:rsid w:val="00AA3EC0"/>
    <w:rsid w:val="00AA4185"/>
    <w:rsid w:val="00AA42B7"/>
    <w:rsid w:val="00AA4B3F"/>
    <w:rsid w:val="00AA4D5B"/>
    <w:rsid w:val="00AA5110"/>
    <w:rsid w:val="00AA5CD4"/>
    <w:rsid w:val="00AA5D0F"/>
    <w:rsid w:val="00AA5F96"/>
    <w:rsid w:val="00AA6682"/>
    <w:rsid w:val="00AA6789"/>
    <w:rsid w:val="00AA6AD2"/>
    <w:rsid w:val="00AA6D0F"/>
    <w:rsid w:val="00AA7851"/>
    <w:rsid w:val="00AB04CA"/>
    <w:rsid w:val="00AB04F9"/>
    <w:rsid w:val="00AB05FE"/>
    <w:rsid w:val="00AB099E"/>
    <w:rsid w:val="00AB0A83"/>
    <w:rsid w:val="00AB0BDD"/>
    <w:rsid w:val="00AB0E6F"/>
    <w:rsid w:val="00AB1165"/>
    <w:rsid w:val="00AB17F7"/>
    <w:rsid w:val="00AB185F"/>
    <w:rsid w:val="00AB1C30"/>
    <w:rsid w:val="00AB1F58"/>
    <w:rsid w:val="00AB339B"/>
    <w:rsid w:val="00AB345E"/>
    <w:rsid w:val="00AB35CE"/>
    <w:rsid w:val="00AB3616"/>
    <w:rsid w:val="00AB45AD"/>
    <w:rsid w:val="00AB489C"/>
    <w:rsid w:val="00AB5192"/>
    <w:rsid w:val="00AB55E6"/>
    <w:rsid w:val="00AB55FC"/>
    <w:rsid w:val="00AB5B5B"/>
    <w:rsid w:val="00AB63BB"/>
    <w:rsid w:val="00AB6EC3"/>
    <w:rsid w:val="00AB7841"/>
    <w:rsid w:val="00AB7910"/>
    <w:rsid w:val="00AB7EDA"/>
    <w:rsid w:val="00AC0147"/>
    <w:rsid w:val="00AC0D5E"/>
    <w:rsid w:val="00AC12A3"/>
    <w:rsid w:val="00AC14B9"/>
    <w:rsid w:val="00AC1BA5"/>
    <w:rsid w:val="00AC2A3B"/>
    <w:rsid w:val="00AC2E34"/>
    <w:rsid w:val="00AC2FDF"/>
    <w:rsid w:val="00AC4000"/>
    <w:rsid w:val="00AC479A"/>
    <w:rsid w:val="00AC492F"/>
    <w:rsid w:val="00AC55AD"/>
    <w:rsid w:val="00AC5A34"/>
    <w:rsid w:val="00AC5B12"/>
    <w:rsid w:val="00AC5BC9"/>
    <w:rsid w:val="00AC5ED4"/>
    <w:rsid w:val="00AC5FD8"/>
    <w:rsid w:val="00AC6377"/>
    <w:rsid w:val="00AC64F4"/>
    <w:rsid w:val="00AC6898"/>
    <w:rsid w:val="00AC6AF5"/>
    <w:rsid w:val="00AC7449"/>
    <w:rsid w:val="00AC76E0"/>
    <w:rsid w:val="00AC7927"/>
    <w:rsid w:val="00AD0129"/>
    <w:rsid w:val="00AD0432"/>
    <w:rsid w:val="00AD063B"/>
    <w:rsid w:val="00AD09DC"/>
    <w:rsid w:val="00AD0BB1"/>
    <w:rsid w:val="00AD0DC4"/>
    <w:rsid w:val="00AD1273"/>
    <w:rsid w:val="00AD1930"/>
    <w:rsid w:val="00AD1A53"/>
    <w:rsid w:val="00AD2763"/>
    <w:rsid w:val="00AD29F9"/>
    <w:rsid w:val="00AD356C"/>
    <w:rsid w:val="00AD36AF"/>
    <w:rsid w:val="00AD3C65"/>
    <w:rsid w:val="00AD3C79"/>
    <w:rsid w:val="00AD4198"/>
    <w:rsid w:val="00AD4866"/>
    <w:rsid w:val="00AD4ADA"/>
    <w:rsid w:val="00AD4C8D"/>
    <w:rsid w:val="00AD5943"/>
    <w:rsid w:val="00AD59A8"/>
    <w:rsid w:val="00AD5C91"/>
    <w:rsid w:val="00AD5DE8"/>
    <w:rsid w:val="00AD6577"/>
    <w:rsid w:val="00AD679E"/>
    <w:rsid w:val="00AD6866"/>
    <w:rsid w:val="00AD6B61"/>
    <w:rsid w:val="00AD732C"/>
    <w:rsid w:val="00AD76A5"/>
    <w:rsid w:val="00AD7A68"/>
    <w:rsid w:val="00AD7B4D"/>
    <w:rsid w:val="00AE0045"/>
    <w:rsid w:val="00AE030F"/>
    <w:rsid w:val="00AE07EF"/>
    <w:rsid w:val="00AE10EA"/>
    <w:rsid w:val="00AE1419"/>
    <w:rsid w:val="00AE1A4F"/>
    <w:rsid w:val="00AE1AEF"/>
    <w:rsid w:val="00AE1C94"/>
    <w:rsid w:val="00AE1FE0"/>
    <w:rsid w:val="00AE27B1"/>
    <w:rsid w:val="00AE2B36"/>
    <w:rsid w:val="00AE2B3E"/>
    <w:rsid w:val="00AE3F86"/>
    <w:rsid w:val="00AE42DA"/>
    <w:rsid w:val="00AE44BD"/>
    <w:rsid w:val="00AE4828"/>
    <w:rsid w:val="00AE492F"/>
    <w:rsid w:val="00AE4BA5"/>
    <w:rsid w:val="00AE4EC3"/>
    <w:rsid w:val="00AE53C2"/>
    <w:rsid w:val="00AE57A3"/>
    <w:rsid w:val="00AE5B64"/>
    <w:rsid w:val="00AE5EA5"/>
    <w:rsid w:val="00AE5F6C"/>
    <w:rsid w:val="00AE618C"/>
    <w:rsid w:val="00AE6775"/>
    <w:rsid w:val="00AE6E5F"/>
    <w:rsid w:val="00AE6F75"/>
    <w:rsid w:val="00AE797C"/>
    <w:rsid w:val="00AF0305"/>
    <w:rsid w:val="00AF033C"/>
    <w:rsid w:val="00AF04EA"/>
    <w:rsid w:val="00AF0536"/>
    <w:rsid w:val="00AF097E"/>
    <w:rsid w:val="00AF0CF2"/>
    <w:rsid w:val="00AF0DC3"/>
    <w:rsid w:val="00AF10E0"/>
    <w:rsid w:val="00AF141F"/>
    <w:rsid w:val="00AF142E"/>
    <w:rsid w:val="00AF165D"/>
    <w:rsid w:val="00AF1B54"/>
    <w:rsid w:val="00AF1BA8"/>
    <w:rsid w:val="00AF27BE"/>
    <w:rsid w:val="00AF2C76"/>
    <w:rsid w:val="00AF2EDE"/>
    <w:rsid w:val="00AF33C0"/>
    <w:rsid w:val="00AF37BF"/>
    <w:rsid w:val="00AF4CA8"/>
    <w:rsid w:val="00AF4E15"/>
    <w:rsid w:val="00AF51A3"/>
    <w:rsid w:val="00AF5438"/>
    <w:rsid w:val="00AF5486"/>
    <w:rsid w:val="00AF5569"/>
    <w:rsid w:val="00AF56A8"/>
    <w:rsid w:val="00AF5FD3"/>
    <w:rsid w:val="00AF6C77"/>
    <w:rsid w:val="00AF7CA0"/>
    <w:rsid w:val="00B001AE"/>
    <w:rsid w:val="00B00C29"/>
    <w:rsid w:val="00B017A3"/>
    <w:rsid w:val="00B018A8"/>
    <w:rsid w:val="00B02BDA"/>
    <w:rsid w:val="00B02E09"/>
    <w:rsid w:val="00B031A9"/>
    <w:rsid w:val="00B03574"/>
    <w:rsid w:val="00B035E2"/>
    <w:rsid w:val="00B039AD"/>
    <w:rsid w:val="00B03EF3"/>
    <w:rsid w:val="00B04336"/>
    <w:rsid w:val="00B04904"/>
    <w:rsid w:val="00B049C7"/>
    <w:rsid w:val="00B04A86"/>
    <w:rsid w:val="00B04ADC"/>
    <w:rsid w:val="00B04F42"/>
    <w:rsid w:val="00B05028"/>
    <w:rsid w:val="00B05BFE"/>
    <w:rsid w:val="00B060D2"/>
    <w:rsid w:val="00B062DB"/>
    <w:rsid w:val="00B068F2"/>
    <w:rsid w:val="00B07C66"/>
    <w:rsid w:val="00B07D12"/>
    <w:rsid w:val="00B10152"/>
    <w:rsid w:val="00B10A7B"/>
    <w:rsid w:val="00B11751"/>
    <w:rsid w:val="00B117AB"/>
    <w:rsid w:val="00B11CA6"/>
    <w:rsid w:val="00B1205E"/>
    <w:rsid w:val="00B121D9"/>
    <w:rsid w:val="00B12289"/>
    <w:rsid w:val="00B12344"/>
    <w:rsid w:val="00B12503"/>
    <w:rsid w:val="00B12560"/>
    <w:rsid w:val="00B12A17"/>
    <w:rsid w:val="00B12CCB"/>
    <w:rsid w:val="00B133C5"/>
    <w:rsid w:val="00B135F9"/>
    <w:rsid w:val="00B13A2B"/>
    <w:rsid w:val="00B14100"/>
    <w:rsid w:val="00B148F4"/>
    <w:rsid w:val="00B14990"/>
    <w:rsid w:val="00B149B9"/>
    <w:rsid w:val="00B14AD9"/>
    <w:rsid w:val="00B14CCF"/>
    <w:rsid w:val="00B14F06"/>
    <w:rsid w:val="00B155D4"/>
    <w:rsid w:val="00B1732B"/>
    <w:rsid w:val="00B17F84"/>
    <w:rsid w:val="00B17FFC"/>
    <w:rsid w:val="00B20062"/>
    <w:rsid w:val="00B20343"/>
    <w:rsid w:val="00B20F23"/>
    <w:rsid w:val="00B2104C"/>
    <w:rsid w:val="00B215F6"/>
    <w:rsid w:val="00B21804"/>
    <w:rsid w:val="00B21F89"/>
    <w:rsid w:val="00B21FB1"/>
    <w:rsid w:val="00B2274B"/>
    <w:rsid w:val="00B22FD6"/>
    <w:rsid w:val="00B232F4"/>
    <w:rsid w:val="00B235FB"/>
    <w:rsid w:val="00B24DB0"/>
    <w:rsid w:val="00B255C2"/>
    <w:rsid w:val="00B257BB"/>
    <w:rsid w:val="00B25D4F"/>
    <w:rsid w:val="00B25F0A"/>
    <w:rsid w:val="00B260C8"/>
    <w:rsid w:val="00B26870"/>
    <w:rsid w:val="00B2762C"/>
    <w:rsid w:val="00B27D01"/>
    <w:rsid w:val="00B27E59"/>
    <w:rsid w:val="00B3051D"/>
    <w:rsid w:val="00B30B3E"/>
    <w:rsid w:val="00B30C92"/>
    <w:rsid w:val="00B31237"/>
    <w:rsid w:val="00B31364"/>
    <w:rsid w:val="00B3141C"/>
    <w:rsid w:val="00B31668"/>
    <w:rsid w:val="00B317BC"/>
    <w:rsid w:val="00B31A11"/>
    <w:rsid w:val="00B324C0"/>
    <w:rsid w:val="00B32854"/>
    <w:rsid w:val="00B32C5C"/>
    <w:rsid w:val="00B32D98"/>
    <w:rsid w:val="00B335B5"/>
    <w:rsid w:val="00B33ACB"/>
    <w:rsid w:val="00B3460C"/>
    <w:rsid w:val="00B34639"/>
    <w:rsid w:val="00B35663"/>
    <w:rsid w:val="00B362A5"/>
    <w:rsid w:val="00B36625"/>
    <w:rsid w:val="00B37656"/>
    <w:rsid w:val="00B37690"/>
    <w:rsid w:val="00B377E5"/>
    <w:rsid w:val="00B37C35"/>
    <w:rsid w:val="00B400F9"/>
    <w:rsid w:val="00B4040A"/>
    <w:rsid w:val="00B405D0"/>
    <w:rsid w:val="00B406F5"/>
    <w:rsid w:val="00B40C39"/>
    <w:rsid w:val="00B40D0F"/>
    <w:rsid w:val="00B4113E"/>
    <w:rsid w:val="00B41EC1"/>
    <w:rsid w:val="00B4236D"/>
    <w:rsid w:val="00B429A0"/>
    <w:rsid w:val="00B42B11"/>
    <w:rsid w:val="00B43C5C"/>
    <w:rsid w:val="00B44B78"/>
    <w:rsid w:val="00B4570E"/>
    <w:rsid w:val="00B458E1"/>
    <w:rsid w:val="00B45F59"/>
    <w:rsid w:val="00B46F3E"/>
    <w:rsid w:val="00B47126"/>
    <w:rsid w:val="00B471B4"/>
    <w:rsid w:val="00B47AAD"/>
    <w:rsid w:val="00B501D3"/>
    <w:rsid w:val="00B502AF"/>
    <w:rsid w:val="00B50302"/>
    <w:rsid w:val="00B503FE"/>
    <w:rsid w:val="00B5047D"/>
    <w:rsid w:val="00B5071E"/>
    <w:rsid w:val="00B50E78"/>
    <w:rsid w:val="00B50F54"/>
    <w:rsid w:val="00B51011"/>
    <w:rsid w:val="00B5173F"/>
    <w:rsid w:val="00B51802"/>
    <w:rsid w:val="00B51DD2"/>
    <w:rsid w:val="00B52D07"/>
    <w:rsid w:val="00B52D76"/>
    <w:rsid w:val="00B532E9"/>
    <w:rsid w:val="00B53DC3"/>
    <w:rsid w:val="00B543B6"/>
    <w:rsid w:val="00B543B7"/>
    <w:rsid w:val="00B5458F"/>
    <w:rsid w:val="00B54615"/>
    <w:rsid w:val="00B546E5"/>
    <w:rsid w:val="00B54E2C"/>
    <w:rsid w:val="00B54F68"/>
    <w:rsid w:val="00B550D7"/>
    <w:rsid w:val="00B5527A"/>
    <w:rsid w:val="00B5534C"/>
    <w:rsid w:val="00B55AE0"/>
    <w:rsid w:val="00B55AE1"/>
    <w:rsid w:val="00B55F95"/>
    <w:rsid w:val="00B56395"/>
    <w:rsid w:val="00B564B8"/>
    <w:rsid w:val="00B56553"/>
    <w:rsid w:val="00B56562"/>
    <w:rsid w:val="00B56F07"/>
    <w:rsid w:val="00B5766F"/>
    <w:rsid w:val="00B579EB"/>
    <w:rsid w:val="00B6050D"/>
    <w:rsid w:val="00B60692"/>
    <w:rsid w:val="00B61195"/>
    <w:rsid w:val="00B61E05"/>
    <w:rsid w:val="00B61E90"/>
    <w:rsid w:val="00B62A6F"/>
    <w:rsid w:val="00B62B7A"/>
    <w:rsid w:val="00B62CFD"/>
    <w:rsid w:val="00B62D2D"/>
    <w:rsid w:val="00B62D4E"/>
    <w:rsid w:val="00B62F30"/>
    <w:rsid w:val="00B62F92"/>
    <w:rsid w:val="00B6306F"/>
    <w:rsid w:val="00B6330D"/>
    <w:rsid w:val="00B6418A"/>
    <w:rsid w:val="00B64901"/>
    <w:rsid w:val="00B6491C"/>
    <w:rsid w:val="00B64DEA"/>
    <w:rsid w:val="00B65C4F"/>
    <w:rsid w:val="00B65EDC"/>
    <w:rsid w:val="00B65FC2"/>
    <w:rsid w:val="00B66A0C"/>
    <w:rsid w:val="00B66B66"/>
    <w:rsid w:val="00B66EF7"/>
    <w:rsid w:val="00B670E9"/>
    <w:rsid w:val="00B67539"/>
    <w:rsid w:val="00B677C7"/>
    <w:rsid w:val="00B6794B"/>
    <w:rsid w:val="00B67BC3"/>
    <w:rsid w:val="00B67D9C"/>
    <w:rsid w:val="00B705B4"/>
    <w:rsid w:val="00B70A7A"/>
    <w:rsid w:val="00B70B5C"/>
    <w:rsid w:val="00B71C7A"/>
    <w:rsid w:val="00B7213F"/>
    <w:rsid w:val="00B736F3"/>
    <w:rsid w:val="00B737AA"/>
    <w:rsid w:val="00B73AF2"/>
    <w:rsid w:val="00B73F4F"/>
    <w:rsid w:val="00B7453F"/>
    <w:rsid w:val="00B745A6"/>
    <w:rsid w:val="00B74638"/>
    <w:rsid w:val="00B75589"/>
    <w:rsid w:val="00B75A5B"/>
    <w:rsid w:val="00B76457"/>
    <w:rsid w:val="00B76462"/>
    <w:rsid w:val="00B7686D"/>
    <w:rsid w:val="00B76E96"/>
    <w:rsid w:val="00B7708F"/>
    <w:rsid w:val="00B77141"/>
    <w:rsid w:val="00B772FD"/>
    <w:rsid w:val="00B7758B"/>
    <w:rsid w:val="00B7765D"/>
    <w:rsid w:val="00B80152"/>
    <w:rsid w:val="00B80320"/>
    <w:rsid w:val="00B80C5C"/>
    <w:rsid w:val="00B80CDA"/>
    <w:rsid w:val="00B81023"/>
    <w:rsid w:val="00B81396"/>
    <w:rsid w:val="00B819C1"/>
    <w:rsid w:val="00B82158"/>
    <w:rsid w:val="00B8262E"/>
    <w:rsid w:val="00B8273C"/>
    <w:rsid w:val="00B833A5"/>
    <w:rsid w:val="00B83CF4"/>
    <w:rsid w:val="00B83FED"/>
    <w:rsid w:val="00B845E1"/>
    <w:rsid w:val="00B85885"/>
    <w:rsid w:val="00B86546"/>
    <w:rsid w:val="00B86A18"/>
    <w:rsid w:val="00B86A6B"/>
    <w:rsid w:val="00B86E73"/>
    <w:rsid w:val="00B8766F"/>
    <w:rsid w:val="00B87CF1"/>
    <w:rsid w:val="00B90493"/>
    <w:rsid w:val="00B90878"/>
    <w:rsid w:val="00B90A3A"/>
    <w:rsid w:val="00B90C41"/>
    <w:rsid w:val="00B91A7E"/>
    <w:rsid w:val="00B91C37"/>
    <w:rsid w:val="00B91D11"/>
    <w:rsid w:val="00B91E37"/>
    <w:rsid w:val="00B925BC"/>
    <w:rsid w:val="00B92658"/>
    <w:rsid w:val="00B92B09"/>
    <w:rsid w:val="00B9319A"/>
    <w:rsid w:val="00B935E8"/>
    <w:rsid w:val="00B93930"/>
    <w:rsid w:val="00B93A1E"/>
    <w:rsid w:val="00B93AB1"/>
    <w:rsid w:val="00B9427B"/>
    <w:rsid w:val="00B9431E"/>
    <w:rsid w:val="00B947BA"/>
    <w:rsid w:val="00B94A16"/>
    <w:rsid w:val="00B95389"/>
    <w:rsid w:val="00B959FC"/>
    <w:rsid w:val="00B95F03"/>
    <w:rsid w:val="00B95F22"/>
    <w:rsid w:val="00B967FB"/>
    <w:rsid w:val="00B96ADA"/>
    <w:rsid w:val="00B96B1A"/>
    <w:rsid w:val="00B96F86"/>
    <w:rsid w:val="00B9791E"/>
    <w:rsid w:val="00B97AE2"/>
    <w:rsid w:val="00BA011C"/>
    <w:rsid w:val="00BA096D"/>
    <w:rsid w:val="00BA0F1B"/>
    <w:rsid w:val="00BA11A1"/>
    <w:rsid w:val="00BA120D"/>
    <w:rsid w:val="00BA1263"/>
    <w:rsid w:val="00BA1277"/>
    <w:rsid w:val="00BA1596"/>
    <w:rsid w:val="00BA18B6"/>
    <w:rsid w:val="00BA1CDD"/>
    <w:rsid w:val="00BA26FD"/>
    <w:rsid w:val="00BA2711"/>
    <w:rsid w:val="00BA286A"/>
    <w:rsid w:val="00BA2C14"/>
    <w:rsid w:val="00BA3070"/>
    <w:rsid w:val="00BA41CB"/>
    <w:rsid w:val="00BA421B"/>
    <w:rsid w:val="00BA425D"/>
    <w:rsid w:val="00BA5125"/>
    <w:rsid w:val="00BA5190"/>
    <w:rsid w:val="00BA5208"/>
    <w:rsid w:val="00BA5507"/>
    <w:rsid w:val="00BA6F50"/>
    <w:rsid w:val="00BA7265"/>
    <w:rsid w:val="00BB09C0"/>
    <w:rsid w:val="00BB0A4C"/>
    <w:rsid w:val="00BB0E0D"/>
    <w:rsid w:val="00BB1300"/>
    <w:rsid w:val="00BB13B8"/>
    <w:rsid w:val="00BB19C6"/>
    <w:rsid w:val="00BB262D"/>
    <w:rsid w:val="00BB2A7E"/>
    <w:rsid w:val="00BB2D99"/>
    <w:rsid w:val="00BB3FA4"/>
    <w:rsid w:val="00BB47E9"/>
    <w:rsid w:val="00BB7964"/>
    <w:rsid w:val="00BB7AB8"/>
    <w:rsid w:val="00BB7C1D"/>
    <w:rsid w:val="00BB7F5D"/>
    <w:rsid w:val="00BC004C"/>
    <w:rsid w:val="00BC0D90"/>
    <w:rsid w:val="00BC138E"/>
    <w:rsid w:val="00BC1803"/>
    <w:rsid w:val="00BC2661"/>
    <w:rsid w:val="00BC2994"/>
    <w:rsid w:val="00BC2E4A"/>
    <w:rsid w:val="00BC371D"/>
    <w:rsid w:val="00BC3767"/>
    <w:rsid w:val="00BC37BD"/>
    <w:rsid w:val="00BC43FA"/>
    <w:rsid w:val="00BC48D5"/>
    <w:rsid w:val="00BC589B"/>
    <w:rsid w:val="00BC5AF2"/>
    <w:rsid w:val="00BC5DBB"/>
    <w:rsid w:val="00BC6F28"/>
    <w:rsid w:val="00BC7B0E"/>
    <w:rsid w:val="00BD0298"/>
    <w:rsid w:val="00BD02DE"/>
    <w:rsid w:val="00BD048A"/>
    <w:rsid w:val="00BD08A1"/>
    <w:rsid w:val="00BD1876"/>
    <w:rsid w:val="00BD1C72"/>
    <w:rsid w:val="00BD1F3E"/>
    <w:rsid w:val="00BD203D"/>
    <w:rsid w:val="00BD2F1C"/>
    <w:rsid w:val="00BD3BD8"/>
    <w:rsid w:val="00BD40D8"/>
    <w:rsid w:val="00BD411B"/>
    <w:rsid w:val="00BD4400"/>
    <w:rsid w:val="00BD4565"/>
    <w:rsid w:val="00BD4FC5"/>
    <w:rsid w:val="00BD4FDB"/>
    <w:rsid w:val="00BD51C7"/>
    <w:rsid w:val="00BD560E"/>
    <w:rsid w:val="00BD58C1"/>
    <w:rsid w:val="00BD615E"/>
    <w:rsid w:val="00BD61B2"/>
    <w:rsid w:val="00BD681B"/>
    <w:rsid w:val="00BD6986"/>
    <w:rsid w:val="00BD6ADD"/>
    <w:rsid w:val="00BD740B"/>
    <w:rsid w:val="00BD7539"/>
    <w:rsid w:val="00BD775F"/>
    <w:rsid w:val="00BD7C45"/>
    <w:rsid w:val="00BD7DCB"/>
    <w:rsid w:val="00BE012B"/>
    <w:rsid w:val="00BE073B"/>
    <w:rsid w:val="00BE126A"/>
    <w:rsid w:val="00BE1762"/>
    <w:rsid w:val="00BE19DE"/>
    <w:rsid w:val="00BE1D8E"/>
    <w:rsid w:val="00BE1DA3"/>
    <w:rsid w:val="00BE2034"/>
    <w:rsid w:val="00BE2092"/>
    <w:rsid w:val="00BE2ACE"/>
    <w:rsid w:val="00BE2BE9"/>
    <w:rsid w:val="00BE31E2"/>
    <w:rsid w:val="00BE32BD"/>
    <w:rsid w:val="00BE33FF"/>
    <w:rsid w:val="00BE364B"/>
    <w:rsid w:val="00BE3768"/>
    <w:rsid w:val="00BE3A66"/>
    <w:rsid w:val="00BE3FD1"/>
    <w:rsid w:val="00BE47F8"/>
    <w:rsid w:val="00BE4812"/>
    <w:rsid w:val="00BE4A32"/>
    <w:rsid w:val="00BE5231"/>
    <w:rsid w:val="00BE5295"/>
    <w:rsid w:val="00BE537C"/>
    <w:rsid w:val="00BE5531"/>
    <w:rsid w:val="00BE587E"/>
    <w:rsid w:val="00BE61EB"/>
    <w:rsid w:val="00BE62EF"/>
    <w:rsid w:val="00BE6ABA"/>
    <w:rsid w:val="00BE6F8C"/>
    <w:rsid w:val="00BE739F"/>
    <w:rsid w:val="00BE7444"/>
    <w:rsid w:val="00BE74D2"/>
    <w:rsid w:val="00BE7700"/>
    <w:rsid w:val="00BE784D"/>
    <w:rsid w:val="00BE7AC0"/>
    <w:rsid w:val="00BF02CB"/>
    <w:rsid w:val="00BF0669"/>
    <w:rsid w:val="00BF0690"/>
    <w:rsid w:val="00BF0872"/>
    <w:rsid w:val="00BF0D2C"/>
    <w:rsid w:val="00BF14D4"/>
    <w:rsid w:val="00BF1A96"/>
    <w:rsid w:val="00BF1D1D"/>
    <w:rsid w:val="00BF1EB8"/>
    <w:rsid w:val="00BF29E4"/>
    <w:rsid w:val="00BF2CB4"/>
    <w:rsid w:val="00BF33DB"/>
    <w:rsid w:val="00BF3791"/>
    <w:rsid w:val="00BF3B62"/>
    <w:rsid w:val="00BF4BB5"/>
    <w:rsid w:val="00BF4F99"/>
    <w:rsid w:val="00BF53C3"/>
    <w:rsid w:val="00BF59AB"/>
    <w:rsid w:val="00BF5C24"/>
    <w:rsid w:val="00BF5C41"/>
    <w:rsid w:val="00BF5C7F"/>
    <w:rsid w:val="00BF6212"/>
    <w:rsid w:val="00BF6BE7"/>
    <w:rsid w:val="00BF710C"/>
    <w:rsid w:val="00BF720C"/>
    <w:rsid w:val="00BF73D8"/>
    <w:rsid w:val="00BF7CCB"/>
    <w:rsid w:val="00C00423"/>
    <w:rsid w:val="00C0058E"/>
    <w:rsid w:val="00C007BA"/>
    <w:rsid w:val="00C009CE"/>
    <w:rsid w:val="00C00A19"/>
    <w:rsid w:val="00C00DD3"/>
    <w:rsid w:val="00C013A4"/>
    <w:rsid w:val="00C01A33"/>
    <w:rsid w:val="00C01BC3"/>
    <w:rsid w:val="00C01C3F"/>
    <w:rsid w:val="00C024CC"/>
    <w:rsid w:val="00C02C4D"/>
    <w:rsid w:val="00C03B39"/>
    <w:rsid w:val="00C03DA0"/>
    <w:rsid w:val="00C03DBE"/>
    <w:rsid w:val="00C03DCF"/>
    <w:rsid w:val="00C03F6F"/>
    <w:rsid w:val="00C03FE3"/>
    <w:rsid w:val="00C04134"/>
    <w:rsid w:val="00C04F91"/>
    <w:rsid w:val="00C04FAF"/>
    <w:rsid w:val="00C0642C"/>
    <w:rsid w:val="00C06762"/>
    <w:rsid w:val="00C06802"/>
    <w:rsid w:val="00C06DA5"/>
    <w:rsid w:val="00C07516"/>
    <w:rsid w:val="00C07594"/>
    <w:rsid w:val="00C07948"/>
    <w:rsid w:val="00C07CDB"/>
    <w:rsid w:val="00C07D14"/>
    <w:rsid w:val="00C07F60"/>
    <w:rsid w:val="00C10862"/>
    <w:rsid w:val="00C10F8B"/>
    <w:rsid w:val="00C12631"/>
    <w:rsid w:val="00C12BB1"/>
    <w:rsid w:val="00C12E4B"/>
    <w:rsid w:val="00C131EB"/>
    <w:rsid w:val="00C1330F"/>
    <w:rsid w:val="00C13606"/>
    <w:rsid w:val="00C13930"/>
    <w:rsid w:val="00C13D06"/>
    <w:rsid w:val="00C14206"/>
    <w:rsid w:val="00C14596"/>
    <w:rsid w:val="00C14B47"/>
    <w:rsid w:val="00C14DF8"/>
    <w:rsid w:val="00C14E82"/>
    <w:rsid w:val="00C151CF"/>
    <w:rsid w:val="00C15824"/>
    <w:rsid w:val="00C15895"/>
    <w:rsid w:val="00C158B7"/>
    <w:rsid w:val="00C15EB6"/>
    <w:rsid w:val="00C16008"/>
    <w:rsid w:val="00C16041"/>
    <w:rsid w:val="00C16286"/>
    <w:rsid w:val="00C16452"/>
    <w:rsid w:val="00C164D9"/>
    <w:rsid w:val="00C1653F"/>
    <w:rsid w:val="00C1662F"/>
    <w:rsid w:val="00C16F27"/>
    <w:rsid w:val="00C20681"/>
    <w:rsid w:val="00C20A2A"/>
    <w:rsid w:val="00C21067"/>
    <w:rsid w:val="00C21241"/>
    <w:rsid w:val="00C21727"/>
    <w:rsid w:val="00C21825"/>
    <w:rsid w:val="00C21E6C"/>
    <w:rsid w:val="00C223AF"/>
    <w:rsid w:val="00C22515"/>
    <w:rsid w:val="00C2278C"/>
    <w:rsid w:val="00C22A98"/>
    <w:rsid w:val="00C22BE4"/>
    <w:rsid w:val="00C23151"/>
    <w:rsid w:val="00C235C0"/>
    <w:rsid w:val="00C2405E"/>
    <w:rsid w:val="00C2440D"/>
    <w:rsid w:val="00C24DB2"/>
    <w:rsid w:val="00C24EFE"/>
    <w:rsid w:val="00C251AB"/>
    <w:rsid w:val="00C25561"/>
    <w:rsid w:val="00C257E7"/>
    <w:rsid w:val="00C25B41"/>
    <w:rsid w:val="00C25C06"/>
    <w:rsid w:val="00C261B9"/>
    <w:rsid w:val="00C261EF"/>
    <w:rsid w:val="00C26538"/>
    <w:rsid w:val="00C26E68"/>
    <w:rsid w:val="00C275CF"/>
    <w:rsid w:val="00C2781A"/>
    <w:rsid w:val="00C27B60"/>
    <w:rsid w:val="00C27E98"/>
    <w:rsid w:val="00C305D4"/>
    <w:rsid w:val="00C30742"/>
    <w:rsid w:val="00C311BF"/>
    <w:rsid w:val="00C314D4"/>
    <w:rsid w:val="00C31A4C"/>
    <w:rsid w:val="00C32186"/>
    <w:rsid w:val="00C32643"/>
    <w:rsid w:val="00C3269D"/>
    <w:rsid w:val="00C32C0C"/>
    <w:rsid w:val="00C33350"/>
    <w:rsid w:val="00C33CE6"/>
    <w:rsid w:val="00C34034"/>
    <w:rsid w:val="00C340EC"/>
    <w:rsid w:val="00C3448F"/>
    <w:rsid w:val="00C344BF"/>
    <w:rsid w:val="00C34C0A"/>
    <w:rsid w:val="00C359AB"/>
    <w:rsid w:val="00C35A90"/>
    <w:rsid w:val="00C3626B"/>
    <w:rsid w:val="00C36337"/>
    <w:rsid w:val="00C36C77"/>
    <w:rsid w:val="00C3721A"/>
    <w:rsid w:val="00C37D0F"/>
    <w:rsid w:val="00C37E2E"/>
    <w:rsid w:val="00C37ED4"/>
    <w:rsid w:val="00C4166B"/>
    <w:rsid w:val="00C41863"/>
    <w:rsid w:val="00C41B71"/>
    <w:rsid w:val="00C41C92"/>
    <w:rsid w:val="00C42A5C"/>
    <w:rsid w:val="00C432C3"/>
    <w:rsid w:val="00C43741"/>
    <w:rsid w:val="00C43D4C"/>
    <w:rsid w:val="00C4416A"/>
    <w:rsid w:val="00C446FC"/>
    <w:rsid w:val="00C447D9"/>
    <w:rsid w:val="00C44ACD"/>
    <w:rsid w:val="00C44BE3"/>
    <w:rsid w:val="00C45217"/>
    <w:rsid w:val="00C45B13"/>
    <w:rsid w:val="00C465FE"/>
    <w:rsid w:val="00C468A5"/>
    <w:rsid w:val="00C4738B"/>
    <w:rsid w:val="00C47618"/>
    <w:rsid w:val="00C47A96"/>
    <w:rsid w:val="00C504E1"/>
    <w:rsid w:val="00C51197"/>
    <w:rsid w:val="00C51A3B"/>
    <w:rsid w:val="00C51A57"/>
    <w:rsid w:val="00C52287"/>
    <w:rsid w:val="00C54204"/>
    <w:rsid w:val="00C54702"/>
    <w:rsid w:val="00C54D4D"/>
    <w:rsid w:val="00C551E5"/>
    <w:rsid w:val="00C562F3"/>
    <w:rsid w:val="00C563F0"/>
    <w:rsid w:val="00C565B7"/>
    <w:rsid w:val="00C56630"/>
    <w:rsid w:val="00C57329"/>
    <w:rsid w:val="00C57418"/>
    <w:rsid w:val="00C57817"/>
    <w:rsid w:val="00C57892"/>
    <w:rsid w:val="00C57C7F"/>
    <w:rsid w:val="00C57E48"/>
    <w:rsid w:val="00C601AA"/>
    <w:rsid w:val="00C605E9"/>
    <w:rsid w:val="00C61810"/>
    <w:rsid w:val="00C619E0"/>
    <w:rsid w:val="00C61F86"/>
    <w:rsid w:val="00C621BB"/>
    <w:rsid w:val="00C62221"/>
    <w:rsid w:val="00C6336D"/>
    <w:rsid w:val="00C633E6"/>
    <w:rsid w:val="00C6351E"/>
    <w:rsid w:val="00C636EE"/>
    <w:rsid w:val="00C6398F"/>
    <w:rsid w:val="00C63A5F"/>
    <w:rsid w:val="00C63F03"/>
    <w:rsid w:val="00C640E2"/>
    <w:rsid w:val="00C64260"/>
    <w:rsid w:val="00C657F1"/>
    <w:rsid w:val="00C65A57"/>
    <w:rsid w:val="00C65E7C"/>
    <w:rsid w:val="00C66300"/>
    <w:rsid w:val="00C66470"/>
    <w:rsid w:val="00C66522"/>
    <w:rsid w:val="00C66745"/>
    <w:rsid w:val="00C6680D"/>
    <w:rsid w:val="00C66A6F"/>
    <w:rsid w:val="00C66DEC"/>
    <w:rsid w:val="00C66FD1"/>
    <w:rsid w:val="00C6716A"/>
    <w:rsid w:val="00C67B2E"/>
    <w:rsid w:val="00C67C1F"/>
    <w:rsid w:val="00C7034A"/>
    <w:rsid w:val="00C705D8"/>
    <w:rsid w:val="00C70806"/>
    <w:rsid w:val="00C71126"/>
    <w:rsid w:val="00C714A1"/>
    <w:rsid w:val="00C715B3"/>
    <w:rsid w:val="00C723C5"/>
    <w:rsid w:val="00C72AE4"/>
    <w:rsid w:val="00C72BF1"/>
    <w:rsid w:val="00C72FF7"/>
    <w:rsid w:val="00C7310F"/>
    <w:rsid w:val="00C731B8"/>
    <w:rsid w:val="00C73B3E"/>
    <w:rsid w:val="00C73CD2"/>
    <w:rsid w:val="00C73FB4"/>
    <w:rsid w:val="00C741A5"/>
    <w:rsid w:val="00C747FB"/>
    <w:rsid w:val="00C749A5"/>
    <w:rsid w:val="00C74C06"/>
    <w:rsid w:val="00C756F3"/>
    <w:rsid w:val="00C75C84"/>
    <w:rsid w:val="00C7661D"/>
    <w:rsid w:val="00C76674"/>
    <w:rsid w:val="00C76E9D"/>
    <w:rsid w:val="00C771A4"/>
    <w:rsid w:val="00C77655"/>
    <w:rsid w:val="00C77787"/>
    <w:rsid w:val="00C77F08"/>
    <w:rsid w:val="00C80174"/>
    <w:rsid w:val="00C81D06"/>
    <w:rsid w:val="00C820D0"/>
    <w:rsid w:val="00C826C3"/>
    <w:rsid w:val="00C8336E"/>
    <w:rsid w:val="00C83422"/>
    <w:rsid w:val="00C83597"/>
    <w:rsid w:val="00C841BE"/>
    <w:rsid w:val="00C8469B"/>
    <w:rsid w:val="00C85AE7"/>
    <w:rsid w:val="00C85CED"/>
    <w:rsid w:val="00C85EAC"/>
    <w:rsid w:val="00C86464"/>
    <w:rsid w:val="00C875C3"/>
    <w:rsid w:val="00C877D3"/>
    <w:rsid w:val="00C87AA0"/>
    <w:rsid w:val="00C900F4"/>
    <w:rsid w:val="00C90F2F"/>
    <w:rsid w:val="00C91F1B"/>
    <w:rsid w:val="00C91FEB"/>
    <w:rsid w:val="00C92E48"/>
    <w:rsid w:val="00C9307E"/>
    <w:rsid w:val="00C93B1E"/>
    <w:rsid w:val="00C93C1D"/>
    <w:rsid w:val="00C945BC"/>
    <w:rsid w:val="00C94C74"/>
    <w:rsid w:val="00C950EE"/>
    <w:rsid w:val="00C95366"/>
    <w:rsid w:val="00C95B26"/>
    <w:rsid w:val="00C95B3C"/>
    <w:rsid w:val="00C95DC5"/>
    <w:rsid w:val="00C960AF"/>
    <w:rsid w:val="00C96597"/>
    <w:rsid w:val="00C96814"/>
    <w:rsid w:val="00C97F06"/>
    <w:rsid w:val="00CA04D5"/>
    <w:rsid w:val="00CA08EE"/>
    <w:rsid w:val="00CA177B"/>
    <w:rsid w:val="00CA24AA"/>
    <w:rsid w:val="00CA2DDB"/>
    <w:rsid w:val="00CA3D61"/>
    <w:rsid w:val="00CA4206"/>
    <w:rsid w:val="00CA4246"/>
    <w:rsid w:val="00CA43A0"/>
    <w:rsid w:val="00CA4A6E"/>
    <w:rsid w:val="00CA531D"/>
    <w:rsid w:val="00CA5FA5"/>
    <w:rsid w:val="00CA6940"/>
    <w:rsid w:val="00CA69B9"/>
    <w:rsid w:val="00CA6FCC"/>
    <w:rsid w:val="00CA784E"/>
    <w:rsid w:val="00CA7B5A"/>
    <w:rsid w:val="00CA7BAC"/>
    <w:rsid w:val="00CA7DE2"/>
    <w:rsid w:val="00CA7E71"/>
    <w:rsid w:val="00CB045C"/>
    <w:rsid w:val="00CB11F1"/>
    <w:rsid w:val="00CB1696"/>
    <w:rsid w:val="00CB1D48"/>
    <w:rsid w:val="00CB2BEF"/>
    <w:rsid w:val="00CB2C32"/>
    <w:rsid w:val="00CB2D9F"/>
    <w:rsid w:val="00CB3205"/>
    <w:rsid w:val="00CB3253"/>
    <w:rsid w:val="00CB39F4"/>
    <w:rsid w:val="00CB3B57"/>
    <w:rsid w:val="00CB4DBE"/>
    <w:rsid w:val="00CB55D6"/>
    <w:rsid w:val="00CB6146"/>
    <w:rsid w:val="00CB64CE"/>
    <w:rsid w:val="00CB6527"/>
    <w:rsid w:val="00CB6A96"/>
    <w:rsid w:val="00CB6D57"/>
    <w:rsid w:val="00CB79ED"/>
    <w:rsid w:val="00CB7E81"/>
    <w:rsid w:val="00CC0D3B"/>
    <w:rsid w:val="00CC0D63"/>
    <w:rsid w:val="00CC1775"/>
    <w:rsid w:val="00CC1CEC"/>
    <w:rsid w:val="00CC1F3B"/>
    <w:rsid w:val="00CC2112"/>
    <w:rsid w:val="00CC2214"/>
    <w:rsid w:val="00CC28F4"/>
    <w:rsid w:val="00CC2A16"/>
    <w:rsid w:val="00CC2A47"/>
    <w:rsid w:val="00CC355E"/>
    <w:rsid w:val="00CC3579"/>
    <w:rsid w:val="00CC3585"/>
    <w:rsid w:val="00CC3985"/>
    <w:rsid w:val="00CC45C1"/>
    <w:rsid w:val="00CC4BF9"/>
    <w:rsid w:val="00CC53AD"/>
    <w:rsid w:val="00CC5AE5"/>
    <w:rsid w:val="00CC5BDB"/>
    <w:rsid w:val="00CC67CE"/>
    <w:rsid w:val="00CC6815"/>
    <w:rsid w:val="00CC6886"/>
    <w:rsid w:val="00CC7469"/>
    <w:rsid w:val="00CC7694"/>
    <w:rsid w:val="00CC77E7"/>
    <w:rsid w:val="00CD001E"/>
    <w:rsid w:val="00CD041F"/>
    <w:rsid w:val="00CD0429"/>
    <w:rsid w:val="00CD1149"/>
    <w:rsid w:val="00CD2A29"/>
    <w:rsid w:val="00CD3247"/>
    <w:rsid w:val="00CD35A2"/>
    <w:rsid w:val="00CD3BA0"/>
    <w:rsid w:val="00CD4ACA"/>
    <w:rsid w:val="00CD4E55"/>
    <w:rsid w:val="00CD526C"/>
    <w:rsid w:val="00CD5437"/>
    <w:rsid w:val="00CD55FD"/>
    <w:rsid w:val="00CD5F4E"/>
    <w:rsid w:val="00CD5FEC"/>
    <w:rsid w:val="00CD635E"/>
    <w:rsid w:val="00CD6943"/>
    <w:rsid w:val="00CD6D04"/>
    <w:rsid w:val="00CD72E7"/>
    <w:rsid w:val="00CD76C5"/>
    <w:rsid w:val="00CD7AC7"/>
    <w:rsid w:val="00CE082F"/>
    <w:rsid w:val="00CE094E"/>
    <w:rsid w:val="00CE199E"/>
    <w:rsid w:val="00CE2FD8"/>
    <w:rsid w:val="00CE30AB"/>
    <w:rsid w:val="00CE4496"/>
    <w:rsid w:val="00CE4BF5"/>
    <w:rsid w:val="00CE4D8C"/>
    <w:rsid w:val="00CE622D"/>
    <w:rsid w:val="00CE62B3"/>
    <w:rsid w:val="00CE630C"/>
    <w:rsid w:val="00CE6DA7"/>
    <w:rsid w:val="00CE6F84"/>
    <w:rsid w:val="00CE7DEA"/>
    <w:rsid w:val="00CE7F64"/>
    <w:rsid w:val="00CF0178"/>
    <w:rsid w:val="00CF0214"/>
    <w:rsid w:val="00CF0302"/>
    <w:rsid w:val="00CF04D4"/>
    <w:rsid w:val="00CF0E23"/>
    <w:rsid w:val="00CF1380"/>
    <w:rsid w:val="00CF18DC"/>
    <w:rsid w:val="00CF1F7D"/>
    <w:rsid w:val="00CF22CA"/>
    <w:rsid w:val="00CF274A"/>
    <w:rsid w:val="00CF3287"/>
    <w:rsid w:val="00CF34DE"/>
    <w:rsid w:val="00CF4247"/>
    <w:rsid w:val="00CF4284"/>
    <w:rsid w:val="00CF4441"/>
    <w:rsid w:val="00CF45A0"/>
    <w:rsid w:val="00CF49C3"/>
    <w:rsid w:val="00CF5024"/>
    <w:rsid w:val="00CF5060"/>
    <w:rsid w:val="00CF55DC"/>
    <w:rsid w:val="00CF591A"/>
    <w:rsid w:val="00CF59D0"/>
    <w:rsid w:val="00CF5CD9"/>
    <w:rsid w:val="00CF5F6E"/>
    <w:rsid w:val="00CF5F7D"/>
    <w:rsid w:val="00CF609F"/>
    <w:rsid w:val="00CF6180"/>
    <w:rsid w:val="00CF6425"/>
    <w:rsid w:val="00CF6497"/>
    <w:rsid w:val="00CF69AE"/>
    <w:rsid w:val="00CF7323"/>
    <w:rsid w:val="00CF74E5"/>
    <w:rsid w:val="00CF75BA"/>
    <w:rsid w:val="00CF7A33"/>
    <w:rsid w:val="00CF7A7A"/>
    <w:rsid w:val="00CF7AD6"/>
    <w:rsid w:val="00CF7F8B"/>
    <w:rsid w:val="00D00AB1"/>
    <w:rsid w:val="00D00ADA"/>
    <w:rsid w:val="00D01205"/>
    <w:rsid w:val="00D01366"/>
    <w:rsid w:val="00D0140E"/>
    <w:rsid w:val="00D01575"/>
    <w:rsid w:val="00D0173E"/>
    <w:rsid w:val="00D0191E"/>
    <w:rsid w:val="00D01DC0"/>
    <w:rsid w:val="00D02FC0"/>
    <w:rsid w:val="00D0344B"/>
    <w:rsid w:val="00D03593"/>
    <w:rsid w:val="00D03836"/>
    <w:rsid w:val="00D03A12"/>
    <w:rsid w:val="00D03E8F"/>
    <w:rsid w:val="00D0421F"/>
    <w:rsid w:val="00D04481"/>
    <w:rsid w:val="00D05571"/>
    <w:rsid w:val="00D0576F"/>
    <w:rsid w:val="00D057E4"/>
    <w:rsid w:val="00D05B0F"/>
    <w:rsid w:val="00D05FD7"/>
    <w:rsid w:val="00D06244"/>
    <w:rsid w:val="00D06415"/>
    <w:rsid w:val="00D06749"/>
    <w:rsid w:val="00D06906"/>
    <w:rsid w:val="00D071DC"/>
    <w:rsid w:val="00D07754"/>
    <w:rsid w:val="00D07910"/>
    <w:rsid w:val="00D07A27"/>
    <w:rsid w:val="00D07B8B"/>
    <w:rsid w:val="00D10A35"/>
    <w:rsid w:val="00D10D74"/>
    <w:rsid w:val="00D12297"/>
    <w:rsid w:val="00D12617"/>
    <w:rsid w:val="00D126F8"/>
    <w:rsid w:val="00D13852"/>
    <w:rsid w:val="00D13C34"/>
    <w:rsid w:val="00D14621"/>
    <w:rsid w:val="00D14871"/>
    <w:rsid w:val="00D161B0"/>
    <w:rsid w:val="00D164DD"/>
    <w:rsid w:val="00D1724A"/>
    <w:rsid w:val="00D172FF"/>
    <w:rsid w:val="00D17303"/>
    <w:rsid w:val="00D174D6"/>
    <w:rsid w:val="00D17583"/>
    <w:rsid w:val="00D177A2"/>
    <w:rsid w:val="00D17A9C"/>
    <w:rsid w:val="00D17E06"/>
    <w:rsid w:val="00D20202"/>
    <w:rsid w:val="00D2032D"/>
    <w:rsid w:val="00D20F38"/>
    <w:rsid w:val="00D21AEA"/>
    <w:rsid w:val="00D21E36"/>
    <w:rsid w:val="00D228DD"/>
    <w:rsid w:val="00D22A6E"/>
    <w:rsid w:val="00D22ACE"/>
    <w:rsid w:val="00D23B09"/>
    <w:rsid w:val="00D24220"/>
    <w:rsid w:val="00D253CC"/>
    <w:rsid w:val="00D25412"/>
    <w:rsid w:val="00D26923"/>
    <w:rsid w:val="00D26980"/>
    <w:rsid w:val="00D26A5E"/>
    <w:rsid w:val="00D270C7"/>
    <w:rsid w:val="00D274D9"/>
    <w:rsid w:val="00D27D7E"/>
    <w:rsid w:val="00D27EC8"/>
    <w:rsid w:val="00D302DD"/>
    <w:rsid w:val="00D30476"/>
    <w:rsid w:val="00D30502"/>
    <w:rsid w:val="00D30D25"/>
    <w:rsid w:val="00D30F6D"/>
    <w:rsid w:val="00D31013"/>
    <w:rsid w:val="00D3110A"/>
    <w:rsid w:val="00D31677"/>
    <w:rsid w:val="00D31954"/>
    <w:rsid w:val="00D319CC"/>
    <w:rsid w:val="00D31D67"/>
    <w:rsid w:val="00D32012"/>
    <w:rsid w:val="00D33398"/>
    <w:rsid w:val="00D33AEE"/>
    <w:rsid w:val="00D33E6C"/>
    <w:rsid w:val="00D340CF"/>
    <w:rsid w:val="00D348F2"/>
    <w:rsid w:val="00D34EA9"/>
    <w:rsid w:val="00D34EF1"/>
    <w:rsid w:val="00D34FF9"/>
    <w:rsid w:val="00D357C3"/>
    <w:rsid w:val="00D3646A"/>
    <w:rsid w:val="00D3771C"/>
    <w:rsid w:val="00D37824"/>
    <w:rsid w:val="00D37C3D"/>
    <w:rsid w:val="00D37CD0"/>
    <w:rsid w:val="00D40F1F"/>
    <w:rsid w:val="00D410A0"/>
    <w:rsid w:val="00D411F6"/>
    <w:rsid w:val="00D41C76"/>
    <w:rsid w:val="00D426BC"/>
    <w:rsid w:val="00D43611"/>
    <w:rsid w:val="00D43614"/>
    <w:rsid w:val="00D439E2"/>
    <w:rsid w:val="00D43AD1"/>
    <w:rsid w:val="00D457D7"/>
    <w:rsid w:val="00D45B00"/>
    <w:rsid w:val="00D468AA"/>
    <w:rsid w:val="00D47207"/>
    <w:rsid w:val="00D47CAB"/>
    <w:rsid w:val="00D50E31"/>
    <w:rsid w:val="00D5120D"/>
    <w:rsid w:val="00D5152B"/>
    <w:rsid w:val="00D51655"/>
    <w:rsid w:val="00D520AE"/>
    <w:rsid w:val="00D522DA"/>
    <w:rsid w:val="00D52459"/>
    <w:rsid w:val="00D528A4"/>
    <w:rsid w:val="00D52AD8"/>
    <w:rsid w:val="00D532E4"/>
    <w:rsid w:val="00D53577"/>
    <w:rsid w:val="00D53991"/>
    <w:rsid w:val="00D549E0"/>
    <w:rsid w:val="00D54A70"/>
    <w:rsid w:val="00D558BC"/>
    <w:rsid w:val="00D55A81"/>
    <w:rsid w:val="00D55C29"/>
    <w:rsid w:val="00D56233"/>
    <w:rsid w:val="00D57451"/>
    <w:rsid w:val="00D57611"/>
    <w:rsid w:val="00D6040D"/>
    <w:rsid w:val="00D60525"/>
    <w:rsid w:val="00D60C4C"/>
    <w:rsid w:val="00D61048"/>
    <w:rsid w:val="00D61113"/>
    <w:rsid w:val="00D6141F"/>
    <w:rsid w:val="00D616D9"/>
    <w:rsid w:val="00D61B79"/>
    <w:rsid w:val="00D61C28"/>
    <w:rsid w:val="00D62694"/>
    <w:rsid w:val="00D6361E"/>
    <w:rsid w:val="00D636DD"/>
    <w:rsid w:val="00D638BC"/>
    <w:rsid w:val="00D63CBA"/>
    <w:rsid w:val="00D64240"/>
    <w:rsid w:val="00D644A3"/>
    <w:rsid w:val="00D64D8F"/>
    <w:rsid w:val="00D65A48"/>
    <w:rsid w:val="00D65B53"/>
    <w:rsid w:val="00D65FE2"/>
    <w:rsid w:val="00D6620C"/>
    <w:rsid w:val="00D66275"/>
    <w:rsid w:val="00D66568"/>
    <w:rsid w:val="00D66968"/>
    <w:rsid w:val="00D66B3A"/>
    <w:rsid w:val="00D66B5B"/>
    <w:rsid w:val="00D66EEC"/>
    <w:rsid w:val="00D674D0"/>
    <w:rsid w:val="00D67526"/>
    <w:rsid w:val="00D676D0"/>
    <w:rsid w:val="00D67B35"/>
    <w:rsid w:val="00D67CA7"/>
    <w:rsid w:val="00D70E5E"/>
    <w:rsid w:val="00D70E99"/>
    <w:rsid w:val="00D71088"/>
    <w:rsid w:val="00D7190B"/>
    <w:rsid w:val="00D71A8D"/>
    <w:rsid w:val="00D71C4F"/>
    <w:rsid w:val="00D7201D"/>
    <w:rsid w:val="00D72275"/>
    <w:rsid w:val="00D730A1"/>
    <w:rsid w:val="00D7311A"/>
    <w:rsid w:val="00D73543"/>
    <w:rsid w:val="00D736A3"/>
    <w:rsid w:val="00D74A33"/>
    <w:rsid w:val="00D74F15"/>
    <w:rsid w:val="00D75513"/>
    <w:rsid w:val="00D76206"/>
    <w:rsid w:val="00D7652D"/>
    <w:rsid w:val="00D76811"/>
    <w:rsid w:val="00D769E1"/>
    <w:rsid w:val="00D76B10"/>
    <w:rsid w:val="00D76C69"/>
    <w:rsid w:val="00D76E1D"/>
    <w:rsid w:val="00D76F6D"/>
    <w:rsid w:val="00D770A2"/>
    <w:rsid w:val="00D77633"/>
    <w:rsid w:val="00D778B5"/>
    <w:rsid w:val="00D8004E"/>
    <w:rsid w:val="00D8005F"/>
    <w:rsid w:val="00D81C67"/>
    <w:rsid w:val="00D82468"/>
    <w:rsid w:val="00D83073"/>
    <w:rsid w:val="00D83557"/>
    <w:rsid w:val="00D83C7C"/>
    <w:rsid w:val="00D83DD0"/>
    <w:rsid w:val="00D8449C"/>
    <w:rsid w:val="00D84804"/>
    <w:rsid w:val="00D85093"/>
    <w:rsid w:val="00D859B5"/>
    <w:rsid w:val="00D85A2C"/>
    <w:rsid w:val="00D85B1D"/>
    <w:rsid w:val="00D85E1A"/>
    <w:rsid w:val="00D85FAF"/>
    <w:rsid w:val="00D8602B"/>
    <w:rsid w:val="00D86B5E"/>
    <w:rsid w:val="00D86EA8"/>
    <w:rsid w:val="00D86FB3"/>
    <w:rsid w:val="00D87014"/>
    <w:rsid w:val="00D8706B"/>
    <w:rsid w:val="00D870C3"/>
    <w:rsid w:val="00D870EC"/>
    <w:rsid w:val="00D87222"/>
    <w:rsid w:val="00D87349"/>
    <w:rsid w:val="00D87541"/>
    <w:rsid w:val="00D87E1F"/>
    <w:rsid w:val="00D87E56"/>
    <w:rsid w:val="00D90004"/>
    <w:rsid w:val="00D90171"/>
    <w:rsid w:val="00D9018A"/>
    <w:rsid w:val="00D906A6"/>
    <w:rsid w:val="00D90827"/>
    <w:rsid w:val="00D908D9"/>
    <w:rsid w:val="00D91183"/>
    <w:rsid w:val="00D918ED"/>
    <w:rsid w:val="00D9229F"/>
    <w:rsid w:val="00D9231D"/>
    <w:rsid w:val="00D92573"/>
    <w:rsid w:val="00D93C7D"/>
    <w:rsid w:val="00D941D0"/>
    <w:rsid w:val="00D9459C"/>
    <w:rsid w:val="00D94908"/>
    <w:rsid w:val="00D94998"/>
    <w:rsid w:val="00D94B6F"/>
    <w:rsid w:val="00D952C3"/>
    <w:rsid w:val="00D968BD"/>
    <w:rsid w:val="00D96D80"/>
    <w:rsid w:val="00D97138"/>
    <w:rsid w:val="00D976A5"/>
    <w:rsid w:val="00D97C7E"/>
    <w:rsid w:val="00D97D21"/>
    <w:rsid w:val="00DA0262"/>
    <w:rsid w:val="00DA06E3"/>
    <w:rsid w:val="00DA0AA8"/>
    <w:rsid w:val="00DA0C4E"/>
    <w:rsid w:val="00DA1876"/>
    <w:rsid w:val="00DA237A"/>
    <w:rsid w:val="00DA3C26"/>
    <w:rsid w:val="00DA4116"/>
    <w:rsid w:val="00DA450B"/>
    <w:rsid w:val="00DA4FDB"/>
    <w:rsid w:val="00DA538A"/>
    <w:rsid w:val="00DA5495"/>
    <w:rsid w:val="00DA5901"/>
    <w:rsid w:val="00DA5D19"/>
    <w:rsid w:val="00DA61CB"/>
    <w:rsid w:val="00DA63FB"/>
    <w:rsid w:val="00DA6897"/>
    <w:rsid w:val="00DA72FD"/>
    <w:rsid w:val="00DA735E"/>
    <w:rsid w:val="00DA7C2A"/>
    <w:rsid w:val="00DA7DA3"/>
    <w:rsid w:val="00DA7DE6"/>
    <w:rsid w:val="00DB0037"/>
    <w:rsid w:val="00DB0A83"/>
    <w:rsid w:val="00DB0ADF"/>
    <w:rsid w:val="00DB0ED0"/>
    <w:rsid w:val="00DB1A72"/>
    <w:rsid w:val="00DB211D"/>
    <w:rsid w:val="00DB216F"/>
    <w:rsid w:val="00DB25C9"/>
    <w:rsid w:val="00DB29C2"/>
    <w:rsid w:val="00DB2A19"/>
    <w:rsid w:val="00DB2F83"/>
    <w:rsid w:val="00DB304A"/>
    <w:rsid w:val="00DB3366"/>
    <w:rsid w:val="00DB374C"/>
    <w:rsid w:val="00DB6649"/>
    <w:rsid w:val="00DB67D0"/>
    <w:rsid w:val="00DB7147"/>
    <w:rsid w:val="00DB7E64"/>
    <w:rsid w:val="00DB7EAC"/>
    <w:rsid w:val="00DC010A"/>
    <w:rsid w:val="00DC0AEE"/>
    <w:rsid w:val="00DC1545"/>
    <w:rsid w:val="00DC172E"/>
    <w:rsid w:val="00DC1742"/>
    <w:rsid w:val="00DC1AAE"/>
    <w:rsid w:val="00DC1B40"/>
    <w:rsid w:val="00DC219A"/>
    <w:rsid w:val="00DC2660"/>
    <w:rsid w:val="00DC272D"/>
    <w:rsid w:val="00DC2B0A"/>
    <w:rsid w:val="00DC35A8"/>
    <w:rsid w:val="00DC3C5A"/>
    <w:rsid w:val="00DC4399"/>
    <w:rsid w:val="00DC5012"/>
    <w:rsid w:val="00DC6614"/>
    <w:rsid w:val="00DC670D"/>
    <w:rsid w:val="00DC6B79"/>
    <w:rsid w:val="00DC6DDC"/>
    <w:rsid w:val="00DC70A8"/>
    <w:rsid w:val="00DC715D"/>
    <w:rsid w:val="00DC7D5D"/>
    <w:rsid w:val="00DC7D96"/>
    <w:rsid w:val="00DD019E"/>
    <w:rsid w:val="00DD0ABC"/>
    <w:rsid w:val="00DD0FD0"/>
    <w:rsid w:val="00DD10F7"/>
    <w:rsid w:val="00DD23ED"/>
    <w:rsid w:val="00DD257A"/>
    <w:rsid w:val="00DD27A6"/>
    <w:rsid w:val="00DD3913"/>
    <w:rsid w:val="00DD432A"/>
    <w:rsid w:val="00DD4542"/>
    <w:rsid w:val="00DD47C4"/>
    <w:rsid w:val="00DD48A2"/>
    <w:rsid w:val="00DD4A48"/>
    <w:rsid w:val="00DD4E0D"/>
    <w:rsid w:val="00DD4EB2"/>
    <w:rsid w:val="00DD5302"/>
    <w:rsid w:val="00DD5850"/>
    <w:rsid w:val="00DD5CFD"/>
    <w:rsid w:val="00DD6225"/>
    <w:rsid w:val="00DD62C5"/>
    <w:rsid w:val="00DD64D6"/>
    <w:rsid w:val="00DD650A"/>
    <w:rsid w:val="00DD6912"/>
    <w:rsid w:val="00DD6935"/>
    <w:rsid w:val="00DD6D7E"/>
    <w:rsid w:val="00DD7F15"/>
    <w:rsid w:val="00DE092C"/>
    <w:rsid w:val="00DE0977"/>
    <w:rsid w:val="00DE0FC9"/>
    <w:rsid w:val="00DE1591"/>
    <w:rsid w:val="00DE1DD3"/>
    <w:rsid w:val="00DE205C"/>
    <w:rsid w:val="00DE2A2B"/>
    <w:rsid w:val="00DE2A9C"/>
    <w:rsid w:val="00DE30EA"/>
    <w:rsid w:val="00DE31C6"/>
    <w:rsid w:val="00DE3515"/>
    <w:rsid w:val="00DE39B7"/>
    <w:rsid w:val="00DE39D6"/>
    <w:rsid w:val="00DE3A67"/>
    <w:rsid w:val="00DE3A7F"/>
    <w:rsid w:val="00DE3CED"/>
    <w:rsid w:val="00DE44E5"/>
    <w:rsid w:val="00DE48E1"/>
    <w:rsid w:val="00DE4C10"/>
    <w:rsid w:val="00DE5470"/>
    <w:rsid w:val="00DE5F2B"/>
    <w:rsid w:val="00DE6CA5"/>
    <w:rsid w:val="00DE78A4"/>
    <w:rsid w:val="00DF03F4"/>
    <w:rsid w:val="00DF0550"/>
    <w:rsid w:val="00DF0E7E"/>
    <w:rsid w:val="00DF14DE"/>
    <w:rsid w:val="00DF1834"/>
    <w:rsid w:val="00DF1B35"/>
    <w:rsid w:val="00DF1C65"/>
    <w:rsid w:val="00DF2234"/>
    <w:rsid w:val="00DF22B1"/>
    <w:rsid w:val="00DF2448"/>
    <w:rsid w:val="00DF2AF0"/>
    <w:rsid w:val="00DF2EAF"/>
    <w:rsid w:val="00DF3414"/>
    <w:rsid w:val="00DF3907"/>
    <w:rsid w:val="00DF39BF"/>
    <w:rsid w:val="00DF3AFD"/>
    <w:rsid w:val="00DF3D11"/>
    <w:rsid w:val="00DF4412"/>
    <w:rsid w:val="00DF4A44"/>
    <w:rsid w:val="00DF5CBA"/>
    <w:rsid w:val="00DF5CF4"/>
    <w:rsid w:val="00DF641B"/>
    <w:rsid w:val="00DF64F7"/>
    <w:rsid w:val="00DF6D6A"/>
    <w:rsid w:val="00DF6DE0"/>
    <w:rsid w:val="00DF6FF0"/>
    <w:rsid w:val="00DF7024"/>
    <w:rsid w:val="00DF7172"/>
    <w:rsid w:val="00DF730D"/>
    <w:rsid w:val="00DF7956"/>
    <w:rsid w:val="00DF7FCB"/>
    <w:rsid w:val="00E00A11"/>
    <w:rsid w:val="00E00EA9"/>
    <w:rsid w:val="00E00EEA"/>
    <w:rsid w:val="00E0114A"/>
    <w:rsid w:val="00E01359"/>
    <w:rsid w:val="00E01D37"/>
    <w:rsid w:val="00E01DFD"/>
    <w:rsid w:val="00E01E8B"/>
    <w:rsid w:val="00E01EBD"/>
    <w:rsid w:val="00E027A3"/>
    <w:rsid w:val="00E02B95"/>
    <w:rsid w:val="00E0304A"/>
    <w:rsid w:val="00E0321F"/>
    <w:rsid w:val="00E039DD"/>
    <w:rsid w:val="00E03A69"/>
    <w:rsid w:val="00E0462A"/>
    <w:rsid w:val="00E04F11"/>
    <w:rsid w:val="00E05F83"/>
    <w:rsid w:val="00E06331"/>
    <w:rsid w:val="00E06C64"/>
    <w:rsid w:val="00E06EEE"/>
    <w:rsid w:val="00E06F00"/>
    <w:rsid w:val="00E07147"/>
    <w:rsid w:val="00E07CBA"/>
    <w:rsid w:val="00E1078A"/>
    <w:rsid w:val="00E10DA9"/>
    <w:rsid w:val="00E1138E"/>
    <w:rsid w:val="00E11559"/>
    <w:rsid w:val="00E11D96"/>
    <w:rsid w:val="00E125F1"/>
    <w:rsid w:val="00E12607"/>
    <w:rsid w:val="00E12F02"/>
    <w:rsid w:val="00E13309"/>
    <w:rsid w:val="00E136B1"/>
    <w:rsid w:val="00E13F4C"/>
    <w:rsid w:val="00E14511"/>
    <w:rsid w:val="00E14561"/>
    <w:rsid w:val="00E1497F"/>
    <w:rsid w:val="00E14CE6"/>
    <w:rsid w:val="00E154A2"/>
    <w:rsid w:val="00E15717"/>
    <w:rsid w:val="00E15A2B"/>
    <w:rsid w:val="00E15B14"/>
    <w:rsid w:val="00E16408"/>
    <w:rsid w:val="00E1672F"/>
    <w:rsid w:val="00E16AFC"/>
    <w:rsid w:val="00E16FC8"/>
    <w:rsid w:val="00E17BCF"/>
    <w:rsid w:val="00E201B1"/>
    <w:rsid w:val="00E215FB"/>
    <w:rsid w:val="00E2186C"/>
    <w:rsid w:val="00E21B38"/>
    <w:rsid w:val="00E223F2"/>
    <w:rsid w:val="00E225A0"/>
    <w:rsid w:val="00E23148"/>
    <w:rsid w:val="00E23C4D"/>
    <w:rsid w:val="00E24963"/>
    <w:rsid w:val="00E25AE5"/>
    <w:rsid w:val="00E264ED"/>
    <w:rsid w:val="00E26552"/>
    <w:rsid w:val="00E268BA"/>
    <w:rsid w:val="00E26E34"/>
    <w:rsid w:val="00E27226"/>
    <w:rsid w:val="00E27492"/>
    <w:rsid w:val="00E279B7"/>
    <w:rsid w:val="00E27D30"/>
    <w:rsid w:val="00E30087"/>
    <w:rsid w:val="00E30752"/>
    <w:rsid w:val="00E30C5D"/>
    <w:rsid w:val="00E30F8D"/>
    <w:rsid w:val="00E316C2"/>
    <w:rsid w:val="00E316E3"/>
    <w:rsid w:val="00E31854"/>
    <w:rsid w:val="00E320B2"/>
    <w:rsid w:val="00E327EF"/>
    <w:rsid w:val="00E33384"/>
    <w:rsid w:val="00E337DA"/>
    <w:rsid w:val="00E3400F"/>
    <w:rsid w:val="00E34B91"/>
    <w:rsid w:val="00E36121"/>
    <w:rsid w:val="00E363BA"/>
    <w:rsid w:val="00E363DA"/>
    <w:rsid w:val="00E36515"/>
    <w:rsid w:val="00E365BB"/>
    <w:rsid w:val="00E3676A"/>
    <w:rsid w:val="00E367D7"/>
    <w:rsid w:val="00E36A8A"/>
    <w:rsid w:val="00E370E2"/>
    <w:rsid w:val="00E403EB"/>
    <w:rsid w:val="00E40559"/>
    <w:rsid w:val="00E40600"/>
    <w:rsid w:val="00E406E3"/>
    <w:rsid w:val="00E40764"/>
    <w:rsid w:val="00E4161D"/>
    <w:rsid w:val="00E418E2"/>
    <w:rsid w:val="00E41A4E"/>
    <w:rsid w:val="00E41FEE"/>
    <w:rsid w:val="00E423F1"/>
    <w:rsid w:val="00E424DC"/>
    <w:rsid w:val="00E42501"/>
    <w:rsid w:val="00E42BF8"/>
    <w:rsid w:val="00E43C5F"/>
    <w:rsid w:val="00E43F89"/>
    <w:rsid w:val="00E44DF3"/>
    <w:rsid w:val="00E45287"/>
    <w:rsid w:val="00E46073"/>
    <w:rsid w:val="00E46208"/>
    <w:rsid w:val="00E46541"/>
    <w:rsid w:val="00E46658"/>
    <w:rsid w:val="00E46969"/>
    <w:rsid w:val="00E46A9D"/>
    <w:rsid w:val="00E46D79"/>
    <w:rsid w:val="00E50627"/>
    <w:rsid w:val="00E50F28"/>
    <w:rsid w:val="00E51084"/>
    <w:rsid w:val="00E51F77"/>
    <w:rsid w:val="00E5233B"/>
    <w:rsid w:val="00E523E9"/>
    <w:rsid w:val="00E5306D"/>
    <w:rsid w:val="00E532C4"/>
    <w:rsid w:val="00E535D8"/>
    <w:rsid w:val="00E537EE"/>
    <w:rsid w:val="00E53C65"/>
    <w:rsid w:val="00E54194"/>
    <w:rsid w:val="00E54DB6"/>
    <w:rsid w:val="00E5511D"/>
    <w:rsid w:val="00E55389"/>
    <w:rsid w:val="00E55AA8"/>
    <w:rsid w:val="00E55AEF"/>
    <w:rsid w:val="00E55CA9"/>
    <w:rsid w:val="00E56445"/>
    <w:rsid w:val="00E56B58"/>
    <w:rsid w:val="00E60ACD"/>
    <w:rsid w:val="00E60B3B"/>
    <w:rsid w:val="00E60E25"/>
    <w:rsid w:val="00E6136F"/>
    <w:rsid w:val="00E624E4"/>
    <w:rsid w:val="00E6278E"/>
    <w:rsid w:val="00E62A72"/>
    <w:rsid w:val="00E63B93"/>
    <w:rsid w:val="00E6417A"/>
    <w:rsid w:val="00E645A2"/>
    <w:rsid w:val="00E64A1C"/>
    <w:rsid w:val="00E64F1B"/>
    <w:rsid w:val="00E65671"/>
    <w:rsid w:val="00E66009"/>
    <w:rsid w:val="00E677AE"/>
    <w:rsid w:val="00E704B4"/>
    <w:rsid w:val="00E7145C"/>
    <w:rsid w:val="00E716D7"/>
    <w:rsid w:val="00E717E4"/>
    <w:rsid w:val="00E72000"/>
    <w:rsid w:val="00E72799"/>
    <w:rsid w:val="00E730F8"/>
    <w:rsid w:val="00E73345"/>
    <w:rsid w:val="00E7384D"/>
    <w:rsid w:val="00E741CA"/>
    <w:rsid w:val="00E74716"/>
    <w:rsid w:val="00E74786"/>
    <w:rsid w:val="00E750D7"/>
    <w:rsid w:val="00E750F0"/>
    <w:rsid w:val="00E751A7"/>
    <w:rsid w:val="00E75D35"/>
    <w:rsid w:val="00E76500"/>
    <w:rsid w:val="00E76793"/>
    <w:rsid w:val="00E76D11"/>
    <w:rsid w:val="00E76D86"/>
    <w:rsid w:val="00E772AE"/>
    <w:rsid w:val="00E774EE"/>
    <w:rsid w:val="00E8004E"/>
    <w:rsid w:val="00E80184"/>
    <w:rsid w:val="00E8019A"/>
    <w:rsid w:val="00E803C4"/>
    <w:rsid w:val="00E8043F"/>
    <w:rsid w:val="00E8057E"/>
    <w:rsid w:val="00E8113B"/>
    <w:rsid w:val="00E812E3"/>
    <w:rsid w:val="00E8177A"/>
    <w:rsid w:val="00E819E4"/>
    <w:rsid w:val="00E81B65"/>
    <w:rsid w:val="00E81EF2"/>
    <w:rsid w:val="00E823F8"/>
    <w:rsid w:val="00E8261E"/>
    <w:rsid w:val="00E82783"/>
    <w:rsid w:val="00E8288F"/>
    <w:rsid w:val="00E82A9F"/>
    <w:rsid w:val="00E82FF4"/>
    <w:rsid w:val="00E83A79"/>
    <w:rsid w:val="00E8453A"/>
    <w:rsid w:val="00E8458F"/>
    <w:rsid w:val="00E848BF"/>
    <w:rsid w:val="00E84A3B"/>
    <w:rsid w:val="00E84FD4"/>
    <w:rsid w:val="00E851CF"/>
    <w:rsid w:val="00E85F9D"/>
    <w:rsid w:val="00E8602F"/>
    <w:rsid w:val="00E860B1"/>
    <w:rsid w:val="00E86529"/>
    <w:rsid w:val="00E86CA2"/>
    <w:rsid w:val="00E86CAD"/>
    <w:rsid w:val="00E87053"/>
    <w:rsid w:val="00E8707A"/>
    <w:rsid w:val="00E87851"/>
    <w:rsid w:val="00E87DC4"/>
    <w:rsid w:val="00E90166"/>
    <w:rsid w:val="00E90B91"/>
    <w:rsid w:val="00E9105B"/>
    <w:rsid w:val="00E91CA7"/>
    <w:rsid w:val="00E92022"/>
    <w:rsid w:val="00E929A1"/>
    <w:rsid w:val="00E93796"/>
    <w:rsid w:val="00E94322"/>
    <w:rsid w:val="00E9441E"/>
    <w:rsid w:val="00E945F0"/>
    <w:rsid w:val="00E94743"/>
    <w:rsid w:val="00E948B4"/>
    <w:rsid w:val="00E95651"/>
    <w:rsid w:val="00E956AB"/>
    <w:rsid w:val="00E95B8D"/>
    <w:rsid w:val="00E95C19"/>
    <w:rsid w:val="00E9643C"/>
    <w:rsid w:val="00E9734A"/>
    <w:rsid w:val="00EA0B2A"/>
    <w:rsid w:val="00EA0F8D"/>
    <w:rsid w:val="00EA1027"/>
    <w:rsid w:val="00EA116F"/>
    <w:rsid w:val="00EA1370"/>
    <w:rsid w:val="00EA170A"/>
    <w:rsid w:val="00EA2F44"/>
    <w:rsid w:val="00EA416A"/>
    <w:rsid w:val="00EA41F1"/>
    <w:rsid w:val="00EA51DC"/>
    <w:rsid w:val="00EA5449"/>
    <w:rsid w:val="00EA568E"/>
    <w:rsid w:val="00EA569D"/>
    <w:rsid w:val="00EA5DFE"/>
    <w:rsid w:val="00EA608A"/>
    <w:rsid w:val="00EA63E2"/>
    <w:rsid w:val="00EA6DB1"/>
    <w:rsid w:val="00EA714D"/>
    <w:rsid w:val="00EA72F1"/>
    <w:rsid w:val="00EA7A82"/>
    <w:rsid w:val="00EB0192"/>
    <w:rsid w:val="00EB0554"/>
    <w:rsid w:val="00EB07C6"/>
    <w:rsid w:val="00EB0E91"/>
    <w:rsid w:val="00EB123D"/>
    <w:rsid w:val="00EB1891"/>
    <w:rsid w:val="00EB2E59"/>
    <w:rsid w:val="00EB36C2"/>
    <w:rsid w:val="00EB434F"/>
    <w:rsid w:val="00EB4BE3"/>
    <w:rsid w:val="00EB4DBF"/>
    <w:rsid w:val="00EB5769"/>
    <w:rsid w:val="00EB585C"/>
    <w:rsid w:val="00EB58A4"/>
    <w:rsid w:val="00EB5D9D"/>
    <w:rsid w:val="00EB5E21"/>
    <w:rsid w:val="00EB5FA8"/>
    <w:rsid w:val="00EB6386"/>
    <w:rsid w:val="00EB6501"/>
    <w:rsid w:val="00EB6802"/>
    <w:rsid w:val="00EB6DA7"/>
    <w:rsid w:val="00EB756B"/>
    <w:rsid w:val="00EB76F6"/>
    <w:rsid w:val="00EB7E30"/>
    <w:rsid w:val="00EC03C1"/>
    <w:rsid w:val="00EC044B"/>
    <w:rsid w:val="00EC0B75"/>
    <w:rsid w:val="00EC0D89"/>
    <w:rsid w:val="00EC0D98"/>
    <w:rsid w:val="00EC15D3"/>
    <w:rsid w:val="00EC1819"/>
    <w:rsid w:val="00EC182B"/>
    <w:rsid w:val="00EC18B0"/>
    <w:rsid w:val="00EC1E99"/>
    <w:rsid w:val="00EC289C"/>
    <w:rsid w:val="00EC2B52"/>
    <w:rsid w:val="00EC2F54"/>
    <w:rsid w:val="00EC31CA"/>
    <w:rsid w:val="00EC369E"/>
    <w:rsid w:val="00EC391C"/>
    <w:rsid w:val="00EC3A62"/>
    <w:rsid w:val="00EC462C"/>
    <w:rsid w:val="00EC483C"/>
    <w:rsid w:val="00EC4935"/>
    <w:rsid w:val="00EC4AB2"/>
    <w:rsid w:val="00EC4CE1"/>
    <w:rsid w:val="00EC4F3C"/>
    <w:rsid w:val="00EC5013"/>
    <w:rsid w:val="00EC5021"/>
    <w:rsid w:val="00EC50C8"/>
    <w:rsid w:val="00EC5167"/>
    <w:rsid w:val="00EC534B"/>
    <w:rsid w:val="00EC7222"/>
    <w:rsid w:val="00EC7739"/>
    <w:rsid w:val="00EC7BFF"/>
    <w:rsid w:val="00ED1A88"/>
    <w:rsid w:val="00ED1C94"/>
    <w:rsid w:val="00ED1E3A"/>
    <w:rsid w:val="00ED1F81"/>
    <w:rsid w:val="00ED253B"/>
    <w:rsid w:val="00ED26EA"/>
    <w:rsid w:val="00ED2E33"/>
    <w:rsid w:val="00ED300B"/>
    <w:rsid w:val="00ED3A16"/>
    <w:rsid w:val="00ED4294"/>
    <w:rsid w:val="00ED445B"/>
    <w:rsid w:val="00ED4496"/>
    <w:rsid w:val="00ED44F7"/>
    <w:rsid w:val="00ED46C2"/>
    <w:rsid w:val="00ED4967"/>
    <w:rsid w:val="00ED4A51"/>
    <w:rsid w:val="00ED4A74"/>
    <w:rsid w:val="00ED4D21"/>
    <w:rsid w:val="00ED5070"/>
    <w:rsid w:val="00ED52CD"/>
    <w:rsid w:val="00ED52FF"/>
    <w:rsid w:val="00ED5303"/>
    <w:rsid w:val="00ED5A35"/>
    <w:rsid w:val="00ED5D34"/>
    <w:rsid w:val="00ED5DED"/>
    <w:rsid w:val="00ED62C6"/>
    <w:rsid w:val="00ED647C"/>
    <w:rsid w:val="00ED745E"/>
    <w:rsid w:val="00ED7A9F"/>
    <w:rsid w:val="00ED7BE8"/>
    <w:rsid w:val="00EE0002"/>
    <w:rsid w:val="00EE03B3"/>
    <w:rsid w:val="00EE040F"/>
    <w:rsid w:val="00EE05FD"/>
    <w:rsid w:val="00EE10B6"/>
    <w:rsid w:val="00EE142D"/>
    <w:rsid w:val="00EE1771"/>
    <w:rsid w:val="00EE1AA6"/>
    <w:rsid w:val="00EE21A1"/>
    <w:rsid w:val="00EE25B0"/>
    <w:rsid w:val="00EE2C41"/>
    <w:rsid w:val="00EE3AED"/>
    <w:rsid w:val="00EE3E1A"/>
    <w:rsid w:val="00EE4841"/>
    <w:rsid w:val="00EE4B2E"/>
    <w:rsid w:val="00EE4CE4"/>
    <w:rsid w:val="00EE4E66"/>
    <w:rsid w:val="00EE4FC3"/>
    <w:rsid w:val="00EE5CCD"/>
    <w:rsid w:val="00EE6C9E"/>
    <w:rsid w:val="00EE6E68"/>
    <w:rsid w:val="00EE72E2"/>
    <w:rsid w:val="00EE758C"/>
    <w:rsid w:val="00EE7C51"/>
    <w:rsid w:val="00EE7F86"/>
    <w:rsid w:val="00EF0235"/>
    <w:rsid w:val="00EF0C32"/>
    <w:rsid w:val="00EF0EF6"/>
    <w:rsid w:val="00EF11FC"/>
    <w:rsid w:val="00EF129C"/>
    <w:rsid w:val="00EF15F1"/>
    <w:rsid w:val="00EF1846"/>
    <w:rsid w:val="00EF193A"/>
    <w:rsid w:val="00EF23D8"/>
    <w:rsid w:val="00EF2B0D"/>
    <w:rsid w:val="00EF2C51"/>
    <w:rsid w:val="00EF322D"/>
    <w:rsid w:val="00EF37B8"/>
    <w:rsid w:val="00EF3C74"/>
    <w:rsid w:val="00EF3D29"/>
    <w:rsid w:val="00EF4110"/>
    <w:rsid w:val="00EF4DBC"/>
    <w:rsid w:val="00EF5085"/>
    <w:rsid w:val="00EF5363"/>
    <w:rsid w:val="00EF57B8"/>
    <w:rsid w:val="00EF57DE"/>
    <w:rsid w:val="00EF58D4"/>
    <w:rsid w:val="00EF5B17"/>
    <w:rsid w:val="00EF6033"/>
    <w:rsid w:val="00EF6661"/>
    <w:rsid w:val="00EF7057"/>
    <w:rsid w:val="00EF73DC"/>
    <w:rsid w:val="00EF784E"/>
    <w:rsid w:val="00EF7A6F"/>
    <w:rsid w:val="00EF7C14"/>
    <w:rsid w:val="00EF7E6B"/>
    <w:rsid w:val="00F00080"/>
    <w:rsid w:val="00F00F8E"/>
    <w:rsid w:val="00F01158"/>
    <w:rsid w:val="00F01B61"/>
    <w:rsid w:val="00F01CAF"/>
    <w:rsid w:val="00F0325D"/>
    <w:rsid w:val="00F033BE"/>
    <w:rsid w:val="00F035D0"/>
    <w:rsid w:val="00F0375F"/>
    <w:rsid w:val="00F038AF"/>
    <w:rsid w:val="00F03CC5"/>
    <w:rsid w:val="00F03CEF"/>
    <w:rsid w:val="00F03FD4"/>
    <w:rsid w:val="00F044D1"/>
    <w:rsid w:val="00F04775"/>
    <w:rsid w:val="00F05956"/>
    <w:rsid w:val="00F05B87"/>
    <w:rsid w:val="00F062E1"/>
    <w:rsid w:val="00F065F8"/>
    <w:rsid w:val="00F06925"/>
    <w:rsid w:val="00F06D14"/>
    <w:rsid w:val="00F0788E"/>
    <w:rsid w:val="00F07A7B"/>
    <w:rsid w:val="00F07D57"/>
    <w:rsid w:val="00F109EA"/>
    <w:rsid w:val="00F1105F"/>
    <w:rsid w:val="00F11407"/>
    <w:rsid w:val="00F122E1"/>
    <w:rsid w:val="00F12B11"/>
    <w:rsid w:val="00F13A60"/>
    <w:rsid w:val="00F13BB6"/>
    <w:rsid w:val="00F13DC5"/>
    <w:rsid w:val="00F14120"/>
    <w:rsid w:val="00F15E78"/>
    <w:rsid w:val="00F1636A"/>
    <w:rsid w:val="00F16557"/>
    <w:rsid w:val="00F16799"/>
    <w:rsid w:val="00F16840"/>
    <w:rsid w:val="00F1689D"/>
    <w:rsid w:val="00F169FE"/>
    <w:rsid w:val="00F16F31"/>
    <w:rsid w:val="00F1764C"/>
    <w:rsid w:val="00F17D9E"/>
    <w:rsid w:val="00F200D8"/>
    <w:rsid w:val="00F2075F"/>
    <w:rsid w:val="00F20B4C"/>
    <w:rsid w:val="00F20C2B"/>
    <w:rsid w:val="00F20CDF"/>
    <w:rsid w:val="00F214BC"/>
    <w:rsid w:val="00F2181C"/>
    <w:rsid w:val="00F218B4"/>
    <w:rsid w:val="00F21E2E"/>
    <w:rsid w:val="00F221DB"/>
    <w:rsid w:val="00F222C8"/>
    <w:rsid w:val="00F22458"/>
    <w:rsid w:val="00F23180"/>
    <w:rsid w:val="00F23A28"/>
    <w:rsid w:val="00F23F64"/>
    <w:rsid w:val="00F2451A"/>
    <w:rsid w:val="00F24CBD"/>
    <w:rsid w:val="00F24E01"/>
    <w:rsid w:val="00F25388"/>
    <w:rsid w:val="00F25A3D"/>
    <w:rsid w:val="00F25BB6"/>
    <w:rsid w:val="00F25FF3"/>
    <w:rsid w:val="00F2662E"/>
    <w:rsid w:val="00F2691B"/>
    <w:rsid w:val="00F27339"/>
    <w:rsid w:val="00F274AB"/>
    <w:rsid w:val="00F279D0"/>
    <w:rsid w:val="00F27A36"/>
    <w:rsid w:val="00F3061C"/>
    <w:rsid w:val="00F30AC7"/>
    <w:rsid w:val="00F3139E"/>
    <w:rsid w:val="00F31DAC"/>
    <w:rsid w:val="00F3243C"/>
    <w:rsid w:val="00F3285A"/>
    <w:rsid w:val="00F33082"/>
    <w:rsid w:val="00F331D3"/>
    <w:rsid w:val="00F33A91"/>
    <w:rsid w:val="00F33B38"/>
    <w:rsid w:val="00F34B34"/>
    <w:rsid w:val="00F3592F"/>
    <w:rsid w:val="00F359CD"/>
    <w:rsid w:val="00F361E0"/>
    <w:rsid w:val="00F36B37"/>
    <w:rsid w:val="00F37648"/>
    <w:rsid w:val="00F37E30"/>
    <w:rsid w:val="00F40320"/>
    <w:rsid w:val="00F41522"/>
    <w:rsid w:val="00F41A07"/>
    <w:rsid w:val="00F41D69"/>
    <w:rsid w:val="00F41FC2"/>
    <w:rsid w:val="00F422C6"/>
    <w:rsid w:val="00F42718"/>
    <w:rsid w:val="00F42820"/>
    <w:rsid w:val="00F42830"/>
    <w:rsid w:val="00F42834"/>
    <w:rsid w:val="00F42C35"/>
    <w:rsid w:val="00F430F7"/>
    <w:rsid w:val="00F43704"/>
    <w:rsid w:val="00F4387F"/>
    <w:rsid w:val="00F438CB"/>
    <w:rsid w:val="00F43944"/>
    <w:rsid w:val="00F43B61"/>
    <w:rsid w:val="00F43F02"/>
    <w:rsid w:val="00F44221"/>
    <w:rsid w:val="00F4427E"/>
    <w:rsid w:val="00F44410"/>
    <w:rsid w:val="00F45408"/>
    <w:rsid w:val="00F45446"/>
    <w:rsid w:val="00F455F0"/>
    <w:rsid w:val="00F45BB4"/>
    <w:rsid w:val="00F46DD4"/>
    <w:rsid w:val="00F474F3"/>
    <w:rsid w:val="00F47B90"/>
    <w:rsid w:val="00F502C5"/>
    <w:rsid w:val="00F50D1D"/>
    <w:rsid w:val="00F50FD5"/>
    <w:rsid w:val="00F511B5"/>
    <w:rsid w:val="00F51485"/>
    <w:rsid w:val="00F51ABF"/>
    <w:rsid w:val="00F51C31"/>
    <w:rsid w:val="00F52790"/>
    <w:rsid w:val="00F52943"/>
    <w:rsid w:val="00F52B9A"/>
    <w:rsid w:val="00F53661"/>
    <w:rsid w:val="00F53807"/>
    <w:rsid w:val="00F54039"/>
    <w:rsid w:val="00F540F0"/>
    <w:rsid w:val="00F54325"/>
    <w:rsid w:val="00F551E2"/>
    <w:rsid w:val="00F55AB3"/>
    <w:rsid w:val="00F55F92"/>
    <w:rsid w:val="00F5607F"/>
    <w:rsid w:val="00F5643E"/>
    <w:rsid w:val="00F5645D"/>
    <w:rsid w:val="00F56B06"/>
    <w:rsid w:val="00F57325"/>
    <w:rsid w:val="00F57782"/>
    <w:rsid w:val="00F57A71"/>
    <w:rsid w:val="00F6007F"/>
    <w:rsid w:val="00F61568"/>
    <w:rsid w:val="00F616F7"/>
    <w:rsid w:val="00F61BA8"/>
    <w:rsid w:val="00F61CDC"/>
    <w:rsid w:val="00F61DEE"/>
    <w:rsid w:val="00F61E84"/>
    <w:rsid w:val="00F61EB4"/>
    <w:rsid w:val="00F61FEC"/>
    <w:rsid w:val="00F621E0"/>
    <w:rsid w:val="00F6221D"/>
    <w:rsid w:val="00F62692"/>
    <w:rsid w:val="00F62FA6"/>
    <w:rsid w:val="00F630D1"/>
    <w:rsid w:val="00F6359E"/>
    <w:rsid w:val="00F6457A"/>
    <w:rsid w:val="00F64A92"/>
    <w:rsid w:val="00F64C63"/>
    <w:rsid w:val="00F64EF4"/>
    <w:rsid w:val="00F660E0"/>
    <w:rsid w:val="00F678FC"/>
    <w:rsid w:val="00F7058D"/>
    <w:rsid w:val="00F70658"/>
    <w:rsid w:val="00F70AB0"/>
    <w:rsid w:val="00F70DCB"/>
    <w:rsid w:val="00F7107C"/>
    <w:rsid w:val="00F7174D"/>
    <w:rsid w:val="00F7176E"/>
    <w:rsid w:val="00F7233F"/>
    <w:rsid w:val="00F723FA"/>
    <w:rsid w:val="00F73687"/>
    <w:rsid w:val="00F73C2B"/>
    <w:rsid w:val="00F73D88"/>
    <w:rsid w:val="00F73E41"/>
    <w:rsid w:val="00F7468D"/>
    <w:rsid w:val="00F74FBB"/>
    <w:rsid w:val="00F7508A"/>
    <w:rsid w:val="00F7528C"/>
    <w:rsid w:val="00F75477"/>
    <w:rsid w:val="00F755AA"/>
    <w:rsid w:val="00F75C34"/>
    <w:rsid w:val="00F766A6"/>
    <w:rsid w:val="00F76D0D"/>
    <w:rsid w:val="00F76FDA"/>
    <w:rsid w:val="00F77446"/>
    <w:rsid w:val="00F77E67"/>
    <w:rsid w:val="00F80566"/>
    <w:rsid w:val="00F80E28"/>
    <w:rsid w:val="00F81417"/>
    <w:rsid w:val="00F8148C"/>
    <w:rsid w:val="00F815AB"/>
    <w:rsid w:val="00F8316F"/>
    <w:rsid w:val="00F8355C"/>
    <w:rsid w:val="00F83F12"/>
    <w:rsid w:val="00F84E14"/>
    <w:rsid w:val="00F851ED"/>
    <w:rsid w:val="00F86032"/>
    <w:rsid w:val="00F86C91"/>
    <w:rsid w:val="00F86E0C"/>
    <w:rsid w:val="00F87396"/>
    <w:rsid w:val="00F87D52"/>
    <w:rsid w:val="00F87EA0"/>
    <w:rsid w:val="00F90067"/>
    <w:rsid w:val="00F90711"/>
    <w:rsid w:val="00F90817"/>
    <w:rsid w:val="00F90D2C"/>
    <w:rsid w:val="00F923A4"/>
    <w:rsid w:val="00F925CA"/>
    <w:rsid w:val="00F92D3A"/>
    <w:rsid w:val="00F9346F"/>
    <w:rsid w:val="00F934EA"/>
    <w:rsid w:val="00F93FC6"/>
    <w:rsid w:val="00F9454D"/>
    <w:rsid w:val="00F94AD8"/>
    <w:rsid w:val="00F951B4"/>
    <w:rsid w:val="00F95840"/>
    <w:rsid w:val="00F95C89"/>
    <w:rsid w:val="00F96AB3"/>
    <w:rsid w:val="00F96B15"/>
    <w:rsid w:val="00F971F0"/>
    <w:rsid w:val="00F973A1"/>
    <w:rsid w:val="00F97DD0"/>
    <w:rsid w:val="00FA08DF"/>
    <w:rsid w:val="00FA094F"/>
    <w:rsid w:val="00FA1291"/>
    <w:rsid w:val="00FA1370"/>
    <w:rsid w:val="00FA19AE"/>
    <w:rsid w:val="00FA1C62"/>
    <w:rsid w:val="00FA1D0A"/>
    <w:rsid w:val="00FA24F4"/>
    <w:rsid w:val="00FA2C42"/>
    <w:rsid w:val="00FA3502"/>
    <w:rsid w:val="00FA369B"/>
    <w:rsid w:val="00FA36E6"/>
    <w:rsid w:val="00FA40C7"/>
    <w:rsid w:val="00FA53C4"/>
    <w:rsid w:val="00FA56F9"/>
    <w:rsid w:val="00FA57A1"/>
    <w:rsid w:val="00FA590B"/>
    <w:rsid w:val="00FA6A03"/>
    <w:rsid w:val="00FA6D38"/>
    <w:rsid w:val="00FA6ECB"/>
    <w:rsid w:val="00FA7592"/>
    <w:rsid w:val="00FA79B7"/>
    <w:rsid w:val="00FA7A9E"/>
    <w:rsid w:val="00FB0D45"/>
    <w:rsid w:val="00FB132C"/>
    <w:rsid w:val="00FB2C59"/>
    <w:rsid w:val="00FB37C8"/>
    <w:rsid w:val="00FB37D8"/>
    <w:rsid w:val="00FB3D73"/>
    <w:rsid w:val="00FB44B2"/>
    <w:rsid w:val="00FB4F8F"/>
    <w:rsid w:val="00FB4FC7"/>
    <w:rsid w:val="00FB5772"/>
    <w:rsid w:val="00FB5936"/>
    <w:rsid w:val="00FB5976"/>
    <w:rsid w:val="00FB6329"/>
    <w:rsid w:val="00FB6379"/>
    <w:rsid w:val="00FB6834"/>
    <w:rsid w:val="00FB6D28"/>
    <w:rsid w:val="00FB6E1F"/>
    <w:rsid w:val="00FB7459"/>
    <w:rsid w:val="00FB7490"/>
    <w:rsid w:val="00FB7835"/>
    <w:rsid w:val="00FC03A8"/>
    <w:rsid w:val="00FC044F"/>
    <w:rsid w:val="00FC05D9"/>
    <w:rsid w:val="00FC0951"/>
    <w:rsid w:val="00FC09E4"/>
    <w:rsid w:val="00FC0C30"/>
    <w:rsid w:val="00FC0CC4"/>
    <w:rsid w:val="00FC1246"/>
    <w:rsid w:val="00FC16C6"/>
    <w:rsid w:val="00FC1D24"/>
    <w:rsid w:val="00FC2E89"/>
    <w:rsid w:val="00FC2F2E"/>
    <w:rsid w:val="00FC32F7"/>
    <w:rsid w:val="00FC3530"/>
    <w:rsid w:val="00FC4B0F"/>
    <w:rsid w:val="00FC4C8C"/>
    <w:rsid w:val="00FC506C"/>
    <w:rsid w:val="00FC5295"/>
    <w:rsid w:val="00FC5ACC"/>
    <w:rsid w:val="00FC65A0"/>
    <w:rsid w:val="00FC6649"/>
    <w:rsid w:val="00FC685E"/>
    <w:rsid w:val="00FC6D7F"/>
    <w:rsid w:val="00FC7191"/>
    <w:rsid w:val="00FC7601"/>
    <w:rsid w:val="00FC771D"/>
    <w:rsid w:val="00FC7978"/>
    <w:rsid w:val="00FD0193"/>
    <w:rsid w:val="00FD0480"/>
    <w:rsid w:val="00FD06B6"/>
    <w:rsid w:val="00FD07C3"/>
    <w:rsid w:val="00FD0B64"/>
    <w:rsid w:val="00FD0EF2"/>
    <w:rsid w:val="00FD0F07"/>
    <w:rsid w:val="00FD1ACE"/>
    <w:rsid w:val="00FD1ED1"/>
    <w:rsid w:val="00FD21B8"/>
    <w:rsid w:val="00FD26F0"/>
    <w:rsid w:val="00FD279B"/>
    <w:rsid w:val="00FD2AFD"/>
    <w:rsid w:val="00FD2F4A"/>
    <w:rsid w:val="00FD41D0"/>
    <w:rsid w:val="00FD41F4"/>
    <w:rsid w:val="00FD430E"/>
    <w:rsid w:val="00FD49D3"/>
    <w:rsid w:val="00FD5ADE"/>
    <w:rsid w:val="00FD5D5E"/>
    <w:rsid w:val="00FD602E"/>
    <w:rsid w:val="00FD6CCD"/>
    <w:rsid w:val="00FD6E93"/>
    <w:rsid w:val="00FD70EF"/>
    <w:rsid w:val="00FD7E79"/>
    <w:rsid w:val="00FE00A9"/>
    <w:rsid w:val="00FE05C9"/>
    <w:rsid w:val="00FE13C6"/>
    <w:rsid w:val="00FE1CE6"/>
    <w:rsid w:val="00FE1F19"/>
    <w:rsid w:val="00FE2CB6"/>
    <w:rsid w:val="00FE321F"/>
    <w:rsid w:val="00FE33A5"/>
    <w:rsid w:val="00FE3B33"/>
    <w:rsid w:val="00FE3D88"/>
    <w:rsid w:val="00FE4364"/>
    <w:rsid w:val="00FE4AB0"/>
    <w:rsid w:val="00FE50C9"/>
    <w:rsid w:val="00FE53C1"/>
    <w:rsid w:val="00FE549F"/>
    <w:rsid w:val="00FE57EB"/>
    <w:rsid w:val="00FE585D"/>
    <w:rsid w:val="00FE5E68"/>
    <w:rsid w:val="00FE645B"/>
    <w:rsid w:val="00FE6D01"/>
    <w:rsid w:val="00FE6DCB"/>
    <w:rsid w:val="00FE734D"/>
    <w:rsid w:val="00FE7A9F"/>
    <w:rsid w:val="00FE7FFD"/>
    <w:rsid w:val="00FF001B"/>
    <w:rsid w:val="00FF054C"/>
    <w:rsid w:val="00FF08E9"/>
    <w:rsid w:val="00FF0B31"/>
    <w:rsid w:val="00FF0B3A"/>
    <w:rsid w:val="00FF1015"/>
    <w:rsid w:val="00FF115E"/>
    <w:rsid w:val="00FF2355"/>
    <w:rsid w:val="00FF2551"/>
    <w:rsid w:val="00FF27AC"/>
    <w:rsid w:val="00FF27CD"/>
    <w:rsid w:val="00FF2AA8"/>
    <w:rsid w:val="00FF2BBD"/>
    <w:rsid w:val="00FF34E5"/>
    <w:rsid w:val="00FF3A5D"/>
    <w:rsid w:val="00FF3BDC"/>
    <w:rsid w:val="00FF40A2"/>
    <w:rsid w:val="00FF460C"/>
    <w:rsid w:val="00FF47A7"/>
    <w:rsid w:val="00FF48F5"/>
    <w:rsid w:val="00FF4925"/>
    <w:rsid w:val="00FF4A7B"/>
    <w:rsid w:val="00FF558A"/>
    <w:rsid w:val="00FF6C62"/>
    <w:rsid w:val="00FF6D1C"/>
    <w:rsid w:val="00FF7236"/>
    <w:rsid w:val="00FF726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1B57"/>
  <w15:docId w15:val="{FA2250F1-E963-43DE-8D37-129CAB93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PH"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BE"/>
    <w:pPr>
      <w:spacing w:line="340" w:lineRule="atLeast"/>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2title">
    <w:name w:val="MDPI_1.2_title"/>
    <w:next w:val="MDPI13authornames"/>
    <w:qFormat/>
    <w:rsid w:val="00E255BE"/>
    <w:pPr>
      <w:adjustRightInd w:val="0"/>
      <w:snapToGrid w:val="0"/>
      <w:spacing w:after="240" w:line="400" w:lineRule="exact"/>
    </w:pPr>
    <w:rPr>
      <w:rFonts w:ascii="Palatino Linotype" w:hAnsi="Palatino Linotype"/>
      <w:b/>
      <w:snapToGrid w:val="0"/>
      <w:color w:val="000000"/>
      <w:sz w:val="36"/>
      <w:szCs w:val="20"/>
      <w:lang w:eastAsia="de-DE" w:bidi="en-US"/>
    </w:rPr>
  </w:style>
  <w:style w:type="paragraph" w:customStyle="1" w:styleId="MDPI13authornames">
    <w:name w:val="MDPI_1.3_authornames"/>
    <w:basedOn w:val="MDPI31text"/>
    <w:next w:val="MDPI14history"/>
    <w:qFormat/>
    <w:rsid w:val="00E255BE"/>
    <w:pPr>
      <w:spacing w:after="120"/>
      <w:ind w:firstLine="0"/>
      <w:jc w:val="left"/>
    </w:pPr>
    <w:rPr>
      <w:b/>
      <w:snapToGrid/>
    </w:rPr>
  </w:style>
  <w:style w:type="paragraph" w:customStyle="1" w:styleId="MDPI14history">
    <w:name w:val="MDPI_1.4_history"/>
    <w:basedOn w:val="MDPI62Acknowledgments"/>
    <w:next w:val="Normal"/>
    <w:qFormat/>
    <w:rsid w:val="00E255BE"/>
    <w:pPr>
      <w:ind w:left="113"/>
      <w:jc w:val="left"/>
    </w:pPr>
    <w:rPr>
      <w:snapToGrid/>
    </w:rPr>
  </w:style>
  <w:style w:type="paragraph" w:customStyle="1" w:styleId="MDPI16affiliation">
    <w:name w:val="MDPI_1.6_affiliation"/>
    <w:basedOn w:val="MDPI62Acknowledgments"/>
    <w:qFormat/>
    <w:rsid w:val="00E255BE"/>
    <w:pPr>
      <w:spacing w:before="0"/>
      <w:ind w:left="311" w:hanging="198"/>
      <w:jc w:val="left"/>
    </w:pPr>
    <w:rPr>
      <w:snapToGrid/>
      <w:szCs w:val="18"/>
    </w:rPr>
  </w:style>
  <w:style w:type="paragraph" w:customStyle="1" w:styleId="MDPI32textnoindent">
    <w:name w:val="MDPI_3.2_text_no_indent"/>
    <w:basedOn w:val="MDPI31text"/>
    <w:qFormat/>
    <w:rsid w:val="00E255BE"/>
    <w:pPr>
      <w:ind w:firstLine="0"/>
    </w:pPr>
  </w:style>
  <w:style w:type="paragraph" w:customStyle="1" w:styleId="MDPI33textspaceafter">
    <w:name w:val="MDPI_3.3_text_space_after"/>
    <w:basedOn w:val="MDPI31text"/>
    <w:qFormat/>
    <w:rsid w:val="00E255BE"/>
    <w:pPr>
      <w:spacing w:after="240"/>
    </w:pPr>
  </w:style>
  <w:style w:type="paragraph" w:customStyle="1" w:styleId="MDPI35textbeforelist">
    <w:name w:val="MDPI_3.5_text_before_list"/>
    <w:basedOn w:val="MDPI31text"/>
    <w:qFormat/>
    <w:rsid w:val="00E255BE"/>
    <w:pPr>
      <w:spacing w:after="120"/>
    </w:pPr>
  </w:style>
  <w:style w:type="paragraph" w:customStyle="1" w:styleId="MDPI36textafterlist">
    <w:name w:val="MDPI_3.6_text_after_list"/>
    <w:basedOn w:val="MDPI31text"/>
    <w:qFormat/>
    <w:rsid w:val="00E255BE"/>
    <w:pPr>
      <w:spacing w:before="120"/>
    </w:pPr>
  </w:style>
  <w:style w:type="paragraph" w:customStyle="1" w:styleId="MDPI37itemize">
    <w:name w:val="MDPI_3.7_itemize"/>
    <w:basedOn w:val="MDPI31text"/>
    <w:qFormat/>
    <w:rsid w:val="00E255BE"/>
    <w:pPr>
      <w:numPr>
        <w:numId w:val="1"/>
      </w:numPr>
      <w:ind w:left="425" w:hanging="425"/>
    </w:pPr>
  </w:style>
  <w:style w:type="paragraph" w:customStyle="1" w:styleId="MDPI38bullet">
    <w:name w:val="MDPI_3.8_bullet"/>
    <w:basedOn w:val="MDPI31text"/>
    <w:qFormat/>
    <w:rsid w:val="00E255BE"/>
    <w:pPr>
      <w:numPr>
        <w:numId w:val="2"/>
      </w:numPr>
      <w:ind w:left="425" w:hanging="425"/>
    </w:pPr>
  </w:style>
  <w:style w:type="paragraph" w:customStyle="1" w:styleId="MDPI39equation">
    <w:name w:val="MDPI_3.9_equation"/>
    <w:basedOn w:val="MDPI31text"/>
    <w:qFormat/>
    <w:rsid w:val="00E255BE"/>
    <w:pPr>
      <w:spacing w:before="120" w:after="120"/>
      <w:ind w:left="709" w:firstLine="0"/>
      <w:jc w:val="center"/>
    </w:pPr>
  </w:style>
  <w:style w:type="paragraph" w:customStyle="1" w:styleId="MDPI3aequationnumber">
    <w:name w:val="MDPI_3.a_equation_number"/>
    <w:basedOn w:val="MDPI31text"/>
    <w:qFormat/>
    <w:rsid w:val="00E255BE"/>
    <w:pPr>
      <w:spacing w:before="120" w:after="120" w:line="240" w:lineRule="auto"/>
      <w:ind w:firstLine="0"/>
      <w:jc w:val="right"/>
    </w:pPr>
  </w:style>
  <w:style w:type="paragraph" w:customStyle="1" w:styleId="MDPI62Acknowledgments">
    <w:name w:val="MDPI_6.2_Acknowledgments"/>
    <w:qFormat/>
    <w:rsid w:val="00E255BE"/>
    <w:pPr>
      <w:adjustRightInd w:val="0"/>
      <w:snapToGrid w:val="0"/>
      <w:spacing w:before="120" w:line="200" w:lineRule="atLeast"/>
    </w:pPr>
    <w:rPr>
      <w:rFonts w:ascii="Palatino Linotype" w:hAnsi="Palatino Linotype"/>
      <w:snapToGrid w:val="0"/>
      <w:color w:val="000000"/>
      <w:sz w:val="18"/>
      <w:szCs w:val="20"/>
      <w:lang w:eastAsia="de-DE" w:bidi="en-US"/>
    </w:rPr>
  </w:style>
  <w:style w:type="paragraph" w:customStyle="1" w:styleId="MDPI41tablecaption">
    <w:name w:val="MDPI_4.1_table_caption"/>
    <w:basedOn w:val="MDPI62Acknowledgments"/>
    <w:qFormat/>
    <w:rsid w:val="00E255BE"/>
    <w:pPr>
      <w:spacing w:before="240" w:after="120" w:line="260" w:lineRule="atLeast"/>
      <w:ind w:left="425" w:right="425"/>
    </w:pPr>
    <w:rPr>
      <w:snapToGrid/>
      <w:szCs w:val="22"/>
    </w:rPr>
  </w:style>
  <w:style w:type="paragraph" w:customStyle="1" w:styleId="MDPI42tablebody">
    <w:name w:val="MDPI_4.2_table_body"/>
    <w:qFormat/>
    <w:rsid w:val="00E255BE"/>
    <w:pPr>
      <w:adjustRightInd w:val="0"/>
      <w:snapToGrid w:val="0"/>
      <w:spacing w:line="260" w:lineRule="atLeast"/>
      <w:jc w:val="center"/>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E255BE"/>
    <w:pPr>
      <w:spacing w:before="0"/>
      <w:ind w:left="0" w:right="0"/>
    </w:pPr>
  </w:style>
  <w:style w:type="paragraph" w:customStyle="1" w:styleId="MDPI51figurecaption">
    <w:name w:val="MDPI_5.1_figure_caption"/>
    <w:basedOn w:val="MDPI62Acknowledgments"/>
    <w:qFormat/>
    <w:rsid w:val="00E255BE"/>
    <w:pPr>
      <w:spacing w:after="240" w:line="260" w:lineRule="atLeast"/>
      <w:ind w:left="425" w:right="425"/>
    </w:pPr>
    <w:rPr>
      <w:snapToGrid/>
    </w:rPr>
  </w:style>
  <w:style w:type="paragraph" w:customStyle="1" w:styleId="MDPI52figure">
    <w:name w:val="MDPI_5.2_figure"/>
    <w:qFormat/>
    <w:rsid w:val="00E255BE"/>
    <w:pPr>
      <w:spacing w:line="240" w:lineRule="auto"/>
      <w:jc w:val="center"/>
    </w:pPr>
    <w:rPr>
      <w:rFonts w:ascii="Palatino Linotype" w:hAnsi="Palatino Linotype"/>
      <w:snapToGrid w:val="0"/>
      <w:color w:val="000000"/>
      <w:szCs w:val="20"/>
      <w:lang w:eastAsia="de-DE" w:bidi="en-US"/>
    </w:rPr>
  </w:style>
  <w:style w:type="paragraph" w:customStyle="1" w:styleId="MDPI64CoI">
    <w:name w:val="MDPI_6.4_CoI"/>
    <w:basedOn w:val="MDPI62Acknowledgments"/>
    <w:qFormat/>
    <w:rsid w:val="00E255BE"/>
  </w:style>
  <w:style w:type="paragraph" w:customStyle="1" w:styleId="MDPI31text">
    <w:name w:val="MDPI_3.1_text"/>
    <w:qFormat/>
    <w:rsid w:val="00E255BE"/>
    <w:pPr>
      <w:adjustRightInd w:val="0"/>
      <w:snapToGrid w:val="0"/>
      <w:spacing w:line="260" w:lineRule="atLeast"/>
      <w:ind w:firstLine="425"/>
    </w:pPr>
    <w:rPr>
      <w:rFonts w:ascii="Palatino Linotype" w:hAnsi="Palatino Linotype"/>
      <w:snapToGrid w:val="0"/>
      <w:color w:val="000000"/>
      <w:sz w:val="20"/>
      <w:lang w:eastAsia="de-DE" w:bidi="en-US"/>
    </w:rPr>
  </w:style>
  <w:style w:type="paragraph" w:customStyle="1" w:styleId="MDPI23heading3">
    <w:name w:val="MDPI_2.3_heading3"/>
    <w:basedOn w:val="MDPI31text"/>
    <w:qFormat/>
    <w:rsid w:val="00E255BE"/>
    <w:pPr>
      <w:spacing w:before="240" w:after="120"/>
      <w:ind w:firstLine="0"/>
      <w:jc w:val="left"/>
      <w:outlineLvl w:val="2"/>
    </w:pPr>
  </w:style>
  <w:style w:type="paragraph" w:customStyle="1" w:styleId="MDPI21heading1">
    <w:name w:val="MDPI_2.1_heading1"/>
    <w:basedOn w:val="MDPI23heading3"/>
    <w:qFormat/>
    <w:rsid w:val="00E255BE"/>
    <w:pPr>
      <w:outlineLvl w:val="0"/>
    </w:pPr>
    <w:rPr>
      <w:b/>
    </w:rPr>
  </w:style>
  <w:style w:type="paragraph" w:customStyle="1" w:styleId="MDPI22heading2">
    <w:name w:val="MDPI_2.2_heading2"/>
    <w:basedOn w:val="Normal"/>
    <w:qFormat/>
    <w:rsid w:val="00E255BE"/>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E255BE"/>
    <w:pPr>
      <w:numPr>
        <w:numId w:val="3"/>
      </w:numPr>
      <w:spacing w:before="0" w:line="260" w:lineRule="atLeast"/>
      <w:ind w:left="425" w:hanging="425"/>
    </w:pPr>
  </w:style>
  <w:style w:type="character" w:styleId="Hyperlink">
    <w:name w:val="Hyperlink"/>
    <w:uiPriority w:val="99"/>
    <w:unhideWhenUsed/>
    <w:rsid w:val="00E255BE"/>
    <w:rPr>
      <w:color w:val="0563C1"/>
      <w:u w:val="single"/>
    </w:rPr>
  </w:style>
  <w:style w:type="paragraph" w:styleId="Header">
    <w:name w:val="header"/>
    <w:basedOn w:val="Normal"/>
    <w:link w:val="HeaderChar"/>
    <w:uiPriority w:val="99"/>
    <w:unhideWhenUsed/>
    <w:rsid w:val="00E255BE"/>
    <w:pPr>
      <w:tabs>
        <w:tab w:val="center" w:pos="4680"/>
        <w:tab w:val="right" w:pos="9360"/>
      </w:tabs>
      <w:spacing w:line="240" w:lineRule="auto"/>
    </w:pPr>
  </w:style>
  <w:style w:type="character" w:customStyle="1" w:styleId="HeaderChar">
    <w:name w:val="Header Char"/>
    <w:basedOn w:val="DefaultParagraphFont"/>
    <w:link w:val="Header"/>
    <w:uiPriority w:val="99"/>
    <w:rsid w:val="00E255BE"/>
    <w:rPr>
      <w:rFonts w:ascii="Times New Roman" w:eastAsia="Times New Roman" w:hAnsi="Times New Roman" w:cs="Times New Roman"/>
      <w:color w:val="000000"/>
      <w:sz w:val="24"/>
      <w:szCs w:val="20"/>
      <w:lang w:val="en-US" w:eastAsia="de-DE"/>
    </w:rPr>
  </w:style>
  <w:style w:type="paragraph" w:styleId="Footer">
    <w:name w:val="footer"/>
    <w:basedOn w:val="Normal"/>
    <w:link w:val="FooterChar"/>
    <w:uiPriority w:val="99"/>
    <w:unhideWhenUsed/>
    <w:rsid w:val="00E255BE"/>
    <w:pPr>
      <w:tabs>
        <w:tab w:val="center" w:pos="4680"/>
        <w:tab w:val="right" w:pos="9360"/>
      </w:tabs>
      <w:spacing w:line="240" w:lineRule="auto"/>
    </w:pPr>
  </w:style>
  <w:style w:type="character" w:customStyle="1" w:styleId="FooterChar">
    <w:name w:val="Footer Char"/>
    <w:basedOn w:val="DefaultParagraphFont"/>
    <w:link w:val="Footer"/>
    <w:uiPriority w:val="99"/>
    <w:rsid w:val="00E255BE"/>
    <w:rPr>
      <w:rFonts w:ascii="Times New Roman" w:eastAsia="Times New Roman" w:hAnsi="Times New Roman" w:cs="Times New Roman"/>
      <w:color w:val="000000"/>
      <w:sz w:val="24"/>
      <w:szCs w:val="20"/>
      <w:lang w:val="en-US" w:eastAsia="de-DE"/>
    </w:rPr>
  </w:style>
  <w:style w:type="character" w:styleId="UnresolvedMention">
    <w:name w:val="Unresolved Mention"/>
    <w:basedOn w:val="DefaultParagraphFont"/>
    <w:uiPriority w:val="99"/>
    <w:semiHidden/>
    <w:unhideWhenUsed/>
    <w:rsid w:val="00E255B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paragraph" w:styleId="NoSpacing">
    <w:name w:val="No Spacing"/>
    <w:uiPriority w:val="1"/>
    <w:qFormat/>
    <w:rsid w:val="007D05D7"/>
    <w:pPr>
      <w:spacing w:line="240" w:lineRule="auto"/>
      <w:jc w:val="left"/>
    </w:pPr>
    <w:rPr>
      <w:rFonts w:asciiTheme="minorHAnsi" w:eastAsiaTheme="minorHAnsi" w:hAnsiTheme="minorHAnsi" w:cstheme="minorBidi"/>
      <w:sz w:val="22"/>
      <w:szCs w:val="22"/>
      <w:lang w:val="fil-PH" w:eastAsia="en-US"/>
    </w:rPr>
  </w:style>
  <w:style w:type="table" w:styleId="TableGrid">
    <w:name w:val="Table Grid"/>
    <w:basedOn w:val="TableNormal"/>
    <w:uiPriority w:val="59"/>
    <w:qFormat/>
    <w:rsid w:val="007D05D7"/>
    <w:pPr>
      <w:spacing w:line="240" w:lineRule="auto"/>
      <w:jc w:val="left"/>
    </w:pPr>
    <w:rPr>
      <w:rFonts w:asciiTheme="minorHAnsi" w:eastAsiaTheme="minorHAnsi" w:hAnsiTheme="minorHAnsi" w:cstheme="minorBidi"/>
      <w:sz w:val="22"/>
      <w:szCs w:val="22"/>
      <w:lang w:val="fil-P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D05D7"/>
    <w:rPr>
      <w:b/>
      <w:bCs/>
    </w:rPr>
  </w:style>
  <w:style w:type="paragraph" w:styleId="ListParagraph">
    <w:name w:val="List Paragraph"/>
    <w:basedOn w:val="Normal"/>
    <w:uiPriority w:val="34"/>
    <w:qFormat/>
    <w:rsid w:val="009040A3"/>
    <w:pPr>
      <w:spacing w:after="160" w:line="259" w:lineRule="auto"/>
      <w:ind w:left="720"/>
      <w:contextualSpacing/>
      <w:jc w:val="left"/>
    </w:pPr>
    <w:rPr>
      <w:rFonts w:ascii="Calibri" w:eastAsia="Calibri" w:hAnsi="Calibri"/>
      <w:sz w:val="22"/>
      <w:szCs w:val="22"/>
      <w:lang w:val="en-SG" w:eastAsia="en-US"/>
    </w:rPr>
  </w:style>
  <w:style w:type="paragraph" w:styleId="Caption">
    <w:name w:val="caption"/>
    <w:basedOn w:val="Normal"/>
    <w:next w:val="Normal"/>
    <w:uiPriority w:val="35"/>
    <w:unhideWhenUsed/>
    <w:qFormat/>
    <w:rsid w:val="001603AA"/>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BF1A96"/>
  </w:style>
  <w:style w:type="paragraph" w:customStyle="1" w:styleId="Default">
    <w:name w:val="Default"/>
    <w:rsid w:val="00A16D45"/>
    <w:pPr>
      <w:autoSpaceDE w:val="0"/>
      <w:autoSpaceDN w:val="0"/>
      <w:adjustRightInd w:val="0"/>
      <w:spacing w:line="240" w:lineRule="auto"/>
      <w:jc w:val="left"/>
    </w:pPr>
    <w:rPr>
      <w:rFonts w:eastAsiaTheme="minorHAnsi"/>
      <w:color w:val="000000"/>
      <w:lang w:eastAsia="en-US"/>
    </w:rPr>
  </w:style>
  <w:style w:type="character" w:styleId="PlaceholderText">
    <w:name w:val="Placeholder Text"/>
    <w:basedOn w:val="DefaultParagraphFont"/>
    <w:uiPriority w:val="99"/>
    <w:semiHidden/>
    <w:rsid w:val="00AF5438"/>
    <w:rPr>
      <w:color w:val="808080"/>
    </w:rPr>
  </w:style>
  <w:style w:type="character" w:customStyle="1" w:styleId="A4">
    <w:name w:val="A4"/>
    <w:uiPriority w:val="99"/>
    <w:rsid w:val="000C2BE5"/>
    <w:rPr>
      <w:color w:val="000000"/>
      <w:sz w:val="16"/>
      <w:szCs w:val="16"/>
    </w:rPr>
  </w:style>
  <w:style w:type="character" w:customStyle="1" w:styleId="A10">
    <w:name w:val="A10"/>
    <w:uiPriority w:val="99"/>
    <w:rsid w:val="000C2BE5"/>
    <w:rPr>
      <w:color w:val="000000"/>
      <w:sz w:val="16"/>
      <w:szCs w:val="16"/>
    </w:rPr>
  </w:style>
  <w:style w:type="paragraph" w:styleId="NormalWeb">
    <w:name w:val="Normal (Web)"/>
    <w:basedOn w:val="Normal"/>
    <w:uiPriority w:val="99"/>
    <w:unhideWhenUsed/>
    <w:rsid w:val="001D308A"/>
  </w:style>
  <w:style w:type="character" w:styleId="Emphasis">
    <w:name w:val="Emphasis"/>
    <w:basedOn w:val="DefaultParagraphFont"/>
    <w:uiPriority w:val="20"/>
    <w:qFormat/>
    <w:rsid w:val="00E201B1"/>
    <w:rPr>
      <w:i/>
      <w:iCs/>
    </w:rPr>
  </w:style>
  <w:style w:type="table" w:customStyle="1" w:styleId="TableGrid1">
    <w:name w:val="Table Grid1"/>
    <w:basedOn w:val="TableNormal"/>
    <w:next w:val="TableGrid"/>
    <w:uiPriority w:val="39"/>
    <w:rsid w:val="00ED44F7"/>
    <w:pPr>
      <w:spacing w:line="240" w:lineRule="auto"/>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861">
      <w:bodyDiv w:val="1"/>
      <w:marLeft w:val="0"/>
      <w:marRight w:val="0"/>
      <w:marTop w:val="0"/>
      <w:marBottom w:val="0"/>
      <w:divBdr>
        <w:top w:val="none" w:sz="0" w:space="0" w:color="auto"/>
        <w:left w:val="none" w:sz="0" w:space="0" w:color="auto"/>
        <w:bottom w:val="none" w:sz="0" w:space="0" w:color="auto"/>
        <w:right w:val="none" w:sz="0" w:space="0" w:color="auto"/>
      </w:divBdr>
    </w:div>
    <w:div w:id="134032625">
      <w:bodyDiv w:val="1"/>
      <w:marLeft w:val="0"/>
      <w:marRight w:val="0"/>
      <w:marTop w:val="0"/>
      <w:marBottom w:val="0"/>
      <w:divBdr>
        <w:top w:val="none" w:sz="0" w:space="0" w:color="auto"/>
        <w:left w:val="none" w:sz="0" w:space="0" w:color="auto"/>
        <w:bottom w:val="none" w:sz="0" w:space="0" w:color="auto"/>
        <w:right w:val="none" w:sz="0" w:space="0" w:color="auto"/>
      </w:divBdr>
    </w:div>
    <w:div w:id="146634084">
      <w:bodyDiv w:val="1"/>
      <w:marLeft w:val="0"/>
      <w:marRight w:val="0"/>
      <w:marTop w:val="0"/>
      <w:marBottom w:val="0"/>
      <w:divBdr>
        <w:top w:val="none" w:sz="0" w:space="0" w:color="auto"/>
        <w:left w:val="none" w:sz="0" w:space="0" w:color="auto"/>
        <w:bottom w:val="none" w:sz="0" w:space="0" w:color="auto"/>
        <w:right w:val="none" w:sz="0" w:space="0" w:color="auto"/>
      </w:divBdr>
    </w:div>
    <w:div w:id="157891540">
      <w:bodyDiv w:val="1"/>
      <w:marLeft w:val="0"/>
      <w:marRight w:val="0"/>
      <w:marTop w:val="0"/>
      <w:marBottom w:val="0"/>
      <w:divBdr>
        <w:top w:val="none" w:sz="0" w:space="0" w:color="auto"/>
        <w:left w:val="none" w:sz="0" w:space="0" w:color="auto"/>
        <w:bottom w:val="none" w:sz="0" w:space="0" w:color="auto"/>
        <w:right w:val="none" w:sz="0" w:space="0" w:color="auto"/>
      </w:divBdr>
    </w:div>
    <w:div w:id="220946387">
      <w:bodyDiv w:val="1"/>
      <w:marLeft w:val="0"/>
      <w:marRight w:val="0"/>
      <w:marTop w:val="0"/>
      <w:marBottom w:val="0"/>
      <w:divBdr>
        <w:top w:val="none" w:sz="0" w:space="0" w:color="auto"/>
        <w:left w:val="none" w:sz="0" w:space="0" w:color="auto"/>
        <w:bottom w:val="none" w:sz="0" w:space="0" w:color="auto"/>
        <w:right w:val="none" w:sz="0" w:space="0" w:color="auto"/>
      </w:divBdr>
    </w:div>
    <w:div w:id="322777067">
      <w:bodyDiv w:val="1"/>
      <w:marLeft w:val="0"/>
      <w:marRight w:val="0"/>
      <w:marTop w:val="0"/>
      <w:marBottom w:val="0"/>
      <w:divBdr>
        <w:top w:val="none" w:sz="0" w:space="0" w:color="auto"/>
        <w:left w:val="none" w:sz="0" w:space="0" w:color="auto"/>
        <w:bottom w:val="none" w:sz="0" w:space="0" w:color="auto"/>
        <w:right w:val="none" w:sz="0" w:space="0" w:color="auto"/>
      </w:divBdr>
    </w:div>
    <w:div w:id="432408661">
      <w:bodyDiv w:val="1"/>
      <w:marLeft w:val="0"/>
      <w:marRight w:val="0"/>
      <w:marTop w:val="0"/>
      <w:marBottom w:val="0"/>
      <w:divBdr>
        <w:top w:val="none" w:sz="0" w:space="0" w:color="auto"/>
        <w:left w:val="none" w:sz="0" w:space="0" w:color="auto"/>
        <w:bottom w:val="none" w:sz="0" w:space="0" w:color="auto"/>
        <w:right w:val="none" w:sz="0" w:space="0" w:color="auto"/>
      </w:divBdr>
    </w:div>
    <w:div w:id="443574200">
      <w:bodyDiv w:val="1"/>
      <w:marLeft w:val="0"/>
      <w:marRight w:val="0"/>
      <w:marTop w:val="0"/>
      <w:marBottom w:val="0"/>
      <w:divBdr>
        <w:top w:val="none" w:sz="0" w:space="0" w:color="auto"/>
        <w:left w:val="none" w:sz="0" w:space="0" w:color="auto"/>
        <w:bottom w:val="none" w:sz="0" w:space="0" w:color="auto"/>
        <w:right w:val="none" w:sz="0" w:space="0" w:color="auto"/>
      </w:divBdr>
    </w:div>
    <w:div w:id="482083165">
      <w:bodyDiv w:val="1"/>
      <w:marLeft w:val="0"/>
      <w:marRight w:val="0"/>
      <w:marTop w:val="0"/>
      <w:marBottom w:val="0"/>
      <w:divBdr>
        <w:top w:val="none" w:sz="0" w:space="0" w:color="auto"/>
        <w:left w:val="none" w:sz="0" w:space="0" w:color="auto"/>
        <w:bottom w:val="none" w:sz="0" w:space="0" w:color="auto"/>
        <w:right w:val="none" w:sz="0" w:space="0" w:color="auto"/>
      </w:divBdr>
    </w:div>
    <w:div w:id="486940116">
      <w:bodyDiv w:val="1"/>
      <w:marLeft w:val="0"/>
      <w:marRight w:val="0"/>
      <w:marTop w:val="0"/>
      <w:marBottom w:val="0"/>
      <w:divBdr>
        <w:top w:val="none" w:sz="0" w:space="0" w:color="auto"/>
        <w:left w:val="none" w:sz="0" w:space="0" w:color="auto"/>
        <w:bottom w:val="none" w:sz="0" w:space="0" w:color="auto"/>
        <w:right w:val="none" w:sz="0" w:space="0" w:color="auto"/>
      </w:divBdr>
    </w:div>
    <w:div w:id="552235315">
      <w:bodyDiv w:val="1"/>
      <w:marLeft w:val="0"/>
      <w:marRight w:val="0"/>
      <w:marTop w:val="0"/>
      <w:marBottom w:val="0"/>
      <w:divBdr>
        <w:top w:val="none" w:sz="0" w:space="0" w:color="auto"/>
        <w:left w:val="none" w:sz="0" w:space="0" w:color="auto"/>
        <w:bottom w:val="none" w:sz="0" w:space="0" w:color="auto"/>
        <w:right w:val="none" w:sz="0" w:space="0" w:color="auto"/>
      </w:divBdr>
    </w:div>
    <w:div w:id="631594478">
      <w:bodyDiv w:val="1"/>
      <w:marLeft w:val="0"/>
      <w:marRight w:val="0"/>
      <w:marTop w:val="0"/>
      <w:marBottom w:val="0"/>
      <w:divBdr>
        <w:top w:val="none" w:sz="0" w:space="0" w:color="auto"/>
        <w:left w:val="none" w:sz="0" w:space="0" w:color="auto"/>
        <w:bottom w:val="none" w:sz="0" w:space="0" w:color="auto"/>
        <w:right w:val="none" w:sz="0" w:space="0" w:color="auto"/>
      </w:divBdr>
    </w:div>
    <w:div w:id="774792714">
      <w:bodyDiv w:val="1"/>
      <w:marLeft w:val="0"/>
      <w:marRight w:val="0"/>
      <w:marTop w:val="0"/>
      <w:marBottom w:val="0"/>
      <w:divBdr>
        <w:top w:val="none" w:sz="0" w:space="0" w:color="auto"/>
        <w:left w:val="none" w:sz="0" w:space="0" w:color="auto"/>
        <w:bottom w:val="none" w:sz="0" w:space="0" w:color="auto"/>
        <w:right w:val="none" w:sz="0" w:space="0" w:color="auto"/>
      </w:divBdr>
    </w:div>
    <w:div w:id="1266645837">
      <w:bodyDiv w:val="1"/>
      <w:marLeft w:val="0"/>
      <w:marRight w:val="0"/>
      <w:marTop w:val="0"/>
      <w:marBottom w:val="0"/>
      <w:divBdr>
        <w:top w:val="none" w:sz="0" w:space="0" w:color="auto"/>
        <w:left w:val="none" w:sz="0" w:space="0" w:color="auto"/>
        <w:bottom w:val="none" w:sz="0" w:space="0" w:color="auto"/>
        <w:right w:val="none" w:sz="0" w:space="0" w:color="auto"/>
      </w:divBdr>
    </w:div>
    <w:div w:id="1394740852">
      <w:bodyDiv w:val="1"/>
      <w:marLeft w:val="0"/>
      <w:marRight w:val="0"/>
      <w:marTop w:val="0"/>
      <w:marBottom w:val="0"/>
      <w:divBdr>
        <w:top w:val="none" w:sz="0" w:space="0" w:color="auto"/>
        <w:left w:val="none" w:sz="0" w:space="0" w:color="auto"/>
        <w:bottom w:val="none" w:sz="0" w:space="0" w:color="auto"/>
        <w:right w:val="none" w:sz="0" w:space="0" w:color="auto"/>
      </w:divBdr>
    </w:div>
    <w:div w:id="1506553684">
      <w:bodyDiv w:val="1"/>
      <w:marLeft w:val="0"/>
      <w:marRight w:val="0"/>
      <w:marTop w:val="0"/>
      <w:marBottom w:val="0"/>
      <w:divBdr>
        <w:top w:val="none" w:sz="0" w:space="0" w:color="auto"/>
        <w:left w:val="none" w:sz="0" w:space="0" w:color="auto"/>
        <w:bottom w:val="none" w:sz="0" w:space="0" w:color="auto"/>
        <w:right w:val="none" w:sz="0" w:space="0" w:color="auto"/>
      </w:divBdr>
    </w:div>
    <w:div w:id="1668707565">
      <w:bodyDiv w:val="1"/>
      <w:marLeft w:val="0"/>
      <w:marRight w:val="0"/>
      <w:marTop w:val="0"/>
      <w:marBottom w:val="0"/>
      <w:divBdr>
        <w:top w:val="none" w:sz="0" w:space="0" w:color="auto"/>
        <w:left w:val="none" w:sz="0" w:space="0" w:color="auto"/>
        <w:bottom w:val="none" w:sz="0" w:space="0" w:color="auto"/>
        <w:right w:val="none" w:sz="0" w:space="0" w:color="auto"/>
      </w:divBdr>
    </w:div>
    <w:div w:id="1838567837">
      <w:bodyDiv w:val="1"/>
      <w:marLeft w:val="0"/>
      <w:marRight w:val="0"/>
      <w:marTop w:val="0"/>
      <w:marBottom w:val="0"/>
      <w:divBdr>
        <w:top w:val="none" w:sz="0" w:space="0" w:color="auto"/>
        <w:left w:val="none" w:sz="0" w:space="0" w:color="auto"/>
        <w:bottom w:val="none" w:sz="0" w:space="0" w:color="auto"/>
        <w:right w:val="none" w:sz="0" w:space="0" w:color="auto"/>
      </w:divBdr>
    </w:div>
    <w:div w:id="1893686644">
      <w:bodyDiv w:val="1"/>
      <w:marLeft w:val="0"/>
      <w:marRight w:val="0"/>
      <w:marTop w:val="0"/>
      <w:marBottom w:val="0"/>
      <w:divBdr>
        <w:top w:val="none" w:sz="0" w:space="0" w:color="auto"/>
        <w:left w:val="none" w:sz="0" w:space="0" w:color="auto"/>
        <w:bottom w:val="none" w:sz="0" w:space="0" w:color="auto"/>
        <w:right w:val="none" w:sz="0" w:space="0" w:color="auto"/>
      </w:divBdr>
    </w:div>
    <w:div w:id="1939604996">
      <w:bodyDiv w:val="1"/>
      <w:marLeft w:val="0"/>
      <w:marRight w:val="0"/>
      <w:marTop w:val="0"/>
      <w:marBottom w:val="0"/>
      <w:divBdr>
        <w:top w:val="none" w:sz="0" w:space="0" w:color="auto"/>
        <w:left w:val="none" w:sz="0" w:space="0" w:color="auto"/>
        <w:bottom w:val="none" w:sz="0" w:space="0" w:color="auto"/>
        <w:right w:val="none" w:sz="0" w:space="0" w:color="auto"/>
      </w:divBdr>
    </w:div>
    <w:div w:id="2082173625">
      <w:bodyDiv w:val="1"/>
      <w:marLeft w:val="0"/>
      <w:marRight w:val="0"/>
      <w:marTop w:val="0"/>
      <w:marBottom w:val="0"/>
      <w:divBdr>
        <w:top w:val="none" w:sz="0" w:space="0" w:color="auto"/>
        <w:left w:val="none" w:sz="0" w:space="0" w:color="auto"/>
        <w:bottom w:val="none" w:sz="0" w:space="0" w:color="auto"/>
        <w:right w:val="none" w:sz="0" w:space="0" w:color="auto"/>
      </w:divBdr>
    </w:div>
    <w:div w:id="21075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1584/IJRIAS.2024.909057" TargetMode="External"/><Relationship Id="rId21" Type="http://schemas.openxmlformats.org/officeDocument/2006/relationships/hyperlink" Target="https://doi.org/10.1111/bjep.12540" TargetMode="External"/><Relationship Id="rId42" Type="http://schemas.openxmlformats.org/officeDocument/2006/relationships/hyperlink" Target="https://doi.org/10.54536/ajahs.v4i2.4261" TargetMode="External"/><Relationship Id="rId47" Type="http://schemas.openxmlformats.org/officeDocument/2006/relationships/hyperlink" Target="https://doi.org/10.53797/icccmjssh.v1i2.1.2022" TargetMode="External"/><Relationship Id="rId63" Type="http://schemas.openxmlformats.org/officeDocument/2006/relationships/hyperlink" Target="https://doi.org/10.1186/s40536-023-00181-9" TargetMode="External"/><Relationship Id="rId68" Type="http://schemas.openxmlformats.org/officeDocument/2006/relationships/hyperlink" Target="https://doi.org/10.47672/ajep.1902" TargetMode="External"/><Relationship Id="rId84" Type="http://schemas.openxmlformats.org/officeDocument/2006/relationships/hyperlink" Target="https://doi.org/10.1016/j.ijedro.2021.100031" TargetMode="External"/><Relationship Id="rId89" Type="http://schemas.openxmlformats.org/officeDocument/2006/relationships/hyperlink" Target="https://doi.org/10.17051/ilkonline.2023.7128" TargetMode="External"/><Relationship Id="rId16" Type="http://schemas.openxmlformats.org/officeDocument/2006/relationships/hyperlink" Target="https://doi.org/10.32996/jhsss.2025.7.10.3" TargetMode="External"/><Relationship Id="rId11" Type="http://schemas.openxmlformats.org/officeDocument/2006/relationships/image" Target="media/image3.png"/><Relationship Id="rId32" Type="http://schemas.openxmlformats.org/officeDocument/2006/relationships/hyperlink" Target="https://doi.org/10.3386/w30215" TargetMode="External"/><Relationship Id="rId37" Type="http://schemas.openxmlformats.org/officeDocument/2006/relationships/hyperlink" Target="https://doi.org/10.23960/jpp.v13.i3.202306" TargetMode="External"/><Relationship Id="rId53" Type="http://schemas.openxmlformats.org/officeDocument/2006/relationships/hyperlink" Target="https://doi.org/10.1007/s44217-024-00267-8" TargetMode="External"/><Relationship Id="rId58" Type="http://schemas.openxmlformats.org/officeDocument/2006/relationships/hyperlink" Target="https://doi.org/10.47772/IJRISS.2025.91200242" TargetMode="External"/><Relationship Id="rId74" Type="http://schemas.openxmlformats.org/officeDocument/2006/relationships/hyperlink" Target="https://doi.org/10.69569/jip.2024.0218" TargetMode="External"/><Relationship Id="rId79" Type="http://schemas.openxmlformats.org/officeDocument/2006/relationships/hyperlink" Target="https://doi.org/10.56916/jirpe.v4i3.1360" TargetMode="External"/><Relationship Id="rId102" Type="http://schemas.openxmlformats.org/officeDocument/2006/relationships/footer" Target="footer2.xml"/><Relationship Id="rId5" Type="http://schemas.openxmlformats.org/officeDocument/2006/relationships/settings" Target="settings.xml"/><Relationship Id="rId90" Type="http://schemas.openxmlformats.org/officeDocument/2006/relationships/hyperlink" Target="https://www.jamovi.org" TargetMode="External"/><Relationship Id="rId95" Type="http://schemas.openxmlformats.org/officeDocument/2006/relationships/hyperlink" Target="https://doi.org/10.3389/fpsyg.2024.1463359" TargetMode="External"/><Relationship Id="rId22" Type="http://schemas.openxmlformats.org/officeDocument/2006/relationships/hyperlink" Target="https://doi.org/10.1080/00131911.2013.795129" TargetMode="External"/><Relationship Id="rId27" Type="http://schemas.openxmlformats.org/officeDocument/2006/relationships/hyperlink" Target="https://doi.org/10.1186/s40536-023-00168-6" TargetMode="External"/><Relationship Id="rId43" Type="http://schemas.openxmlformats.org/officeDocument/2006/relationships/hyperlink" Target="https://doi.org/10.3389/feduc.2022.857451" TargetMode="External"/><Relationship Id="rId48" Type="http://schemas.openxmlformats.org/officeDocument/2006/relationships/hyperlink" Target="https://doi.org/10.53103/cjlls.v3i4.108" TargetMode="External"/><Relationship Id="rId64" Type="http://schemas.openxmlformats.org/officeDocument/2006/relationships/hyperlink" Target="https://doi.org/10.30574/wjarr.2023.17.3.0355" TargetMode="External"/><Relationship Id="rId69" Type="http://schemas.openxmlformats.org/officeDocument/2006/relationships/hyperlink" Target="https://doi.org/10.3389/fpsyg.2021.650863" TargetMode="External"/><Relationship Id="rId80" Type="http://schemas.openxmlformats.org/officeDocument/2006/relationships/hyperlink" Target="https://doi.org/10.62945/jips.v1i1.21" TargetMode="External"/><Relationship Id="rId85" Type="http://schemas.openxmlformats.org/officeDocument/2006/relationships/hyperlink" Target="https://doi.org/10.3102/00346543221012345" TargetMode="External"/><Relationship Id="rId12" Type="http://schemas.openxmlformats.org/officeDocument/2006/relationships/image" Target="media/image4.png"/><Relationship Id="rId17" Type="http://schemas.openxmlformats.org/officeDocument/2006/relationships/hyperlink" Target="http://dx.doi.org/10.6007/IJARBSS/v11-i5/9973" TargetMode="External"/><Relationship Id="rId25" Type="http://schemas.openxmlformats.org/officeDocument/2006/relationships/hyperlink" Target="https://zenodo.org/records/18849770" TargetMode="External"/><Relationship Id="rId33" Type="http://schemas.openxmlformats.org/officeDocument/2006/relationships/hyperlink" Target="https://doi.org/10.47772/IJRISS.2024.803090" TargetMode="External"/><Relationship Id="rId38" Type="http://schemas.openxmlformats.org/officeDocument/2006/relationships/hyperlink" Target="https://doi.org/10.1111/cdev.13617" TargetMode="External"/><Relationship Id="rId46" Type="http://schemas.openxmlformats.org/officeDocument/2006/relationships/hyperlink" Target="https://doi.org/10.1177/00131245211012345" TargetMode="External"/><Relationship Id="rId59" Type="http://schemas.openxmlformats.org/officeDocument/2006/relationships/hyperlink" Target="https://doi.org/10.69569/jip.2025.774" TargetMode="External"/><Relationship Id="rId67" Type="http://schemas.openxmlformats.org/officeDocument/2006/relationships/hyperlink" Target="https://doi.org/10.5281/ZENODO.2635828" TargetMode="External"/><Relationship Id="rId103" Type="http://schemas.openxmlformats.org/officeDocument/2006/relationships/fontTable" Target="fontTable.xml"/><Relationship Id="rId20" Type="http://schemas.openxmlformats.org/officeDocument/2006/relationships/hyperlink" Target="https://doi.org/10.1080/21683603.2020.1832635" TargetMode="External"/><Relationship Id="rId41" Type="http://schemas.openxmlformats.org/officeDocument/2006/relationships/hyperlink" Target="https://doi.org/10.1057/s41599-025-05403-9" TargetMode="External"/><Relationship Id="rId54" Type="http://schemas.openxmlformats.org/officeDocument/2006/relationships/hyperlink" Target="https://doi.org/10.1007/s11218-022-09745-0" TargetMode="External"/><Relationship Id="rId62" Type="http://schemas.openxmlformats.org/officeDocument/2006/relationships/hyperlink" Target="https://doi.org/10.32996/jhsss.2025.7.12.2" TargetMode="External"/><Relationship Id="rId70" Type="http://schemas.openxmlformats.org/officeDocument/2006/relationships/hyperlink" Target="https://doi.org/10.1037/spq0000455" TargetMode="External"/><Relationship Id="rId75" Type="http://schemas.openxmlformats.org/officeDocument/2006/relationships/hyperlink" Target="https://doi.org/10.1016/j.learninstruc.2022.101549" TargetMode="External"/><Relationship Id="rId83" Type="http://schemas.openxmlformats.org/officeDocument/2006/relationships/hyperlink" Target="https://doi.org/10.30574/wjarr.2024.21.3.0713" TargetMode="External"/><Relationship Id="rId88" Type="http://schemas.openxmlformats.org/officeDocument/2006/relationships/hyperlink" Target="https://doi.org/10.69569/jip.2024.617" TargetMode="External"/><Relationship Id="rId91" Type="http://schemas.openxmlformats.org/officeDocument/2006/relationships/hyperlink" Target="https://doi.org/10.1186/s40536-021-00117-1" TargetMode="External"/><Relationship Id="rId96" Type="http://schemas.openxmlformats.org/officeDocument/2006/relationships/hyperlink" Target="https://doi.org/10.1111/bjep.1249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7509/curricula.v4i1.76911" TargetMode="External"/><Relationship Id="rId23" Type="http://schemas.openxmlformats.org/officeDocument/2006/relationships/hyperlink" Target="https://doi.org/10.1016/j.tsc.2025.101946" TargetMode="External"/><Relationship Id="rId28" Type="http://schemas.openxmlformats.org/officeDocument/2006/relationships/hyperlink" Target="https://doi.org/10.1177/00380407231112345" TargetMode="External"/><Relationship Id="rId36" Type="http://schemas.openxmlformats.org/officeDocument/2006/relationships/hyperlink" Target="https://doi.org/10.1016/j.lindif.2025.102706" TargetMode="External"/><Relationship Id="rId49" Type="http://schemas.openxmlformats.org/officeDocument/2006/relationships/hyperlink" Target="https://doi.org/10.1177/0165025420965731" TargetMode="External"/><Relationship Id="rId57" Type="http://schemas.openxmlformats.org/officeDocument/2006/relationships/hyperlink" Target="https://doi.org/10.1371/journal.pone.0297013" TargetMode="External"/><Relationship Id="rId10" Type="http://schemas.openxmlformats.org/officeDocument/2006/relationships/image" Target="media/image2.png"/><Relationship Id="rId31" Type="http://schemas.openxmlformats.org/officeDocument/2006/relationships/hyperlink" Target="https://doi.org/10.1016/j.jecp.2022.105578" TargetMode="External"/><Relationship Id="rId44" Type="http://schemas.openxmlformats.org/officeDocument/2006/relationships/hyperlink" Target="https://cran.r-project.org/package=car" TargetMode="External"/><Relationship Id="rId52" Type="http://schemas.openxmlformats.org/officeDocument/2006/relationships/hyperlink" Target="https://doi.org/10.53378/352995" TargetMode="External"/><Relationship Id="rId60" Type="http://schemas.openxmlformats.org/officeDocument/2006/relationships/hyperlink" Target="https://doi.org/10.1111/bjep.12607" TargetMode="External"/><Relationship Id="rId65" Type="http://schemas.openxmlformats.org/officeDocument/2006/relationships/hyperlink" Target="https://doi.org/10.1016/j.nedt.2024.106150" TargetMode="External"/><Relationship Id="rId73" Type="http://schemas.openxmlformats.org/officeDocument/2006/relationships/hyperlink" Target="https://ijase.org/index.php/ijase/article/view/340" TargetMode="External"/><Relationship Id="rId78" Type="http://schemas.openxmlformats.org/officeDocument/2006/relationships/hyperlink" Target="https://doi.org/10.36987/jes.v12i5.7569" TargetMode="External"/><Relationship Id="rId81" Type="http://schemas.openxmlformats.org/officeDocument/2006/relationships/hyperlink" Target="https://doi.org/10.1038/s41539-023-00157-y" TargetMode="External"/><Relationship Id="rId86" Type="http://schemas.openxmlformats.org/officeDocument/2006/relationships/hyperlink" Target="https://doi.org/10.1037/edu0000745" TargetMode="External"/><Relationship Id="rId94" Type="http://schemas.openxmlformats.org/officeDocument/2006/relationships/hyperlink" Target="https://doi.org/10.1080/00461520.2022.2033567" TargetMode="External"/><Relationship Id="rId99" Type="http://schemas.openxmlformats.org/officeDocument/2006/relationships/header" Target="header2.xml"/><Relationship Id="rId10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dx.doi.org/10.47772/IJRISS.2025.9010230" TargetMode="External"/><Relationship Id="rId18" Type="http://schemas.openxmlformats.org/officeDocument/2006/relationships/hyperlink" Target="https://doi.org/10.1016/j.buildenv.2021.108689" TargetMode="External"/><Relationship Id="rId39" Type="http://schemas.openxmlformats.org/officeDocument/2006/relationships/hyperlink" Target="https://doi.org/10.1002/wcs.1176" TargetMode="External"/><Relationship Id="rId34" Type="http://schemas.openxmlformats.org/officeDocument/2006/relationships/hyperlink" Target="https://doi.org/10.1037/edu0000689" TargetMode="External"/><Relationship Id="rId50" Type="http://schemas.openxmlformats.org/officeDocument/2006/relationships/hyperlink" Target="https://doi.org/10.3390/ijerph18189565" TargetMode="External"/><Relationship Id="rId55" Type="http://schemas.openxmlformats.org/officeDocument/2006/relationships/hyperlink" Target="https://doi.org/10.1007/s10648-023-09834-1" TargetMode="External"/><Relationship Id="rId76" Type="http://schemas.openxmlformats.org/officeDocument/2006/relationships/hyperlink" Target="https://doi.org/10.4102/ajod.v11i0.906" TargetMode="External"/><Relationship Id="rId97" Type="http://schemas.openxmlformats.org/officeDocument/2006/relationships/hyperlink" Target="https://doi.org/10.1080/10888438.2023.2169147" TargetMode="External"/><Relationship Id="rId10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doi.org/10.1177/1086296X221116866" TargetMode="External"/><Relationship Id="rId92" Type="http://schemas.openxmlformats.org/officeDocument/2006/relationships/hyperlink" Target="https://doi.org/10.1111/cdev.13587" TargetMode="External"/><Relationship Id="rId2" Type="http://schemas.openxmlformats.org/officeDocument/2006/relationships/customXml" Target="../customXml/item2.xml"/><Relationship Id="rId29" Type="http://schemas.openxmlformats.org/officeDocument/2006/relationships/hyperlink" Target="https://doi.org/10.29329/ijpe.2022.439.11" TargetMode="External"/><Relationship Id="rId24" Type="http://schemas.openxmlformats.org/officeDocument/2006/relationships/hyperlink" Target="https://doi.org/10.1080/2331186X.2023.2202121" TargetMode="External"/><Relationship Id="rId40" Type="http://schemas.openxmlformats.org/officeDocument/2006/relationships/hyperlink" Target="https://escholarship.org/uc/item/5sw56439" TargetMode="External"/><Relationship Id="rId45" Type="http://schemas.openxmlformats.org/officeDocument/2006/relationships/hyperlink" Target="https://gamlj.github.io/" TargetMode="External"/><Relationship Id="rId66" Type="http://schemas.openxmlformats.org/officeDocument/2006/relationships/hyperlink" Target="http://dx.doi.org/10.46827/ejse.v10i4.5397" TargetMode="External"/><Relationship Id="rId87" Type="http://schemas.openxmlformats.org/officeDocument/2006/relationships/hyperlink" Target="https://doi.org/10.30595/alphamath.v8i1.12218" TargetMode="External"/><Relationship Id="rId61" Type="http://schemas.openxmlformats.org/officeDocument/2006/relationships/hyperlink" Target="https://doi.org/10.1111/cdev.13597" TargetMode="External"/><Relationship Id="rId82" Type="http://schemas.openxmlformats.org/officeDocument/2006/relationships/hyperlink" Target="https://doi.org/10.3102/0013189X221145678" TargetMode="External"/><Relationship Id="rId19" Type="http://schemas.openxmlformats.org/officeDocument/2006/relationships/hyperlink" Target="https://doi.org/10.18637/jss.v067.i01" TargetMode="External"/><Relationship Id="rId14" Type="http://schemas.openxmlformats.org/officeDocument/2006/relationships/hyperlink" Target="https://doi.org/10.1080/2331186X.2024.2322862" TargetMode="External"/><Relationship Id="rId30" Type="http://schemas.openxmlformats.org/officeDocument/2006/relationships/hyperlink" Target="https://doi.org/10.1177/07342829241276226" TargetMode="External"/><Relationship Id="rId35" Type="http://schemas.openxmlformats.org/officeDocument/2006/relationships/hyperlink" Target="https://doi.org/10.23887/ijerr.v6i3.62206" TargetMode="External"/><Relationship Id="rId56" Type="http://schemas.openxmlformats.org/officeDocument/2006/relationships/hyperlink" Target="https://doi.org/10.1186/s40359-025-03203-z" TargetMode="External"/><Relationship Id="rId77" Type="http://schemas.openxmlformats.org/officeDocument/2006/relationships/hyperlink" Target="https://doi.org/10.1080/19477503.2025.2470047" TargetMode="External"/><Relationship Id="rId100"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doi.org/10.1080/13803611.2022.2034567" TargetMode="External"/><Relationship Id="rId72" Type="http://schemas.openxmlformats.org/officeDocument/2006/relationships/hyperlink" Target="https://doi.org/10.3389/fpsyg.2024.1324055" TargetMode="External"/><Relationship Id="rId93" Type="http://schemas.openxmlformats.org/officeDocument/2006/relationships/hyperlink" Target="https://doi.org/10.1080/02702711.2026.2644968" TargetMode="External"/><Relationship Id="rId98" Type="http://schemas.openxmlformats.org/officeDocument/2006/relationships/header" Target="header1.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p+Q9JGRCqwJqgiPxc0q2LZngHQ==">AMUW2mWVzJ/Ron79YCqmcx8ZHTAotwoRfUmF9vFUFemCz7r/5pgz0w5Uxk2+pQ0DBXJYHXVsk1FGpaw36xdMkSrWBw4/LnnTwyBIC9VlhwLBeyvZsIr4Da7i0AS3yzGjsjsZK/OTlB8c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EDAE02-2ECC-40EE-946E-F69F84D9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16</Pages>
  <Words>9692</Words>
  <Characters>55246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IMCC Journal of Science</dc:creator>
  <cp:lastModifiedBy>LAIZA CASTRO</cp:lastModifiedBy>
  <cp:revision>11</cp:revision>
  <cp:lastPrinted>2025-11-04T04:58:00Z</cp:lastPrinted>
  <dcterms:created xsi:type="dcterms:W3CDTF">2026-06-02T16:26:00Z</dcterms:created>
  <dcterms:modified xsi:type="dcterms:W3CDTF">2026-06-04T14:48:00Z</dcterms:modified>
</cp:coreProperties>
</file>