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582A1" w14:textId="5359BBF2" w:rsidR="0025298A" w:rsidRPr="00E81FF0" w:rsidRDefault="00BC7BA3" w:rsidP="00E81FF0">
      <w:pPr>
        <w:pStyle w:val="ListParagraph"/>
        <w:jc w:val="center"/>
        <w:rPr>
          <w:rFonts w:ascii="Times New Roman" w:hAnsi="Times New Roman" w:cs="Times New Roman"/>
          <w:b/>
          <w:bCs/>
          <w:sz w:val="28"/>
          <w:szCs w:val="28"/>
        </w:rPr>
      </w:pPr>
      <w:r w:rsidRPr="00E81FF0">
        <w:rPr>
          <w:rFonts w:ascii="Times New Roman" w:hAnsi="Times New Roman" w:cs="Times New Roman"/>
          <w:b/>
          <w:bCs/>
          <w:sz w:val="28"/>
          <w:szCs w:val="28"/>
        </w:rPr>
        <w:t>THE GEOSPATIAL URBAN CLIMATE ADAPTATION AND RESILIENCE DECISION-SUPPORT FRAMEWORK (GUCAR-DSF): AN EVIDENCE-TO-ACTION ARCHITECTURE FOR CLIMATE-RESILIENT URBAN PLANNING</w:t>
      </w:r>
    </w:p>
    <w:p w14:paraId="348C0FFA" w14:textId="7C4DB439" w:rsidR="00BC7BA3" w:rsidRDefault="00BC7BA3" w:rsidP="00BC7BA3">
      <w:pPr>
        <w:pStyle w:val="ListParagraph"/>
        <w:jc w:val="center"/>
        <w:rPr>
          <w:rFonts w:ascii="Times New Roman" w:hAnsi="Times New Roman" w:cs="Times New Roman"/>
          <w:b/>
          <w:bCs/>
          <w:sz w:val="24"/>
          <w:szCs w:val="24"/>
        </w:rPr>
      </w:pPr>
    </w:p>
    <w:p w14:paraId="467ED3EE" w14:textId="7AF6504F" w:rsidR="00BC7BA3" w:rsidRPr="00B37566" w:rsidRDefault="00BC7BA3" w:rsidP="00BC7BA3">
      <w:pPr>
        <w:spacing w:after="0"/>
        <w:jc w:val="center"/>
      </w:pPr>
      <w:r>
        <w:t xml:space="preserve"/>
      </w:r>
      <w:r w:rsidR="000B3557">
        <w:t/>
      </w:r>
    </w:p>
    <w:p w14:paraId="0A953B1D" w14:textId="77777777" w:rsidR="00BC7BA3" w:rsidRDefault="00BC7BA3" w:rsidP="00BC7BA3">
      <w:pPr>
        <w:spacing w:after="0"/>
        <w:jc w:val="center"/>
        <w:rPr>
          <w:sz w:val="20"/>
        </w:rPr>
      </w:pPr>
      <w:r w:rsidRPr="00B37566">
        <w:rPr>
          <w:sz w:val="20"/>
        </w:rPr>
        <w:t/>
      </w:r>
    </w:p>
    <w:p w14:paraId="1A097F5C" w14:textId="77777777" w:rsidR="00BC7BA3" w:rsidRDefault="00BC7BA3" w:rsidP="00BC7BA3">
      <w:pPr>
        <w:spacing w:after="0"/>
        <w:jc w:val="center"/>
      </w:pPr>
      <w:r w:rsidRPr="00B37566">
        <w:rPr>
          <w:sz w:val="20"/>
        </w:rPr>
        <w:br/>
      </w:r>
      <w:r>
        <w:t xml:space="preserve"/>
      </w:r>
      <w:hyperlink r:id="rId7" w:history="1">
        <w:r w:rsidRPr="00E668DB">
          <w:rPr>
            <w:rStyle w:val="Hyperlink"/>
          </w:rPr>
          <w:t/>
        </w:r>
      </w:hyperlink>
      <w:r>
        <w:t xml:space="preserve"/>
      </w:r>
    </w:p>
    <w:p w14:paraId="390BEB0B" w14:textId="77777777" w:rsidR="000B3557" w:rsidRDefault="000B3557" w:rsidP="000B3557">
      <w:pPr>
        <w:pStyle w:val="Heading2"/>
        <w:spacing w:before="0" w:beforeAutospacing="0" w:after="0" w:afterAutospacing="0"/>
        <w:jc w:val="both"/>
        <w:rPr>
          <w:sz w:val="24"/>
          <w:szCs w:val="24"/>
        </w:rPr>
      </w:pPr>
    </w:p>
    <w:p w14:paraId="35A6EA18" w14:textId="5673F1B1" w:rsidR="000B3557" w:rsidRPr="00097999" w:rsidRDefault="000B3557" w:rsidP="000B3557">
      <w:pPr>
        <w:pStyle w:val="Heading2"/>
        <w:spacing w:before="0" w:beforeAutospacing="0" w:after="0" w:afterAutospacing="0"/>
        <w:jc w:val="both"/>
        <w:rPr>
          <w:sz w:val="24"/>
          <w:szCs w:val="24"/>
        </w:rPr>
      </w:pPr>
      <w:r w:rsidRPr="00097999">
        <w:rPr>
          <w:sz w:val="24"/>
          <w:szCs w:val="24"/>
        </w:rPr>
        <w:t>ABSTRACT</w:t>
      </w:r>
    </w:p>
    <w:p w14:paraId="64BDEA94" w14:textId="77777777" w:rsidR="00972093" w:rsidRDefault="00972093" w:rsidP="00972093">
      <w:pPr>
        <w:pStyle w:val="NormalWeb"/>
        <w:spacing w:before="0" w:beforeAutospacing="0" w:after="0" w:afterAutospacing="0"/>
        <w:jc w:val="both"/>
      </w:pPr>
      <w:r>
        <w:t>Rapid urbanisation, climate change, land-use transformation, ecosystem degradation, infrastructure deficits, and social inequality are intensifying complex and spatially uneven climate risks in cities. Despite advances in remote sensing, Geographic Information Systems, Earth Observation, vulnerability assessment, resilience planning, and adaptive governance, these capabilities are often applied through fragmented analytical and institutional systems. Consequently, hazard mapping may remain disconnected from vulnerability assessment, adaptation planning from implementation, governance from spatial evidence, and monitoring from decision revision, creating a persistent evidence-to-action gap. This paper introduces the Geospatial Urban Climate Adaptation and Resilience Decision-Support Framework (GUCAR-DSF), an integrative architecture for climate-resilient urban planning. Developed through structured interdisciplinary evidence synthesis, the framework draws on resilience thinking, social-ecological systems, adaptive governance, geospatial intelligence, and multi-hazard risk perspectives. It connects eight interdependent functions: climate and environmental observation; geospatial intelligence and indicator generation; multi-hazard diagnostics; vulnerability and adaptive-capacity assessment; adaptation appraisal and prioritisation; governance, participation and implementation; monitoring, evaluation and adaptive learning; and decision-support communication and scaling. GUCAR-DSF’s central innovation is its continuous evidence-to-action cycle, in which implementation generates new knowledge and monitoring informs renewed observation, analysis, prioritisation, and institutional adjustment. The framework supports spatially targeted, socially differentiated, and continuously evaluated adaptation across risks including urban heat, flooding, compound hazards, land-use change, ecosystem degradation, informal-settlement vulnerability, critical infrastructure, and Nature-Based Solutions. Its modular design suits both data-rich and resource-constrained contexts, particularly rapidly urbanising Global South cities. As a conceptual framework, however, it requires empirical validation, comparative testing, and longitudinal assessment. It offers a practical pathway for adaptive urban resilience.</w:t>
      </w:r>
    </w:p>
    <w:p w14:paraId="64DD0AF4" w14:textId="77777777" w:rsidR="00972093" w:rsidRDefault="00972093" w:rsidP="00972093">
      <w:pPr>
        <w:spacing w:after="0"/>
        <w:jc w:val="both"/>
      </w:pPr>
    </w:p>
    <w:p w14:paraId="50BDB04B" w14:textId="77777777" w:rsidR="000B3557" w:rsidRPr="00097999" w:rsidRDefault="000B3557" w:rsidP="000B3557">
      <w:pPr>
        <w:pStyle w:val="NormalWeb"/>
        <w:spacing w:before="0" w:beforeAutospacing="0" w:after="0" w:afterAutospacing="0"/>
        <w:jc w:val="both"/>
      </w:pPr>
      <w:r w:rsidRPr="00097999">
        <w:rPr>
          <w:rStyle w:val="Strong"/>
        </w:rPr>
        <w:t>Keywords:</w:t>
      </w:r>
      <w:r w:rsidRPr="00097999">
        <w:t xml:space="preserve"> GUCAR-DSF; urban climate adaptation; geospatial intelligence; climate resilience; multi-hazard risk; vulnerability assessment; evidence-to-action; adaptive governance; </w:t>
      </w:r>
    </w:p>
    <w:p w14:paraId="18211ADE" w14:textId="77777777" w:rsidR="000B3557" w:rsidRPr="00A97667" w:rsidRDefault="000B3557" w:rsidP="000B3557">
      <w:pPr>
        <w:spacing w:after="0"/>
        <w:jc w:val="both"/>
        <w:rPr>
          <w:sz w:val="24"/>
          <w:szCs w:val="24"/>
        </w:rPr>
      </w:pPr>
    </w:p>
    <w:p w14:paraId="41686E17" w14:textId="7726320F" w:rsidR="000B3557" w:rsidRDefault="000B3557" w:rsidP="000B3557">
      <w:pPr>
        <w:pStyle w:val="ListParagraph"/>
        <w:jc w:val="both"/>
        <w:rPr>
          <w:rFonts w:ascii="Times New Roman" w:hAnsi="Times New Roman" w:cs="Times New Roman"/>
          <w:b/>
          <w:bCs/>
          <w:sz w:val="24"/>
          <w:szCs w:val="24"/>
        </w:rPr>
      </w:pPr>
    </w:p>
    <w:p w14:paraId="0F5B55CD" w14:textId="3DF73FC3" w:rsidR="00E81FF0" w:rsidRDefault="00E81FF0" w:rsidP="000B3557">
      <w:pPr>
        <w:pStyle w:val="ListParagraph"/>
        <w:jc w:val="both"/>
        <w:rPr>
          <w:rFonts w:ascii="Times New Roman" w:hAnsi="Times New Roman" w:cs="Times New Roman"/>
          <w:b/>
          <w:bCs/>
          <w:sz w:val="24"/>
          <w:szCs w:val="24"/>
        </w:rPr>
      </w:pPr>
    </w:p>
    <w:p w14:paraId="5155EEB6" w14:textId="77777777" w:rsidR="00E81FF0" w:rsidRDefault="00E81FF0" w:rsidP="000B3557">
      <w:pPr>
        <w:pStyle w:val="ListParagraph"/>
        <w:jc w:val="both"/>
        <w:rPr>
          <w:rFonts w:ascii="Times New Roman" w:hAnsi="Times New Roman" w:cs="Times New Roman"/>
          <w:b/>
          <w:bCs/>
          <w:sz w:val="24"/>
          <w:szCs w:val="24"/>
        </w:rPr>
      </w:pPr>
    </w:p>
    <w:p w14:paraId="5B29AE74" w14:textId="6B7C857A" w:rsidR="00A2129D" w:rsidRPr="00AC0C6D" w:rsidRDefault="00A2129D" w:rsidP="00A2129D">
      <w:pPr>
        <w:spacing w:after="0" w:line="276" w:lineRule="auto"/>
        <w:jc w:val="both"/>
        <w:outlineLvl w:val="1"/>
        <w:rPr>
          <w:rFonts w:ascii="Times New Roman" w:eastAsia="Times New Roman" w:hAnsi="Times New Roman" w:cs="Times New Roman"/>
          <w:b/>
          <w:bCs/>
          <w:sz w:val="24"/>
          <w:szCs w:val="24"/>
        </w:rPr>
      </w:pPr>
      <w:r w:rsidRPr="00AC0C6D">
        <w:rPr>
          <w:rFonts w:ascii="Times New Roman" w:eastAsia="Times New Roman" w:hAnsi="Times New Roman" w:cs="Times New Roman"/>
          <w:b/>
          <w:bCs/>
          <w:sz w:val="24"/>
          <w:szCs w:val="24"/>
        </w:rPr>
        <w:lastRenderedPageBreak/>
        <w:t>1. INTRODUCTION</w:t>
      </w:r>
    </w:p>
    <w:p w14:paraId="69167799" w14:textId="77777777" w:rsidR="00A2129D" w:rsidRPr="00AC0C6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Climate change is increasingly reshaping the conditions under which cities are planned, governed, serviced, and inhabited. Rising temperatures, shifting rainfall regimes, recurrent flooding, prolonged drought, ecosystem degradation, and increasingly severe extreme events are creating new pressures on urban infrastructure, public health, housing, mobility, water systems, and local economies. These pressures are particularly acute in rapidly urbanising regions, where demographic growth, land conversion, infrastructure deficits, and weak development control interact with climate hazards to produce complex and spatially differentiated patterns of vulnerability (Intergovernmental Panel on Climate Change [IPCC], 2023; Meerow et al., 2016). Urban climate adaptation has therefore emerged as a central planning challenge, requiring cities not only to respond to hazards after they occur but also to anticipate changing risk conditions, reduce exposure, strengthen adaptive capacity, and reorganise development pathways towards greater resilience.</w:t>
      </w:r>
    </w:p>
    <w:p w14:paraId="1DF71229" w14:textId="77777777" w:rsidR="00A2129D" w:rsidRPr="00AC0C6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The urban climate adaptation problem is fundamentally multidimensional. Climate hazards are shaped not only by atmospheric processes but also by the ways in which cities transform land, distribute infrastructure, manage ecosystems, and organise access to services. The conversion of vegetated and permeable surfaces into roads, buildings, and other impervious structures can alter surface-energy balances, intensify heat storage, reduce evapotranspiration, accelerate runoff, and increase pressure on drainage systems (Oke et al., 2017). At the same time, the degradation of wetlands, riparian corridors, urban forests, and open spaces weakens ecological functions that moderate temperature, retain stormwater, and support environmental quality. These processes often intersect with poverty, inadequate housing, informal settlement growth, and unequal access to services, creating neighbourhoods where climatic exposure and limited adaptive capacity reinforce one another (Folke et al., 2021; IPCC, 2023).</w:t>
      </w:r>
    </w:p>
    <w:p w14:paraId="2A805FC0" w14:textId="77777777" w:rsidR="00A2129D" w:rsidRPr="00AC0C6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Urban heat and flooding provide a particularly important illustration of this complexity. Extreme heat is intensified by dense built form, limited vegetation, extensive impervious surfaces, and anthropogenic heat emissions. Flooding, meanwhile, is shaped by rainfall variability, topography, drainage capacity, surface sealing, settlement expansion, and hydrological disruption. Although these hazards are often assessed separately, they may arise from common urban development processes. Impervious-surface expansion can increase thermal stress while simultaneously accelerating runoff, and vegetation loss can reduce both evaporative cooling and rainfall interception. Such relationships suggest that climate adaptation cannot be adequately addressed through isolated hazard-specific interventions. Instead, cities require planning approaches capable of identifying interactions among hazards, land-use change, ecosystem condition, infrastructure exposure, and social vulnerability.</w:t>
      </w:r>
    </w:p>
    <w:p w14:paraId="19E60CB6" w14:textId="77777777" w:rsidR="00A2129D" w:rsidRPr="00AC0C6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A second major challenge is the fragmentation of contemporary urban risk assessment and adaptation practice. Hazard analysis, vulnerability assessment, land-use planning, infrastructure investment, disaster management, and environmental governance are frequently undertaken within separate institutional and analytical systems. Technical studies may produce detailed heat maps, flood-susceptibility surfaces, or land-use classifications without being systematically connected to </w:t>
      </w:r>
      <w:r w:rsidRPr="00AC0C6D">
        <w:rPr>
          <w:rFonts w:ascii="Times New Roman" w:eastAsia="Times New Roman" w:hAnsi="Times New Roman" w:cs="Times New Roman"/>
          <w:sz w:val="24"/>
          <w:szCs w:val="24"/>
        </w:rPr>
        <w:lastRenderedPageBreak/>
        <w:t>investment priorities or implementation mechanisms. Vulnerability assessments may identify exposed populations but remain disconnected from spatial development control. Urban plans may acknowledge climate risk in general terms without incorporating current geospatial evidence, while adaptation strategies may propose interventions without clear procedures for prioritising where they should be implemented or how their performance should be monitored over time.</w:t>
      </w:r>
    </w:p>
    <w:p w14:paraId="2982724B" w14:textId="77777777" w:rsidR="00A2129D" w:rsidRPr="00AC0C6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This fragmentation is reinforced by institutional divisions. Responsibilities for drainage, land administration, environmental protection, disaster risk reduction, infrastructure, public health, and climate policy often lie across multiple agencies with different mandates, data systems, and planning horizons. Adaptive governance scholarship has long emphasised that complex environmental challenges require collaboration, learning, flexibility, and coordination across institutional boundaries (Folke et al., 2005; Tyler &amp; Moench, 2012). Yet in practice, urban climate planning frequently remains sectoral and project-driven. The result is a persistent disconnect between the integrated character of climate risk and the fragmented structures through which urban decisions are made.</w:t>
      </w:r>
    </w:p>
    <w:p w14:paraId="0C67685D" w14:textId="77777777" w:rsidR="00A2129D" w:rsidRPr="00AC0C6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A third challenge concerns the growing gap between the availability of geospatial evidence and its effective translation into implementation. Advances in remote sensing, Geographic Information Systems (GIS), Earth Observation, cloud computing, machine learning, and spatial modelling have substantially expanded the capacity to monitor urban environments. Multi-temporal satellite imagery can reveal land-use/land-cover change, vegetation decline, urban expansion, wetland encroachment, and the growth of impervious surfaces. Thermal observations can identify land surface temperature patterns and emerging heat hotspots. Digital Elevation Models, rainfall datasets, drainage networks, and radar imagery can support flood-susceptibility and inundation analysis. When combined with population, infrastructure, and socio-economic information, these datasets make it possible to identify locations where hazards and vulnerability converge (Goodchild, 2020; Longley et al., 2021; Tamiminia et al., 2020).</w:t>
      </w:r>
    </w:p>
    <w:p w14:paraId="761B6557" w14:textId="77777777" w:rsidR="00A2129D" w:rsidRPr="00AC0C6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The expansion of open Earth Observation archives and cloud-based analytical platforms has made these capabilities increasingly accessible, including in data-constrained settings. Large satellite repositories can now be processed more efficiently, while geospatial machine-learning techniques offer opportunities to detect complex and non-linear relationships among environmental variables (Lary et al., 2016; Tamiminia et al., 2020). However, greater analytical capability does not automatically produce more effective adaptation. In many cases, geospatial outputs remain at the level of descriptive mapping. Risk maps may identify hotspots without indicating which adaptation options are most appropriate, which communities should be prioritised, how interventions should be sequenced, or how implementation outcomes should influence future decisions.</w:t>
      </w:r>
    </w:p>
    <w:p w14:paraId="140BA53B" w14:textId="77777777" w:rsidR="00A2129D" w:rsidRPr="00AC0C6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This creates an evidence-to-action problem. The key challenge is no longer only how to generate more spatial information, but how to transform that information into transparent, equitable, and adaptive planning decisions. A technically sophisticated map has limited policy value if it does not support a clear process for identifying priorities, comparing adaptation options, assigning responsibilities, mobilising resources, monitoring outcomes, and revising decisions as conditions change. Urban resilience scholarship similarly stresses that adaptation should not be understood </w:t>
      </w:r>
      <w:r w:rsidRPr="00AC0C6D">
        <w:rPr>
          <w:rFonts w:ascii="Times New Roman" w:eastAsia="Times New Roman" w:hAnsi="Times New Roman" w:cs="Times New Roman"/>
          <w:sz w:val="24"/>
          <w:szCs w:val="24"/>
        </w:rPr>
        <w:lastRenderedPageBreak/>
        <w:t>as a one-time technical adjustment but as a continuous process involving learning, institutional change, and the capacity to respond to uncertainty (Meerow et al., 2016; Tyler &amp; Moench, 2012).</w:t>
      </w:r>
    </w:p>
    <w:p w14:paraId="1DCE8E32" w14:textId="77777777" w:rsidR="00A2129D" w:rsidRPr="00AC0C6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Existing approaches provide important but often partial contributions to this challenge. GIS-based decision support can integrate multiple indicators and reveal spatial patterns of risk. Multi-criteria analysis can assist in comparing competing priorities. Resilience frameworks can strengthen systems thinking, while adaptive governance approaches emphasise participation and learning. Social-ecological perspectives highlight the importance of ecosystems and feedbacks between human and environmental systems. Yet these perspectives are frequently applied separately. What remains insufficiently developed is a unified architecture that systematically connects environmental observation, geospatial analytics, multi-hazard assessment, vulnerability analysis, adaptation prioritisation, governance, implementation, monitoring, and feedback within a continuous planning process.</w:t>
      </w:r>
    </w:p>
    <w:p w14:paraId="1831CBC3" w14:textId="77777777" w:rsidR="00A2129D" w:rsidRPr="00AC0C6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The need for such integration is especially pronounced in developing cities. Rapid urbanisation frequently occurs in contexts characterised by limited municipal finance, incomplete infrastructure, weak data systems, expanding informal settlements, and unequal access to services. Under these conditions, fragmented adaptation can produce inefficient investments, overlook vulnerable populations, or unintentionally shift risk from one location to another. A framework that can operate with varying levels of data availability, incorporate open geospatial resources, and support phased implementation is therefore of considerable practical relevance. Authoritative assessments increasingly emphasise the importance of integrated and anticipatory climate action in cities, but the operational translation of that principle into decision-support systems remains uneven (IPCC, 2023; UN-Habitat, 2024).</w:t>
      </w:r>
    </w:p>
    <w:p w14:paraId="4962C923" w14:textId="77777777" w:rsidR="00A2129D" w:rsidRPr="00AC0C6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This paper responds to these challenges by introducing the Geospatial Urban Climate Adaptation and Resilience Decision-Support Framework (GUCAR-DSF) as an original evidence-to-action architecture for climate-resilient urban planning. The framework is designed to integrate eight interconnected functions: climate and environmental observation; geospatial intelligence and indicator generation; multi-hazard diagnostics; vulnerability and adaptive-capacity assessment; adaptation option appraisal and prioritisation; governance, participation and implementation; monitoring, evaluation and adaptive learning; and decision-support communication and scaling. Its central proposition is that climate adaptation should be treated as a continuous cycle in which evidence informs action, implementation generates new knowledge, and monitoring results feed back into subsequent observation, assessment, and prioritisation.</w:t>
      </w:r>
    </w:p>
    <w:p w14:paraId="6DCB20A0" w14:textId="3EA130D4" w:rsidR="00A2129D" w:rsidRDefault="00A2129D" w:rsidP="00A2129D">
      <w:pPr>
        <w:spacing w:after="0" w:line="276" w:lineRule="auto"/>
        <w:jc w:val="both"/>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The GUCAR-DSF therefore seeks to move beyond descriptive hazard mapping and fragmented project planning by establishing a structured pathway from spatial evidence to practical decision-making. It is conceived as a flexible rather than prescriptive framework, recognising differences in climate conditions, urban form, institutional capacity, data availability, and socio-economic context. By linking geospatial intelligence with systems thinking, vulnerability analysis, participatory governance, implementation, and adaptive feedback, the framework aims to strengthen the translation of climate knowledge into targeted, equitable, and continuously improving urban resilience action.</w:t>
      </w:r>
    </w:p>
    <w:p w14:paraId="48DB12FA" w14:textId="1773D21F" w:rsidR="00972093" w:rsidRDefault="00972093" w:rsidP="00A2129D">
      <w:pPr>
        <w:spacing w:after="0" w:line="276" w:lineRule="auto"/>
        <w:jc w:val="both"/>
        <w:rPr>
          <w:rFonts w:ascii="Times New Roman" w:eastAsia="Times New Roman" w:hAnsi="Times New Roman" w:cs="Times New Roman"/>
          <w:sz w:val="24"/>
          <w:szCs w:val="24"/>
        </w:rPr>
      </w:pPr>
    </w:p>
    <w:p w14:paraId="5150A5CF" w14:textId="77777777" w:rsidR="00972093" w:rsidRDefault="00972093" w:rsidP="00A2129D">
      <w:pPr>
        <w:spacing w:after="0" w:line="276" w:lineRule="auto"/>
        <w:jc w:val="both"/>
        <w:rPr>
          <w:rFonts w:ascii="Times New Roman" w:eastAsia="Times New Roman" w:hAnsi="Times New Roman" w:cs="Times New Roman"/>
          <w:sz w:val="24"/>
          <w:szCs w:val="24"/>
        </w:rPr>
      </w:pPr>
    </w:p>
    <w:p w14:paraId="3385A25F" w14:textId="77777777" w:rsidR="00A2129D" w:rsidRPr="00AC0C6D" w:rsidRDefault="00A2129D" w:rsidP="00A2129D">
      <w:pPr>
        <w:pStyle w:val="Heading2"/>
        <w:spacing w:before="0" w:beforeAutospacing="0" w:after="0" w:afterAutospacing="0" w:line="276" w:lineRule="auto"/>
        <w:jc w:val="both"/>
        <w:rPr>
          <w:sz w:val="24"/>
          <w:szCs w:val="24"/>
        </w:rPr>
      </w:pPr>
      <w:r w:rsidRPr="00AC0C6D">
        <w:rPr>
          <w:sz w:val="24"/>
          <w:szCs w:val="24"/>
        </w:rPr>
        <w:t>2. Conceptual and Methodological Basis</w:t>
      </w:r>
    </w:p>
    <w:p w14:paraId="28B2F8BF" w14:textId="77777777" w:rsidR="00A2129D" w:rsidRPr="00AC0C6D" w:rsidRDefault="00A2129D" w:rsidP="00A2129D">
      <w:pPr>
        <w:pStyle w:val="NormalWeb"/>
        <w:spacing w:before="0" w:beforeAutospacing="0" w:after="0" w:afterAutospacing="0" w:line="276" w:lineRule="auto"/>
        <w:jc w:val="both"/>
      </w:pPr>
      <w:r w:rsidRPr="00AC0C6D">
        <w:t>The development of the Geospatial Urban Climate Adaptation and Resilience Decision-Support Framework (GUCAR-DSF) is grounded in a structured evidence-synthesis approach that integrates insights from climate adaptation, urban resilience, social-ecological systems, adaptive governance, geospatial science, and multi-hazard risk assessment. The purpose of this methodological orientation is not to conduct a formal meta-analysis or systematic review in the narrow sense, but to bring together conceptually and operationally relevant evidence from peer-reviewed scholarship, geospatial research, resilience theory, and authoritative policy literature. The synthesis prioritises studies that explain how climate hazards interact with urban land transformation, ecosystem change, infrastructure, vulnerability, and institutional capacity, while also identifying approaches that support the translation of evidence into planning and implementation. This structured integration provides the basis for developing a decision-support architecture rather than merely summarising existing literature.</w:t>
      </w:r>
    </w:p>
    <w:p w14:paraId="74FD6FE1" w14:textId="77777777" w:rsidR="00A2129D" w:rsidRPr="00AC0C6D" w:rsidRDefault="00A2129D" w:rsidP="00A2129D">
      <w:pPr>
        <w:pStyle w:val="NormalWeb"/>
        <w:spacing w:before="0" w:beforeAutospacing="0" w:after="0" w:afterAutospacing="0" w:line="276" w:lineRule="auto"/>
        <w:jc w:val="both"/>
      </w:pPr>
      <w:r w:rsidRPr="00AC0C6D">
        <w:t>Resilience thinking constitutes one of the principal conceptual foundations of the framework. Urban resilience is generally understood as the capacity of urban systems to absorb disturbance, maintain essential functions, recover from shocks, and adapt or transform in response to changing conditions (Meerow et al., 2016). This perspective is particularly relevant to climate adaptation because cities operate under uncertainty and cannot rely solely on fixed responses to historically observed hazards. Resilience thinking therefore encourages flexibility, learning, redundancy, preparedness, and the capacity to revise strategies as new risks emerge. Within GUCAR-DSF, resilience is treated not as a static condition but as a dynamic planning capability supported by continuous observation, assessment, implementation, monitoring, and adjustment.</w:t>
      </w:r>
    </w:p>
    <w:p w14:paraId="39BA094B" w14:textId="77777777" w:rsidR="00A2129D" w:rsidRPr="00AC0C6D" w:rsidRDefault="00A2129D" w:rsidP="00A2129D">
      <w:pPr>
        <w:pStyle w:val="NormalWeb"/>
        <w:spacing w:before="0" w:beforeAutospacing="0" w:after="0" w:afterAutospacing="0" w:line="276" w:lineRule="auto"/>
        <w:jc w:val="both"/>
      </w:pPr>
      <w:r w:rsidRPr="00AC0C6D">
        <w:t>The framework is also informed by social-ecological systems thinking, which emphasises that cities are not simply built environments but interconnected systems in which ecological processes, infrastructure, institutions, economic activities, and human communities interact (Folke et al., 2021). Urban forests, wetlands, drainage corridors, soils, water bodies, and green spaces influence temperature regulation, runoff, biodiversity, public health, and environmental quality. Their degradation can therefore intensify climate risk, while restoration can enhance adaptive capacity. This perspective strengthens the framework’s emphasis on land-use dynamics, ecosystem condition, and the integration of Nature-Based Solutions with conventional infrastructure and planning interventions.</w:t>
      </w:r>
    </w:p>
    <w:p w14:paraId="31035425" w14:textId="77777777" w:rsidR="00A2129D" w:rsidRPr="00AC0C6D" w:rsidRDefault="00A2129D" w:rsidP="00A2129D">
      <w:pPr>
        <w:pStyle w:val="NormalWeb"/>
        <w:spacing w:before="0" w:beforeAutospacing="0" w:after="0" w:afterAutospacing="0" w:line="276" w:lineRule="auto"/>
        <w:jc w:val="both"/>
      </w:pPr>
      <w:r w:rsidRPr="00AC0C6D">
        <w:t xml:space="preserve">Adaptive governance provides the institutional dimension of the framework. Climate risks are dynamic, cross-sectoral, and characterised by uncertainty, making rigid and fragmented governance arrangements poorly suited to effective adaptation. Adaptive governance emphasises collaboration, participation, experimentation, knowledge sharing, and iterative learning across institutions and stakeholder groups (Folke et al., 2005; Tyler &amp; Moench, 2012). Within the GUCAR-DSF, this perspective supports the inclusion of governance, stakeholder participation, implementation responsibility, monitoring, and feedback as integral components of decision </w:t>
      </w:r>
      <w:r w:rsidRPr="00AC0C6D">
        <w:lastRenderedPageBreak/>
        <w:t>support. The framework therefore recognises that technically robust analysis has limited value unless institutions can coordinate action, mobilise resources, learn from outcomes, and revise decisions.</w:t>
      </w:r>
    </w:p>
    <w:p w14:paraId="67BFD75F" w14:textId="77777777" w:rsidR="00A2129D" w:rsidRPr="00AC0C6D" w:rsidRDefault="00A2129D" w:rsidP="00A2129D">
      <w:pPr>
        <w:pStyle w:val="NormalWeb"/>
        <w:spacing w:before="0" w:beforeAutospacing="0" w:after="0" w:afterAutospacing="0" w:line="276" w:lineRule="auto"/>
        <w:jc w:val="both"/>
      </w:pPr>
      <w:r w:rsidRPr="00AC0C6D">
        <w:t>Geospatial intelligence provides the analytical backbone of the framework. It refers to the integration of remote sensing, Geographic Information Systems, Earth Observation, climate datasets, spatial modelling, and related analytical methods to generate location-specific knowledge for decision-making. These tools allow changes in land use, vegetation, impervious surfaces, thermal conditions, drainage, terrain, settlement patterns, and infrastructure exposure to be analysed across space and time (Goodchild, 2020; Longley et al., 2021; Tamiminia et al., 2020). The significance of geospatial intelligence within GUCAR-DSF lies not simply in mapping hazards, but in connecting spatial evidence with vulnerability assessment, adaptation prioritisation, implementation, and monitoring.</w:t>
      </w:r>
    </w:p>
    <w:p w14:paraId="45B63FBD" w14:textId="77777777" w:rsidR="00A2129D" w:rsidRPr="00AC0C6D" w:rsidRDefault="00A2129D" w:rsidP="00A2129D">
      <w:pPr>
        <w:pStyle w:val="NormalWeb"/>
        <w:spacing w:before="0" w:beforeAutospacing="0" w:after="0" w:afterAutospacing="0" w:line="276" w:lineRule="auto"/>
        <w:jc w:val="both"/>
      </w:pPr>
      <w:r w:rsidRPr="00AC0C6D">
        <w:t>Finally, the framework adopts a multi-hazard risk perspective. Urban climate risks rarely occur independently; heat, flooding, drought, ecosystem degradation, and infrastructure disruption may overlap or interact through common drivers and cascading processes. Multi-hazard thinking therefore seeks to identify spatial convergence, compound exposure, and the possibility that one hazard may intensify vulnerability to another. By combining hazard indicators with exposure, sensitivity, and adaptive-capacity information, GUCAR-DSF supports a more integrated understanding of where risks accumulate and which populations or assets require priority attention.</w:t>
      </w:r>
    </w:p>
    <w:p w14:paraId="7BB80289" w14:textId="1DF5D908" w:rsidR="00A2129D" w:rsidRDefault="00A2129D" w:rsidP="00A2129D">
      <w:pPr>
        <w:pStyle w:val="NormalWeb"/>
        <w:spacing w:before="0" w:beforeAutospacing="0" w:after="0" w:afterAutospacing="0" w:line="276" w:lineRule="auto"/>
        <w:jc w:val="both"/>
      </w:pPr>
      <w:r w:rsidRPr="00AC0C6D">
        <w:t>Taken together, these conceptual perspectives provide the foundation for the framework’s central logic. Structured evidence synthesis identifies relevant knowledge; resilience thinking emphasises adaptation and transformation; social-ecological systems reveal interconnected urban processes; adaptive governance addresses coordination and learning; geospatial intelligence supplies spatially explicit evidence; and multi-hazard assessment captures interacting risks. Their integration enables GUCAR-DSF to function as an evidence-to-action architecture for climate-resilient urban planning rather than as a stand-alone analytical model.</w:t>
      </w:r>
    </w:p>
    <w:p w14:paraId="071B3400" w14:textId="087BD525" w:rsidR="00972093" w:rsidRDefault="00972093" w:rsidP="00972093">
      <w:pPr>
        <w:pStyle w:val="NormalWeb"/>
        <w:spacing w:before="0" w:beforeAutospacing="0" w:after="0" w:afterAutospacing="0" w:line="276" w:lineRule="auto"/>
        <w:jc w:val="both"/>
      </w:pPr>
      <w:r>
        <w:t>The conceptual foundation of the GUCAR-DSF emerges from the convergence of several complementary bodies of knowledge rather than from a single theoretical tradition. Resilience thinking explains the capacity of urban systems to absorb, adapt to, and transform under disturbance; social-ecological systems thinking highlights interactions among environmental, social, infrastructural, and institutional processes; adaptive governance emphasises participation, flexibility, learning, and institutional adjustment; geospatial intelligence provides the spatial analytical capacity required to identify differentiated patterns of risk; while multi-hazard perspectives recognise interactions among overlapping and compound threats. Figure 1 synthesises these foundations and shows how they collectively inform the evidence-to-action architecture of the GUCAR-DSF..</w:t>
      </w:r>
    </w:p>
    <w:p w14:paraId="11ACA670" w14:textId="2779E0CB" w:rsidR="00E81FF0" w:rsidRDefault="00E81FF0" w:rsidP="00972093">
      <w:pPr>
        <w:pStyle w:val="NormalWeb"/>
        <w:spacing w:before="0" w:beforeAutospacing="0" w:after="0" w:afterAutospacing="0" w:line="276" w:lineRule="auto"/>
        <w:jc w:val="both"/>
      </w:pPr>
    </w:p>
    <w:p w14:paraId="09B197E0" w14:textId="7D1C34D4" w:rsidR="00E81FF0" w:rsidRDefault="00E81FF0" w:rsidP="00972093">
      <w:pPr>
        <w:pStyle w:val="NormalWeb"/>
        <w:spacing w:before="0" w:beforeAutospacing="0" w:after="0" w:afterAutospacing="0" w:line="276" w:lineRule="auto"/>
        <w:jc w:val="both"/>
      </w:pPr>
    </w:p>
    <w:p w14:paraId="7A557665" w14:textId="77777777" w:rsidR="00E81FF0" w:rsidRDefault="00E81FF0" w:rsidP="00972093">
      <w:pPr>
        <w:pStyle w:val="NormalWeb"/>
        <w:spacing w:before="0" w:beforeAutospacing="0" w:after="0" w:afterAutospacing="0" w:line="276" w:lineRule="auto"/>
        <w:jc w:val="both"/>
        <w:rPr>
          <w:b/>
          <w:bCs/>
        </w:rPr>
      </w:pPr>
    </w:p>
    <w:p w14:paraId="4E9FFA7A" w14:textId="77777777" w:rsidR="00E81FF0" w:rsidRDefault="00E81FF0" w:rsidP="00972093">
      <w:pPr>
        <w:pStyle w:val="NormalWeb"/>
        <w:spacing w:before="0" w:beforeAutospacing="0" w:after="0" w:afterAutospacing="0" w:line="276" w:lineRule="auto"/>
        <w:jc w:val="both"/>
        <w:rPr>
          <w:b/>
          <w:bCs/>
        </w:rPr>
      </w:pPr>
    </w:p>
    <w:p w14:paraId="3E239BA8" w14:textId="6A58E971" w:rsidR="00E81FF0" w:rsidRDefault="00E81FF0" w:rsidP="00E81FF0">
      <w:pPr>
        <w:pStyle w:val="NormalWeb"/>
        <w:spacing w:before="0" w:beforeAutospacing="0" w:after="0" w:afterAutospacing="0" w:line="276" w:lineRule="auto"/>
        <w:jc w:val="center"/>
      </w:pPr>
      <w:r w:rsidRPr="00E81FF0">
        <w:rPr>
          <w:b/>
          <w:bCs/>
        </w:rPr>
        <w:lastRenderedPageBreak/>
        <w:t>Figure 1.</w:t>
      </w:r>
      <w:r>
        <w:t xml:space="preserve"> Conceptual Foundation of Urban Climate Adaptation</w:t>
      </w:r>
    </w:p>
    <w:p w14:paraId="39A686C4" w14:textId="729C0AA9" w:rsidR="00972093" w:rsidRPr="00BB3469" w:rsidRDefault="00972093" w:rsidP="00972093">
      <w:pPr>
        <w:pStyle w:val="NormalWeb"/>
        <w:spacing w:before="0" w:beforeAutospacing="0" w:after="0" w:afterAutospacing="0" w:line="276" w:lineRule="auto"/>
        <w:jc w:val="both"/>
      </w:pPr>
      <w:r>
        <w:rPr>
          <w:noProof/>
        </w:rPr>
        <w:drawing>
          <wp:inline distT="0" distB="0" distL="0" distR="0" wp14:anchorId="5A0B85DC" wp14:editId="0762C13E">
            <wp:extent cx="5876925" cy="3486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488" t="5857" r="3557" b="8400"/>
                    <a:stretch/>
                  </pic:blipFill>
                  <pic:spPr bwMode="auto">
                    <a:xfrm>
                      <a:off x="0" y="0"/>
                      <a:ext cx="5876925"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448CF1D5" w14:textId="77777777" w:rsidR="00972093" w:rsidRPr="00125E3A" w:rsidRDefault="00972093" w:rsidP="00972093">
      <w:pPr>
        <w:pStyle w:val="NormalWeb"/>
        <w:spacing w:before="0" w:beforeAutospacing="0" w:after="0" w:afterAutospacing="0" w:line="276" w:lineRule="auto"/>
        <w:jc w:val="right"/>
        <w:rPr>
          <w:bCs/>
          <w:i/>
          <w:sz w:val="20"/>
        </w:rPr>
      </w:pPr>
      <w:r w:rsidRPr="00125E3A">
        <w:rPr>
          <w:rStyle w:val="Strong"/>
          <w:bCs w:val="0"/>
          <w:i/>
          <w:sz w:val="20"/>
        </w:rPr>
        <w:t>Source:</w:t>
      </w:r>
      <w:r w:rsidRPr="00125E3A">
        <w:rPr>
          <w:bCs/>
          <w:i/>
          <w:sz w:val="20"/>
        </w:rPr>
        <w:t xml:space="preserve"> Author’s conceptualisation, informed by IPCC (2023), Meerow et al. (2016), Folke et al. (2021), and OECD (2023).</w:t>
      </w:r>
    </w:p>
    <w:p w14:paraId="7B93D1C8" w14:textId="3AD43B8E" w:rsidR="00972093" w:rsidRPr="00D14C2B" w:rsidRDefault="00D14C2B" w:rsidP="00A2129D">
      <w:pPr>
        <w:pStyle w:val="NormalWeb"/>
        <w:spacing w:before="0" w:beforeAutospacing="0" w:after="0" w:afterAutospacing="0" w:line="276" w:lineRule="auto"/>
        <w:jc w:val="both"/>
        <w:rPr>
          <w:i/>
          <w:iCs/>
        </w:rPr>
      </w:pPr>
      <w:r w:rsidRPr="00D14C2B">
        <w:rPr>
          <w:i/>
          <w:iCs/>
        </w:rPr>
        <w:t xml:space="preserve">Figure </w:t>
      </w:r>
      <w:r w:rsidR="00E81FF0">
        <w:rPr>
          <w:i/>
          <w:iCs/>
        </w:rPr>
        <w:t>,</w:t>
      </w:r>
      <w:r w:rsidRPr="00D14C2B">
        <w:rPr>
          <w:i/>
          <w:iCs/>
        </w:rPr>
        <w:t>1 demonstrates that the GUCAR-DSF is not conceived merely as a geospatial technology framework. Its architecture combines systems understanding, resilience, spatial intelligence, differentiated vulnerability, adaptive governance, and multi-hazard analysis within a common decision-support logic. The interaction among these foundations enables the framework to move from environmental observation towards prioritised intervention, implementation, monitoring, learning, and continuous institutional adjustment.</w:t>
      </w:r>
    </w:p>
    <w:p w14:paraId="03BD0ECB" w14:textId="77777777" w:rsidR="00D14C2B" w:rsidRDefault="00D14C2B" w:rsidP="00A2129D">
      <w:pPr>
        <w:pStyle w:val="NormalWeb"/>
        <w:spacing w:before="0" w:beforeAutospacing="0" w:after="0" w:afterAutospacing="0" w:line="276" w:lineRule="auto"/>
        <w:jc w:val="both"/>
      </w:pPr>
    </w:p>
    <w:p w14:paraId="002D24A5" w14:textId="77777777" w:rsidR="00CF5A18" w:rsidRPr="008D2A8B" w:rsidRDefault="00CF5A18" w:rsidP="00CF5A18">
      <w:pPr>
        <w:pStyle w:val="Heading2"/>
        <w:spacing w:before="0" w:beforeAutospacing="0" w:after="0" w:afterAutospacing="0" w:line="276" w:lineRule="auto"/>
        <w:jc w:val="both"/>
        <w:rPr>
          <w:sz w:val="24"/>
          <w:szCs w:val="24"/>
        </w:rPr>
      </w:pPr>
      <w:r w:rsidRPr="008D2A8B">
        <w:rPr>
          <w:sz w:val="24"/>
          <w:szCs w:val="24"/>
        </w:rPr>
        <w:t>3. Why Existing Approaches Are Insufficient</w:t>
      </w:r>
    </w:p>
    <w:p w14:paraId="5EE37940" w14:textId="77777777" w:rsidR="00CF5A18" w:rsidRPr="008D2A8B" w:rsidRDefault="00CF5A18" w:rsidP="00CF5A18">
      <w:pPr>
        <w:pStyle w:val="NormalWeb"/>
        <w:spacing w:before="0" w:beforeAutospacing="0" w:after="0" w:afterAutospacing="0" w:line="276" w:lineRule="auto"/>
        <w:jc w:val="both"/>
      </w:pPr>
      <w:r w:rsidRPr="008D2A8B">
        <w:t>Contemporary urban climate adaptation benefits from increasingly sophisticated methods for hazard assessment, vulnerability analysis, spatial planning, and resilience governance. However, these approaches are frequently developed and applied as separate analytical or institutional exercises. The central limitation is therefore not the absence of knowledge or technology, but the weak integration of existing capabilities into a continuous decision process. Hazard maps may identify where climatic threats are concentrated, vulnerability assessments may reveal who is most at risk, adaptation plans may propose interventions, governance systems may assign institutional responsibilities, and monitoring mechanisms may track selected outcomes. Yet these functions are often disconnected in practice. The result is a fragmented adaptation landscape in which evidence is generated without being consistently translated into prioritised, implementable, and revisable action.</w:t>
      </w:r>
    </w:p>
    <w:p w14:paraId="57AF65A4" w14:textId="77777777" w:rsidR="00CF5A18" w:rsidRPr="008D2A8B" w:rsidRDefault="00CF5A18" w:rsidP="00CF5A18">
      <w:pPr>
        <w:pStyle w:val="NormalWeb"/>
        <w:spacing w:before="0" w:beforeAutospacing="0" w:after="0" w:afterAutospacing="0" w:line="276" w:lineRule="auto"/>
        <w:jc w:val="both"/>
      </w:pPr>
      <w:r w:rsidRPr="008D2A8B">
        <w:lastRenderedPageBreak/>
        <w:t>Hazard mapping illustrates this limitation clearly. Advances in remote sensing, Geographic Information Systems, Earth Observation, and spatial modelling have greatly improved the capacity to map urban heat, flood susceptibility, drought exposure, land degradation, and related environmental pressures (Goodchild, 2020; Longley et al., 2021; Tamiminia et al., 2020). These outputs are valuable because they reveal spatial patterns that conventional statistics or citywide averages may conceal. However, hazard maps commonly remain descriptive. They show where risk-related conditions occur but do not necessarily explain which populations are least able to cope, which interventions are most appropriate, how scarce resources should be allocated, or how institutional responsibilities should be organised. A technically accurate heat or flood map is therefore not equivalent to an adaptation decision.</w:t>
      </w:r>
    </w:p>
    <w:p w14:paraId="7EDB2130" w14:textId="77777777" w:rsidR="00CF5A18" w:rsidRPr="008D2A8B" w:rsidRDefault="00CF5A18" w:rsidP="00CF5A18">
      <w:pPr>
        <w:pStyle w:val="NormalWeb"/>
        <w:spacing w:before="0" w:beforeAutospacing="0" w:after="0" w:afterAutospacing="0" w:line="276" w:lineRule="auto"/>
        <w:jc w:val="both"/>
      </w:pPr>
      <w:r w:rsidRPr="008D2A8B">
        <w:t>Vulnerability assessment addresses part of this gap by incorporating exposure, sensitivity, and adaptive capacity. Such analyses can reveal how poverty, age, housing quality, infrastructure access, health conditions, informality, and service deficits shape differentiated climate impacts. This is especially important because comparable hazard intensity can produce very different consequences across neighbourhoods (Meerow et al., 2016; IPCC, 2023). Nevertheless, vulnerability studies are often conducted independently of operational planning. Composite vulnerability indices may identify priority populations but remain disconnected from land-use regulation, infrastructure budgeting, emergency preparedness, or project implementation. In addition, different weighting methods and indicator choices can produce divergent results, making transparency and validation essential.</w:t>
      </w:r>
    </w:p>
    <w:p w14:paraId="37951BC2" w14:textId="77777777" w:rsidR="00CF5A18" w:rsidRPr="008D2A8B" w:rsidRDefault="00CF5A18" w:rsidP="00CF5A18">
      <w:pPr>
        <w:pStyle w:val="NormalWeb"/>
        <w:spacing w:before="0" w:beforeAutospacing="0" w:after="0" w:afterAutospacing="0" w:line="276" w:lineRule="auto"/>
        <w:jc w:val="both"/>
      </w:pPr>
      <w:r w:rsidRPr="008D2A8B">
        <w:t>Adaptation planning constitutes another partially disconnected domain. Urban resilience strategies increasingly promote Nature-Based Solutions, resilient infrastructure, heat action plans, early warning systems, sustainable drainage, ecosystem restoration, settlement upgrading, and climate-sensitive zoning. Yet intervention lists are often prepared without a sufficiently explicit spatial logic for deciding where particular measures should be located, combined, sequenced, or monitored. This can lead to generic adaptation portfolios that acknowledge climate risk but do not fully connect proposed actions with specific hazard patterns, vulnerable groups, ecosystem conditions, or infrastructure deficits. Tyler and Moench (2012) emphasise that urban climate resilience requires flexible systems and capacities rather than isolated projects, yet implementation frequently remains programme-specific and sectoral.</w:t>
      </w:r>
    </w:p>
    <w:p w14:paraId="6E56BBEA" w14:textId="77777777" w:rsidR="00CF5A18" w:rsidRPr="008D2A8B" w:rsidRDefault="00CF5A18" w:rsidP="00CF5A18">
      <w:pPr>
        <w:pStyle w:val="NormalWeb"/>
        <w:spacing w:before="0" w:beforeAutospacing="0" w:after="0" w:afterAutospacing="0" w:line="276" w:lineRule="auto"/>
        <w:jc w:val="both"/>
      </w:pPr>
      <w:r w:rsidRPr="008D2A8B">
        <w:t>Governance fragmentation further constrains integration. Urban climate risk crosses the mandates of planning authorities, environmental agencies, disaster-management institutions, water utilities, health departments, infrastructure providers, meteorological services, and local communities. Adaptive governance scholarship stresses the importance of collaboration, participation, learning, and cross-scale coordination in addressing complex environmental problems (Folke et al., 2005). In practice, however, institutions often operate with different datasets, mandates, budgets, and planning horizons. One agency may produce flood information, another regulate land use, another maintain drainage, and another manage emergencies, without a shared decision architecture linking these functions. As a result, technically sound recommendations may be delayed, duplicated, or implemented inconsistently.</w:t>
      </w:r>
    </w:p>
    <w:p w14:paraId="1073E311" w14:textId="77777777" w:rsidR="00CF5A18" w:rsidRPr="008D2A8B" w:rsidRDefault="00CF5A18" w:rsidP="00CF5A18">
      <w:pPr>
        <w:pStyle w:val="NormalWeb"/>
        <w:spacing w:before="0" w:beforeAutospacing="0" w:after="0" w:afterAutospacing="0" w:line="276" w:lineRule="auto"/>
        <w:jc w:val="both"/>
      </w:pPr>
      <w:r w:rsidRPr="008D2A8B">
        <w:lastRenderedPageBreak/>
        <w:t>Monitoring and evaluation are equally problematic. Many adaptation initiatives are assessed primarily through project-completion indicators, such as the number of drains constructed, trees planted, or plans prepared. These indicators may be useful for accountability but do not necessarily reveal whether climate vulnerability has actually declined. Long-term monitoring of thermal conditions, flood frequency, ecosystem recovery, service continuity, or changes in adaptive capacity is often weak. Even where monitoring data exist, they may not feed back into future planning. This creates a linear model in which assessment is followed by intervention, but implementation experience does not systematically revise hazard analysis, vulnerability assumptions, or investment priorities.</w:t>
      </w:r>
    </w:p>
    <w:p w14:paraId="48DABBBF" w14:textId="7841C02E" w:rsidR="00CF5A18" w:rsidRDefault="00CF5A18" w:rsidP="00CF5A18">
      <w:pPr>
        <w:pStyle w:val="NormalWeb"/>
        <w:spacing w:before="0" w:beforeAutospacing="0" w:after="0" w:afterAutospacing="0" w:line="276" w:lineRule="auto"/>
        <w:jc w:val="both"/>
      </w:pPr>
      <w:r w:rsidRPr="008D2A8B">
        <w:t>The combined effect of these limitations is an evidence-to-action gap. Existing approaches often generate valuable but isolated outputs: hazard maps without social prioritisation, vulnerability indices without implementation pathways, adaptation plans without spatial targeting, governance arrangements without shared analytical systems, and monitoring processes without feedback. The problem is therefore one of connection rather than complete absence. Each domain contributes essential knowledge, but their separation limits the capacity of cities to respond to dynamic, compound, and socially differentiated climate risks.</w:t>
      </w:r>
      <w:r w:rsidR="00C167DB" w:rsidRPr="00C167DB">
        <w:t xml:space="preserve"> </w:t>
      </w:r>
      <w:r w:rsidR="00C167DB">
        <w:t xml:space="preserve">The limitations discussed above arise not because existing hazard, vulnerability, adaptation, governance, and monitoring approaches lack value, but because they are frequently applied through weakly connected analytical and institutional arrangements. Figure </w:t>
      </w:r>
      <w:r w:rsidR="00C167DB">
        <w:t>2</w:t>
      </w:r>
      <w:r w:rsidR="00C167DB">
        <w:t xml:space="preserve"> contrasts this fragmented configuration with the integrated logic proposed by the GUCAR-DSF, highlighting the transition from isolated outputs and limited feedback towards a continuous evidence-to-action system.</w:t>
      </w:r>
    </w:p>
    <w:p w14:paraId="3136B265" w14:textId="1A66ABB4" w:rsidR="00C167DB" w:rsidRDefault="00C167DB" w:rsidP="00CF5A18">
      <w:pPr>
        <w:pStyle w:val="NormalWeb"/>
        <w:spacing w:before="0" w:beforeAutospacing="0" w:after="0" w:afterAutospacing="0" w:line="276" w:lineRule="auto"/>
        <w:jc w:val="both"/>
      </w:pPr>
    </w:p>
    <w:p w14:paraId="6FD5D827" w14:textId="79D2401C" w:rsidR="00C167DB" w:rsidRDefault="00C167DB" w:rsidP="00CF5A18">
      <w:pPr>
        <w:pStyle w:val="NormalWeb"/>
        <w:spacing w:before="0" w:beforeAutospacing="0" w:after="0" w:afterAutospacing="0" w:line="276" w:lineRule="auto"/>
        <w:jc w:val="both"/>
      </w:pPr>
    </w:p>
    <w:p w14:paraId="11F25A66" w14:textId="1982C802" w:rsidR="00C167DB" w:rsidRDefault="00C167DB" w:rsidP="00CF5A18">
      <w:pPr>
        <w:pStyle w:val="NormalWeb"/>
        <w:spacing w:before="0" w:beforeAutospacing="0" w:after="0" w:afterAutospacing="0" w:line="276" w:lineRule="auto"/>
        <w:jc w:val="both"/>
      </w:pPr>
    </w:p>
    <w:p w14:paraId="493FBD1B" w14:textId="2D46A07B" w:rsidR="00C167DB" w:rsidRDefault="00C167DB" w:rsidP="00CF5A18">
      <w:pPr>
        <w:pStyle w:val="NormalWeb"/>
        <w:spacing w:before="0" w:beforeAutospacing="0" w:after="0" w:afterAutospacing="0" w:line="276" w:lineRule="auto"/>
        <w:jc w:val="both"/>
      </w:pPr>
    </w:p>
    <w:p w14:paraId="09876933" w14:textId="2ADB8D30" w:rsidR="00C167DB" w:rsidRDefault="00C167DB" w:rsidP="00CF5A18">
      <w:pPr>
        <w:pStyle w:val="NormalWeb"/>
        <w:spacing w:before="0" w:beforeAutospacing="0" w:after="0" w:afterAutospacing="0" w:line="276" w:lineRule="auto"/>
        <w:jc w:val="both"/>
      </w:pPr>
    </w:p>
    <w:p w14:paraId="43C4451A" w14:textId="5B9BC80A" w:rsidR="00C167DB" w:rsidRDefault="00C167DB" w:rsidP="00CF5A18">
      <w:pPr>
        <w:pStyle w:val="NormalWeb"/>
        <w:spacing w:before="0" w:beforeAutospacing="0" w:after="0" w:afterAutospacing="0" w:line="276" w:lineRule="auto"/>
        <w:jc w:val="both"/>
      </w:pPr>
    </w:p>
    <w:p w14:paraId="0256206C" w14:textId="3D267B38" w:rsidR="00C167DB" w:rsidRDefault="00C167DB" w:rsidP="00CF5A18">
      <w:pPr>
        <w:pStyle w:val="NormalWeb"/>
        <w:spacing w:before="0" w:beforeAutospacing="0" w:after="0" w:afterAutospacing="0" w:line="276" w:lineRule="auto"/>
        <w:jc w:val="both"/>
      </w:pPr>
    </w:p>
    <w:p w14:paraId="0851DEBA" w14:textId="47DA45B5" w:rsidR="00C167DB" w:rsidRDefault="00C167DB" w:rsidP="00CF5A18">
      <w:pPr>
        <w:pStyle w:val="NormalWeb"/>
        <w:spacing w:before="0" w:beforeAutospacing="0" w:after="0" w:afterAutospacing="0" w:line="276" w:lineRule="auto"/>
        <w:jc w:val="both"/>
      </w:pPr>
    </w:p>
    <w:p w14:paraId="1BB11D2D" w14:textId="74B91AD1" w:rsidR="00C167DB" w:rsidRDefault="00C167DB" w:rsidP="00CF5A18">
      <w:pPr>
        <w:pStyle w:val="NormalWeb"/>
        <w:spacing w:before="0" w:beforeAutospacing="0" w:after="0" w:afterAutospacing="0" w:line="276" w:lineRule="auto"/>
        <w:jc w:val="both"/>
      </w:pPr>
    </w:p>
    <w:p w14:paraId="7C46AB19" w14:textId="3E1EE2EE" w:rsidR="00C167DB" w:rsidRDefault="00C167DB" w:rsidP="00CF5A18">
      <w:pPr>
        <w:pStyle w:val="NormalWeb"/>
        <w:spacing w:before="0" w:beforeAutospacing="0" w:after="0" w:afterAutospacing="0" w:line="276" w:lineRule="auto"/>
        <w:jc w:val="both"/>
      </w:pPr>
    </w:p>
    <w:p w14:paraId="41F4A040" w14:textId="60B47E48" w:rsidR="00C167DB" w:rsidRDefault="00C167DB" w:rsidP="00CF5A18">
      <w:pPr>
        <w:pStyle w:val="NormalWeb"/>
        <w:spacing w:before="0" w:beforeAutospacing="0" w:after="0" w:afterAutospacing="0" w:line="276" w:lineRule="auto"/>
        <w:jc w:val="both"/>
      </w:pPr>
    </w:p>
    <w:p w14:paraId="075D717E" w14:textId="26D7A061" w:rsidR="00C167DB" w:rsidRDefault="00C167DB" w:rsidP="00CF5A18">
      <w:pPr>
        <w:pStyle w:val="NormalWeb"/>
        <w:spacing w:before="0" w:beforeAutospacing="0" w:after="0" w:afterAutospacing="0" w:line="276" w:lineRule="auto"/>
        <w:jc w:val="both"/>
      </w:pPr>
    </w:p>
    <w:p w14:paraId="39306628" w14:textId="10CBD9DC" w:rsidR="00C167DB" w:rsidRDefault="00C167DB" w:rsidP="00CF5A18">
      <w:pPr>
        <w:pStyle w:val="NormalWeb"/>
        <w:spacing w:before="0" w:beforeAutospacing="0" w:after="0" w:afterAutospacing="0" w:line="276" w:lineRule="auto"/>
        <w:jc w:val="both"/>
      </w:pPr>
    </w:p>
    <w:p w14:paraId="777191C7" w14:textId="5AF27CB9" w:rsidR="00C167DB" w:rsidRDefault="00C167DB" w:rsidP="00CF5A18">
      <w:pPr>
        <w:pStyle w:val="NormalWeb"/>
        <w:spacing w:before="0" w:beforeAutospacing="0" w:after="0" w:afterAutospacing="0" w:line="276" w:lineRule="auto"/>
        <w:jc w:val="both"/>
      </w:pPr>
    </w:p>
    <w:p w14:paraId="23A7A1BF" w14:textId="70F4DC5F" w:rsidR="00C167DB" w:rsidRDefault="00C167DB" w:rsidP="00CF5A18">
      <w:pPr>
        <w:pStyle w:val="NormalWeb"/>
        <w:spacing w:before="0" w:beforeAutospacing="0" w:after="0" w:afterAutospacing="0" w:line="276" w:lineRule="auto"/>
        <w:jc w:val="both"/>
      </w:pPr>
    </w:p>
    <w:p w14:paraId="7CB72D5B" w14:textId="1A53FE36" w:rsidR="00C167DB" w:rsidRDefault="00C167DB" w:rsidP="00CF5A18">
      <w:pPr>
        <w:pStyle w:val="NormalWeb"/>
        <w:spacing w:before="0" w:beforeAutospacing="0" w:after="0" w:afterAutospacing="0" w:line="276" w:lineRule="auto"/>
        <w:jc w:val="both"/>
      </w:pPr>
    </w:p>
    <w:p w14:paraId="234C24BA" w14:textId="3B29B582" w:rsidR="00C167DB" w:rsidRDefault="00C167DB" w:rsidP="00CF5A18">
      <w:pPr>
        <w:pStyle w:val="NormalWeb"/>
        <w:spacing w:before="0" w:beforeAutospacing="0" w:after="0" w:afterAutospacing="0" w:line="276" w:lineRule="auto"/>
        <w:jc w:val="both"/>
      </w:pPr>
    </w:p>
    <w:p w14:paraId="4A251012" w14:textId="0AE66632" w:rsidR="00C167DB" w:rsidRDefault="00C167DB" w:rsidP="00CF5A18">
      <w:pPr>
        <w:pStyle w:val="NormalWeb"/>
        <w:spacing w:before="0" w:beforeAutospacing="0" w:after="0" w:afterAutospacing="0" w:line="276" w:lineRule="auto"/>
        <w:jc w:val="both"/>
      </w:pPr>
    </w:p>
    <w:p w14:paraId="43EB55F8" w14:textId="364DE1B6" w:rsidR="00C167DB" w:rsidRDefault="00C167DB" w:rsidP="00CF5A18">
      <w:pPr>
        <w:pStyle w:val="NormalWeb"/>
        <w:spacing w:before="0" w:beforeAutospacing="0" w:after="0" w:afterAutospacing="0" w:line="276" w:lineRule="auto"/>
        <w:jc w:val="both"/>
      </w:pPr>
    </w:p>
    <w:p w14:paraId="0B4A0D66" w14:textId="17AAC47C" w:rsidR="00C167DB" w:rsidRDefault="00C167DB" w:rsidP="00C167DB">
      <w:pPr>
        <w:pStyle w:val="NormalWeb"/>
        <w:spacing w:before="0" w:beforeAutospacing="0" w:after="0" w:afterAutospacing="0" w:line="276" w:lineRule="auto"/>
        <w:jc w:val="both"/>
      </w:pPr>
      <w:r w:rsidRPr="00C167DB">
        <w:rPr>
          <w:b/>
          <w:bCs/>
        </w:rPr>
        <w:lastRenderedPageBreak/>
        <w:t xml:space="preserve">Figure </w:t>
      </w:r>
      <w:r>
        <w:rPr>
          <w:b/>
          <w:bCs/>
        </w:rPr>
        <w:t>2</w:t>
      </w:r>
      <w:r>
        <w:t>. Positioning of GUCAR-DSF Relative to Conventional Hazard-Mapping and Adaptation-Planning Approaches</w:t>
      </w:r>
    </w:p>
    <w:p w14:paraId="5A9AE168" w14:textId="1179DE19" w:rsidR="00C167DB" w:rsidRDefault="00C167DB" w:rsidP="00C167DB">
      <w:pPr>
        <w:pStyle w:val="NormalWeb"/>
        <w:spacing w:before="0" w:beforeAutospacing="0" w:after="0" w:afterAutospacing="0"/>
      </w:pPr>
      <w:r>
        <w:rPr>
          <w:noProof/>
        </w:rPr>
        <w:drawing>
          <wp:inline distT="0" distB="0" distL="0" distR="0" wp14:anchorId="2DC78736" wp14:editId="449489DE">
            <wp:extent cx="5943600" cy="38246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060"/>
                    <a:stretch/>
                  </pic:blipFill>
                  <pic:spPr bwMode="auto">
                    <a:xfrm>
                      <a:off x="0" y="0"/>
                      <a:ext cx="5943600" cy="3824605"/>
                    </a:xfrm>
                    <a:prstGeom prst="rect">
                      <a:avLst/>
                    </a:prstGeom>
                    <a:noFill/>
                    <a:ln>
                      <a:noFill/>
                    </a:ln>
                    <a:extLst>
                      <a:ext uri="{53640926-AAD7-44D8-BBD7-CCE9431645EC}">
                        <a14:shadowObscured xmlns:a14="http://schemas.microsoft.com/office/drawing/2010/main"/>
                      </a:ext>
                    </a:extLst>
                  </pic:spPr>
                </pic:pic>
              </a:graphicData>
            </a:graphic>
          </wp:inline>
        </w:drawing>
      </w:r>
    </w:p>
    <w:p w14:paraId="24C8CDB9" w14:textId="66564737" w:rsidR="00C167DB" w:rsidRPr="00C167DB" w:rsidRDefault="00C167DB" w:rsidP="00C167DB">
      <w:pPr>
        <w:pStyle w:val="NormalWeb"/>
        <w:spacing w:before="0" w:beforeAutospacing="0" w:after="0" w:afterAutospacing="0" w:line="276" w:lineRule="auto"/>
        <w:jc w:val="right"/>
        <w:rPr>
          <w:i/>
          <w:iCs/>
          <w:sz w:val="20"/>
          <w:szCs w:val="20"/>
        </w:rPr>
      </w:pPr>
      <w:r w:rsidRPr="00C167DB">
        <w:rPr>
          <w:rStyle w:val="Strong"/>
          <w:i/>
          <w:iCs/>
          <w:sz w:val="20"/>
          <w:szCs w:val="20"/>
        </w:rPr>
        <w:t>Source:</w:t>
      </w:r>
      <w:r w:rsidRPr="00C167DB">
        <w:rPr>
          <w:i/>
          <w:iCs/>
          <w:sz w:val="20"/>
          <w:szCs w:val="20"/>
        </w:rPr>
        <w:t xml:space="preserve"> Original GUCAR-DSF conceptualisation by Tijjani Garba (2026), informed by relevant literature on urban resilience, adaptive governance, geospatial decision support, and climate adaptation.</w:t>
      </w:r>
    </w:p>
    <w:p w14:paraId="620B9963" w14:textId="77777777" w:rsidR="00C167DB" w:rsidRDefault="00C167DB" w:rsidP="00CF5A18">
      <w:pPr>
        <w:pStyle w:val="NormalWeb"/>
        <w:spacing w:before="0" w:beforeAutospacing="0" w:after="0" w:afterAutospacing="0" w:line="276" w:lineRule="auto"/>
        <w:jc w:val="both"/>
      </w:pPr>
    </w:p>
    <w:p w14:paraId="7F85805F" w14:textId="753ECA78" w:rsidR="00C167DB" w:rsidRPr="00C167DB" w:rsidRDefault="00C167DB" w:rsidP="00CF5A18">
      <w:pPr>
        <w:pStyle w:val="NormalWeb"/>
        <w:spacing w:before="0" w:beforeAutospacing="0" w:after="0" w:afterAutospacing="0" w:line="276" w:lineRule="auto"/>
        <w:jc w:val="both"/>
        <w:rPr>
          <w:i/>
          <w:iCs/>
        </w:rPr>
      </w:pPr>
      <w:r w:rsidRPr="00C167DB">
        <w:rPr>
          <w:i/>
          <w:iCs/>
        </w:rPr>
        <w:t xml:space="preserve">As illustrated in Figure </w:t>
      </w:r>
      <w:r>
        <w:rPr>
          <w:i/>
          <w:iCs/>
        </w:rPr>
        <w:t>2</w:t>
      </w:r>
      <w:r w:rsidRPr="00C167DB">
        <w:rPr>
          <w:i/>
          <w:iCs/>
        </w:rPr>
        <w:t>, the distinctive contribution of GUCAR-DSF lies in connecting functions that are commonly treated as separate. Hazard information, vulnerability analysis, adaptation prioritisation, implementation, monitoring, and feedback are organised within a continuous decision process, thereby reducing the risk that technically robust evidence remains disconnected from practical urban action.</w:t>
      </w:r>
    </w:p>
    <w:p w14:paraId="1143ABCA" w14:textId="77777777" w:rsidR="00C167DB" w:rsidRDefault="00C167DB" w:rsidP="00CF5A18">
      <w:pPr>
        <w:pStyle w:val="NormalWeb"/>
        <w:spacing w:before="0" w:beforeAutospacing="0" w:after="0" w:afterAutospacing="0" w:line="276" w:lineRule="auto"/>
        <w:jc w:val="both"/>
      </w:pPr>
    </w:p>
    <w:p w14:paraId="0A616D8D" w14:textId="0D4086F1" w:rsidR="00CF5A18" w:rsidRPr="008D2A8B" w:rsidRDefault="00CF5A18" w:rsidP="00CF5A18">
      <w:pPr>
        <w:pStyle w:val="NormalWeb"/>
        <w:spacing w:before="0" w:beforeAutospacing="0" w:after="0" w:afterAutospacing="0" w:line="276" w:lineRule="auto"/>
        <w:jc w:val="both"/>
      </w:pPr>
      <w:r w:rsidRPr="008D2A8B">
        <w:t>This fragmentation is especially consequential in developing cities, where financial resources are constrained and adaptation investments must achieve multiple benefits. Under such conditions, poorly coordinated interventions can duplicate effort, overlook vulnerable communities, or shift risk from one location to another. A drainage project may reduce flooding locally while increasing downstream runoff; a greening initiative may improve thermal conditions but fail if maintenance capacity is weak; or a technically advanced warning system may have limited effect if vulnerable groups are excluded from communication channels. These examples demonstrate that adaptation effectiveness depends on interactions among evidence, institutions, implementation, and learning.</w:t>
      </w:r>
    </w:p>
    <w:p w14:paraId="56B4618F" w14:textId="77777777" w:rsidR="00CF5A18" w:rsidRPr="008D2A8B" w:rsidRDefault="00CF5A18" w:rsidP="00CF5A18">
      <w:pPr>
        <w:pStyle w:val="NormalWeb"/>
        <w:spacing w:before="0" w:beforeAutospacing="0" w:after="0" w:afterAutospacing="0" w:line="276" w:lineRule="auto"/>
        <w:jc w:val="both"/>
      </w:pPr>
      <w:r w:rsidRPr="008D2A8B">
        <w:t xml:space="preserve">The need for the Geospatial Urban Climate Adaptation and Resilience Decision-Support Framework (GUCAR-DSF) arises directly from this fragmentation. GUCAR-DSF is designed to connect functions that are commonly separated by linking climate and environmental observation, </w:t>
      </w:r>
      <w:r w:rsidRPr="008D2A8B">
        <w:lastRenderedPageBreak/>
        <w:t>geospatial intelligence, multi-hazard diagnostics, vulnerability and adaptive-capacity assessment, adaptation option appraisal, governance and implementation, monitoring, and iterative feedback within a single architecture. Its purpose is not to replace hazard mapping, vulnerability assessment, adaptation planning, or governance systems, but to organise their relationships so that outputs from one stage become usable inputs for the next.</w:t>
      </w:r>
    </w:p>
    <w:p w14:paraId="610F92A6" w14:textId="1EB6FFB5" w:rsidR="00CF5A18" w:rsidRDefault="00CF5A18" w:rsidP="00CF5A18">
      <w:pPr>
        <w:pStyle w:val="NormalWeb"/>
        <w:spacing w:before="0" w:beforeAutospacing="0" w:after="0" w:afterAutospacing="0" w:line="276" w:lineRule="auto"/>
        <w:jc w:val="both"/>
      </w:pPr>
      <w:r w:rsidRPr="008D2A8B">
        <w:t>The framework therefore shifts attention from isolated analytical products to a continuous decision process. Hazard evidence identifies where pressures are concentrated; vulnerability analysis reveals who and what are most at risk; adaptation appraisal matches interventions to spatial and social conditions; governance arrangements translate priorities into action; and monitoring results feed back into subsequent observation and reassessment. In this way, GUCAR-DSF addresses the core weakness of existing approaches by establishing an integrated evidence-to-action pathway for climate-resilient urban planning.</w:t>
      </w:r>
    </w:p>
    <w:p w14:paraId="6D7C8A4F" w14:textId="6D4F8F1F" w:rsidR="00D14C2B" w:rsidRDefault="00D14C2B" w:rsidP="00CF5A18">
      <w:pPr>
        <w:pStyle w:val="NormalWeb"/>
        <w:spacing w:before="0" w:beforeAutospacing="0" w:after="0" w:afterAutospacing="0" w:line="276" w:lineRule="auto"/>
        <w:jc w:val="both"/>
      </w:pPr>
      <w:r>
        <w:t>The development of the GUCAR-DSF required the integration of evidence from multiple disciplinary and applied domains that are often treated independently in urban climate research. The synthesis therefore examined not only how climate risks are observed and mapped, but also how vulnerability is differentiated, adaptation options are prioritised, governance arrangements influence implementation, and monitoring outcomes inform subsequent decisions. Table 1 summarises the principal evidence domains, analytical questions, and contributions through which the interdisciplinary synthesis informed framework development.</w:t>
      </w:r>
    </w:p>
    <w:p w14:paraId="5987D92F" w14:textId="77777777" w:rsidR="00D14C2B" w:rsidRPr="008D2A8B" w:rsidRDefault="00D14C2B" w:rsidP="00CF5A18">
      <w:pPr>
        <w:pStyle w:val="NormalWeb"/>
        <w:spacing w:before="0" w:beforeAutospacing="0" w:after="0" w:afterAutospacing="0" w:line="276" w:lineRule="auto"/>
        <w:jc w:val="both"/>
      </w:pPr>
    </w:p>
    <w:p w14:paraId="7374E3A9" w14:textId="4B97D273" w:rsidR="00D14C2B" w:rsidRPr="00873F4B" w:rsidRDefault="00D14C2B" w:rsidP="00D14C2B">
      <w:pPr>
        <w:spacing w:after="0"/>
        <w:jc w:val="center"/>
        <w:rPr>
          <w:bCs/>
          <w:sz w:val="24"/>
          <w:szCs w:val="24"/>
        </w:rPr>
      </w:pPr>
      <w:r w:rsidRPr="00873F4B">
        <w:rPr>
          <w:rFonts w:ascii="Times New Roman" w:hAnsi="Times New Roman"/>
          <w:b/>
          <w:sz w:val="24"/>
          <w:szCs w:val="24"/>
        </w:rPr>
        <w:t xml:space="preserve">Table 1. </w:t>
      </w:r>
      <w:r w:rsidRPr="00873F4B">
        <w:rPr>
          <w:rFonts w:ascii="Times New Roman" w:hAnsi="Times New Roman"/>
          <w:bCs/>
          <w:sz w:val="24"/>
          <w:szCs w:val="24"/>
        </w:rPr>
        <w:t xml:space="preserve">Methodological Components, Knowledge Inputs and Contributions </w:t>
      </w: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311"/>
        <w:gridCol w:w="1701"/>
        <w:gridCol w:w="2551"/>
        <w:gridCol w:w="1576"/>
      </w:tblGrid>
      <w:tr w:rsidR="00D14C2B" w14:paraId="21204360" w14:textId="77777777" w:rsidTr="00BD455F">
        <w:tc>
          <w:tcPr>
            <w:tcW w:w="0" w:type="auto"/>
            <w:shd w:val="clear" w:color="auto" w:fill="auto"/>
          </w:tcPr>
          <w:p w14:paraId="664EC4D3" w14:textId="77777777" w:rsidR="00D14C2B" w:rsidRDefault="00D14C2B" w:rsidP="00BD455F">
            <w:pPr>
              <w:spacing w:after="0"/>
              <w:jc w:val="center"/>
              <w:rPr>
                <w:sz w:val="20"/>
                <w:szCs w:val="20"/>
              </w:rPr>
            </w:pPr>
            <w:r>
              <w:rPr>
                <w:rFonts w:ascii="Times New Roman" w:hAnsi="Times New Roman"/>
                <w:b/>
                <w:sz w:val="20"/>
                <w:szCs w:val="20"/>
              </w:rPr>
              <w:t>Methodological component</w:t>
            </w:r>
          </w:p>
        </w:tc>
        <w:tc>
          <w:tcPr>
            <w:tcW w:w="2311" w:type="dxa"/>
            <w:shd w:val="clear" w:color="auto" w:fill="auto"/>
          </w:tcPr>
          <w:p w14:paraId="76E1CB5C" w14:textId="77777777" w:rsidR="00D14C2B" w:rsidRDefault="00D14C2B" w:rsidP="00BD455F">
            <w:pPr>
              <w:spacing w:after="0"/>
              <w:jc w:val="center"/>
              <w:rPr>
                <w:sz w:val="20"/>
                <w:szCs w:val="20"/>
              </w:rPr>
            </w:pPr>
            <w:r>
              <w:rPr>
                <w:rFonts w:ascii="Times New Roman" w:hAnsi="Times New Roman"/>
                <w:b/>
                <w:sz w:val="20"/>
                <w:szCs w:val="20"/>
              </w:rPr>
              <w:t>Knowledge inputs</w:t>
            </w:r>
          </w:p>
        </w:tc>
        <w:tc>
          <w:tcPr>
            <w:tcW w:w="1701" w:type="dxa"/>
            <w:shd w:val="clear" w:color="auto" w:fill="auto"/>
          </w:tcPr>
          <w:p w14:paraId="4F437A2A" w14:textId="77777777" w:rsidR="00D14C2B" w:rsidRDefault="00D14C2B" w:rsidP="00BD455F">
            <w:pPr>
              <w:spacing w:after="0"/>
              <w:jc w:val="center"/>
              <w:rPr>
                <w:sz w:val="20"/>
                <w:szCs w:val="20"/>
              </w:rPr>
            </w:pPr>
            <w:r>
              <w:rPr>
                <w:rFonts w:ascii="Times New Roman" w:hAnsi="Times New Roman"/>
                <w:b/>
                <w:sz w:val="20"/>
                <w:szCs w:val="20"/>
              </w:rPr>
              <w:t>Purpose</w:t>
            </w:r>
          </w:p>
        </w:tc>
        <w:tc>
          <w:tcPr>
            <w:tcW w:w="2551" w:type="dxa"/>
            <w:shd w:val="clear" w:color="auto" w:fill="auto"/>
          </w:tcPr>
          <w:p w14:paraId="6AB26CE8" w14:textId="77777777" w:rsidR="00D14C2B" w:rsidRDefault="00D14C2B" w:rsidP="00BD455F">
            <w:pPr>
              <w:spacing w:after="0"/>
              <w:jc w:val="center"/>
              <w:rPr>
                <w:sz w:val="20"/>
                <w:szCs w:val="20"/>
              </w:rPr>
            </w:pPr>
            <w:r>
              <w:rPr>
                <w:rFonts w:ascii="Times New Roman" w:hAnsi="Times New Roman"/>
                <w:b/>
                <w:sz w:val="20"/>
                <w:szCs w:val="20"/>
              </w:rPr>
              <w:t>Typical content/variables</w:t>
            </w:r>
          </w:p>
        </w:tc>
        <w:tc>
          <w:tcPr>
            <w:tcW w:w="1576" w:type="dxa"/>
            <w:shd w:val="clear" w:color="auto" w:fill="auto"/>
          </w:tcPr>
          <w:p w14:paraId="5A08DD57" w14:textId="77777777" w:rsidR="00D14C2B" w:rsidRDefault="00D14C2B" w:rsidP="00BD455F">
            <w:pPr>
              <w:spacing w:after="0"/>
              <w:jc w:val="center"/>
              <w:rPr>
                <w:sz w:val="20"/>
                <w:szCs w:val="20"/>
              </w:rPr>
            </w:pPr>
            <w:r>
              <w:rPr>
                <w:rFonts w:ascii="Times New Roman" w:hAnsi="Times New Roman"/>
                <w:b/>
                <w:sz w:val="20"/>
                <w:szCs w:val="20"/>
              </w:rPr>
              <w:t>Contribution to the framework</w:t>
            </w:r>
          </w:p>
        </w:tc>
      </w:tr>
      <w:tr w:rsidR="00D14C2B" w14:paraId="1D67FED9" w14:textId="77777777" w:rsidTr="00BD455F">
        <w:tc>
          <w:tcPr>
            <w:tcW w:w="0" w:type="auto"/>
            <w:shd w:val="clear" w:color="auto" w:fill="auto"/>
          </w:tcPr>
          <w:p w14:paraId="6DC57B82" w14:textId="77777777" w:rsidR="00D14C2B" w:rsidRDefault="00D14C2B" w:rsidP="00BD455F">
            <w:pPr>
              <w:spacing w:after="0"/>
              <w:rPr>
                <w:sz w:val="20"/>
                <w:szCs w:val="20"/>
              </w:rPr>
            </w:pPr>
            <w:r>
              <w:rPr>
                <w:rFonts w:ascii="Times New Roman" w:hAnsi="Times New Roman"/>
                <w:b/>
                <w:sz w:val="20"/>
                <w:szCs w:val="20"/>
              </w:rPr>
              <w:t>1. Conceptual and interdisciplinary synthesis</w:t>
            </w:r>
          </w:p>
        </w:tc>
        <w:tc>
          <w:tcPr>
            <w:tcW w:w="2311" w:type="dxa"/>
            <w:shd w:val="clear" w:color="auto" w:fill="auto"/>
          </w:tcPr>
          <w:p w14:paraId="4C202EED" w14:textId="77777777" w:rsidR="00D14C2B" w:rsidRDefault="00D14C2B" w:rsidP="00BD455F">
            <w:pPr>
              <w:spacing w:after="0"/>
              <w:rPr>
                <w:sz w:val="20"/>
                <w:szCs w:val="20"/>
              </w:rPr>
            </w:pPr>
            <w:r>
              <w:rPr>
                <w:rFonts w:ascii="Times New Roman" w:hAnsi="Times New Roman"/>
                <w:sz w:val="20"/>
                <w:szCs w:val="20"/>
              </w:rPr>
              <w:t>Climate science, urban planning, environmental management, geography, governance, disaster risk reduction (DRR), and sustainable development</w:t>
            </w:r>
          </w:p>
        </w:tc>
        <w:tc>
          <w:tcPr>
            <w:tcW w:w="1701" w:type="dxa"/>
            <w:shd w:val="clear" w:color="auto" w:fill="auto"/>
          </w:tcPr>
          <w:p w14:paraId="09B507F4" w14:textId="77777777" w:rsidR="00D14C2B" w:rsidRDefault="00D14C2B" w:rsidP="00BD455F">
            <w:pPr>
              <w:spacing w:after="0"/>
              <w:rPr>
                <w:sz w:val="20"/>
                <w:szCs w:val="20"/>
              </w:rPr>
            </w:pPr>
            <w:r>
              <w:rPr>
                <w:rFonts w:ascii="Times New Roman" w:hAnsi="Times New Roman"/>
                <w:sz w:val="20"/>
                <w:szCs w:val="20"/>
              </w:rPr>
              <w:t>Build a broad conceptual foundation</w:t>
            </w:r>
          </w:p>
        </w:tc>
        <w:tc>
          <w:tcPr>
            <w:tcW w:w="2551" w:type="dxa"/>
            <w:shd w:val="clear" w:color="auto" w:fill="auto"/>
          </w:tcPr>
          <w:p w14:paraId="00FEC48E" w14:textId="77777777" w:rsidR="00D14C2B" w:rsidRDefault="00D14C2B" w:rsidP="00BD455F">
            <w:pPr>
              <w:spacing w:after="0"/>
              <w:rPr>
                <w:sz w:val="20"/>
                <w:szCs w:val="20"/>
              </w:rPr>
            </w:pPr>
            <w:r>
              <w:rPr>
                <w:rFonts w:ascii="Times New Roman" w:hAnsi="Times New Roman"/>
                <w:sz w:val="20"/>
                <w:szCs w:val="20"/>
              </w:rPr>
              <w:t>Adaptation concepts, resilience, vulnerability, and planning perspectives</w:t>
            </w:r>
          </w:p>
        </w:tc>
        <w:tc>
          <w:tcPr>
            <w:tcW w:w="1576" w:type="dxa"/>
            <w:shd w:val="clear" w:color="auto" w:fill="auto"/>
          </w:tcPr>
          <w:p w14:paraId="48C735CE" w14:textId="77777777" w:rsidR="00D14C2B" w:rsidRDefault="00D14C2B" w:rsidP="00BD455F">
            <w:pPr>
              <w:spacing w:after="0"/>
              <w:rPr>
                <w:sz w:val="20"/>
                <w:szCs w:val="20"/>
              </w:rPr>
            </w:pPr>
            <w:r>
              <w:rPr>
                <w:rFonts w:ascii="Times New Roman" w:hAnsi="Times New Roman"/>
                <w:sz w:val="20"/>
                <w:szCs w:val="20"/>
              </w:rPr>
              <w:t>Ensures an integrative understanding of urban climate adaptation</w:t>
            </w:r>
          </w:p>
        </w:tc>
      </w:tr>
      <w:tr w:rsidR="00D14C2B" w14:paraId="0A6DC17D" w14:textId="77777777" w:rsidTr="00BD455F">
        <w:tc>
          <w:tcPr>
            <w:tcW w:w="0" w:type="auto"/>
            <w:shd w:val="clear" w:color="auto" w:fill="auto"/>
          </w:tcPr>
          <w:p w14:paraId="39A89610" w14:textId="77777777" w:rsidR="00D14C2B" w:rsidRDefault="00D14C2B" w:rsidP="00BD455F">
            <w:pPr>
              <w:spacing w:after="0"/>
              <w:rPr>
                <w:sz w:val="20"/>
                <w:szCs w:val="20"/>
              </w:rPr>
            </w:pPr>
            <w:r>
              <w:rPr>
                <w:rFonts w:ascii="Times New Roman" w:hAnsi="Times New Roman"/>
                <w:b/>
                <w:sz w:val="20"/>
                <w:szCs w:val="20"/>
              </w:rPr>
              <w:t>2. Systematic evidence synthesis</w:t>
            </w:r>
          </w:p>
        </w:tc>
        <w:tc>
          <w:tcPr>
            <w:tcW w:w="2311" w:type="dxa"/>
            <w:shd w:val="clear" w:color="auto" w:fill="auto"/>
          </w:tcPr>
          <w:p w14:paraId="1391A561" w14:textId="77777777" w:rsidR="00D14C2B" w:rsidRDefault="00D14C2B" w:rsidP="00BD455F">
            <w:pPr>
              <w:spacing w:after="0"/>
              <w:rPr>
                <w:sz w:val="20"/>
                <w:szCs w:val="20"/>
              </w:rPr>
            </w:pPr>
            <w:r>
              <w:rPr>
                <w:rFonts w:ascii="Times New Roman" w:hAnsi="Times New Roman"/>
                <w:sz w:val="20"/>
                <w:szCs w:val="20"/>
              </w:rPr>
              <w:t>Peer-reviewed journal articles and authoritative reports</w:t>
            </w:r>
          </w:p>
        </w:tc>
        <w:tc>
          <w:tcPr>
            <w:tcW w:w="1701" w:type="dxa"/>
            <w:shd w:val="clear" w:color="auto" w:fill="auto"/>
          </w:tcPr>
          <w:p w14:paraId="55822B3E" w14:textId="77777777" w:rsidR="00D14C2B" w:rsidRDefault="00D14C2B" w:rsidP="00BD455F">
            <w:pPr>
              <w:spacing w:after="0"/>
              <w:rPr>
                <w:sz w:val="20"/>
                <w:szCs w:val="20"/>
              </w:rPr>
            </w:pPr>
            <w:r>
              <w:rPr>
                <w:rFonts w:ascii="Times New Roman" w:hAnsi="Times New Roman"/>
                <w:sz w:val="20"/>
                <w:szCs w:val="20"/>
              </w:rPr>
              <w:t>Identify consistent themes and current evidence</w:t>
            </w:r>
          </w:p>
        </w:tc>
        <w:tc>
          <w:tcPr>
            <w:tcW w:w="2551" w:type="dxa"/>
            <w:shd w:val="clear" w:color="auto" w:fill="auto"/>
          </w:tcPr>
          <w:p w14:paraId="7DC1BB6B" w14:textId="77777777" w:rsidR="00D14C2B" w:rsidRDefault="00D14C2B" w:rsidP="00BD455F">
            <w:pPr>
              <w:spacing w:after="0"/>
              <w:rPr>
                <w:sz w:val="20"/>
                <w:szCs w:val="20"/>
              </w:rPr>
            </w:pPr>
            <w:r>
              <w:rPr>
                <w:rFonts w:ascii="Times New Roman" w:hAnsi="Times New Roman"/>
                <w:sz w:val="20"/>
                <w:szCs w:val="20"/>
              </w:rPr>
              <w:t>Climate risks, adaptation strategies, and resilience pathways</w:t>
            </w:r>
          </w:p>
        </w:tc>
        <w:tc>
          <w:tcPr>
            <w:tcW w:w="1576" w:type="dxa"/>
            <w:shd w:val="clear" w:color="auto" w:fill="auto"/>
          </w:tcPr>
          <w:p w14:paraId="0C3FE62B" w14:textId="77777777" w:rsidR="00D14C2B" w:rsidRDefault="00D14C2B" w:rsidP="00BD455F">
            <w:pPr>
              <w:spacing w:after="0"/>
              <w:rPr>
                <w:sz w:val="20"/>
                <w:szCs w:val="20"/>
              </w:rPr>
            </w:pPr>
            <w:r>
              <w:rPr>
                <w:rFonts w:ascii="Times New Roman" w:hAnsi="Times New Roman"/>
                <w:sz w:val="20"/>
                <w:szCs w:val="20"/>
              </w:rPr>
              <w:t>Grounds the chapter in contemporary scholarship</w:t>
            </w:r>
          </w:p>
        </w:tc>
      </w:tr>
      <w:tr w:rsidR="00D14C2B" w14:paraId="199AFED9" w14:textId="77777777" w:rsidTr="00BD455F">
        <w:tc>
          <w:tcPr>
            <w:tcW w:w="0" w:type="auto"/>
            <w:shd w:val="clear" w:color="auto" w:fill="auto"/>
          </w:tcPr>
          <w:p w14:paraId="2FA47EED" w14:textId="77777777" w:rsidR="00D14C2B" w:rsidRDefault="00D14C2B" w:rsidP="00BD455F">
            <w:pPr>
              <w:rPr>
                <w:sz w:val="20"/>
                <w:szCs w:val="20"/>
              </w:rPr>
            </w:pPr>
            <w:r>
              <w:rPr>
                <w:rFonts w:ascii="Times New Roman" w:hAnsi="Times New Roman"/>
                <w:b/>
                <w:sz w:val="20"/>
                <w:szCs w:val="20"/>
              </w:rPr>
              <w:t>3. Policy and institutional review</w:t>
            </w:r>
          </w:p>
        </w:tc>
        <w:tc>
          <w:tcPr>
            <w:tcW w:w="2311" w:type="dxa"/>
            <w:shd w:val="clear" w:color="auto" w:fill="auto"/>
          </w:tcPr>
          <w:p w14:paraId="54A60B82" w14:textId="77777777" w:rsidR="00D14C2B" w:rsidRDefault="00D14C2B" w:rsidP="00BD455F">
            <w:pPr>
              <w:rPr>
                <w:sz w:val="20"/>
                <w:szCs w:val="20"/>
              </w:rPr>
            </w:pPr>
            <w:r>
              <w:rPr>
                <w:rFonts w:ascii="Times New Roman" w:hAnsi="Times New Roman"/>
                <w:sz w:val="20"/>
                <w:szCs w:val="20"/>
              </w:rPr>
              <w:t>IPCC, UN-Habitat, World Bank, OECD, and United Nations reports</w:t>
            </w:r>
          </w:p>
        </w:tc>
        <w:tc>
          <w:tcPr>
            <w:tcW w:w="1701" w:type="dxa"/>
            <w:shd w:val="clear" w:color="auto" w:fill="auto"/>
          </w:tcPr>
          <w:p w14:paraId="01146A06" w14:textId="77777777" w:rsidR="00D14C2B" w:rsidRDefault="00D14C2B" w:rsidP="00BD455F">
            <w:pPr>
              <w:rPr>
                <w:sz w:val="20"/>
                <w:szCs w:val="20"/>
              </w:rPr>
            </w:pPr>
            <w:r>
              <w:rPr>
                <w:rFonts w:ascii="Times New Roman" w:hAnsi="Times New Roman"/>
                <w:sz w:val="20"/>
                <w:szCs w:val="20"/>
              </w:rPr>
              <w:t>Capture governance and policy dimensions</w:t>
            </w:r>
          </w:p>
        </w:tc>
        <w:tc>
          <w:tcPr>
            <w:tcW w:w="2551" w:type="dxa"/>
            <w:shd w:val="clear" w:color="auto" w:fill="auto"/>
          </w:tcPr>
          <w:p w14:paraId="07341BF5" w14:textId="77777777" w:rsidR="00D14C2B" w:rsidRDefault="00D14C2B" w:rsidP="00BD455F">
            <w:pPr>
              <w:rPr>
                <w:sz w:val="20"/>
                <w:szCs w:val="20"/>
              </w:rPr>
            </w:pPr>
            <w:r>
              <w:rPr>
                <w:rFonts w:ascii="Times New Roman" w:hAnsi="Times New Roman"/>
                <w:sz w:val="20"/>
                <w:szCs w:val="20"/>
              </w:rPr>
              <w:t>Adaptation governance, planning frameworks, and institutional capacity</w:t>
            </w:r>
          </w:p>
        </w:tc>
        <w:tc>
          <w:tcPr>
            <w:tcW w:w="1576" w:type="dxa"/>
            <w:shd w:val="clear" w:color="auto" w:fill="auto"/>
          </w:tcPr>
          <w:p w14:paraId="75214D2F" w14:textId="77777777" w:rsidR="00D14C2B" w:rsidRDefault="00D14C2B" w:rsidP="00BD455F">
            <w:pPr>
              <w:rPr>
                <w:sz w:val="20"/>
                <w:szCs w:val="20"/>
              </w:rPr>
            </w:pPr>
            <w:r>
              <w:rPr>
                <w:rFonts w:ascii="Times New Roman" w:hAnsi="Times New Roman"/>
                <w:sz w:val="20"/>
                <w:szCs w:val="20"/>
              </w:rPr>
              <w:t>Links scientific knowledge to policy and planning practice</w:t>
            </w:r>
          </w:p>
        </w:tc>
      </w:tr>
      <w:tr w:rsidR="00D14C2B" w14:paraId="7D8C1C56" w14:textId="77777777" w:rsidTr="00BD455F">
        <w:tc>
          <w:tcPr>
            <w:tcW w:w="0" w:type="auto"/>
            <w:shd w:val="clear" w:color="auto" w:fill="auto"/>
          </w:tcPr>
          <w:p w14:paraId="6A2F82F3" w14:textId="77777777" w:rsidR="00D14C2B" w:rsidRDefault="00D14C2B" w:rsidP="00BD455F">
            <w:pPr>
              <w:rPr>
                <w:sz w:val="20"/>
                <w:szCs w:val="20"/>
              </w:rPr>
            </w:pPr>
            <w:r>
              <w:rPr>
                <w:rFonts w:ascii="Times New Roman" w:hAnsi="Times New Roman"/>
                <w:b/>
                <w:sz w:val="20"/>
                <w:szCs w:val="20"/>
              </w:rPr>
              <w:t>4. Geospatial planning perspective</w:t>
            </w:r>
          </w:p>
        </w:tc>
        <w:tc>
          <w:tcPr>
            <w:tcW w:w="2311" w:type="dxa"/>
            <w:shd w:val="clear" w:color="auto" w:fill="auto"/>
          </w:tcPr>
          <w:p w14:paraId="3BBFA65A" w14:textId="77777777" w:rsidR="00D14C2B" w:rsidRDefault="00D14C2B" w:rsidP="00BD455F">
            <w:pPr>
              <w:rPr>
                <w:sz w:val="20"/>
                <w:szCs w:val="20"/>
              </w:rPr>
            </w:pPr>
            <w:r>
              <w:rPr>
                <w:rFonts w:ascii="Times New Roman" w:hAnsi="Times New Roman"/>
                <w:sz w:val="20"/>
                <w:szCs w:val="20"/>
              </w:rPr>
              <w:t>GIS, remote sensing, Earth observation, and climate datasets</w:t>
            </w:r>
          </w:p>
        </w:tc>
        <w:tc>
          <w:tcPr>
            <w:tcW w:w="1701" w:type="dxa"/>
            <w:shd w:val="clear" w:color="auto" w:fill="auto"/>
          </w:tcPr>
          <w:p w14:paraId="425DB11F" w14:textId="77777777" w:rsidR="00D14C2B" w:rsidRDefault="00D14C2B" w:rsidP="00BD455F">
            <w:pPr>
              <w:rPr>
                <w:sz w:val="20"/>
                <w:szCs w:val="20"/>
              </w:rPr>
            </w:pPr>
            <w:r>
              <w:rPr>
                <w:rFonts w:ascii="Times New Roman" w:hAnsi="Times New Roman"/>
                <w:sz w:val="20"/>
                <w:szCs w:val="20"/>
              </w:rPr>
              <w:t>Support spatial understanding of climate exposure</w:t>
            </w:r>
          </w:p>
        </w:tc>
        <w:tc>
          <w:tcPr>
            <w:tcW w:w="2551" w:type="dxa"/>
            <w:shd w:val="clear" w:color="auto" w:fill="auto"/>
          </w:tcPr>
          <w:p w14:paraId="1F60D7B8" w14:textId="77777777" w:rsidR="00D14C2B" w:rsidRDefault="00D14C2B" w:rsidP="00BD455F">
            <w:pPr>
              <w:rPr>
                <w:sz w:val="20"/>
                <w:szCs w:val="20"/>
              </w:rPr>
            </w:pPr>
            <w:r>
              <w:rPr>
                <w:rFonts w:ascii="Times New Roman" w:hAnsi="Times New Roman"/>
                <w:sz w:val="20"/>
                <w:szCs w:val="20"/>
              </w:rPr>
              <w:t>LULC change, NDVI, LST, rainfall variability, and flood susceptibility</w:t>
            </w:r>
          </w:p>
        </w:tc>
        <w:tc>
          <w:tcPr>
            <w:tcW w:w="1576" w:type="dxa"/>
            <w:shd w:val="clear" w:color="auto" w:fill="auto"/>
          </w:tcPr>
          <w:p w14:paraId="61405F12" w14:textId="77777777" w:rsidR="00D14C2B" w:rsidRDefault="00D14C2B" w:rsidP="00BD455F">
            <w:pPr>
              <w:rPr>
                <w:sz w:val="20"/>
                <w:szCs w:val="20"/>
              </w:rPr>
            </w:pPr>
            <w:r>
              <w:rPr>
                <w:rFonts w:ascii="Times New Roman" w:hAnsi="Times New Roman"/>
                <w:sz w:val="20"/>
                <w:szCs w:val="20"/>
              </w:rPr>
              <w:t>Provides evidence for vulnerability mapping and adaptation prioritisation</w:t>
            </w:r>
          </w:p>
        </w:tc>
      </w:tr>
      <w:tr w:rsidR="00D14C2B" w14:paraId="767C073D" w14:textId="77777777" w:rsidTr="00BD455F">
        <w:tc>
          <w:tcPr>
            <w:tcW w:w="0" w:type="auto"/>
            <w:shd w:val="clear" w:color="auto" w:fill="auto"/>
          </w:tcPr>
          <w:p w14:paraId="0328178A" w14:textId="77777777" w:rsidR="00D14C2B" w:rsidRDefault="00D14C2B" w:rsidP="00BD455F">
            <w:pPr>
              <w:rPr>
                <w:sz w:val="20"/>
                <w:szCs w:val="20"/>
              </w:rPr>
            </w:pPr>
            <w:r>
              <w:rPr>
                <w:rFonts w:ascii="Times New Roman" w:hAnsi="Times New Roman"/>
                <w:b/>
                <w:sz w:val="20"/>
                <w:szCs w:val="20"/>
              </w:rPr>
              <w:lastRenderedPageBreak/>
              <w:t>5. Comparative analysis</w:t>
            </w:r>
          </w:p>
        </w:tc>
        <w:tc>
          <w:tcPr>
            <w:tcW w:w="2311" w:type="dxa"/>
            <w:shd w:val="clear" w:color="auto" w:fill="auto"/>
          </w:tcPr>
          <w:p w14:paraId="341BCC32" w14:textId="77777777" w:rsidR="00D14C2B" w:rsidRDefault="00D14C2B" w:rsidP="00BD455F">
            <w:pPr>
              <w:rPr>
                <w:sz w:val="20"/>
                <w:szCs w:val="20"/>
              </w:rPr>
            </w:pPr>
            <w:r>
              <w:rPr>
                <w:rFonts w:ascii="Times New Roman" w:hAnsi="Times New Roman"/>
                <w:sz w:val="20"/>
                <w:szCs w:val="20"/>
              </w:rPr>
              <w:t>Selected urban case examples from developed and developing countries</w:t>
            </w:r>
          </w:p>
        </w:tc>
        <w:tc>
          <w:tcPr>
            <w:tcW w:w="1701" w:type="dxa"/>
            <w:shd w:val="clear" w:color="auto" w:fill="auto"/>
          </w:tcPr>
          <w:p w14:paraId="29756373" w14:textId="77777777" w:rsidR="00D14C2B" w:rsidRDefault="00D14C2B" w:rsidP="00BD455F">
            <w:pPr>
              <w:rPr>
                <w:sz w:val="20"/>
                <w:szCs w:val="20"/>
              </w:rPr>
            </w:pPr>
            <w:r>
              <w:rPr>
                <w:rFonts w:ascii="Times New Roman" w:hAnsi="Times New Roman"/>
                <w:sz w:val="20"/>
                <w:szCs w:val="20"/>
              </w:rPr>
              <w:t>Extract transferable principles and lessons</w:t>
            </w:r>
          </w:p>
        </w:tc>
        <w:tc>
          <w:tcPr>
            <w:tcW w:w="2551" w:type="dxa"/>
            <w:shd w:val="clear" w:color="auto" w:fill="auto"/>
          </w:tcPr>
          <w:p w14:paraId="1774EF9F" w14:textId="77777777" w:rsidR="00D14C2B" w:rsidRDefault="00D14C2B" w:rsidP="00BD455F">
            <w:pPr>
              <w:rPr>
                <w:sz w:val="20"/>
                <w:szCs w:val="20"/>
              </w:rPr>
            </w:pPr>
            <w:r>
              <w:rPr>
                <w:rFonts w:ascii="Times New Roman" w:hAnsi="Times New Roman"/>
                <w:sz w:val="20"/>
                <w:szCs w:val="20"/>
              </w:rPr>
              <w:t>Adaptation practices, planning innovations, ecosystem-based interventions, and digital tools</w:t>
            </w:r>
          </w:p>
        </w:tc>
        <w:tc>
          <w:tcPr>
            <w:tcW w:w="1576" w:type="dxa"/>
            <w:shd w:val="clear" w:color="auto" w:fill="auto"/>
          </w:tcPr>
          <w:p w14:paraId="7C196D1E" w14:textId="77777777" w:rsidR="00D14C2B" w:rsidRDefault="00D14C2B" w:rsidP="00BD455F">
            <w:pPr>
              <w:rPr>
                <w:sz w:val="20"/>
                <w:szCs w:val="20"/>
              </w:rPr>
            </w:pPr>
            <w:r>
              <w:rPr>
                <w:rFonts w:ascii="Times New Roman" w:hAnsi="Times New Roman"/>
                <w:sz w:val="20"/>
                <w:szCs w:val="20"/>
              </w:rPr>
              <w:t>Broadens applicability to cities of the Global South</w:t>
            </w:r>
          </w:p>
        </w:tc>
      </w:tr>
      <w:tr w:rsidR="00D14C2B" w14:paraId="3938FD37" w14:textId="77777777" w:rsidTr="00BD455F">
        <w:tc>
          <w:tcPr>
            <w:tcW w:w="0" w:type="auto"/>
            <w:shd w:val="clear" w:color="auto" w:fill="auto"/>
          </w:tcPr>
          <w:p w14:paraId="0F2EAC5E" w14:textId="77777777" w:rsidR="00D14C2B" w:rsidRDefault="00D14C2B" w:rsidP="00BD455F">
            <w:pPr>
              <w:rPr>
                <w:sz w:val="20"/>
                <w:szCs w:val="20"/>
              </w:rPr>
            </w:pPr>
            <w:r>
              <w:rPr>
                <w:rFonts w:ascii="Times New Roman" w:hAnsi="Times New Roman"/>
                <w:b/>
                <w:sz w:val="20"/>
                <w:szCs w:val="20"/>
              </w:rPr>
              <w:t>6. Framework development</w:t>
            </w:r>
          </w:p>
        </w:tc>
        <w:tc>
          <w:tcPr>
            <w:tcW w:w="2311" w:type="dxa"/>
            <w:shd w:val="clear" w:color="auto" w:fill="auto"/>
          </w:tcPr>
          <w:p w14:paraId="0C9759B5" w14:textId="77777777" w:rsidR="00D14C2B" w:rsidRDefault="00D14C2B" w:rsidP="00BD455F">
            <w:pPr>
              <w:rPr>
                <w:sz w:val="20"/>
                <w:szCs w:val="20"/>
              </w:rPr>
            </w:pPr>
            <w:r>
              <w:rPr>
                <w:rFonts w:ascii="Times New Roman" w:hAnsi="Times New Roman"/>
                <w:sz w:val="20"/>
                <w:szCs w:val="20"/>
              </w:rPr>
              <w:t>Synthesised evidence from all preceding components</w:t>
            </w:r>
          </w:p>
        </w:tc>
        <w:tc>
          <w:tcPr>
            <w:tcW w:w="1701" w:type="dxa"/>
            <w:shd w:val="clear" w:color="auto" w:fill="auto"/>
          </w:tcPr>
          <w:p w14:paraId="25593A24" w14:textId="77777777" w:rsidR="00D14C2B" w:rsidRDefault="00D14C2B" w:rsidP="00BD455F">
            <w:pPr>
              <w:rPr>
                <w:sz w:val="20"/>
                <w:szCs w:val="20"/>
              </w:rPr>
            </w:pPr>
            <w:r>
              <w:rPr>
                <w:rFonts w:ascii="Times New Roman" w:hAnsi="Times New Roman"/>
                <w:sz w:val="20"/>
                <w:szCs w:val="20"/>
              </w:rPr>
              <w:t>Produce a unified planning model</w:t>
            </w:r>
          </w:p>
        </w:tc>
        <w:tc>
          <w:tcPr>
            <w:tcW w:w="2551" w:type="dxa"/>
            <w:shd w:val="clear" w:color="auto" w:fill="auto"/>
          </w:tcPr>
          <w:p w14:paraId="6B183232" w14:textId="77777777" w:rsidR="00D14C2B" w:rsidRDefault="00D14C2B" w:rsidP="00BD455F">
            <w:pPr>
              <w:rPr>
                <w:sz w:val="20"/>
                <w:szCs w:val="20"/>
              </w:rPr>
            </w:pPr>
            <w:r>
              <w:rPr>
                <w:rFonts w:ascii="Times New Roman" w:hAnsi="Times New Roman"/>
                <w:sz w:val="20"/>
                <w:szCs w:val="20"/>
              </w:rPr>
              <w:t>Climate observation, geospatial analysis, vulnerability assessment, adaptation prioritisation, governance, and monitoring</w:t>
            </w:r>
          </w:p>
        </w:tc>
        <w:tc>
          <w:tcPr>
            <w:tcW w:w="1576" w:type="dxa"/>
            <w:shd w:val="clear" w:color="auto" w:fill="auto"/>
          </w:tcPr>
          <w:p w14:paraId="1A4A8E12" w14:textId="77777777" w:rsidR="00D14C2B" w:rsidRDefault="00D14C2B" w:rsidP="00BD455F">
            <w:pPr>
              <w:rPr>
                <w:sz w:val="20"/>
                <w:szCs w:val="20"/>
              </w:rPr>
            </w:pPr>
            <w:r>
              <w:rPr>
                <w:rFonts w:ascii="Times New Roman" w:hAnsi="Times New Roman"/>
                <w:sz w:val="20"/>
                <w:szCs w:val="20"/>
              </w:rPr>
              <w:t>Yields a flexible decision-support framework</w:t>
            </w:r>
          </w:p>
        </w:tc>
      </w:tr>
    </w:tbl>
    <w:p w14:paraId="5A56F50E" w14:textId="77777777" w:rsidR="00D14C2B" w:rsidRDefault="00D14C2B" w:rsidP="00D14C2B">
      <w:r>
        <w:rPr>
          <w:rFonts w:ascii="Times New Roman" w:hAnsi="Times New Roman"/>
          <w:b/>
          <w:sz w:val="19"/>
        </w:rPr>
        <w:t xml:space="preserve">Source: </w:t>
      </w:r>
      <w:r>
        <w:rPr>
          <w:rFonts w:ascii="Times New Roman" w:hAnsi="Times New Roman"/>
          <w:sz w:val="19"/>
        </w:rPr>
        <w:t>Compiled by the author from IPCC (2023); UN-Habitat (2024); World Bank (2023); OECD (2023); ESA (2024); NASA (2024).</w:t>
      </w:r>
    </w:p>
    <w:p w14:paraId="5DA78F31" w14:textId="09FDE71E" w:rsidR="00CF5A18" w:rsidRDefault="00D14C2B" w:rsidP="00A2129D">
      <w:pPr>
        <w:pStyle w:val="NormalWeb"/>
        <w:spacing w:before="0" w:beforeAutospacing="0" w:after="0" w:afterAutospacing="0" w:line="276" w:lineRule="auto"/>
        <w:jc w:val="both"/>
        <w:rPr>
          <w:i/>
          <w:iCs/>
        </w:rPr>
      </w:pPr>
      <w:r w:rsidRPr="00D14C2B">
        <w:rPr>
          <w:i/>
          <w:iCs/>
        </w:rPr>
        <w:t>Table 1 shows that framework development involved the integration of complementary knowledge domains rather than the adoption of any single established model. The methodological significance of this approach lies in identifying functional connections among observation, analysis, vulnerability assessment, decision-making, governance, implementation, and adaptive learning. These connections subsequently provide the basis for the architecture developed in Section 7.</w:t>
      </w:r>
    </w:p>
    <w:p w14:paraId="7A6B3535" w14:textId="77777777" w:rsidR="00D14C2B" w:rsidRPr="00D14C2B" w:rsidRDefault="00D14C2B" w:rsidP="00A2129D">
      <w:pPr>
        <w:pStyle w:val="NormalWeb"/>
        <w:spacing w:before="0" w:beforeAutospacing="0" w:after="0" w:afterAutospacing="0" w:line="276" w:lineRule="auto"/>
        <w:jc w:val="both"/>
        <w:rPr>
          <w:i/>
          <w:iCs/>
        </w:rPr>
      </w:pPr>
    </w:p>
    <w:p w14:paraId="4AD537A1" w14:textId="77777777" w:rsidR="00CF5A18" w:rsidRPr="008D2A8B" w:rsidRDefault="00CF5A18" w:rsidP="00CF5A18">
      <w:pPr>
        <w:spacing w:after="0" w:line="240" w:lineRule="auto"/>
        <w:jc w:val="both"/>
        <w:outlineLvl w:val="0"/>
        <w:rPr>
          <w:rFonts w:ascii="Times New Roman" w:eastAsia="Times New Roman" w:hAnsi="Times New Roman" w:cs="Times New Roman"/>
          <w:b/>
          <w:bCs/>
          <w:kern w:val="36"/>
          <w:sz w:val="24"/>
          <w:szCs w:val="24"/>
        </w:rPr>
      </w:pPr>
      <w:r w:rsidRPr="008D2A8B">
        <w:rPr>
          <w:rFonts w:ascii="Times New Roman" w:eastAsia="Times New Roman" w:hAnsi="Times New Roman" w:cs="Times New Roman"/>
          <w:b/>
          <w:bCs/>
          <w:kern w:val="36"/>
          <w:sz w:val="24"/>
          <w:szCs w:val="24"/>
        </w:rPr>
        <w:t>4. THE GUCAR-DSF ARCHITECTURE</w:t>
      </w:r>
    </w:p>
    <w:p w14:paraId="70C3F7DF"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Geospatial Urban Climate Adaptation and Resilience Decision-Support Framework (GUCAR-DSF) is proposed as an integrated architecture for translating climate and environmental evidence into prioritised, implementable, and continuously improving urban adaptation decisions. Its development responds directly to the fragmentation identified in the preceding section, where hazard mapping, vulnerability assessment, adaptation planning, governance, implementation, and monitoring often operate as separate analytical or institutional domains. The framework therefore does not seek to replace these approaches. Rather, it organises them within a connected decision process in which evidence generated at one stage becomes an input to subsequent analysis, planning, implementation, and learning.</w:t>
      </w:r>
    </w:p>
    <w:p w14:paraId="290924CB"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central proposition of GUCAR-DSF is that effective climate-resilient urban planning requires a continuous relationship among observation, analysis, diagnosis, prioritisation, action, monitoring, and revision. Urban climate risk is dynamic because climatic conditions, land-use patterns, ecosystem states, infrastructure systems, population distribution, and institutional capacities change over time. A one-time risk assessment may therefore become outdated as cities expand, new vulnerabilities emerge, or interventions alter environmental and social conditions. The GUCAR-DSF addresses this challenge through an iterative architecture composed of eight interconnected components: climate and environmental observation; geospatial intelligence and indicator generation; multi-hazard diagnostics; vulnerability and adaptive-capacity assessment; adaptation option appraisal and prioritisation; governance, participation and implementation; monitoring, evaluation and adaptive learning; and decision-support communication and scaling.</w:t>
      </w:r>
    </w:p>
    <w:p w14:paraId="5ED5401C" w14:textId="77777777" w:rsidR="00CF5A18"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 xml:space="preserve">Although these components are presented sequentially for analytical clarity, the framework is not conceived as a rigid linear model. Feedback occurs across stages. Monitoring may reveal the need for new data; vulnerability assessments may expose deficiencies in existing indicators; implementation constraints may require adaptation priorities to be revised; and stakeholder </w:t>
      </w:r>
      <w:r w:rsidRPr="008D2A8B">
        <w:rPr>
          <w:rFonts w:ascii="Times New Roman" w:eastAsia="Times New Roman" w:hAnsi="Times New Roman" w:cs="Times New Roman"/>
          <w:sz w:val="24"/>
          <w:szCs w:val="24"/>
        </w:rPr>
        <w:lastRenderedPageBreak/>
        <w:t>participation may introduce local knowledge that changes the interpretation of hazard patterns. The architecture is therefore best understood as a connected and recursive decision-support system.</w:t>
      </w:r>
    </w:p>
    <w:p w14:paraId="36094D23"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p>
    <w:p w14:paraId="1DE0FED3" w14:textId="77777777" w:rsidR="00CF5A18" w:rsidRPr="008D2A8B" w:rsidRDefault="00CF5A18" w:rsidP="00CF5A18">
      <w:pPr>
        <w:spacing w:after="0" w:line="240" w:lineRule="auto"/>
        <w:jc w:val="both"/>
        <w:outlineLvl w:val="1"/>
        <w:rPr>
          <w:rFonts w:ascii="Times New Roman" w:eastAsia="Times New Roman" w:hAnsi="Times New Roman" w:cs="Times New Roman"/>
          <w:b/>
          <w:bCs/>
          <w:sz w:val="24"/>
          <w:szCs w:val="24"/>
        </w:rPr>
      </w:pPr>
      <w:r w:rsidRPr="008D2A8B">
        <w:rPr>
          <w:rFonts w:ascii="Times New Roman" w:eastAsia="Times New Roman" w:hAnsi="Times New Roman" w:cs="Times New Roman"/>
          <w:b/>
          <w:bCs/>
          <w:sz w:val="24"/>
          <w:szCs w:val="24"/>
        </w:rPr>
        <w:t>4.1 Climate and Environmental Observation</w:t>
      </w:r>
    </w:p>
    <w:p w14:paraId="5B9CA696"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first component establishes the empirical foundation of the framework through systematic observation of climatic, environmental, hydrological, ecological, and urban conditions. Relevant inputs may include satellite imagery, meteorological observations, rainfall and temperature records, climate reanalysis products, Digital Elevation Models, land-use data, soil moisture, surface-water information, infrastructure records, and community-based observations.</w:t>
      </w:r>
    </w:p>
    <w:p w14:paraId="23AFC2B4"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purpose of this component is to establish baselines, detect trends, identify anomalies, and monitor emerging pressures. Multi-temporal observation can reveal the expansion of built-up areas, vegetation decline, wetland encroachment, changes in surface-water extent, increasing thermal stress, or recurrent flood patterns. Such evidence is especially important in rapidly changing cities, where historical maps and static planning records may not adequately represent current conditions.</w:t>
      </w:r>
    </w:p>
    <w:p w14:paraId="28CD30AF" w14:textId="77777777" w:rsidR="00CF5A18"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Observation within GUCAR-DSF is continuous rather than preliminary. Updated evidence supports subsequent re-evaluation of risks and interventions. This is consistent with resilience thinking, which emphasises the importance of learning and adjustment under uncertainty rather than assuming stable environmental conditions (Meerow et al., 2016; Tyler &amp; Moench, 2012).</w:t>
      </w:r>
    </w:p>
    <w:p w14:paraId="184426DC"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p>
    <w:p w14:paraId="09937881" w14:textId="77777777" w:rsidR="00CF5A18" w:rsidRPr="008D2A8B" w:rsidRDefault="00CF5A18" w:rsidP="00CF5A18">
      <w:pPr>
        <w:spacing w:after="0" w:line="240" w:lineRule="auto"/>
        <w:jc w:val="both"/>
        <w:outlineLvl w:val="1"/>
        <w:rPr>
          <w:rFonts w:ascii="Times New Roman" w:eastAsia="Times New Roman" w:hAnsi="Times New Roman" w:cs="Times New Roman"/>
          <w:b/>
          <w:bCs/>
          <w:sz w:val="24"/>
          <w:szCs w:val="24"/>
        </w:rPr>
      </w:pPr>
      <w:r w:rsidRPr="008D2A8B">
        <w:rPr>
          <w:rFonts w:ascii="Times New Roman" w:eastAsia="Times New Roman" w:hAnsi="Times New Roman" w:cs="Times New Roman"/>
          <w:b/>
          <w:bCs/>
          <w:sz w:val="24"/>
          <w:szCs w:val="24"/>
        </w:rPr>
        <w:t>4.2 Geospatial Intelligence and Indicator Generation</w:t>
      </w:r>
    </w:p>
    <w:p w14:paraId="79829146"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second component transforms diverse observations into spatially interpretable indicators. Geospatial intelligence forms the analytical backbone of the GUCAR-DSF because climate risk is unevenly distributed and cannot be adequately understood through citywide averages alone. Remote sensing, Geographic Information Systems, Earth Observation, spatial modelling, and related analytical methods allow environmental and social conditions to be integrated within a common spatial framework (Goodchild, 2020; Longley et al., 2021).</w:t>
      </w:r>
    </w:p>
    <w:p w14:paraId="210C3546"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Relevant indicators may include land-use/land-cover change, Normalised Difference Vegetation Index, built-up indices, land surface temperature, impervious-surface concentration, rainfall variability, elevation, slope, drainage density, flood extent, infrastructure accessibility, population density, and settlement characteristics. These indicators are not treated as final outputs. Their value lies in revealing the processes through which urban development, ecosystem change, and climatic pressures shape risk.</w:t>
      </w:r>
    </w:p>
    <w:p w14:paraId="6C64883B" w14:textId="24F0D0AC" w:rsidR="00CF5A18" w:rsidRDefault="00CF5A18" w:rsidP="00D14C2B">
      <w:pPr>
        <w:spacing w:after="0" w:line="276" w:lineRule="auto"/>
        <w:jc w:val="both"/>
        <w:rPr>
          <w:rFonts w:ascii="Times New Roman" w:hAnsi="Times New Roman" w:cs="Times New Roman"/>
          <w:sz w:val="24"/>
          <w:szCs w:val="24"/>
        </w:rPr>
      </w:pPr>
      <w:r w:rsidRPr="008D2A8B">
        <w:rPr>
          <w:rFonts w:ascii="Times New Roman" w:eastAsia="Times New Roman" w:hAnsi="Times New Roman" w:cs="Times New Roman"/>
          <w:sz w:val="24"/>
          <w:szCs w:val="24"/>
        </w:rPr>
        <w:t>For example, the combination of declining vegetation, increasing built-up density, and rising land surface temperature may reveal emerging thermal vulnerability. Similarly, low elevation, high imperviousness, poor drainage, and recurrent inundation may indicate increasing flood susceptibility. By integrating multiple indicators, geospatial intelligence converts fragmented datasets into spatial evidence suitable for decision support.</w:t>
      </w:r>
      <w:r w:rsidR="00D14C2B" w:rsidRPr="00D14C2B">
        <w:rPr>
          <w:rFonts w:ascii="Times New Roman" w:eastAsia="Times New Roman" w:hAnsi="Times New Roman" w:cs="Times New Roman"/>
          <w:sz w:val="24"/>
          <w:szCs w:val="24"/>
        </w:rPr>
        <w:t xml:space="preserve"> </w:t>
      </w:r>
      <w:r w:rsidR="00D14C2B" w:rsidRPr="00D14C2B">
        <w:rPr>
          <w:rFonts w:ascii="Times New Roman" w:hAnsi="Times New Roman" w:cs="Times New Roman"/>
          <w:sz w:val="24"/>
          <w:szCs w:val="24"/>
        </w:rPr>
        <w:t xml:space="preserve">Remote sensing, Geographic Information Systems, Earth Observation, climate datasets, spatial modelling, and emerging analytical technologies generate different but complementary forms of environmental intelligence. Their planning value increases when these capabilities are integrated within a coherent workflow that transforms raw observations into indicators, diagnostic products, vulnerability information, and decision-relevant outputs. Figure </w:t>
      </w:r>
      <w:r w:rsidR="00C167DB">
        <w:rPr>
          <w:rFonts w:ascii="Times New Roman" w:hAnsi="Times New Roman" w:cs="Times New Roman"/>
          <w:sz w:val="24"/>
          <w:szCs w:val="24"/>
        </w:rPr>
        <w:t>3</w:t>
      </w:r>
      <w:r w:rsidR="00E81FF0">
        <w:rPr>
          <w:rFonts w:ascii="Times New Roman" w:hAnsi="Times New Roman" w:cs="Times New Roman"/>
          <w:sz w:val="24"/>
          <w:szCs w:val="24"/>
        </w:rPr>
        <w:t>.</w:t>
      </w:r>
      <w:r w:rsidR="00D14C2B" w:rsidRPr="00D14C2B">
        <w:rPr>
          <w:rFonts w:ascii="Times New Roman" w:hAnsi="Times New Roman" w:cs="Times New Roman"/>
          <w:sz w:val="24"/>
          <w:szCs w:val="24"/>
        </w:rPr>
        <w:t xml:space="preserve"> presents this progression from multi-source environmental data to spatially explicit adaptation intelligence.</w:t>
      </w:r>
    </w:p>
    <w:p w14:paraId="686D0C0B" w14:textId="3A73F131" w:rsidR="00E81FF0" w:rsidRDefault="00E81FF0" w:rsidP="00D14C2B">
      <w:pPr>
        <w:spacing w:after="0" w:line="276" w:lineRule="auto"/>
        <w:jc w:val="both"/>
        <w:rPr>
          <w:rFonts w:ascii="Times New Roman" w:hAnsi="Times New Roman" w:cs="Times New Roman"/>
          <w:sz w:val="24"/>
          <w:szCs w:val="24"/>
        </w:rPr>
      </w:pPr>
    </w:p>
    <w:p w14:paraId="5A47BDE9" w14:textId="2A06DBEF" w:rsidR="00E81FF0" w:rsidRPr="00D14C2B" w:rsidRDefault="00E81FF0" w:rsidP="00D14C2B">
      <w:pPr>
        <w:spacing w:after="0" w:line="276" w:lineRule="auto"/>
        <w:jc w:val="both"/>
        <w:rPr>
          <w:rFonts w:ascii="Times New Roman" w:eastAsia="Times New Roman" w:hAnsi="Times New Roman" w:cs="Times New Roman"/>
          <w:sz w:val="24"/>
          <w:szCs w:val="24"/>
        </w:rPr>
      </w:pPr>
      <w:r w:rsidRPr="00E81FF0">
        <w:rPr>
          <w:rFonts w:ascii="Times New Roman" w:hAnsi="Times New Roman" w:cs="Times New Roman"/>
          <w:b/>
          <w:bCs/>
          <w:sz w:val="24"/>
          <w:szCs w:val="24"/>
        </w:rPr>
        <w:lastRenderedPageBreak/>
        <w:t xml:space="preserve">Figure </w:t>
      </w:r>
      <w:r w:rsidR="00C167DB">
        <w:rPr>
          <w:rFonts w:ascii="Times New Roman" w:hAnsi="Times New Roman" w:cs="Times New Roman"/>
          <w:b/>
          <w:bCs/>
          <w:sz w:val="24"/>
          <w:szCs w:val="24"/>
        </w:rPr>
        <w:t>3</w:t>
      </w:r>
      <w:r w:rsidRPr="00E81FF0">
        <w:rPr>
          <w:rFonts w:ascii="Times New Roman" w:hAnsi="Times New Roman" w:cs="Times New Roman"/>
          <w:b/>
          <w:bCs/>
          <w:sz w:val="24"/>
          <w:szCs w:val="24"/>
        </w:rPr>
        <w:t>:</w:t>
      </w:r>
      <w:r>
        <w:rPr>
          <w:rFonts w:ascii="Times New Roman" w:hAnsi="Times New Roman" w:cs="Times New Roman"/>
          <w:sz w:val="24"/>
          <w:szCs w:val="24"/>
        </w:rPr>
        <w:t xml:space="preserve"> Integrated Geospatial Intelligence Architecture for Urban Climate Risk Assessment</w:t>
      </w:r>
    </w:p>
    <w:p w14:paraId="24AB2AAA" w14:textId="55908F9A" w:rsidR="00D14C2B" w:rsidRDefault="00D14C2B" w:rsidP="00CF5A18">
      <w:pPr>
        <w:spacing w:after="0" w:line="240" w:lineRule="auto"/>
        <w:jc w:val="both"/>
        <w:rPr>
          <w:rFonts w:ascii="Times New Roman" w:eastAsia="Times New Roman" w:hAnsi="Times New Roman" w:cs="Times New Roman"/>
          <w:sz w:val="24"/>
          <w:szCs w:val="24"/>
        </w:rPr>
      </w:pPr>
      <w:r>
        <w:rPr>
          <w:noProof/>
        </w:rPr>
        <w:drawing>
          <wp:inline distT="0" distB="0" distL="0" distR="0" wp14:anchorId="25E1EA9A" wp14:editId="4DCA1566">
            <wp:extent cx="5943600" cy="3977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36"/>
                    <a:stretch/>
                  </pic:blipFill>
                  <pic:spPr bwMode="auto">
                    <a:xfrm>
                      <a:off x="0" y="0"/>
                      <a:ext cx="5943600" cy="3977005"/>
                    </a:xfrm>
                    <a:prstGeom prst="rect">
                      <a:avLst/>
                    </a:prstGeom>
                    <a:noFill/>
                    <a:ln>
                      <a:noFill/>
                    </a:ln>
                    <a:extLst>
                      <a:ext uri="{53640926-AAD7-44D8-BBD7-CCE9431645EC}">
                        <a14:shadowObscured xmlns:a14="http://schemas.microsoft.com/office/drawing/2010/main"/>
                      </a:ext>
                    </a:extLst>
                  </pic:spPr>
                </pic:pic>
              </a:graphicData>
            </a:graphic>
          </wp:inline>
        </w:drawing>
      </w:r>
    </w:p>
    <w:p w14:paraId="67CB3C69"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p>
    <w:p w14:paraId="583DEA1A" w14:textId="2918504A" w:rsidR="00D14C2B" w:rsidRPr="00D14C2B" w:rsidRDefault="00D14C2B" w:rsidP="00CF5A18">
      <w:pPr>
        <w:spacing w:after="0" w:line="240" w:lineRule="auto"/>
        <w:jc w:val="both"/>
        <w:outlineLvl w:val="1"/>
        <w:rPr>
          <w:rFonts w:ascii="Times New Roman" w:hAnsi="Times New Roman" w:cs="Times New Roman"/>
          <w:i/>
          <w:iCs/>
          <w:sz w:val="24"/>
          <w:szCs w:val="24"/>
        </w:rPr>
      </w:pPr>
      <w:r w:rsidRPr="00D14C2B">
        <w:rPr>
          <w:rFonts w:ascii="Times New Roman" w:hAnsi="Times New Roman" w:cs="Times New Roman"/>
          <w:i/>
          <w:iCs/>
          <w:sz w:val="24"/>
          <w:szCs w:val="24"/>
        </w:rPr>
        <w:t xml:space="preserve">As shown in Figure </w:t>
      </w:r>
      <w:r w:rsidR="00C167DB">
        <w:rPr>
          <w:rFonts w:ascii="Times New Roman" w:hAnsi="Times New Roman" w:cs="Times New Roman"/>
          <w:i/>
          <w:iCs/>
          <w:sz w:val="24"/>
          <w:szCs w:val="24"/>
        </w:rPr>
        <w:t>3</w:t>
      </w:r>
      <w:r w:rsidRPr="00D14C2B">
        <w:rPr>
          <w:rFonts w:ascii="Times New Roman" w:hAnsi="Times New Roman" w:cs="Times New Roman"/>
          <w:i/>
          <w:iCs/>
          <w:sz w:val="24"/>
          <w:szCs w:val="24"/>
        </w:rPr>
        <w:t>, geospatial intelligence functions as a translation mechanism between environmental observation and planning action. Satellite imagery, climate records, terrain information, infrastructure data, and socio-economic evidence are processed through change detection, spatial modelling, indicator generation, overlay analysis, hotspot identification, and scenario assessment. The resulting products provide a basis for identifying where risks are emerging, which populations and systems are most vulnerable, and where specific adaptation interventions should be prioritised.</w:t>
      </w:r>
    </w:p>
    <w:p w14:paraId="4283DA76" w14:textId="77777777" w:rsidR="00D14C2B" w:rsidRDefault="00D14C2B" w:rsidP="00CF5A18">
      <w:pPr>
        <w:spacing w:after="0" w:line="240" w:lineRule="auto"/>
        <w:jc w:val="both"/>
        <w:outlineLvl w:val="1"/>
        <w:rPr>
          <w:rFonts w:ascii="Times New Roman" w:eastAsia="Times New Roman" w:hAnsi="Times New Roman" w:cs="Times New Roman"/>
          <w:b/>
          <w:bCs/>
          <w:sz w:val="24"/>
          <w:szCs w:val="24"/>
        </w:rPr>
      </w:pPr>
    </w:p>
    <w:p w14:paraId="7AD98772" w14:textId="1BCE6679" w:rsidR="00CF5A18" w:rsidRPr="008D2A8B" w:rsidRDefault="00CF5A18" w:rsidP="00CF5A18">
      <w:pPr>
        <w:spacing w:after="0" w:line="240" w:lineRule="auto"/>
        <w:jc w:val="both"/>
        <w:outlineLvl w:val="1"/>
        <w:rPr>
          <w:rFonts w:ascii="Times New Roman" w:eastAsia="Times New Roman" w:hAnsi="Times New Roman" w:cs="Times New Roman"/>
          <w:b/>
          <w:bCs/>
          <w:sz w:val="24"/>
          <w:szCs w:val="24"/>
        </w:rPr>
      </w:pPr>
      <w:r w:rsidRPr="008D2A8B">
        <w:rPr>
          <w:rFonts w:ascii="Times New Roman" w:eastAsia="Times New Roman" w:hAnsi="Times New Roman" w:cs="Times New Roman"/>
          <w:b/>
          <w:bCs/>
          <w:sz w:val="24"/>
          <w:szCs w:val="24"/>
        </w:rPr>
        <w:t>4.3 Multi-Hazard Diagnostics</w:t>
      </w:r>
    </w:p>
    <w:p w14:paraId="062E118F"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third component assesses the spatial distribution and interaction of climatic and environmental hazards. Conventional assessment frequently examines heat, flooding, drought, or ecosystem degradation separately. GUCAR-DSF instead adopts a multi-hazard perspective because urban risks may overlap, interact, or share common drivers.</w:t>
      </w:r>
    </w:p>
    <w:p w14:paraId="30645937"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Heat and flooding provide an important example. Expansion of impervious surfaces may intensify heat storage while reducing infiltration and accelerating runoff. Vegetation loss may reduce evaporative cooling and rainfall interception simultaneously. Wetland degradation may remove natural flood-storage capacity while weakening local environmental regulation. These relationships demonstrate that hazard interaction can arise not only from simultaneous climatic events but also from shared processes of urban transformation.</w:t>
      </w:r>
    </w:p>
    <w:p w14:paraId="14BF6AA6"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 xml:space="preserve">The multi-hazard component therefore combines hazard-specific indicators to identify areas of convergence and compound vulnerability. Outputs may include heat-risk maps, flood-susceptibility maps, compound-risk surfaces, hotspot zones, and alternative scenario outputs. Such </w:t>
      </w:r>
      <w:r w:rsidRPr="008D2A8B">
        <w:rPr>
          <w:rFonts w:ascii="Times New Roman" w:eastAsia="Times New Roman" w:hAnsi="Times New Roman" w:cs="Times New Roman"/>
          <w:sz w:val="24"/>
          <w:szCs w:val="24"/>
        </w:rPr>
        <w:lastRenderedPageBreak/>
        <w:t>diagnostics help distinguish between locations requiring single-purpose interventions and those needing integrated adaptation portfolios.</w:t>
      </w:r>
    </w:p>
    <w:p w14:paraId="0E6B29B7" w14:textId="77777777" w:rsidR="00CF5A18"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This component also supports anticipatory planning. Scenario analysis can examine how future urban expansion, vegetation loss, rainfall change, or infrastructure development may alter risk patterns. The objective is to move beyond retrospective documentation towards early identification of emerging vulnerability.</w:t>
      </w:r>
    </w:p>
    <w:p w14:paraId="402C08ED"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p>
    <w:p w14:paraId="745F55D2" w14:textId="77777777" w:rsidR="00CF5A18" w:rsidRPr="008D2A8B" w:rsidRDefault="00CF5A18" w:rsidP="00CF5A18">
      <w:pPr>
        <w:spacing w:after="0" w:line="240" w:lineRule="auto"/>
        <w:jc w:val="both"/>
        <w:outlineLvl w:val="1"/>
        <w:rPr>
          <w:rFonts w:ascii="Times New Roman" w:eastAsia="Times New Roman" w:hAnsi="Times New Roman" w:cs="Times New Roman"/>
          <w:b/>
          <w:bCs/>
          <w:sz w:val="24"/>
          <w:szCs w:val="24"/>
        </w:rPr>
      </w:pPr>
      <w:r w:rsidRPr="008D2A8B">
        <w:rPr>
          <w:rFonts w:ascii="Times New Roman" w:eastAsia="Times New Roman" w:hAnsi="Times New Roman" w:cs="Times New Roman"/>
          <w:b/>
          <w:bCs/>
          <w:sz w:val="24"/>
          <w:szCs w:val="24"/>
        </w:rPr>
        <w:t>4.4 Vulnerability and Adaptive-Capacity Assessment</w:t>
      </w:r>
    </w:p>
    <w:p w14:paraId="086C3E72"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Hazard intensity alone does not determine climate impact. Similar levels of heat or flooding may produce very different consequences depending on population characteristics, housing quality, infrastructure, income, service access, health conditions, and institutional support. The fourth GUCAR-DSF component therefore integrates hazard information with exposure, sensitivity, and adaptive capacity.</w:t>
      </w:r>
    </w:p>
    <w:p w14:paraId="3BA45748"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Potential indicators include population density, poverty, age structure, informal settlement distribution, housing quality, access to health services, availability of green space, mobility constraints, critical infrastructure, livelihood dependence, and institutional capacity. Their integration makes it possible to identify not simply where hazards occur, but where their consequences are likely to be most severe.</w:t>
      </w:r>
    </w:p>
    <w:p w14:paraId="2AB54404"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This component is central to the framework’s equity orientation. High-hazard locations with strong infrastructure and high adaptive capacity may require different interventions from moderately exposed neighbourhoods characterised by poverty, service deficits, fragile housing, and limited coping capacity. The framework therefore supports differentiated prioritisation rather than assuming that hazard intensity alone should determine investment.</w:t>
      </w:r>
    </w:p>
    <w:p w14:paraId="06FF25A6" w14:textId="77777777" w:rsidR="00CF5A18"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Participatory knowledge is also relevant. Local residents may identify recurrent flood pathways, heat-stress locations, drainage failures, service disruptions, or social constraints that are not adequately represented in formal datasets. Integrating such knowledge improves contextual interpretation and reduces the risk of purely technocratic assessment.</w:t>
      </w:r>
    </w:p>
    <w:p w14:paraId="0553FCC4"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p>
    <w:p w14:paraId="0214AC2C" w14:textId="77777777" w:rsidR="00CF5A18" w:rsidRPr="008D2A8B" w:rsidRDefault="00CF5A18" w:rsidP="00CF5A18">
      <w:pPr>
        <w:spacing w:after="0" w:line="240" w:lineRule="auto"/>
        <w:jc w:val="both"/>
        <w:outlineLvl w:val="1"/>
        <w:rPr>
          <w:rFonts w:ascii="Times New Roman" w:eastAsia="Times New Roman" w:hAnsi="Times New Roman" w:cs="Times New Roman"/>
          <w:b/>
          <w:bCs/>
          <w:sz w:val="24"/>
          <w:szCs w:val="24"/>
        </w:rPr>
      </w:pPr>
      <w:r w:rsidRPr="008D2A8B">
        <w:rPr>
          <w:rFonts w:ascii="Times New Roman" w:eastAsia="Times New Roman" w:hAnsi="Times New Roman" w:cs="Times New Roman"/>
          <w:b/>
          <w:bCs/>
          <w:sz w:val="24"/>
          <w:szCs w:val="24"/>
        </w:rPr>
        <w:t>4.5 Adaptation Option Appraisal and Prioritisation</w:t>
      </w:r>
    </w:p>
    <w:p w14:paraId="6E1DB39A"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fifth component translates diagnosis into intervention choices. This is a critical transition because one of the major weaknesses of existing approaches is the tendency for analytical work to stop at hazard or vulnerability mapping. Within GUCAR-DSF, spatial evidence is explicitly connected to adaptation appraisal.</w:t>
      </w:r>
    </w:p>
    <w:p w14:paraId="04800DD1"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Potential interventions may include urban greening, wetland restoration, sustainable drainage, infrastructure upgrading, climate-responsive housing, land-use zoning, early warning systems, settlement upgrading, social protection, public-health measures, and combinations of these options. Appraisal considers not only expected risk reduction but also feasibility, cost, co-benefits, equity, institutional responsibility, maintenance requirements, and stakeholder acceptance.</w:t>
      </w:r>
    </w:p>
    <w:p w14:paraId="3F9EC080"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Prioritisation is spatially explicit. A neighbourhood characterised by high heat exposure and low vegetation may require tree-canopy expansion, cooling corridors, and heat-health measures. A low-lying settlement with inadequate drainage may require stormwater improvements, flood warning, housing upgrading, and social support. A compound heat–flood hotspot may require blue-green infrastructure and integrated land-use intervention.</w:t>
      </w:r>
    </w:p>
    <w:p w14:paraId="484BC378" w14:textId="77777777" w:rsidR="00CF5A18"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 xml:space="preserve">Multi-Criteria Decision Analysis and other transparent decision methods may assist in comparing options where several criteria compete. However, GUCAR-DSF does not assume that algorithms </w:t>
      </w:r>
      <w:r w:rsidRPr="008D2A8B">
        <w:rPr>
          <w:rFonts w:ascii="Times New Roman" w:eastAsia="Times New Roman" w:hAnsi="Times New Roman" w:cs="Times New Roman"/>
          <w:sz w:val="24"/>
          <w:szCs w:val="24"/>
        </w:rPr>
        <w:lastRenderedPageBreak/>
        <w:t>should determine adaptation choices automatically. Analytical outputs are intended to support informed judgement, stakeholder deliberation, and transparent prioritisation.</w:t>
      </w:r>
    </w:p>
    <w:p w14:paraId="1D96ABB0"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p>
    <w:p w14:paraId="3845314A" w14:textId="77777777" w:rsidR="00CF5A18" w:rsidRPr="008D2A8B" w:rsidRDefault="00CF5A18" w:rsidP="00CF5A18">
      <w:pPr>
        <w:spacing w:after="0" w:line="240" w:lineRule="auto"/>
        <w:jc w:val="both"/>
        <w:outlineLvl w:val="1"/>
        <w:rPr>
          <w:rFonts w:ascii="Times New Roman" w:eastAsia="Times New Roman" w:hAnsi="Times New Roman" w:cs="Times New Roman"/>
          <w:b/>
          <w:bCs/>
          <w:sz w:val="24"/>
          <w:szCs w:val="24"/>
        </w:rPr>
      </w:pPr>
      <w:r w:rsidRPr="008D2A8B">
        <w:rPr>
          <w:rFonts w:ascii="Times New Roman" w:eastAsia="Times New Roman" w:hAnsi="Times New Roman" w:cs="Times New Roman"/>
          <w:b/>
          <w:bCs/>
          <w:sz w:val="24"/>
          <w:szCs w:val="24"/>
        </w:rPr>
        <w:t>4.6 Governance, Participation and Implementation</w:t>
      </w:r>
    </w:p>
    <w:p w14:paraId="5180C01E"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sixth component recognises that technically appropriate adaptation options do not implement themselves. Urban climate action depends on institutions, finance, legal authority, stakeholder coordination, implementation capacity, and long-term maintenance.</w:t>
      </w:r>
    </w:p>
    <w:p w14:paraId="53572FBD"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Relevant actors may include planning authorities, environmental agencies, disaster-management institutions, water utilities, health departments, infrastructure providers, meteorological services, universities, civil society organisations, private-sector actors, and local communities. Because climate risks cross institutional boundaries, GUCAR-DSF emphasises shared responsibility and coordination.</w:t>
      </w:r>
    </w:p>
    <w:p w14:paraId="52CF54A1"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Adaptive governance principles are particularly relevant here. Complex environmental challenges require collaboration, learning, participation, and the capacity to adjust institutional arrangements as conditions change (Folke et al., 2005). Within the framework, implementation planning should therefore specify responsibilities, timeframes, financing mechanisms, stakeholder roles, and performance indicators.</w:t>
      </w:r>
    </w:p>
    <w:p w14:paraId="76EE7EB3" w14:textId="77777777" w:rsidR="00CF5A18"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Participation is not treated merely as consultation after technical decisions have been made. Community knowledge and stakeholder priorities can inform problem definition, indicator interpretation, intervention design, and monitoring. This strengthens legitimacy and may reveal implementation constraints that are invisible within technical analysis.</w:t>
      </w:r>
    </w:p>
    <w:p w14:paraId="367F8D8B"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p>
    <w:p w14:paraId="5665D25B" w14:textId="77777777" w:rsidR="00CF5A18" w:rsidRPr="008D2A8B" w:rsidRDefault="00CF5A18" w:rsidP="00CF5A18">
      <w:pPr>
        <w:spacing w:after="0" w:line="240" w:lineRule="auto"/>
        <w:jc w:val="both"/>
        <w:outlineLvl w:val="1"/>
        <w:rPr>
          <w:rFonts w:ascii="Times New Roman" w:eastAsia="Times New Roman" w:hAnsi="Times New Roman" w:cs="Times New Roman"/>
          <w:b/>
          <w:bCs/>
          <w:sz w:val="24"/>
          <w:szCs w:val="24"/>
        </w:rPr>
      </w:pPr>
      <w:r w:rsidRPr="008D2A8B">
        <w:rPr>
          <w:rFonts w:ascii="Times New Roman" w:eastAsia="Times New Roman" w:hAnsi="Times New Roman" w:cs="Times New Roman"/>
          <w:b/>
          <w:bCs/>
          <w:sz w:val="24"/>
          <w:szCs w:val="24"/>
        </w:rPr>
        <w:t>4.7 Monitoring, Evaluation and Adaptive Learning</w:t>
      </w:r>
    </w:p>
    <w:p w14:paraId="1B43C421"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seventh component provides the principal feedback mechanism of GUCAR-DSF. Adaptation effectiveness cannot be assumed simply because an intervention has been completed. Monitoring is required to determine whether risk has actually declined, whether benefits reach intended populations, and whether unintended consequences have emerged.</w:t>
      </w:r>
    </w:p>
    <w:p w14:paraId="11C7DC04"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Relevant evidence may include updated satellite imagery, environmental measurements, flood records, thermal indicators, ecosystem condition, infrastructure performance, project data, and community feedback. Monitoring may assess whether tree planting has reduced thermal exposure, whether drainage improvement has reduced inundation, whether restored wetlands are functioning effectively, or whether vulnerable populations have gained improved protection.</w:t>
      </w:r>
    </w:p>
    <w:p w14:paraId="3B503781" w14:textId="77777777" w:rsidR="00CF5A18"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results then feed back into earlier stages. Poor performance may require indicator revision, new observation, alternative prioritisation, or institutional adjustment. Successful interventions may be scaled. In this sense, monitoring is not the final stage of the framework but the mechanism that converts implementation experience into future knowledge.</w:t>
      </w:r>
    </w:p>
    <w:p w14:paraId="0F6E3698"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p>
    <w:p w14:paraId="123119D2" w14:textId="77777777" w:rsidR="00CF5A18" w:rsidRPr="008D2A8B" w:rsidRDefault="00CF5A18" w:rsidP="00CF5A18">
      <w:pPr>
        <w:spacing w:after="0" w:line="240" w:lineRule="auto"/>
        <w:jc w:val="both"/>
        <w:outlineLvl w:val="1"/>
        <w:rPr>
          <w:rFonts w:ascii="Times New Roman" w:eastAsia="Times New Roman" w:hAnsi="Times New Roman" w:cs="Times New Roman"/>
          <w:b/>
          <w:bCs/>
          <w:sz w:val="24"/>
          <w:szCs w:val="24"/>
        </w:rPr>
      </w:pPr>
      <w:r w:rsidRPr="008D2A8B">
        <w:rPr>
          <w:rFonts w:ascii="Times New Roman" w:eastAsia="Times New Roman" w:hAnsi="Times New Roman" w:cs="Times New Roman"/>
          <w:b/>
          <w:bCs/>
          <w:sz w:val="24"/>
          <w:szCs w:val="24"/>
        </w:rPr>
        <w:t>4.8 Decision-Support Communication and Scaling</w:t>
      </w:r>
    </w:p>
    <w:p w14:paraId="00B85466"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eighth component focuses on translating analytical and implementation evidence into forms that decision-makers and stakeholders can use. Outputs may include dashboards, WebGIS applications, risk maps, scenario tools, planning briefs, investment priorities, policy guidance, and open-data platforms.</w:t>
      </w:r>
    </w:p>
    <w:p w14:paraId="3A8A8EFE"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 xml:space="preserve">Communication is important because technically sophisticated analysis has limited planning value if users cannot interpret or access it. Different audiences may require different products. Municipal planners may need zoning overlays; infrastructure agencies may require priority-investment maps; </w:t>
      </w:r>
      <w:r w:rsidRPr="008D2A8B">
        <w:rPr>
          <w:rFonts w:ascii="Times New Roman" w:eastAsia="Times New Roman" w:hAnsi="Times New Roman" w:cs="Times New Roman"/>
          <w:sz w:val="24"/>
          <w:szCs w:val="24"/>
        </w:rPr>
        <w:lastRenderedPageBreak/>
        <w:t>communities may benefit from accessible risk information; and development partners may require transparent evidence of intervention priorities and expected outcomes.</w:t>
      </w:r>
    </w:p>
    <w:p w14:paraId="709C7A1E"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The framework is also designed to operate across scales. At neighbourhood level, it can support hotspot identification and targeted action. At municipal scale, it can guide land-use and infrastructure planning. At metropolitan or regional levels, it can support cross-boundary management of drainage systems, ecosystems, and major investments. Its modular character allows cities with different data and institutional capacities to adopt components progressively.</w:t>
      </w:r>
    </w:p>
    <w:p w14:paraId="3E05C004"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r w:rsidRPr="008D2A8B">
        <w:rPr>
          <w:rFonts w:ascii="Times New Roman" w:eastAsia="Times New Roman" w:hAnsi="Times New Roman" w:cs="Times New Roman"/>
          <w:sz w:val="24"/>
          <w:szCs w:val="24"/>
        </w:rPr>
        <w:t>Taken together, the eight components establish the GUCAR-DSF as an integrated evidence-to-action architecture. Climate and environmental observation provide the empirical base; geospatial intelligence converts data into spatial indicators; multi-hazard diagnostics reveal interacting threats; vulnerability assessment identifies unequal risk; adaptation appraisal connects diagnosis to intervention; governance translates priorities into implementation; monitoring generates learning; and communication supports use and scaling. The originality of GUCAR-DSF therefore lies not in claiming that each individual component is new, but in connecting them within a unified, iterative, and explicitly feedback-oriented architecture for climate-resilient urban planning.</w:t>
      </w:r>
    </w:p>
    <w:p w14:paraId="7DA441AD" w14:textId="77777777" w:rsidR="00CF5A18" w:rsidRPr="008D2A8B" w:rsidRDefault="00CF5A18" w:rsidP="00CF5A18">
      <w:pPr>
        <w:spacing w:after="0" w:line="240" w:lineRule="auto"/>
        <w:jc w:val="both"/>
        <w:rPr>
          <w:rFonts w:ascii="Times New Roman" w:eastAsia="Times New Roman" w:hAnsi="Times New Roman" w:cs="Times New Roman"/>
          <w:sz w:val="24"/>
          <w:szCs w:val="24"/>
        </w:rPr>
      </w:pPr>
    </w:p>
    <w:p w14:paraId="76FCBB8E" w14:textId="77777777" w:rsidR="0052752F" w:rsidRPr="00A97667" w:rsidRDefault="0052752F" w:rsidP="0052752F">
      <w:pPr>
        <w:spacing w:after="0" w:line="240" w:lineRule="auto"/>
        <w:jc w:val="both"/>
        <w:outlineLvl w:val="0"/>
        <w:rPr>
          <w:rFonts w:ascii="Times New Roman" w:eastAsia="Times New Roman" w:hAnsi="Times New Roman" w:cs="Times New Roman"/>
          <w:b/>
          <w:bCs/>
          <w:kern w:val="36"/>
          <w:sz w:val="24"/>
          <w:szCs w:val="24"/>
        </w:rPr>
      </w:pPr>
      <w:r w:rsidRPr="00A97667">
        <w:rPr>
          <w:rFonts w:ascii="Times New Roman" w:eastAsia="Times New Roman" w:hAnsi="Times New Roman" w:cs="Times New Roman"/>
          <w:b/>
          <w:bCs/>
          <w:kern w:val="36"/>
          <w:sz w:val="24"/>
          <w:szCs w:val="24"/>
        </w:rPr>
        <w:t>5. Evidence-to-Action and Adaptive Feedback Logic</w:t>
      </w:r>
    </w:p>
    <w:p w14:paraId="58B4391C"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defining feature of the Geospatial Urban Climate Adaptation and Resilience Decision-Support Framework (GUCAR-DSF) is its emphasis on a continuous evidence-to-action process rather than a one-directional sequence from assessment to intervention. Urban climate adaptation frequently follows a linear pattern in which data are collected, hazards are mapped, plans are prepared, and projects are implemented with limited systematic reassessment. Such an approach is increasingly inadequate because climate conditions, land-use patterns, infrastructure systems, ecosystem states, and social vulnerabilities change over time. GUCAR-DSF therefore adopts an iterative logic in which evidence informs action, implementation generates new information, and monitoring results reshape subsequent observation, analysis, and prioritisation.</w:t>
      </w:r>
    </w:p>
    <w:p w14:paraId="14FFD133" w14:textId="77777777" w:rsidR="0052752F"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core cycle can be expressed as:</w:t>
      </w:r>
    </w:p>
    <w:p w14:paraId="350945D4"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p>
    <w:p w14:paraId="3FC8A79D" w14:textId="77777777" w:rsidR="0052752F" w:rsidRDefault="0052752F" w:rsidP="0052752F">
      <w:pPr>
        <w:spacing w:after="0" w:line="240" w:lineRule="auto"/>
        <w:jc w:val="both"/>
        <w:rPr>
          <w:rFonts w:ascii="Times New Roman" w:eastAsia="Times New Roman" w:hAnsi="Times New Roman" w:cs="Times New Roman"/>
          <w:b/>
          <w:bCs/>
          <w:sz w:val="24"/>
          <w:szCs w:val="24"/>
        </w:rPr>
      </w:pPr>
      <w:r w:rsidRPr="00A97667">
        <w:rPr>
          <w:rFonts w:ascii="Times New Roman" w:eastAsia="Times New Roman" w:hAnsi="Times New Roman" w:cs="Times New Roman"/>
          <w:b/>
          <w:bCs/>
          <w:sz w:val="24"/>
          <w:szCs w:val="24"/>
        </w:rPr>
        <w:t>observe → analyse → diagnose → assess vulnerability → prioritise → implement → monitor → learn → re-observe</w:t>
      </w:r>
    </w:p>
    <w:p w14:paraId="0FD30476"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p>
    <w:p w14:paraId="2D5ECEDA"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This sequence provides the organising logic of the framework, but it should not be interpreted as a rigid chain. Each stage may generate information that alters earlier assumptions or requires additional analysis. The framework therefore combines sequential progression with feedback, allowing decision-making to adjust as knowledge and conditions evolve.</w:t>
      </w:r>
    </w:p>
    <w:p w14:paraId="29324C93"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cycle begins with observation, through which climate, environmental, land-use, infrastructural, and social conditions are documented. Satellite imagery, climate records, Earth Observation products, local monitoring, infrastructure inventories, and community knowledge provide the empirical basis for identifying changes and emerging pressures. The importance of this stage lies not only in describing current conditions but also in establishing baselines against which future change can be assessed. In rapidly urbanising environments, repeated observation may reveal expanding impervious surfaces, vegetation decline, wetland encroachment, recurrent inundation, or intensifying thermal hotspots. Such evidence provides the foundation for subsequent analysis.</w:t>
      </w:r>
    </w:p>
    <w:p w14:paraId="09B072E8"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 xml:space="preserve">The second stage is analysis, in which raw observations are transformed into interpretable indicators and spatial intelligence. Remote sensing, Geographic Information Systems, spatial </w:t>
      </w:r>
      <w:r w:rsidRPr="00A97667">
        <w:rPr>
          <w:rFonts w:ascii="Times New Roman" w:eastAsia="Times New Roman" w:hAnsi="Times New Roman" w:cs="Times New Roman"/>
          <w:sz w:val="24"/>
          <w:szCs w:val="24"/>
        </w:rPr>
        <w:lastRenderedPageBreak/>
        <w:t>modelling, and related techniques can generate indicators of land-use change, vegetation condition, land surface temperature, rainfall variability, terrain, drainage, imperviousness, infrastructure accessibility, and settlement patterns (Goodchild, 2020; Longley et al., 2021). The purpose is to identify spatial relationships that may not be visible in isolated datasets. Analysis therefore moves the framework from data accumulation towards explanation.</w:t>
      </w:r>
    </w:p>
    <w:p w14:paraId="5134D70B"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third stage, diagnosis, assesses the distribution and interaction of climate-related hazards. Rather than treating heat, flooding, ecosystem degradation, or infrastructure stress as entirely separate problems, GUCAR-DSF examines where hazards overlap, share common drivers, or generate cascading effects. A neighbourhood characterised by low vegetation, high land surface temperature, extensive imperviousness, inadequate drainage, and recurrent inundation may represent a compound-risk hotspot. Diagnosis therefore seeks to answer not only where hazards occur but also how they interact and which underlying processes sustain them.</w:t>
      </w:r>
    </w:p>
    <w:p w14:paraId="732A93A4"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fourth stage is vulnerability and adaptive-capacity assessment. Hazard evidence is interpreted in relation to exposure, sensitivity, and the capacity of populations and institutions to respond. This is essential because high hazard intensity does not automatically translate into the highest social risk. Housing quality, poverty, age structure, service access, health conditions, mobility constraints, infrastructure reliability, and institutional support can substantially alter outcomes. The framework therefore incorporates differentiated vulnerability and recognises that climate risk is socially and spatially uneven (Meerow et al., 2016; IPCC, 2023).</w:t>
      </w:r>
    </w:p>
    <w:p w14:paraId="436EE1D4"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fifth stage is adaptation prioritisation, where analytical evidence is translated into intervention choices. This is the critical point at which the framework moves from understanding risk to deciding what should be done, where, and for whom. Potential measures may include Nature-Based Solutions, sustainable drainage, urban greening, infrastructure upgrading, land-use regulation, heat-action planning, early warning systems, settlement upgrading, and targeted social support. Prioritisation considers spatial need, expected risk reduction, feasibility, cost, co-benefits, equity, institutional responsibility, and stakeholder preferences. The objective is not merely to rank projects, but to match interventions with the specific environmental and social conditions of different locations.</w:t>
      </w:r>
    </w:p>
    <w:p w14:paraId="0FDA678C"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sixth stage is implementation, where prioritised options are translated into programmes, investments, regulations, and coordinated institutional action. At this point, governance becomes central. Responsibilities must be assigned, finance mobilised, stakeholders engaged, timelines defined, and maintenance arrangements established. Adaptive governance scholarship emphasises that complex environmental challenges require collaboration, participation, and learning rather than rigid sectoral action (Folke et al., 2005; Tyler &amp; Moench, 2012). GUCAR-DSF therefore treats implementation as an institutional process rather than the automatic consequence of technical analysis.</w:t>
      </w:r>
    </w:p>
    <w:p w14:paraId="48C31E0E"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seventh stage is monitoring, through which the actual effects of interventions are assessed. Monitoring may combine updated satellite observations, environmental indicators, infrastructure records, project data, and community feedback. The central question is whether vulnerability has genuinely declined. For example, a completed drainage project should not be evaluated only by whether construction has finished, but by whether recurrent inundation has decreased. Likewise, urban greening should be assessed not solely by the number of trees planted, but by survival, canopy development, thermal effect, spatial distribution, and benefits to vulnerable populations.</w:t>
      </w:r>
    </w:p>
    <w:p w14:paraId="0064E1C5"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 xml:space="preserve">The eighth stage is learning, where monitoring results are interpreted and fed back into the framework. Successful interventions may be expanded or adapted to other locations. Poorly performing measures may require redesign. Emerging risks may alter priorities. Community </w:t>
      </w:r>
      <w:r w:rsidRPr="00A97667">
        <w:rPr>
          <w:rFonts w:ascii="Times New Roman" w:eastAsia="Times New Roman" w:hAnsi="Times New Roman" w:cs="Times New Roman"/>
          <w:sz w:val="24"/>
          <w:szCs w:val="24"/>
        </w:rPr>
        <w:lastRenderedPageBreak/>
        <w:t>experience may reveal previously overlooked constraints. This stage is fundamental because adaptation unfolds under uncertainty and cannot depend on the assumption that initial decisions will remain optimal indefinitely. Resilience thinking therefore emphasises the ability to learn, adjust, and where necessary transform in response to changing conditions (Meerow et al., 2016).</w:t>
      </w:r>
    </w:p>
    <w:p w14:paraId="3935FE83"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adaptive feedback mechanism distinguishes GUCAR-DSF from static planning approaches. Monitoring can trigger renewed observation; new observations can require revised indicators; changing vulnerability can modify intervention priorities; and implementation experience can reshape governance arrangements. Feedback may therefore occur across multiple stages rather than only at the end of the cycle. This creates a recursive system in which urban climate planning is continually updated.</w:t>
      </w:r>
    </w:p>
    <w:p w14:paraId="6771A70E"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Such logic is particularly important in developing cities, where data gaps, institutional limitations, financial constraints, and rapid urban change make perfect information impossible. Rather than delaying action until complete knowledge is available, GUCAR-DSF supports phased decisions that can be revised as new evidence emerges. This creates an approach that is simultaneously evidence-based and adaptive.</w:t>
      </w:r>
    </w:p>
    <w:p w14:paraId="0E22A68C"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broader significance of the evidence-to-action cycle lies in its ability to bridge the persistent gap between technical knowledge and practical planning. Geospatial evidence identifies changing conditions; diagnosis reveals interacting risks; vulnerability assessment identifies unequal burdens; prioritisation converts knowledge into choices; implementation mobilises institutions; monitoring evaluates outcomes; and learning updates future decisions. The framework therefore treats adaptation not as a finished plan but as a continuously evolving process of informed action and institutional learning.</w:t>
      </w:r>
    </w:p>
    <w:p w14:paraId="21787D17" w14:textId="586002F2" w:rsidR="00CF5A18" w:rsidRDefault="00CF5A18" w:rsidP="00CF5A18">
      <w:pPr>
        <w:spacing w:after="0"/>
        <w:jc w:val="both"/>
        <w:rPr>
          <w:sz w:val="24"/>
          <w:szCs w:val="24"/>
        </w:rPr>
      </w:pPr>
    </w:p>
    <w:p w14:paraId="4D7A5AA9" w14:textId="77777777" w:rsidR="0052752F" w:rsidRPr="00A97667" w:rsidRDefault="0052752F" w:rsidP="0052752F">
      <w:pPr>
        <w:spacing w:after="0" w:line="240" w:lineRule="auto"/>
        <w:jc w:val="both"/>
        <w:outlineLvl w:val="0"/>
        <w:rPr>
          <w:rFonts w:ascii="Times New Roman" w:eastAsia="Times New Roman" w:hAnsi="Times New Roman" w:cs="Times New Roman"/>
          <w:b/>
          <w:bCs/>
          <w:kern w:val="36"/>
          <w:sz w:val="24"/>
          <w:szCs w:val="24"/>
        </w:rPr>
      </w:pPr>
      <w:r w:rsidRPr="00A97667">
        <w:rPr>
          <w:rFonts w:ascii="Times New Roman" w:eastAsia="Times New Roman" w:hAnsi="Times New Roman" w:cs="Times New Roman"/>
          <w:b/>
          <w:bCs/>
          <w:kern w:val="36"/>
          <w:sz w:val="24"/>
          <w:szCs w:val="24"/>
        </w:rPr>
        <w:t>6. Application to Climate-Resilient Urban Planning</w:t>
      </w:r>
    </w:p>
    <w:p w14:paraId="69F4EAEC"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practical relevance of the Geospatial Urban Climate Adaptation and Resilience Decision-Support Framework (GUCAR-DSF) lies in its capacity to connect spatial evidence with concrete urban planning decisions. Climate-resilient planning requires more than identifying areas exposed to hazards; it requires understanding how environmental change, land-use dynamics, infrastructure, social vulnerability, and institutional capacity interact, and then translating that understanding into targeted interventions. GUCAR-DSF provides a structured pathway for this translation by linking observation, geospatial analysis, multi-hazard diagnostics, vulnerability assessment, adaptation prioritisation, implementation, monitoring, and learning.</w:t>
      </w:r>
    </w:p>
    <w:p w14:paraId="73E53E4B"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One important area of application is urban heat adaptation. Rapid expansion of built-up areas, declining vegetation, dense development, and increasing imperviousness can intensify local thermal stress. Through the integration of land surface temperature, vegetation indices, built-up indicators, population density, housing characteristics, and access to services, GUCAR-DSF can identify neighbourhoods where environmental exposure and social vulnerability converge. This allows planners to move beyond citywide heat averages towards spatially differentiated intervention. Priority responses may include urban tree-canopy expansion, cooling corridors, shaded public spaces, reflective materials, heat-sensitive building design, public-health preparedness, and targeted support for highly exposed populations. The framework can also monitor whether interventions produce measurable changes in vegetation cover, thermal conditions, or access to cooling benefits.</w:t>
      </w:r>
    </w:p>
    <w:p w14:paraId="3C93A5ED"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 xml:space="preserve">A second major application concerns urban flooding and stormwater management. Flood vulnerability is shaped by the interaction of rainfall, topography, impervious surfaces, drainage capacity, land-use change, settlement location, and infrastructure condition. GUCAR-DSF can </w:t>
      </w:r>
      <w:r w:rsidRPr="00A97667">
        <w:rPr>
          <w:rFonts w:ascii="Times New Roman" w:eastAsia="Times New Roman" w:hAnsi="Times New Roman" w:cs="Times New Roman"/>
          <w:sz w:val="24"/>
          <w:szCs w:val="24"/>
        </w:rPr>
        <w:lastRenderedPageBreak/>
        <w:t>integrate these variables to identify low-lying zones, runoff concentration areas, recurrent inundation pathways, drainage deficits, and populations with limited recovery capacity. This supports more strategic decisions about sustainable drainage, retention and detention systems, wetland protection, floodplain management, drainage upgrading, land-use control, and early warning. Rather than treating flooding solely as an engineering problem, the framework encourages the combination of infrastructural, ecological, regulatory, and social measures.</w:t>
      </w:r>
    </w:p>
    <w:p w14:paraId="0751577B"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framework is particularly useful for analysing the heat–flood nexus because both hazards may be intensified by common development processes. Expansion of impervious surfaces increases heat storage while reducing infiltration, and vegetation loss weakens both evaporative cooling and rainfall interception. In such settings, single-purpose interventions may be inefficient. GUCAR-DSF can identify compound-risk hotspots and support multi-benefit responses such as blue-green infrastructure, urban forests, permeable landscapes, wetland restoration, and integrated neighbourhood upgrading. The objective is to select adaptation portfolios capable of addressing interacting risks rather than treating each hazard independently.</w:t>
      </w:r>
    </w:p>
    <w:p w14:paraId="5695D01D"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A further application lies in risk-informed land-use planning. Urban development decisions can lock vulnerability into the built environment for decades. Expansion into wetlands, floodplains, riparian corridors, steep terrain, or environmentally sensitive areas may increase long-term exposure while degrading natural resilience functions. Through scenario analysis and change detection, GUCAR-DSF can reveal where urban growth is occurring, where ecological buffers are being lost, and how alternative development pathways may influence future risk. This evidence can support zoning, development control, conservation planning, strategic densification, infrastructure sequencing, and the identification of areas where expansion should be restricted or redirected.</w:t>
      </w:r>
    </w:p>
    <w:p w14:paraId="4C5DDED9"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framework can also strengthen the planning of Nature-Based Solutions and ecosystem restoration. Urban forests, wetlands, riparian buffers, green corridors, bioswales, and permeable surfaces can provide cooling, stormwater retention, biodiversity, and public-space benefits. However, their effectiveness depends on location, ecological suitability, maintenance, and connectivity. GUCAR-DSF can help identify where ecosystem-based interventions are likely to generate the greatest resilience value by integrating heat exposure, flood susceptibility, vegetation deficits, ecosystem condition, population density, and social vulnerability. This supports more strategic placement of Nature-Based Solutions and reduces the risk of symbolic or poorly targeted greening.</w:t>
      </w:r>
    </w:p>
    <w:p w14:paraId="483AFD67"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Another important area is informal settlements and socially differentiated vulnerability. In many developing cities, high-risk populations live in areas characterised by insecure tenure, inadequate drainage, poor housing quality, limited green space, and restricted access to services. Conventional hazard mapping may identify environmental exposure without fully capturing these social conditions. GUCAR-DSF incorporates vulnerability and adaptive capacity so that planning priorities reflect not only where hazards are severe but also where people have the least capacity to cope. This can support settlement upgrading, targeted infrastructure, emergency access, social protection, health interventions, and participatory adaptation planning.</w:t>
      </w:r>
    </w:p>
    <w:p w14:paraId="1A1838B4"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framework is also relevant to critical infrastructure and service continuity. Climate hazards can disrupt transport, electricity, water supply, health facilities, schools, communications, and emergency services. By integrating hazard surfaces with infrastructure networks and service dependencies, GUCAR-DSF can identify assets whose failure may generate wider cascading consequences. This supports resilience investment, redundancy planning, maintenance prioritisation, emergency access, and protection of essential services.</w:t>
      </w:r>
    </w:p>
    <w:p w14:paraId="2E441487"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lastRenderedPageBreak/>
        <w:t>At the institutional level, GUCAR-DSF can support investment prioritisation and interagency coordination. Because adaptation resources are often limited, decision-makers need transparent ways to compare locations and intervention options. Spatial evidence can help identify where risk concentration, vulnerability, ecosystem loss, and infrastructure deficits justify urgent investment. The framework can also provide a shared evidence base for planning authorities, environmental agencies, disaster managers, utilities, health institutions, researchers, and communities. Such integration is particularly valuable where responsibilities are fragmented across organisations.</w:t>
      </w:r>
    </w:p>
    <w:p w14:paraId="04D44F4C"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modular character of GUCAR-DSF makes it relevant to cities with different levels of data availability and institutional capacity. Data-rich metropolitan areas may integrate high-resolution imagery, sensor networks, detailed infrastructure inventories, and advanced modelling. Resource-constrained cities may rely on open satellite data, freely available climate products, participatory mapping, and open-source GIS. The framework therefore does not prescribe a single technological standard. Its value lies in maintaining the logic of evidence-to-action integration even where the sophistication of individual tools differs.</w:t>
      </w:r>
    </w:p>
    <w:p w14:paraId="5FF2B853"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Ultimately, the application of GUCAR-DSF to climate-resilient urban planning is based on a shift from generic adaptation to spatially targeted, socially differentiated, and continuously evaluated action. It helps planners ask not only what climate risks exist, but where they are intensifying, who is most vulnerable, which interventions are most appropriate, how implementation should be coordinated, and whether outcomes are improving over time. In this way, the framework provides a practical basis for linking geospatial intelligence with planning, governance, and adaptive learning.</w:t>
      </w:r>
    </w:p>
    <w:p w14:paraId="7D963E50" w14:textId="77777777" w:rsidR="0052752F" w:rsidRPr="00A97667" w:rsidRDefault="0052752F" w:rsidP="0052752F">
      <w:pPr>
        <w:spacing w:after="0"/>
        <w:jc w:val="both"/>
        <w:rPr>
          <w:sz w:val="24"/>
          <w:szCs w:val="24"/>
        </w:rPr>
      </w:pPr>
    </w:p>
    <w:p w14:paraId="3EC9776A" w14:textId="77777777" w:rsidR="0052752F" w:rsidRPr="00A97667" w:rsidRDefault="0052752F" w:rsidP="0052752F">
      <w:pPr>
        <w:spacing w:after="0" w:line="240" w:lineRule="auto"/>
        <w:jc w:val="both"/>
        <w:outlineLvl w:val="0"/>
        <w:rPr>
          <w:rFonts w:ascii="Times New Roman" w:eastAsia="Times New Roman" w:hAnsi="Times New Roman" w:cs="Times New Roman"/>
          <w:b/>
          <w:bCs/>
          <w:kern w:val="36"/>
          <w:sz w:val="24"/>
          <w:szCs w:val="24"/>
        </w:rPr>
      </w:pPr>
      <w:r w:rsidRPr="00A97667">
        <w:rPr>
          <w:rFonts w:ascii="Times New Roman" w:eastAsia="Times New Roman" w:hAnsi="Times New Roman" w:cs="Times New Roman"/>
          <w:b/>
          <w:bCs/>
          <w:kern w:val="36"/>
          <w:sz w:val="24"/>
          <w:szCs w:val="24"/>
        </w:rPr>
        <w:t>7. Transferability, Limitations and Validation Agenda</w:t>
      </w:r>
    </w:p>
    <w:p w14:paraId="51F703EF"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Geospatial Urban Climate Adaptation and Resilience Decision-Support Framework (GUCAR-DSF) is designed as a flexible and transferable architecture rather than a universally standardised model. Its eight components provide a common decision logic, but their operationalisation should vary according to climatic conditions, urban form, data availability, institutional capacity, socio-economic characteristics, and planning priorities. This flexibility is important because climate risks differ substantially across cities. Coastal settlements may prioritise sea-level rise, storm surge, and drainage failure; dryland cities may focus on extreme heat, drought, water insecurity, and land degradation; while rapidly expanding inland cities may confront compound heat, flooding, infrastructure deficits, and ecosystem loss. The framework therefore maintains a stable evidence-to-action structure while allowing indicators, analytical methods, governance arrangements, and adaptation options to be locally configured.</w:t>
      </w:r>
    </w:p>
    <w:p w14:paraId="0C5ECD48"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Transferability is also supported by the modular character of GUCAR-DSF. Cities with advanced data infrastructures may integrate high-resolution satellite imagery, sensor networks, detailed cadastral information, real-time climate observations, and sophisticated scenario modelling. Resource-constrained municipalities may rely on open Landsat and Sentinel data, freely available climate products, participatory mapping, administrative records, and open-source GIS. The framework does not require every component to be technologically complex from the outset. Instead, it allows progressive adoption in which analytical capability can expand as data systems, institutional coordination, and technical expertise improve. This is particularly relevant to developing cities, where adaptation planning often proceeds under conditions of incomplete information.</w:t>
      </w:r>
    </w:p>
    <w:p w14:paraId="2BF5F463"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Despite this potential, several limitations must be acknowledged. First, GUCAR-DSF is presently a conceptual decision-support architecture and has not yet been empirically validated through full-</w:t>
      </w:r>
      <w:r w:rsidRPr="00A97667">
        <w:rPr>
          <w:rFonts w:ascii="Times New Roman" w:eastAsia="Times New Roman" w:hAnsi="Times New Roman" w:cs="Times New Roman"/>
          <w:sz w:val="24"/>
          <w:szCs w:val="24"/>
        </w:rPr>
        <w:lastRenderedPageBreak/>
        <w:t>scale implementation in a specific city. Its analytical coherence does not automatically demonstrate operational effectiveness. Future application is therefore required to determine whether the framework improves risk identification, intervention targeting, institutional coordination, investment prioritisation, and adaptation outcomes in practice.</w:t>
      </w:r>
    </w:p>
    <w:p w14:paraId="15AD3A68"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Second, the quality of framework outputs depends partly on the quality of underlying data. Satellite imagery, climate datasets, infrastructure inventories, demographic records, and socio-economic indicators may differ in spatial resolution, temporal consistency, completeness, and reliability. Informal settlements and marginalised populations are frequently underrepresented in official databases, while local drainage conditions, infrastructure failures, or recurrent exposure pathways may not be visible in remotely sensed data alone. GUCAR-DSF therefore requires triangulation among geospatial evidence, field observations, institutional records, and participatory knowledge.</w:t>
      </w:r>
    </w:p>
    <w:p w14:paraId="31A6635A"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Third, methodological uncertainty is unavoidable. Hazard models, vulnerability indices, indicator weighting, Multi-Criteria Decision Analysis, and scenario assumptions can produce different results depending on variable selection, data processing, thresholds, and analytical design. Spatial precision should therefore not be confused with certainty. Transparent documentation, sensitivity analysis, uncertainty communication, stakeholder review, and empirical validation are necessary to prevent decision-support tools from presenting contestable assumptions as objective conclusions.</w:t>
      </w:r>
    </w:p>
    <w:p w14:paraId="573E36AE"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A fourth limitation concerns institutional and political feasibility. Integrated analysis may identify technically appropriate adaptation priorities, yet implementation can be constrained by fragmented mandates, limited finance, weak enforcement, land-tenure disputes, political interests, or insufficient maintenance capacity. Adaptive governance literature emphasises the importance of coordination, participation, and learning, but these capacities cannot be assumed to exist simply because a framework recommends them (Folke et al., 2005; Tyler &amp; Moench, 2012). GUCAR-DSF must therefore be understood as supporting decision processes rather than eliminating political and institutional constraints.</w:t>
      </w:r>
    </w:p>
    <w:p w14:paraId="08C499E4"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A further concern relates to the risk of technological overreach. Increasing use of artificial intelligence, machine learning, cloud computing, automated classification, and real-time monitoring may enhance analytical capability, but complex technology can also reduce transparency or create dependence on expertise and infrastructure that local institutions cannot sustain. The framework should therefore favour technological appropriateness, interpretability, affordability, and long-term usability rather than analytical sophistication for its own sake.</w:t>
      </w:r>
    </w:p>
    <w:p w14:paraId="795069C9"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The validation agenda for GUCAR-DSF should proceed in stages. The first stage should involve retrospective validation, in which the framework is applied to cities with documented historical heat, flood, land-use, or infrastructure impacts. This would test whether the analytical sequence identifies known hotspots and vulnerable populations. The second stage should involve comparative pilot application across contrasting urban contexts, such as a rapidly growing inland city, a dryland city, and a flood-prone metropolitan area. Comparative testing would help distinguish transferable components from those requiring local adaptation.</w:t>
      </w:r>
    </w:p>
    <w:p w14:paraId="1CF7396F"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A third stage should focus on decision-process validation. This would examine whether GUCAR-DSF improves planning discussions, interagency coordination, transparency, and stakeholder participation compared with conventional approaches. Evaluation should therefore assess not only predictive accuracy but also institutional usability. A fourth stage should involve longitudinal monitoring, testing whether interventions prioritised through the framework produce measurable reductions in exposure or vulnerability over time.</w:t>
      </w:r>
    </w:p>
    <w:p w14:paraId="53632313"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lastRenderedPageBreak/>
        <w:t>Validation should also include explicit comparison with alternative decision-support approaches. The framework has not yet been formally benchmarked against other integrated urban resilience, spatial decision-support, or climate-adaptation models. Future research should therefore compare GUCAR-DSF with existing approaches using common criteria such as analytical integration, transparency, usability, equity, adaptability, implementation relevance, and monitoring capacity. This would provide a stronger basis for determining its distinctive contribution.</w:t>
      </w:r>
    </w:p>
    <w:p w14:paraId="1D45823F" w14:textId="77777777" w:rsidR="0052752F" w:rsidRPr="00A97667" w:rsidRDefault="0052752F" w:rsidP="0052752F">
      <w:pPr>
        <w:spacing w:after="0" w:line="240" w:lineRule="auto"/>
        <w:jc w:val="both"/>
        <w:rPr>
          <w:rFonts w:ascii="Times New Roman" w:eastAsia="Times New Roman" w:hAnsi="Times New Roman" w:cs="Times New Roman"/>
          <w:sz w:val="24"/>
          <w:szCs w:val="24"/>
        </w:rPr>
      </w:pPr>
      <w:r w:rsidRPr="00A97667">
        <w:rPr>
          <w:rFonts w:ascii="Times New Roman" w:eastAsia="Times New Roman" w:hAnsi="Times New Roman" w:cs="Times New Roman"/>
          <w:sz w:val="24"/>
          <w:szCs w:val="24"/>
        </w:rPr>
        <w:t>Ultimately, the transferability of GUCAR-DSF should not be judged by whether identical indicators or technologies can be reproduced everywhere. Its deeper transferability lies in the decision logic connecting observation, geospatial intelligence, multi-hazard diagnosis, vulnerability, prioritisation, implementation, monitoring, and learning. The framework should therefore evolve through empirical testing, local adaptation, comparative evaluation, and iterative refinement. Such an approach is consistent with the framework’s own philosophy: GUCAR-DSF should itself remain adaptive, evidence-responsive, and open to improvement as new knowledge and practical experience emerge.</w:t>
      </w:r>
    </w:p>
    <w:p w14:paraId="0EA26569" w14:textId="77777777" w:rsidR="0052752F" w:rsidRPr="00A97667" w:rsidRDefault="0052752F" w:rsidP="0052752F">
      <w:pPr>
        <w:spacing w:after="0"/>
        <w:jc w:val="both"/>
        <w:rPr>
          <w:sz w:val="24"/>
          <w:szCs w:val="24"/>
        </w:rPr>
      </w:pPr>
    </w:p>
    <w:p w14:paraId="6EEFAEBA" w14:textId="77777777" w:rsidR="000B3557" w:rsidRPr="000B3557" w:rsidRDefault="000B3557" w:rsidP="000B3557">
      <w:pPr>
        <w:pStyle w:val="Heading1"/>
        <w:spacing w:before="0"/>
        <w:jc w:val="both"/>
        <w:rPr>
          <w:b/>
          <w:bCs/>
          <w:color w:val="auto"/>
          <w:sz w:val="24"/>
          <w:szCs w:val="24"/>
        </w:rPr>
      </w:pPr>
      <w:r w:rsidRPr="000B3557">
        <w:rPr>
          <w:b/>
          <w:bCs/>
          <w:color w:val="auto"/>
          <w:sz w:val="24"/>
          <w:szCs w:val="24"/>
        </w:rPr>
        <w:t>8. Conclusion</w:t>
      </w:r>
    </w:p>
    <w:p w14:paraId="7C0F00CA" w14:textId="77777777" w:rsidR="000B3557" w:rsidRPr="00097999" w:rsidRDefault="000B3557" w:rsidP="000B3557">
      <w:pPr>
        <w:pStyle w:val="NormalWeb"/>
        <w:spacing w:before="0" w:beforeAutospacing="0" w:after="0" w:afterAutospacing="0"/>
        <w:jc w:val="both"/>
      </w:pPr>
      <w:r w:rsidRPr="00097999">
        <w:t>Urban climate adaptation increasingly requires planning approaches capable of responding to dynamic, spatially uneven, and interacting forms of risk. Rapid urbanisation, land-use transformation, ecosystem degradation, infrastructure deficits, and social inequality combine with climatic pressures to create patterns of vulnerability that cannot be adequately addressed through isolated hazard mapping, stand-alone vulnerability assessment, or fragmented adaptation projects. The central challenge is therefore not merely the generation of additional data, but the development of mechanisms capable of translating evidence into coordinated, prioritised, and continuously improving action.</w:t>
      </w:r>
    </w:p>
    <w:p w14:paraId="669E42E3" w14:textId="77777777" w:rsidR="000B3557" w:rsidRPr="00097999" w:rsidRDefault="000B3557" w:rsidP="000B3557">
      <w:pPr>
        <w:pStyle w:val="NormalWeb"/>
        <w:spacing w:before="0" w:beforeAutospacing="0" w:after="0" w:afterAutospacing="0"/>
        <w:jc w:val="both"/>
      </w:pPr>
      <w:r w:rsidRPr="00097999">
        <w:t xml:space="preserve">This paper has introduced </w:t>
      </w:r>
      <w:r w:rsidRPr="000B3557">
        <w:t>the</w:t>
      </w:r>
      <w:r w:rsidRPr="00097999">
        <w:rPr>
          <w:b/>
          <w:bCs/>
        </w:rPr>
        <w:t xml:space="preserve"> </w:t>
      </w:r>
      <w:r w:rsidRPr="00097999">
        <w:rPr>
          <w:rStyle w:val="Strong"/>
          <w:b w:val="0"/>
          <w:bCs w:val="0"/>
        </w:rPr>
        <w:t>Geospatial Urban Climate Adaptation and Resilience Decision-Support Framework (GUCAR-DSF)</w:t>
      </w:r>
      <w:r w:rsidRPr="00097999">
        <w:t xml:space="preserve"> as an original evidence-to-action architecture for climate-resilient urban planning. The framework integrates eight interconnected functions: climate and environmental observation; geospatial intelligence and indicator generation; multi-hazard diagnostics; vulnerability and adaptive-capacity assessment; adaptation option appraisal and prioritisation; governance, participation and implementation; monitoring, evaluation and adaptive learning; and decision-support communication and scaling. Its principal contribution lies in connecting these functions within a unified and iterative decision process rather than treating them as separate technical or institutional activities.</w:t>
      </w:r>
    </w:p>
    <w:p w14:paraId="6078E1E5" w14:textId="77777777" w:rsidR="000B3557" w:rsidRPr="00097999" w:rsidRDefault="000B3557" w:rsidP="000B3557">
      <w:pPr>
        <w:pStyle w:val="NormalWeb"/>
        <w:spacing w:before="0" w:beforeAutospacing="0" w:after="0" w:afterAutospacing="0"/>
        <w:jc w:val="both"/>
      </w:pPr>
      <w:r w:rsidRPr="00097999">
        <w:t>The GUCAR-DSF further advances an adaptive feedback logic in which implementation does not represent the endpoint of planning. Instead, monitoring outcomes generate new evidence, reveal changing vulnerabilities, expose implementation constraints, and inform subsequent observation, assessment, and prioritisation. This recursive relationship is particularly important under conditions of uncertainty, where climatic hazards, urban development patterns, ecosystem states, and institutional capacities continue to evolve.</w:t>
      </w:r>
    </w:p>
    <w:p w14:paraId="187EE975" w14:textId="77777777" w:rsidR="000B3557" w:rsidRPr="00097999" w:rsidRDefault="000B3557" w:rsidP="000B3557">
      <w:pPr>
        <w:pStyle w:val="NormalWeb"/>
        <w:spacing w:before="0" w:beforeAutospacing="0" w:after="0" w:afterAutospacing="0"/>
        <w:jc w:val="both"/>
      </w:pPr>
      <w:r w:rsidRPr="00097999">
        <w:t>The framework is intended to be flexible rather than universally prescriptive. Its indicators, analytical tools, governance arrangements, and adaptation options should be configured according to local conditions and available capacities. This makes it potentially relevant to both data-rich metropolitan regions and resource-constrained developing cities, provided that technological sophistication is matched with institutional usability, transparency, participation, and long-term maintenance.</w:t>
      </w:r>
    </w:p>
    <w:p w14:paraId="57CEEA1F" w14:textId="77777777" w:rsidR="000B3557" w:rsidRPr="00097999" w:rsidRDefault="000B3557" w:rsidP="000B3557">
      <w:pPr>
        <w:pStyle w:val="NormalWeb"/>
        <w:spacing w:before="0" w:beforeAutospacing="0" w:after="0" w:afterAutospacing="0"/>
        <w:jc w:val="both"/>
      </w:pPr>
      <w:r w:rsidRPr="00097999">
        <w:lastRenderedPageBreak/>
        <w:t>At the same time, GUCAR-DSF remains a conceptual framework requiring empirical validation, comparative testing, and iterative refinement. Future research should examine its performance across diverse urban contexts, assess whether it improves decision quality and implementation coordination, and evaluate whether interventions prioritised through the framework produce measurable reductions in exposure and vulnerability. Such validation is necessary before stronger claims of operational effectiveness can be made.</w:t>
      </w:r>
    </w:p>
    <w:p w14:paraId="37F87F14" w14:textId="77777777" w:rsidR="000B3557" w:rsidRPr="00097999" w:rsidRDefault="000B3557" w:rsidP="000B3557">
      <w:pPr>
        <w:pStyle w:val="NormalWeb"/>
        <w:spacing w:before="0" w:beforeAutospacing="0" w:after="0" w:afterAutospacing="0"/>
        <w:jc w:val="both"/>
      </w:pPr>
      <w:r w:rsidRPr="00097999">
        <w:t>Ultimately, the significance of GUCAR-DSF lies in its effort to bridge the persistent gap between climate knowledge and practical urban action. By linking geospatial intelligence with multi-hazard analysis, differentiated vulnerability, adaptation prioritisation, governance, implementation, and continuous learning, the framework provides a structured basis for moving from descriptive risk assessment towards proactive, equitable, and adaptive climate-resilient planning.</w:t>
      </w:r>
    </w:p>
    <w:p w14:paraId="532FF79C" w14:textId="77777777" w:rsidR="000B3557" w:rsidRPr="00A97667" w:rsidRDefault="000B3557" w:rsidP="000B3557"/>
    <w:p w14:paraId="765DF45F" w14:textId="77777777" w:rsidR="0052752F" w:rsidRPr="00AC0C6D" w:rsidRDefault="0052752F" w:rsidP="00CF5A18">
      <w:pPr>
        <w:spacing w:after="0"/>
        <w:jc w:val="both"/>
        <w:rPr>
          <w:sz w:val="24"/>
          <w:szCs w:val="24"/>
        </w:rPr>
      </w:pPr>
    </w:p>
    <w:p w14:paraId="44B0B9D0" w14:textId="77777777" w:rsidR="00CF5A18" w:rsidRPr="00AC0C6D" w:rsidRDefault="00CF5A18" w:rsidP="00A2129D">
      <w:pPr>
        <w:pStyle w:val="NormalWeb"/>
        <w:spacing w:before="0" w:beforeAutospacing="0" w:after="0" w:afterAutospacing="0" w:line="276" w:lineRule="auto"/>
        <w:jc w:val="both"/>
      </w:pPr>
    </w:p>
    <w:p w14:paraId="63725076" w14:textId="64EFE2BE" w:rsidR="00A2129D" w:rsidRDefault="00A2129D" w:rsidP="00E81FF0">
      <w:pPr>
        <w:spacing w:after="0" w:line="276" w:lineRule="auto"/>
        <w:ind w:firstLine="720"/>
        <w:jc w:val="both"/>
        <w:rPr>
          <w:rFonts w:ascii="Times New Roman" w:eastAsia="Times New Roman" w:hAnsi="Times New Roman" w:cs="Times New Roman"/>
          <w:sz w:val="24"/>
          <w:szCs w:val="24"/>
        </w:rPr>
      </w:pPr>
    </w:p>
    <w:p w14:paraId="61DA80B7" w14:textId="1688E9B0"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1D79CC6C" w14:textId="64A409A6"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04130AE9" w14:textId="69964BCF"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45E722C2" w14:textId="4F2D4F28"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184293D7" w14:textId="4D2E5E92"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06EEDB1D" w14:textId="1458935F"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251A60F4" w14:textId="00064863"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0C13A5FB" w14:textId="68D34182"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0B850FFC" w14:textId="0AC2EC33"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72EC1619" w14:textId="6618B869"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5D6793BF" w14:textId="699BED09"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1DE16CA1" w14:textId="6C1127B7"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692D7F67" w14:textId="117D903A"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1912B393" w14:textId="7D7FD236"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2BB04A38" w14:textId="251C0FB3"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40931933" w14:textId="663A84D4"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6E06A7E8" w14:textId="106468E5"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7718C52C" w14:textId="0C511ABB"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1E7B2139" w14:textId="74B63E67"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0E84E630" w14:textId="1B7F8127"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058A741D" w14:textId="2B951FD4"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12F2D0B3" w14:textId="083D1DDA"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2BAED7DD" w14:textId="6D9BFE71"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147D27FE" w14:textId="20740754"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1E49E301" w14:textId="13966DC4" w:rsidR="00E81FF0" w:rsidRDefault="00E81FF0" w:rsidP="00E81FF0">
      <w:pPr>
        <w:spacing w:after="0" w:line="276" w:lineRule="auto"/>
        <w:ind w:firstLine="720"/>
        <w:jc w:val="both"/>
        <w:rPr>
          <w:rFonts w:ascii="Times New Roman" w:eastAsia="Times New Roman" w:hAnsi="Times New Roman" w:cs="Times New Roman"/>
          <w:sz w:val="24"/>
          <w:szCs w:val="24"/>
        </w:rPr>
      </w:pPr>
    </w:p>
    <w:p w14:paraId="0CFDA7DC" w14:textId="77777777" w:rsidR="00E81FF0" w:rsidRPr="00AC0C6D" w:rsidRDefault="00E81FF0" w:rsidP="00E81FF0">
      <w:pPr>
        <w:spacing w:after="0" w:line="276" w:lineRule="auto"/>
        <w:ind w:firstLine="720"/>
        <w:jc w:val="both"/>
        <w:rPr>
          <w:rFonts w:ascii="Times New Roman" w:eastAsia="Times New Roman" w:hAnsi="Times New Roman" w:cs="Times New Roman"/>
          <w:sz w:val="24"/>
          <w:szCs w:val="24"/>
        </w:rPr>
      </w:pPr>
    </w:p>
    <w:p w14:paraId="24AF7CF5" w14:textId="77777777" w:rsidR="00A2129D" w:rsidRPr="00AC0C6D" w:rsidRDefault="00A2129D" w:rsidP="00A2129D">
      <w:pPr>
        <w:spacing w:before="100" w:beforeAutospacing="1" w:after="100" w:afterAutospacing="1" w:line="240" w:lineRule="auto"/>
        <w:outlineLvl w:val="1"/>
        <w:rPr>
          <w:rFonts w:ascii="Times New Roman" w:eastAsia="Times New Roman" w:hAnsi="Times New Roman" w:cs="Times New Roman"/>
          <w:b/>
          <w:bCs/>
          <w:sz w:val="24"/>
          <w:szCs w:val="24"/>
        </w:rPr>
      </w:pPr>
      <w:r w:rsidRPr="00AC0C6D">
        <w:rPr>
          <w:rFonts w:ascii="Times New Roman" w:eastAsia="Times New Roman" w:hAnsi="Times New Roman" w:cs="Times New Roman"/>
          <w:b/>
          <w:bCs/>
          <w:sz w:val="24"/>
          <w:szCs w:val="24"/>
        </w:rPr>
        <w:lastRenderedPageBreak/>
        <w:t>REFERENCES</w:t>
      </w:r>
    </w:p>
    <w:p w14:paraId="5032EFE1" w14:textId="77777777" w:rsidR="00CF5A18" w:rsidRDefault="00CF5A18" w:rsidP="00CF5A18">
      <w:pPr>
        <w:pStyle w:val="NormalWeb"/>
      </w:pPr>
      <w:r>
        <w:t xml:space="preserve">Intergovernmental Panel on Climate Change. (2023). </w:t>
      </w:r>
      <w:r>
        <w:rPr>
          <w:rStyle w:val="Emphasis"/>
        </w:rPr>
        <w:t>Climate change 2023: Synthesis report</w:t>
      </w:r>
      <w:r>
        <w:t xml:space="preserve">. IPCC. </w:t>
      </w:r>
      <w:hyperlink r:id="rId11" w:history="1">
        <w:r>
          <w:rPr>
            <w:rStyle w:val="Hyperlink"/>
            <w:rFonts w:eastAsiaTheme="majorEastAsia"/>
          </w:rPr>
          <w:t>https://doi.org/10.59327/IPCC/AR6-9789291691647</w:t>
        </w:r>
      </w:hyperlink>
    </w:p>
    <w:p w14:paraId="4D29591D" w14:textId="77777777" w:rsidR="00CF5A18" w:rsidRDefault="00CF5A18" w:rsidP="00CF5A18">
      <w:pPr>
        <w:pStyle w:val="NormalWeb"/>
      </w:pPr>
      <w:r>
        <w:t xml:space="preserve">Folke, C., Hahn, T., Olsson, P., &amp; Norberg, J. (2005). Adaptive governance of social-ecological systems. </w:t>
      </w:r>
      <w:r>
        <w:rPr>
          <w:rStyle w:val="Emphasis"/>
        </w:rPr>
        <w:t>Annual Review of Environment and Resources, 30</w:t>
      </w:r>
      <w:r>
        <w:t xml:space="preserve">, 441–473. </w:t>
      </w:r>
      <w:hyperlink r:id="rId12" w:history="1">
        <w:r>
          <w:rPr>
            <w:rStyle w:val="Hyperlink"/>
            <w:rFonts w:eastAsiaTheme="majorEastAsia"/>
          </w:rPr>
          <w:t>https://doi.org/10.1146/annurev.energy.30.050504.144511</w:t>
        </w:r>
      </w:hyperlink>
    </w:p>
    <w:p w14:paraId="464C8739" w14:textId="77777777" w:rsidR="00CF5A18" w:rsidRDefault="00CF5A18" w:rsidP="00CF5A18">
      <w:pPr>
        <w:pStyle w:val="NormalWeb"/>
      </w:pPr>
      <w:r>
        <w:t xml:space="preserve">Goodchild, M. F. (2020). GIS and spatial analysis in the era of big data. </w:t>
      </w:r>
      <w:r>
        <w:rPr>
          <w:rStyle w:val="Emphasis"/>
        </w:rPr>
        <w:t>International Journal of Geographical Information Science, 34</w:t>
      </w:r>
      <w:r>
        <w:t xml:space="preserve">(9), 1741–1745. </w:t>
      </w:r>
      <w:hyperlink r:id="rId13" w:history="1">
        <w:r>
          <w:rPr>
            <w:rStyle w:val="Hyperlink"/>
            <w:rFonts w:eastAsiaTheme="majorEastAsia"/>
          </w:rPr>
          <w:t>https://doi.org/10.1080/13658816.2020.1745504</w:t>
        </w:r>
      </w:hyperlink>
    </w:p>
    <w:p w14:paraId="00EC7FCF" w14:textId="77777777" w:rsidR="00CF5A18" w:rsidRDefault="00CF5A18" w:rsidP="00CF5A18">
      <w:pPr>
        <w:pStyle w:val="NormalWeb"/>
      </w:pPr>
      <w:r>
        <w:t xml:space="preserve">Longley, P. A., Goodchild, M. F., Maguire, D. J., &amp; Rhind, D. W. (2021). </w:t>
      </w:r>
      <w:r>
        <w:rPr>
          <w:rStyle w:val="Emphasis"/>
        </w:rPr>
        <w:t>Geographic information science and systems</w:t>
      </w:r>
      <w:r>
        <w:t xml:space="preserve"> (5th ed.). Wiley.</w:t>
      </w:r>
    </w:p>
    <w:p w14:paraId="0BEFE379" w14:textId="77777777" w:rsidR="00CF5A18" w:rsidRDefault="00CF5A18" w:rsidP="00CF5A18">
      <w:pPr>
        <w:pStyle w:val="NormalWeb"/>
      </w:pPr>
      <w:r>
        <w:t xml:space="preserve">Meerow, S., Newell, J. P., &amp; Stults, M. (2016). Defining urban resilience: A review. </w:t>
      </w:r>
      <w:r>
        <w:rPr>
          <w:rStyle w:val="Emphasis"/>
        </w:rPr>
        <w:t>Landscape and Urban Planning, 147</w:t>
      </w:r>
      <w:r>
        <w:t xml:space="preserve">, 38–49. </w:t>
      </w:r>
      <w:hyperlink r:id="rId14" w:history="1">
        <w:r>
          <w:rPr>
            <w:rStyle w:val="Hyperlink"/>
            <w:rFonts w:eastAsiaTheme="majorEastAsia"/>
          </w:rPr>
          <w:t>https://doi.org/10.1016/j.landurbplan.2015.11.011</w:t>
        </w:r>
      </w:hyperlink>
    </w:p>
    <w:p w14:paraId="0CF64013" w14:textId="77777777" w:rsidR="00CF5A18" w:rsidRDefault="00CF5A18" w:rsidP="00CF5A18">
      <w:pPr>
        <w:pStyle w:val="NormalWeb"/>
      </w:pPr>
      <w:r>
        <w:t xml:space="preserve">Tamiminia, H., Salehi, B., Mahdianpari, M., Quackenbush, L., Adeli, S., &amp; Brisco, B. (2020). Google Earth Engine for geo-big data applications: A meta-analysis and systematic review. </w:t>
      </w:r>
      <w:r>
        <w:rPr>
          <w:rStyle w:val="Emphasis"/>
        </w:rPr>
        <w:t>ISPRS Journal of Photogrammetry and Remote Sensing, 164</w:t>
      </w:r>
      <w:r>
        <w:t xml:space="preserve">, 152–170. </w:t>
      </w:r>
      <w:hyperlink r:id="rId15" w:history="1">
        <w:r>
          <w:rPr>
            <w:rStyle w:val="Hyperlink"/>
            <w:rFonts w:eastAsiaTheme="majorEastAsia"/>
          </w:rPr>
          <w:t>https://doi.org/10.1016/j.isprsjprs.2020.04.001</w:t>
        </w:r>
      </w:hyperlink>
    </w:p>
    <w:p w14:paraId="5E04D0D6" w14:textId="77777777" w:rsidR="00CF5A18" w:rsidRDefault="00CF5A18" w:rsidP="00CF5A18">
      <w:pPr>
        <w:pStyle w:val="NormalWeb"/>
      </w:pPr>
      <w:r>
        <w:t xml:space="preserve">Tyler, S., &amp; Moench, M. (2012). A framework for urban climate resilience. </w:t>
      </w:r>
      <w:r>
        <w:rPr>
          <w:rStyle w:val="Emphasis"/>
        </w:rPr>
        <w:t>Climate and Development, 4</w:t>
      </w:r>
      <w:r>
        <w:t xml:space="preserve">(4), 311–326. </w:t>
      </w:r>
      <w:hyperlink r:id="rId16" w:history="1">
        <w:r>
          <w:rPr>
            <w:rStyle w:val="Hyperlink"/>
            <w:rFonts w:eastAsiaTheme="majorEastAsia"/>
          </w:rPr>
          <w:t>https://doi.org/10.1080/17565529.2012.745389</w:t>
        </w:r>
      </w:hyperlink>
    </w:p>
    <w:p w14:paraId="3D51F223" w14:textId="5FC2D265" w:rsidR="00A2129D" w:rsidRDefault="00A2129D" w:rsidP="00A2129D">
      <w:pPr>
        <w:pStyle w:val="NormalWeb"/>
      </w:pPr>
      <w:r>
        <w:t xml:space="preserve">Folke, C., Hahn, T., Olsson, P., &amp; Norberg, J. (2005). Adaptive governance of social-ecological systems. </w:t>
      </w:r>
      <w:r>
        <w:rPr>
          <w:rStyle w:val="Emphasis"/>
        </w:rPr>
        <w:t>Annual Review of Environment and Resources, 30</w:t>
      </w:r>
      <w:r>
        <w:t xml:space="preserve">, 441–473. </w:t>
      </w:r>
      <w:hyperlink r:id="rId17" w:history="1">
        <w:r>
          <w:rPr>
            <w:rStyle w:val="Hyperlink"/>
            <w:rFonts w:eastAsiaTheme="majorEastAsia"/>
          </w:rPr>
          <w:t>https://doi.org/10.1146/annurev.energy.30.050504.144511</w:t>
        </w:r>
      </w:hyperlink>
    </w:p>
    <w:p w14:paraId="0BC30CD3" w14:textId="77777777" w:rsidR="00A2129D" w:rsidRDefault="00A2129D" w:rsidP="00A2129D">
      <w:pPr>
        <w:pStyle w:val="NormalWeb"/>
      </w:pPr>
      <w:r>
        <w:t xml:space="preserve">Folke, C., Polasky, S., Rockström, J., Galaz, V., Westley, F., Lamont, M., Scheffer, M., Österblom, H., Carpenter, S. R., Chapin, F. S., III, Seto, K. C., Weber, E. U., Crona, B. I., Daily, G. C., Dasgupta, P., Gaffney, O., Gordon, L. J., Hoff, H., Levin, S. A., ... Walker, B. H. (2021). Our future in the Anthropocene biosphere. </w:t>
      </w:r>
      <w:r>
        <w:rPr>
          <w:rStyle w:val="Emphasis"/>
        </w:rPr>
        <w:t>Ambio, 50</w:t>
      </w:r>
      <w:r>
        <w:t xml:space="preserve">(4), 834–869. </w:t>
      </w:r>
      <w:hyperlink r:id="rId18" w:history="1">
        <w:r>
          <w:rPr>
            <w:rStyle w:val="Hyperlink"/>
            <w:rFonts w:eastAsiaTheme="majorEastAsia"/>
          </w:rPr>
          <w:t>https://doi.org/10.1007/s13280-021-01544-8</w:t>
        </w:r>
      </w:hyperlink>
    </w:p>
    <w:p w14:paraId="54CFA18A" w14:textId="77777777" w:rsidR="00A2129D" w:rsidRDefault="00A2129D" w:rsidP="00A2129D">
      <w:pPr>
        <w:pStyle w:val="NormalWeb"/>
      </w:pPr>
      <w:r>
        <w:t xml:space="preserve">Goodchild, M. F. (2020). GIS and spatial analysis in the era of big data. </w:t>
      </w:r>
      <w:r>
        <w:rPr>
          <w:rStyle w:val="Emphasis"/>
        </w:rPr>
        <w:t>International Journal of Geographical Information Science, 34</w:t>
      </w:r>
      <w:r>
        <w:t xml:space="preserve">(9), 1741–1745. </w:t>
      </w:r>
      <w:hyperlink r:id="rId19" w:history="1">
        <w:r>
          <w:rPr>
            <w:rStyle w:val="Hyperlink"/>
            <w:rFonts w:eastAsiaTheme="majorEastAsia"/>
          </w:rPr>
          <w:t>https://doi.org/10.1080/13658816.2020.1745504</w:t>
        </w:r>
      </w:hyperlink>
    </w:p>
    <w:p w14:paraId="3C750F63" w14:textId="77777777" w:rsidR="00A2129D" w:rsidRDefault="00A2129D" w:rsidP="00A2129D">
      <w:pPr>
        <w:pStyle w:val="NormalWeb"/>
      </w:pPr>
      <w:r>
        <w:t xml:space="preserve">Longley, P. A., Goodchild, M. F., Maguire, D. J., &amp; Rhind, D. W. (2021). </w:t>
      </w:r>
      <w:r>
        <w:rPr>
          <w:rStyle w:val="Emphasis"/>
        </w:rPr>
        <w:t>Geographic information science and systems</w:t>
      </w:r>
      <w:r>
        <w:t xml:space="preserve"> (5th ed.). Wiley.</w:t>
      </w:r>
    </w:p>
    <w:p w14:paraId="71DC2426" w14:textId="77777777" w:rsidR="00A2129D" w:rsidRDefault="00A2129D" w:rsidP="00A2129D">
      <w:pPr>
        <w:pStyle w:val="NormalWeb"/>
      </w:pPr>
      <w:r>
        <w:t xml:space="preserve">Meerow, S., Newell, J. P., &amp; Stults, M. (2016). Defining urban resilience: A review. </w:t>
      </w:r>
      <w:r>
        <w:rPr>
          <w:rStyle w:val="Emphasis"/>
        </w:rPr>
        <w:t>Landscape and Urban Planning, 147</w:t>
      </w:r>
      <w:r>
        <w:t xml:space="preserve">, 38–49. </w:t>
      </w:r>
      <w:hyperlink r:id="rId20" w:history="1">
        <w:r>
          <w:rPr>
            <w:rStyle w:val="Hyperlink"/>
            <w:rFonts w:eastAsiaTheme="majorEastAsia"/>
          </w:rPr>
          <w:t>https://doi.org/10.1016/j.landurbplan.2015.11.011</w:t>
        </w:r>
      </w:hyperlink>
    </w:p>
    <w:p w14:paraId="2563C82F" w14:textId="77777777" w:rsidR="00A2129D" w:rsidRDefault="00A2129D" w:rsidP="00A2129D">
      <w:pPr>
        <w:pStyle w:val="NormalWeb"/>
      </w:pPr>
      <w:r>
        <w:lastRenderedPageBreak/>
        <w:t xml:space="preserve">Tamiminia, H., Salehi, B., Mahdianpari, M., Quackenbush, L., Adeli, S., &amp; Brisco, B. (2020). Google Earth Engine for geo-big data applications: A meta-analysis and systematic review. </w:t>
      </w:r>
      <w:r>
        <w:rPr>
          <w:rStyle w:val="Emphasis"/>
        </w:rPr>
        <w:t>ISPRS Journal of Photogrammetry and Remote Sensing, 164</w:t>
      </w:r>
      <w:r>
        <w:t xml:space="preserve">, 152–170. </w:t>
      </w:r>
      <w:hyperlink r:id="rId21" w:history="1">
        <w:r>
          <w:rPr>
            <w:rStyle w:val="Hyperlink"/>
            <w:rFonts w:eastAsiaTheme="majorEastAsia"/>
          </w:rPr>
          <w:t>https://doi.org/10.1016/j.isprsjprs.2020.04.001</w:t>
        </w:r>
      </w:hyperlink>
    </w:p>
    <w:p w14:paraId="000368A7" w14:textId="77777777" w:rsidR="00A2129D" w:rsidRDefault="00A2129D" w:rsidP="00A2129D">
      <w:pPr>
        <w:pStyle w:val="NormalWeb"/>
      </w:pPr>
      <w:r>
        <w:t xml:space="preserve">Tyler, S., &amp; Moench, M. (2012). A framework for urban climate resilience. </w:t>
      </w:r>
      <w:r>
        <w:rPr>
          <w:rStyle w:val="Emphasis"/>
        </w:rPr>
        <w:t>Climate and Development, 4</w:t>
      </w:r>
      <w:r>
        <w:t xml:space="preserve">(4), 311–326. </w:t>
      </w:r>
      <w:hyperlink r:id="rId22" w:history="1">
        <w:r>
          <w:rPr>
            <w:rStyle w:val="Hyperlink"/>
            <w:rFonts w:eastAsiaTheme="majorEastAsia"/>
          </w:rPr>
          <w:t>https://doi.org/10.1080/17565529.2012.745389</w:t>
        </w:r>
      </w:hyperlink>
    </w:p>
    <w:p w14:paraId="7B598CF4" w14:textId="32F9FB88" w:rsidR="00A2129D" w:rsidRPr="00AC0C6D" w:rsidRDefault="00A2129D" w:rsidP="00A2129D">
      <w:pPr>
        <w:spacing w:before="100" w:beforeAutospacing="1" w:after="100" w:afterAutospacing="1" w:line="240" w:lineRule="auto"/>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Folke, C., Hahn, T., Olsson, P., &amp; Norberg, J. (2005). Adaptive governance of social-ecological systems. </w:t>
      </w:r>
      <w:r w:rsidRPr="00AC0C6D">
        <w:rPr>
          <w:rFonts w:ascii="Times New Roman" w:eastAsia="Times New Roman" w:hAnsi="Times New Roman" w:cs="Times New Roman"/>
          <w:i/>
          <w:iCs/>
          <w:sz w:val="24"/>
          <w:szCs w:val="24"/>
        </w:rPr>
        <w:t>Annual Review of Environment and Resources, 30</w:t>
      </w:r>
      <w:r w:rsidRPr="00AC0C6D">
        <w:rPr>
          <w:rFonts w:ascii="Times New Roman" w:eastAsia="Times New Roman" w:hAnsi="Times New Roman" w:cs="Times New Roman"/>
          <w:sz w:val="24"/>
          <w:szCs w:val="24"/>
        </w:rPr>
        <w:t xml:space="preserve">, 441–473. </w:t>
      </w:r>
      <w:hyperlink r:id="rId23" w:history="1">
        <w:r w:rsidRPr="00AC0C6D">
          <w:rPr>
            <w:rFonts w:ascii="Times New Roman" w:eastAsia="Times New Roman" w:hAnsi="Times New Roman" w:cs="Times New Roman"/>
            <w:color w:val="0000FF"/>
            <w:sz w:val="24"/>
            <w:szCs w:val="24"/>
            <w:u w:val="single"/>
          </w:rPr>
          <w:t>https://doi.org/10.1146/annurev.energy.30.050504.144511</w:t>
        </w:r>
      </w:hyperlink>
    </w:p>
    <w:p w14:paraId="3581778F" w14:textId="77777777" w:rsidR="00A2129D" w:rsidRPr="00AC0C6D" w:rsidRDefault="00A2129D" w:rsidP="00A2129D">
      <w:pPr>
        <w:spacing w:before="100" w:beforeAutospacing="1" w:after="100" w:afterAutospacing="1" w:line="240" w:lineRule="auto"/>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Folke, C., Polasky, S., Rockström, J., Galaz, V., Westley, F., Lamont, M., Scheffer, M., Österblom, H., Carpenter, S. R., Chapin, F. S., III, Seto, K. C., Weber, E. U., Crona, B. I., Daily, G. C., Dasgupta, P., Gaffney, O., Gordon, L. J., Hoff, H., Levin, S. A., ... Walker, B. H. (2021). Our future in the Anthropocene biosphere. </w:t>
      </w:r>
      <w:r w:rsidRPr="00AC0C6D">
        <w:rPr>
          <w:rFonts w:ascii="Times New Roman" w:eastAsia="Times New Roman" w:hAnsi="Times New Roman" w:cs="Times New Roman"/>
          <w:i/>
          <w:iCs/>
          <w:sz w:val="24"/>
          <w:szCs w:val="24"/>
        </w:rPr>
        <w:t>Ambio, 50</w:t>
      </w:r>
      <w:r w:rsidRPr="00AC0C6D">
        <w:rPr>
          <w:rFonts w:ascii="Times New Roman" w:eastAsia="Times New Roman" w:hAnsi="Times New Roman" w:cs="Times New Roman"/>
          <w:sz w:val="24"/>
          <w:szCs w:val="24"/>
        </w:rPr>
        <w:t xml:space="preserve">(4), 834–869. </w:t>
      </w:r>
      <w:hyperlink r:id="rId24" w:history="1">
        <w:r w:rsidRPr="00AC0C6D">
          <w:rPr>
            <w:rFonts w:ascii="Times New Roman" w:eastAsia="Times New Roman" w:hAnsi="Times New Roman" w:cs="Times New Roman"/>
            <w:color w:val="0000FF"/>
            <w:sz w:val="24"/>
            <w:szCs w:val="24"/>
            <w:u w:val="single"/>
          </w:rPr>
          <w:t>https://doi.org/10.1007/s13280-021-01544-8</w:t>
        </w:r>
      </w:hyperlink>
    </w:p>
    <w:p w14:paraId="42D479CC" w14:textId="77777777" w:rsidR="00A2129D" w:rsidRPr="00AC0C6D" w:rsidRDefault="00A2129D" w:rsidP="00A2129D">
      <w:pPr>
        <w:spacing w:before="100" w:beforeAutospacing="1" w:after="100" w:afterAutospacing="1" w:line="240" w:lineRule="auto"/>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Goodchild, M. F. (2020). GIS and spatial analysis in the era of big data. </w:t>
      </w:r>
      <w:r w:rsidRPr="00AC0C6D">
        <w:rPr>
          <w:rFonts w:ascii="Times New Roman" w:eastAsia="Times New Roman" w:hAnsi="Times New Roman" w:cs="Times New Roman"/>
          <w:i/>
          <w:iCs/>
          <w:sz w:val="24"/>
          <w:szCs w:val="24"/>
        </w:rPr>
        <w:t>International Journal of Geographical Information Science, 34</w:t>
      </w:r>
      <w:r w:rsidRPr="00AC0C6D">
        <w:rPr>
          <w:rFonts w:ascii="Times New Roman" w:eastAsia="Times New Roman" w:hAnsi="Times New Roman" w:cs="Times New Roman"/>
          <w:sz w:val="24"/>
          <w:szCs w:val="24"/>
        </w:rPr>
        <w:t xml:space="preserve">(9), 1741–1745. </w:t>
      </w:r>
      <w:hyperlink r:id="rId25" w:history="1">
        <w:r w:rsidRPr="00AC0C6D">
          <w:rPr>
            <w:rFonts w:ascii="Times New Roman" w:eastAsia="Times New Roman" w:hAnsi="Times New Roman" w:cs="Times New Roman"/>
            <w:color w:val="0000FF"/>
            <w:sz w:val="24"/>
            <w:szCs w:val="24"/>
            <w:u w:val="single"/>
          </w:rPr>
          <w:t>https://doi.org/10.1080/13658816.2020.1745504</w:t>
        </w:r>
      </w:hyperlink>
    </w:p>
    <w:p w14:paraId="6C516092" w14:textId="77777777" w:rsidR="00A2129D" w:rsidRPr="00AC0C6D" w:rsidRDefault="00A2129D" w:rsidP="00A2129D">
      <w:pPr>
        <w:spacing w:before="100" w:beforeAutospacing="1" w:after="100" w:afterAutospacing="1" w:line="240" w:lineRule="auto"/>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Intergovernmental Panel on Climate Change. (2023). </w:t>
      </w:r>
      <w:r w:rsidRPr="00AC0C6D">
        <w:rPr>
          <w:rFonts w:ascii="Times New Roman" w:eastAsia="Times New Roman" w:hAnsi="Times New Roman" w:cs="Times New Roman"/>
          <w:i/>
          <w:iCs/>
          <w:sz w:val="24"/>
          <w:szCs w:val="24"/>
        </w:rPr>
        <w:t>Climate change 2023: Synthesis report</w:t>
      </w:r>
      <w:r w:rsidRPr="00AC0C6D">
        <w:rPr>
          <w:rFonts w:ascii="Times New Roman" w:eastAsia="Times New Roman" w:hAnsi="Times New Roman" w:cs="Times New Roman"/>
          <w:sz w:val="24"/>
          <w:szCs w:val="24"/>
        </w:rPr>
        <w:t xml:space="preserve">. IPCC. </w:t>
      </w:r>
      <w:hyperlink r:id="rId26" w:history="1">
        <w:r w:rsidRPr="00AC0C6D">
          <w:rPr>
            <w:rFonts w:ascii="Times New Roman" w:eastAsia="Times New Roman" w:hAnsi="Times New Roman" w:cs="Times New Roman"/>
            <w:color w:val="0000FF"/>
            <w:sz w:val="24"/>
            <w:szCs w:val="24"/>
            <w:u w:val="single"/>
          </w:rPr>
          <w:t>https://doi.org/10.59327/IPCC/AR6-9789291691647</w:t>
        </w:r>
      </w:hyperlink>
    </w:p>
    <w:p w14:paraId="08F2BC99" w14:textId="77777777" w:rsidR="00A2129D" w:rsidRPr="00AC0C6D" w:rsidRDefault="00A2129D" w:rsidP="00A2129D">
      <w:pPr>
        <w:spacing w:before="100" w:beforeAutospacing="1" w:after="100" w:afterAutospacing="1" w:line="240" w:lineRule="auto"/>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Lary, D. J., Alavi, A. H., Gandomi, A. H., &amp; Walker, A. L. (2016). Machine learning in geosciences and remote sensing. </w:t>
      </w:r>
      <w:r w:rsidRPr="00AC0C6D">
        <w:rPr>
          <w:rFonts w:ascii="Times New Roman" w:eastAsia="Times New Roman" w:hAnsi="Times New Roman" w:cs="Times New Roman"/>
          <w:i/>
          <w:iCs/>
          <w:sz w:val="24"/>
          <w:szCs w:val="24"/>
        </w:rPr>
        <w:t>Geoscience Frontiers, 7</w:t>
      </w:r>
      <w:r w:rsidRPr="00AC0C6D">
        <w:rPr>
          <w:rFonts w:ascii="Times New Roman" w:eastAsia="Times New Roman" w:hAnsi="Times New Roman" w:cs="Times New Roman"/>
          <w:sz w:val="24"/>
          <w:szCs w:val="24"/>
        </w:rPr>
        <w:t xml:space="preserve">(1), 3–10. </w:t>
      </w:r>
      <w:hyperlink r:id="rId27" w:history="1">
        <w:r w:rsidRPr="00AC0C6D">
          <w:rPr>
            <w:rFonts w:ascii="Times New Roman" w:eastAsia="Times New Roman" w:hAnsi="Times New Roman" w:cs="Times New Roman"/>
            <w:color w:val="0000FF"/>
            <w:sz w:val="24"/>
            <w:szCs w:val="24"/>
            <w:u w:val="single"/>
          </w:rPr>
          <w:t>https://doi.org/10.1016/j.gsf.2015.07.003</w:t>
        </w:r>
      </w:hyperlink>
    </w:p>
    <w:p w14:paraId="633A0149" w14:textId="77777777" w:rsidR="00A2129D" w:rsidRPr="00AC0C6D" w:rsidRDefault="00A2129D" w:rsidP="00A2129D">
      <w:pPr>
        <w:spacing w:before="100" w:beforeAutospacing="1" w:after="100" w:afterAutospacing="1" w:line="240" w:lineRule="auto"/>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Longley, P. A., Goodchild, M. F., Maguire, D. J., &amp; Rhind, D. W. (2021). </w:t>
      </w:r>
      <w:r w:rsidRPr="00AC0C6D">
        <w:rPr>
          <w:rFonts w:ascii="Times New Roman" w:eastAsia="Times New Roman" w:hAnsi="Times New Roman" w:cs="Times New Roman"/>
          <w:i/>
          <w:iCs/>
          <w:sz w:val="24"/>
          <w:szCs w:val="24"/>
        </w:rPr>
        <w:t>Geographic information science and systems</w:t>
      </w:r>
      <w:r w:rsidRPr="00AC0C6D">
        <w:rPr>
          <w:rFonts w:ascii="Times New Roman" w:eastAsia="Times New Roman" w:hAnsi="Times New Roman" w:cs="Times New Roman"/>
          <w:sz w:val="24"/>
          <w:szCs w:val="24"/>
        </w:rPr>
        <w:t xml:space="preserve"> (5th ed.). Wiley.</w:t>
      </w:r>
    </w:p>
    <w:p w14:paraId="43504734" w14:textId="77777777" w:rsidR="00A2129D" w:rsidRPr="00AC0C6D" w:rsidRDefault="00A2129D" w:rsidP="00A2129D">
      <w:pPr>
        <w:spacing w:before="100" w:beforeAutospacing="1" w:after="100" w:afterAutospacing="1" w:line="240" w:lineRule="auto"/>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Meerow, S., Newell, J. P., &amp; Stults, M. (2016). Defining urban resilience: A review. </w:t>
      </w:r>
      <w:r w:rsidRPr="00AC0C6D">
        <w:rPr>
          <w:rFonts w:ascii="Times New Roman" w:eastAsia="Times New Roman" w:hAnsi="Times New Roman" w:cs="Times New Roman"/>
          <w:i/>
          <w:iCs/>
          <w:sz w:val="24"/>
          <w:szCs w:val="24"/>
        </w:rPr>
        <w:t>Landscape and Urban Planning, 147</w:t>
      </w:r>
      <w:r w:rsidRPr="00AC0C6D">
        <w:rPr>
          <w:rFonts w:ascii="Times New Roman" w:eastAsia="Times New Roman" w:hAnsi="Times New Roman" w:cs="Times New Roman"/>
          <w:sz w:val="24"/>
          <w:szCs w:val="24"/>
        </w:rPr>
        <w:t xml:space="preserve">, 38–49. </w:t>
      </w:r>
      <w:hyperlink r:id="rId28" w:history="1">
        <w:r w:rsidRPr="00AC0C6D">
          <w:rPr>
            <w:rFonts w:ascii="Times New Roman" w:eastAsia="Times New Roman" w:hAnsi="Times New Roman" w:cs="Times New Roman"/>
            <w:color w:val="0000FF"/>
            <w:sz w:val="24"/>
            <w:szCs w:val="24"/>
            <w:u w:val="single"/>
          </w:rPr>
          <w:t>https://doi.org/10.1016/j.landurbplan.2015.11.011</w:t>
        </w:r>
      </w:hyperlink>
    </w:p>
    <w:p w14:paraId="79C86F21" w14:textId="77777777" w:rsidR="00A2129D" w:rsidRPr="00AC0C6D" w:rsidRDefault="00A2129D" w:rsidP="00A2129D">
      <w:pPr>
        <w:spacing w:before="100" w:beforeAutospacing="1" w:after="100" w:afterAutospacing="1" w:line="240" w:lineRule="auto"/>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Oke, T. R., Mills, G., Christen, A., &amp; Voogt, J. A. (2017). </w:t>
      </w:r>
      <w:r w:rsidRPr="00AC0C6D">
        <w:rPr>
          <w:rFonts w:ascii="Times New Roman" w:eastAsia="Times New Roman" w:hAnsi="Times New Roman" w:cs="Times New Roman"/>
          <w:i/>
          <w:iCs/>
          <w:sz w:val="24"/>
          <w:szCs w:val="24"/>
        </w:rPr>
        <w:t>Urban climates</w:t>
      </w:r>
      <w:r w:rsidRPr="00AC0C6D">
        <w:rPr>
          <w:rFonts w:ascii="Times New Roman" w:eastAsia="Times New Roman" w:hAnsi="Times New Roman" w:cs="Times New Roman"/>
          <w:sz w:val="24"/>
          <w:szCs w:val="24"/>
        </w:rPr>
        <w:t>. Cambridge University Press.</w:t>
      </w:r>
    </w:p>
    <w:p w14:paraId="195C2BA5" w14:textId="77777777" w:rsidR="00A2129D" w:rsidRPr="00AC0C6D" w:rsidRDefault="00A2129D" w:rsidP="00A2129D">
      <w:pPr>
        <w:spacing w:before="100" w:beforeAutospacing="1" w:after="100" w:afterAutospacing="1" w:line="240" w:lineRule="auto"/>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Tamiminia, H., Salehi, B., Mahdianpari, M., Quackenbush, L., Adeli, S., &amp; Brisco, B. (2020). Google Earth Engine for geo-big data applications: A meta-analysis and systematic review. </w:t>
      </w:r>
      <w:r w:rsidRPr="00AC0C6D">
        <w:rPr>
          <w:rFonts w:ascii="Times New Roman" w:eastAsia="Times New Roman" w:hAnsi="Times New Roman" w:cs="Times New Roman"/>
          <w:i/>
          <w:iCs/>
          <w:sz w:val="24"/>
          <w:szCs w:val="24"/>
        </w:rPr>
        <w:t>ISPRS Journal of Photogrammetry and Remote Sensing, 164</w:t>
      </w:r>
      <w:r w:rsidRPr="00AC0C6D">
        <w:rPr>
          <w:rFonts w:ascii="Times New Roman" w:eastAsia="Times New Roman" w:hAnsi="Times New Roman" w:cs="Times New Roman"/>
          <w:sz w:val="24"/>
          <w:szCs w:val="24"/>
        </w:rPr>
        <w:t xml:space="preserve">, 152–170. </w:t>
      </w:r>
      <w:hyperlink r:id="rId29" w:history="1">
        <w:r w:rsidRPr="00AC0C6D">
          <w:rPr>
            <w:rFonts w:ascii="Times New Roman" w:eastAsia="Times New Roman" w:hAnsi="Times New Roman" w:cs="Times New Roman"/>
            <w:color w:val="0000FF"/>
            <w:sz w:val="24"/>
            <w:szCs w:val="24"/>
            <w:u w:val="single"/>
          </w:rPr>
          <w:t>https://doi.org/10.1016/j.isprsjprs.2020.04.001</w:t>
        </w:r>
      </w:hyperlink>
    </w:p>
    <w:p w14:paraId="000306BA" w14:textId="77777777" w:rsidR="00A2129D" w:rsidRPr="00AC0C6D" w:rsidRDefault="00A2129D" w:rsidP="00A2129D">
      <w:pPr>
        <w:spacing w:before="100" w:beforeAutospacing="1" w:after="100" w:afterAutospacing="1" w:line="240" w:lineRule="auto"/>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t xml:space="preserve">Tyler, S., &amp; Moench, M. (2012). A framework for urban climate resilience. </w:t>
      </w:r>
      <w:r w:rsidRPr="00AC0C6D">
        <w:rPr>
          <w:rFonts w:ascii="Times New Roman" w:eastAsia="Times New Roman" w:hAnsi="Times New Roman" w:cs="Times New Roman"/>
          <w:i/>
          <w:iCs/>
          <w:sz w:val="24"/>
          <w:szCs w:val="24"/>
        </w:rPr>
        <w:t>Climate and Development, 4</w:t>
      </w:r>
      <w:r w:rsidRPr="00AC0C6D">
        <w:rPr>
          <w:rFonts w:ascii="Times New Roman" w:eastAsia="Times New Roman" w:hAnsi="Times New Roman" w:cs="Times New Roman"/>
          <w:sz w:val="24"/>
          <w:szCs w:val="24"/>
        </w:rPr>
        <w:t xml:space="preserve">(4), 311–326. </w:t>
      </w:r>
      <w:hyperlink r:id="rId30" w:history="1">
        <w:r w:rsidRPr="00AC0C6D">
          <w:rPr>
            <w:rFonts w:ascii="Times New Roman" w:eastAsia="Times New Roman" w:hAnsi="Times New Roman" w:cs="Times New Roman"/>
            <w:color w:val="0000FF"/>
            <w:sz w:val="24"/>
            <w:szCs w:val="24"/>
            <w:u w:val="single"/>
          </w:rPr>
          <w:t>https://doi.org/10.1080/17565529.2012.745389</w:t>
        </w:r>
      </w:hyperlink>
    </w:p>
    <w:p w14:paraId="0F25C060" w14:textId="77777777" w:rsidR="00A2129D" w:rsidRPr="00AC0C6D" w:rsidRDefault="00A2129D" w:rsidP="00A2129D">
      <w:pPr>
        <w:spacing w:before="100" w:beforeAutospacing="1" w:after="100" w:afterAutospacing="1" w:line="240" w:lineRule="auto"/>
        <w:rPr>
          <w:rFonts w:ascii="Times New Roman" w:eastAsia="Times New Roman" w:hAnsi="Times New Roman" w:cs="Times New Roman"/>
          <w:sz w:val="24"/>
          <w:szCs w:val="24"/>
        </w:rPr>
      </w:pPr>
      <w:r w:rsidRPr="00AC0C6D">
        <w:rPr>
          <w:rFonts w:ascii="Times New Roman" w:eastAsia="Times New Roman" w:hAnsi="Times New Roman" w:cs="Times New Roman"/>
          <w:sz w:val="24"/>
          <w:szCs w:val="24"/>
        </w:rPr>
        <w:lastRenderedPageBreak/>
        <w:t xml:space="preserve">United Nations Human Settlements Programme. (2024). </w:t>
      </w:r>
      <w:r w:rsidRPr="00AC0C6D">
        <w:rPr>
          <w:rFonts w:ascii="Times New Roman" w:eastAsia="Times New Roman" w:hAnsi="Times New Roman" w:cs="Times New Roman"/>
          <w:i/>
          <w:iCs/>
          <w:sz w:val="24"/>
          <w:szCs w:val="24"/>
        </w:rPr>
        <w:t>World cities report 2024: Cities and climate action</w:t>
      </w:r>
      <w:r w:rsidRPr="00AC0C6D">
        <w:rPr>
          <w:rFonts w:ascii="Times New Roman" w:eastAsia="Times New Roman" w:hAnsi="Times New Roman" w:cs="Times New Roman"/>
          <w:sz w:val="24"/>
          <w:szCs w:val="24"/>
        </w:rPr>
        <w:t>. UN-Habitat.</w:t>
      </w:r>
    </w:p>
    <w:p w14:paraId="6B2E9959" w14:textId="77777777" w:rsidR="00BC7BA3" w:rsidRPr="00BC7BA3" w:rsidRDefault="00BC7BA3" w:rsidP="00BC7BA3">
      <w:pPr>
        <w:pStyle w:val="ListParagraph"/>
        <w:jc w:val="center"/>
        <w:rPr>
          <w:rFonts w:ascii="Times New Roman" w:hAnsi="Times New Roman" w:cs="Times New Roman"/>
          <w:b/>
          <w:bCs/>
          <w:sz w:val="24"/>
          <w:szCs w:val="24"/>
        </w:rPr>
      </w:pPr>
    </w:p>
    <w:sectPr w:rsidR="00BC7BA3" w:rsidRPr="00BC7BA3">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B62C4" w14:textId="77777777" w:rsidR="0045107F" w:rsidRDefault="0045107F" w:rsidP="00E81FF0">
      <w:pPr>
        <w:spacing w:after="0" w:line="240" w:lineRule="auto"/>
      </w:pPr>
      <w:r>
        <w:separator/>
      </w:r>
    </w:p>
  </w:endnote>
  <w:endnote w:type="continuationSeparator" w:id="0">
    <w:p w14:paraId="76E61D93" w14:textId="77777777" w:rsidR="0045107F" w:rsidRDefault="0045107F" w:rsidP="00E81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791491"/>
      <w:docPartObj>
        <w:docPartGallery w:val="Page Numbers (Bottom of Page)"/>
        <w:docPartUnique/>
      </w:docPartObj>
    </w:sdtPr>
    <w:sdtEndPr>
      <w:rPr>
        <w:noProof/>
      </w:rPr>
    </w:sdtEndPr>
    <w:sdtContent>
      <w:p w14:paraId="32517D45" w14:textId="108CBBC5" w:rsidR="00E81FF0" w:rsidRDefault="00E81F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9B2D03" w14:textId="77777777" w:rsidR="00E81FF0" w:rsidRDefault="00E81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EF7EB" w14:textId="77777777" w:rsidR="0045107F" w:rsidRDefault="0045107F" w:rsidP="00E81FF0">
      <w:pPr>
        <w:spacing w:after="0" w:line="240" w:lineRule="auto"/>
      </w:pPr>
      <w:r>
        <w:separator/>
      </w:r>
    </w:p>
  </w:footnote>
  <w:footnote w:type="continuationSeparator" w:id="0">
    <w:p w14:paraId="45369852" w14:textId="77777777" w:rsidR="0045107F" w:rsidRDefault="0045107F" w:rsidP="00E81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EE2338"/>
    <w:multiLevelType w:val="hybridMultilevel"/>
    <w:tmpl w:val="BFACA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2949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98A"/>
    <w:rsid w:val="000B3557"/>
    <w:rsid w:val="0025298A"/>
    <w:rsid w:val="003D39F3"/>
    <w:rsid w:val="0045107F"/>
    <w:rsid w:val="0052752F"/>
    <w:rsid w:val="00777C5C"/>
    <w:rsid w:val="00972093"/>
    <w:rsid w:val="00A2129D"/>
    <w:rsid w:val="00BC7BA3"/>
    <w:rsid w:val="00C167DB"/>
    <w:rsid w:val="00CF5A18"/>
    <w:rsid w:val="00D14C2B"/>
    <w:rsid w:val="00E81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34B3"/>
  <w15:chartTrackingRefBased/>
  <w15:docId w15:val="{0D105276-8CB7-428B-BF2A-BA38D738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35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212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98A"/>
    <w:pPr>
      <w:ind w:left="720"/>
      <w:contextualSpacing/>
    </w:pPr>
  </w:style>
  <w:style w:type="character" w:styleId="Hyperlink">
    <w:name w:val="Hyperlink"/>
    <w:uiPriority w:val="99"/>
    <w:unhideWhenUsed/>
    <w:rsid w:val="00BC7BA3"/>
    <w:rPr>
      <w:color w:val="0563C1"/>
      <w:u w:val="single"/>
    </w:rPr>
  </w:style>
  <w:style w:type="paragraph" w:styleId="NormalWeb">
    <w:name w:val="Normal (Web)"/>
    <w:basedOn w:val="Normal"/>
    <w:uiPriority w:val="99"/>
    <w:unhideWhenUsed/>
    <w:rsid w:val="00A2129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2129D"/>
    <w:rPr>
      <w:i/>
      <w:iCs/>
    </w:rPr>
  </w:style>
  <w:style w:type="character" w:customStyle="1" w:styleId="Heading2Char">
    <w:name w:val="Heading 2 Char"/>
    <w:basedOn w:val="DefaultParagraphFont"/>
    <w:link w:val="Heading2"/>
    <w:uiPriority w:val="9"/>
    <w:rsid w:val="00A2129D"/>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0B3557"/>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0B3557"/>
    <w:rPr>
      <w:b/>
      <w:bCs/>
    </w:rPr>
  </w:style>
  <w:style w:type="paragraph" w:styleId="Header">
    <w:name w:val="header"/>
    <w:basedOn w:val="Normal"/>
    <w:link w:val="HeaderChar"/>
    <w:uiPriority w:val="99"/>
    <w:unhideWhenUsed/>
    <w:rsid w:val="00E81F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FF0"/>
  </w:style>
  <w:style w:type="paragraph" w:styleId="Footer">
    <w:name w:val="footer"/>
    <w:basedOn w:val="Normal"/>
    <w:link w:val="FooterChar"/>
    <w:uiPriority w:val="99"/>
    <w:unhideWhenUsed/>
    <w:rsid w:val="00E81F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67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3658816.2020.1745504" TargetMode="External"/><Relationship Id="rId18" Type="http://schemas.openxmlformats.org/officeDocument/2006/relationships/hyperlink" Target="https://doi.org/10.1007/s13280-021-01544-8" TargetMode="External"/><Relationship Id="rId26" Type="http://schemas.openxmlformats.org/officeDocument/2006/relationships/hyperlink" Target="https://doi.org/10.59327/IPCC/AR6-9789291691647" TargetMode="External"/><Relationship Id="rId3" Type="http://schemas.openxmlformats.org/officeDocument/2006/relationships/settings" Target="settings.xml"/><Relationship Id="rId21" Type="http://schemas.openxmlformats.org/officeDocument/2006/relationships/hyperlink" Target="https://doi.org/10.1016/j.isprsjprs.2020.04.001" TargetMode="External"/><Relationship Id="rId7" Type="http://schemas.openxmlformats.org/officeDocument/2006/relationships/hyperlink" Target="mailto:gtijjani@atbu.edu.ng" TargetMode="External"/><Relationship Id="rId12" Type="http://schemas.openxmlformats.org/officeDocument/2006/relationships/hyperlink" Target="https://doi.org/10.1146/annurev.energy.30.050504.144511" TargetMode="External"/><Relationship Id="rId17" Type="http://schemas.openxmlformats.org/officeDocument/2006/relationships/hyperlink" Target="https://doi.org/10.1146/annurev.energy.30.050504.144511" TargetMode="External"/><Relationship Id="rId25" Type="http://schemas.openxmlformats.org/officeDocument/2006/relationships/hyperlink" Target="https://doi.org/10.1080/13658816.2020.174550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80/17565529.2012.745389" TargetMode="External"/><Relationship Id="rId20" Type="http://schemas.openxmlformats.org/officeDocument/2006/relationships/hyperlink" Target="https://doi.org/10.1016/j.landurbplan.2015.11.011" TargetMode="External"/><Relationship Id="rId29" Type="http://schemas.openxmlformats.org/officeDocument/2006/relationships/hyperlink" Target="https://doi.org/10.1016/j.isprsjprs.2020.04.0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9327/IPCC/AR6-9789291691647" TargetMode="External"/><Relationship Id="rId24" Type="http://schemas.openxmlformats.org/officeDocument/2006/relationships/hyperlink" Target="https://doi.org/10.1007/s13280-021-01544-8"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isprsjprs.2020.04.001" TargetMode="External"/><Relationship Id="rId23" Type="http://schemas.openxmlformats.org/officeDocument/2006/relationships/hyperlink" Target="https://doi.org/10.1146/annurev.energy.30.050504.144511" TargetMode="External"/><Relationship Id="rId28" Type="http://schemas.openxmlformats.org/officeDocument/2006/relationships/hyperlink" Target="https://doi.org/10.1016/j.landurbplan.2015.11.011" TargetMode="External"/><Relationship Id="rId10" Type="http://schemas.openxmlformats.org/officeDocument/2006/relationships/image" Target="media/image3.jpeg"/><Relationship Id="rId19" Type="http://schemas.openxmlformats.org/officeDocument/2006/relationships/hyperlink" Target="https://doi.org/10.1080/13658816.2020.1745504"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16/j.landurbplan.2015.11.011" TargetMode="External"/><Relationship Id="rId22" Type="http://schemas.openxmlformats.org/officeDocument/2006/relationships/hyperlink" Target="https://doi.org/10.1080/17565529.2012.745389" TargetMode="External"/><Relationship Id="rId27" Type="http://schemas.openxmlformats.org/officeDocument/2006/relationships/hyperlink" Target="https://doi.org/10.1016/j.gsf.2015.07.003" TargetMode="External"/><Relationship Id="rId30" Type="http://schemas.openxmlformats.org/officeDocument/2006/relationships/hyperlink" Target="https://doi.org/10.1080/17565529.2012.745389"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27</Pages>
  <Words>12426</Words>
  <Characters>70829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2026-07-07T16:57:00Z</dcterms:created>
  <dcterms:modified xsi:type="dcterms:W3CDTF">2026-07-07T21:12:00Z</dcterms:modified>
</cp:coreProperties>
</file>