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194DB" w14:textId="2750119A" w:rsidR="00117D58" w:rsidRDefault="006768C0" w:rsidP="006768C0">
      <w:pPr>
        <w:pStyle w:val="Title"/>
        <w:spacing w:line="362" w:lineRule="auto"/>
        <w:ind w:left="0" w:right="4"/>
      </w:pPr>
      <w:r>
        <w:t>THE EFFECT OF NON-CASH TRANSACTIONS ON THE LEVEL OF SAVING BEHAVIOUR OF STUDENTS AT THE OPEN UNIVERSITY OF MAJENE</w:t>
      </w:r>
    </w:p>
    <w:p w14:paraId="1A385301" w14:textId="3AD95199" w:rsidR="00117D58" w:rsidRDefault="006768C0">
      <w:pPr>
        <w:pStyle w:val="Heading2"/>
        <w:spacing w:before="160"/>
        <w:ind w:left="716" w:right="715"/>
        <w:jc w:val="center"/>
      </w:pPr>
      <w:r>
        <w:t/>
      </w:r>
    </w:p>
    <w:p w14:paraId="7DD4FEBD" w14:textId="77777777" w:rsidR="00117D58" w:rsidRDefault="00117D58">
      <w:pPr>
        <w:pStyle w:val="BodyText"/>
        <w:spacing w:before="10"/>
        <w:ind w:left="0"/>
        <w:jc w:val="left"/>
        <w:rPr>
          <w:b/>
        </w:rPr>
      </w:pPr>
    </w:p>
    <w:p w14:paraId="6F3D8D65" w14:textId="77777777" w:rsidR="00117D58" w:rsidRDefault="00F52091">
      <w:pPr>
        <w:pStyle w:val="BodyText"/>
        <w:ind w:left="738" w:right="740"/>
        <w:jc w:val="center"/>
      </w:pPr>
      <w:r>
        <w:t/>
      </w:r>
    </w:p>
    <w:p w14:paraId="27665BE5" w14:textId="37C8779A" w:rsidR="00117D58" w:rsidRDefault="00F52091">
      <w:pPr>
        <w:pStyle w:val="BodyText"/>
        <w:spacing w:before="137"/>
        <w:ind w:left="738" w:right="743"/>
        <w:jc w:val="center"/>
      </w:pPr>
      <w:r>
        <w:rPr>
          <w:vertAlign w:val="superscript"/>
        </w:rPr>
        <w:t/>
      </w:r>
      <w:r>
        <w:t xml:space="preserve"/>
      </w:r>
      <w:hyperlink r:id="rId4" w:history="1">
        <w:r w:rsidR="006768C0" w:rsidRPr="008B4C5C">
          <w:rPr>
            <w:rStyle w:val="Hyperlink"/>
            <w:spacing w:val="-2"/>
          </w:rPr>
          <w:t/>
        </w:r>
      </w:hyperlink>
    </w:p>
    <w:p w14:paraId="1CE031F1" w14:textId="77777777" w:rsidR="00117D58" w:rsidRDefault="00F52091">
      <w:pPr>
        <w:pStyle w:val="BodyText"/>
        <w:spacing w:before="142"/>
        <w:ind w:left="716" w:right="722"/>
        <w:jc w:val="center"/>
      </w:pPr>
      <w:r>
        <w:rPr>
          <w:vertAlign w:val="superscript"/>
        </w:rPr>
        <w:t/>
      </w:r>
      <w:r>
        <w:t xml:space="preserve"/>
      </w:r>
      <w:hyperlink r:id="rId5">
        <w:r w:rsidR="00117D58" w:rsidRPr="00893EBE">
          <w:rPr>
            <w:color w:val="0070C0"/>
            <w:spacing w:val="-2"/>
            <w:u w:val="single" w:color="0462C1"/>
          </w:rPr>
          <w:t/>
        </w:r>
      </w:hyperlink>
    </w:p>
    <w:p w14:paraId="5FE8A48B" w14:textId="77777777" w:rsidR="00117D58" w:rsidRDefault="00117D58">
      <w:pPr>
        <w:pStyle w:val="BodyText"/>
        <w:ind w:left="0"/>
        <w:jc w:val="left"/>
      </w:pPr>
    </w:p>
    <w:p w14:paraId="7AFD58F6" w14:textId="77777777" w:rsidR="00117D58" w:rsidRDefault="00117D58">
      <w:pPr>
        <w:pStyle w:val="BodyText"/>
        <w:ind w:left="0"/>
        <w:jc w:val="left"/>
      </w:pPr>
    </w:p>
    <w:p w14:paraId="31DB5484" w14:textId="77777777" w:rsidR="00117D58" w:rsidRDefault="00F52091">
      <w:pPr>
        <w:pStyle w:val="Heading1"/>
        <w:spacing w:before="0"/>
        <w:ind w:left="738" w:right="735"/>
        <w:jc w:val="center"/>
      </w:pPr>
      <w:r>
        <w:rPr>
          <w:spacing w:val="-2"/>
        </w:rPr>
        <w:t>ABSTRACT</w:t>
      </w:r>
    </w:p>
    <w:p w14:paraId="46462258" w14:textId="77777777" w:rsidR="00117D58" w:rsidRDefault="00117D58">
      <w:pPr>
        <w:pStyle w:val="BodyText"/>
        <w:spacing w:before="15"/>
        <w:ind w:left="0"/>
        <w:jc w:val="left"/>
        <w:rPr>
          <w:b/>
        </w:rPr>
      </w:pPr>
    </w:p>
    <w:p w14:paraId="0BA0745F" w14:textId="0BF240B9" w:rsidR="00117D58" w:rsidRDefault="00F52091">
      <w:pPr>
        <w:spacing w:line="360" w:lineRule="auto"/>
        <w:ind w:left="23" w:right="12"/>
        <w:jc w:val="both"/>
        <w:rPr>
          <w:i/>
          <w:sz w:val="24"/>
        </w:rPr>
      </w:pPr>
      <w:r>
        <w:rPr>
          <w:i/>
          <w:sz w:val="24"/>
        </w:rPr>
        <w:t>This study aims to examine the impact of Non-Cash Transactions on the saving behavior of students at Majene Open University, in the midst of the rapid development of financial technology that encourages changes in financial transaction practices, although it is not clear to what extent the use of digital transaction services can shape saving behavior among students. This study uses a quantitative approach with an associative method, using a sample of 100 respondents selected through simple random sampling techniques, with data collection through a questionnaire based on the Likert scale which is analyzed using SPSS software version 27 through validity, reliability, classical assumption test, simple linear regression, t-test, F test, and determination coefficient. The results showed that Non-Cash Transactions had a positive and significant influence on students' savings with a significance value of 0.000, a regression coefficient of 0.554, which showed that the increase in the use of digital transactions was accompanied by an increase in saving behavior, and the F test showed that the overall regression model was significant. However, an Adjusted R² value of 0.141 indicates that the Non-Cash Transaction variable only explains 14.1% of the variation in variable saving behaviour, so most of it is influenced by other factors outside of this study. This study concludes that digital transaction technology can play a supporting role in the formation of saving behavior, although its effectiveness still depends on the level of financial literacy and self-control of users.</w:t>
      </w:r>
    </w:p>
    <w:p w14:paraId="259D114B" w14:textId="747D79CB" w:rsidR="00117D58" w:rsidRDefault="00F52091">
      <w:pPr>
        <w:spacing w:before="163"/>
        <w:ind w:left="23"/>
        <w:jc w:val="both"/>
        <w:rPr>
          <w:i/>
          <w:sz w:val="24"/>
        </w:rPr>
      </w:pPr>
      <w:r>
        <w:rPr>
          <w:b/>
          <w:sz w:val="24"/>
        </w:rPr>
        <w:t xml:space="preserve">Keywords: </w:t>
      </w:r>
      <w:r w:rsidR="006768C0">
        <w:rPr>
          <w:i/>
          <w:sz w:val="24"/>
        </w:rPr>
        <w:t>Non-Cash Transactions, Saving Behavior, UT Majene Students</w:t>
      </w:r>
    </w:p>
    <w:p w14:paraId="15AD273E" w14:textId="77777777" w:rsidR="00117D58" w:rsidRDefault="00117D58">
      <w:pPr>
        <w:jc w:val="both"/>
        <w:rPr>
          <w:i/>
          <w:sz w:val="24"/>
        </w:rPr>
        <w:sectPr w:rsidR="00117D58">
          <w:type w:val="continuous"/>
          <w:pgSz w:w="11910" w:h="16840"/>
          <w:pgMar w:top="1360" w:right="1417" w:bottom="280" w:left="1417" w:header="720" w:footer="720" w:gutter="0"/>
          <w:cols w:space="720"/>
        </w:sectPr>
      </w:pPr>
    </w:p>
    <w:p w14:paraId="2EC72375" w14:textId="77777777" w:rsidR="00117D58" w:rsidRDefault="00F52091">
      <w:pPr>
        <w:pStyle w:val="Heading1"/>
      </w:pPr>
      <w:r>
        <w:rPr>
          <w:spacing w:val="-2"/>
        </w:rPr>
        <w:lastRenderedPageBreak/>
        <w:t>INTRODUCTION</w:t>
      </w:r>
    </w:p>
    <w:p w14:paraId="28A8003E" w14:textId="77777777" w:rsidR="00117D58" w:rsidRDefault="00117D58">
      <w:pPr>
        <w:pStyle w:val="BodyText"/>
        <w:spacing w:before="14"/>
        <w:ind w:left="0"/>
        <w:jc w:val="left"/>
        <w:rPr>
          <w:b/>
        </w:rPr>
      </w:pPr>
    </w:p>
    <w:p w14:paraId="501E21F7" w14:textId="095DDAE4" w:rsidR="00117D58" w:rsidRDefault="00F52091">
      <w:pPr>
        <w:pStyle w:val="BodyText"/>
        <w:spacing w:before="1" w:line="360" w:lineRule="auto"/>
        <w:ind w:right="18" w:firstLine="720"/>
      </w:pPr>
      <w:r>
        <w:t xml:space="preserve">The global economic system, including in Indonesia, has undergone significant changes in line with the rapid development of financial technology in recent years. The change can be seen from the widespread application  of the concept of </w:t>
      </w:r>
      <w:r w:rsidR="006768C0">
        <w:rPr>
          <w:i/>
        </w:rPr>
        <w:t xml:space="preserve">Non-Cash Transactions </w:t>
      </w:r>
      <w:r>
        <w:t xml:space="preserve">which encourages financial services to adapt towards a more modern, more efficient and inclusive direction. The use of various digital payment methods such as </w:t>
      </w:r>
      <w:r>
        <w:rPr>
          <w:i/>
        </w:rPr>
        <w:t xml:space="preserve">Quick Response Code Indonesian Standard </w:t>
      </w:r>
      <w:r>
        <w:t xml:space="preserve">(QRIS), </w:t>
      </w:r>
      <w:r>
        <w:rPr>
          <w:i/>
        </w:rPr>
        <w:t xml:space="preserve">mobile banking </w:t>
      </w:r>
      <w:r>
        <w:t xml:space="preserve">and </w:t>
      </w:r>
      <w:r>
        <w:rPr>
          <w:i/>
        </w:rPr>
        <w:t xml:space="preserve">electronic wallets </w:t>
      </w:r>
      <w:r>
        <w:t>has allowed transactions to be carried out faster and more securely without relying on the use of cash.</w:t>
      </w:r>
    </w:p>
    <w:p w14:paraId="2F09D999" w14:textId="77777777" w:rsidR="00117D58" w:rsidRDefault="00F52091">
      <w:pPr>
        <w:pStyle w:val="BodyText"/>
        <w:spacing w:before="159" w:line="360" w:lineRule="auto"/>
        <w:ind w:right="12" w:firstLine="720"/>
      </w:pPr>
      <w:r>
        <w:t xml:space="preserve">In the ideal application, digital transformation in the financial sector is not only interpreted as ease of transactions. Efficiency in individual financial management is also expected to be achieved through the use of digital financial services. In addition, increasing financial literacy and the formation of </w:t>
      </w:r>
      <w:r>
        <w:rPr>
          <w:i/>
        </w:rPr>
        <w:t xml:space="preserve">saving behavior </w:t>
      </w:r>
      <w:r>
        <w:t xml:space="preserve">are the follow-up impacts that are expected to appear along with the intensity of the use of financial technology. Widnyana and Marsudi (2025) explained that financial technology is </w:t>
      </w:r>
      <w:r>
        <w:rPr>
          <w:i/>
        </w:rPr>
        <w:t xml:space="preserve"> </w:t>
      </w:r>
      <w:r>
        <w:t>a form of technology-based innovation that functions to improve and automate financial services so that financial management can be carried out more effectively by individuals and organizations.</w:t>
      </w:r>
    </w:p>
    <w:p w14:paraId="27ED8665" w14:textId="3A031A07" w:rsidR="00117D58" w:rsidRDefault="00F52091">
      <w:pPr>
        <w:pStyle w:val="BodyText"/>
        <w:spacing w:before="159" w:line="360" w:lineRule="auto"/>
        <w:ind w:right="16" w:firstLine="720"/>
      </w:pPr>
      <w:r>
        <w:t xml:space="preserve">This view is in line with the economic theory put forward by Harmadi (2022) which states that savings are the result of a balance between income and expenses. When financial management is carried out in a more planned manner, the potential to increase savings will also be greater. The results of the analysis are quite convincing that the existence  of </w:t>
      </w:r>
      <w:r w:rsidR="006768C0" w:rsidRPr="006768C0">
        <w:rPr>
          <w:iCs/>
        </w:rPr>
        <w:t xml:space="preserve">Non-Cash Transactions </w:t>
      </w:r>
      <w:r>
        <w:t>is expected not only to contribute to increasing transaction efficiency. The implementation of financial practices that are more sustainable and more efficient in terms of time and oriented towards financial balance is also expected to be applied by various levels of society, including students.</w:t>
      </w:r>
    </w:p>
    <w:p w14:paraId="5E4992ED" w14:textId="39E8108E" w:rsidR="00117D58" w:rsidRDefault="00F52091">
      <w:pPr>
        <w:pStyle w:val="BodyText"/>
        <w:spacing w:before="165" w:line="360" w:lineRule="auto"/>
        <w:ind w:right="15" w:firstLine="720"/>
      </w:pPr>
      <w:r>
        <w:t xml:space="preserve">However, empirical evidence suggests that the transition process to </w:t>
      </w:r>
      <w:r w:rsidR="006768C0" w:rsidRPr="006768C0">
        <w:rPr>
          <w:iCs/>
        </w:rPr>
        <w:t xml:space="preserve">Non-Cash Transactions </w:t>
      </w:r>
      <w:r>
        <w:t>does not always result in ideal financial behavior. The increase in the use of digital payment systems in Indonesia in practice is often accompanied by a tendency to increase excessive consumption, especially among the younger generation. This condition shows that the ease of transactions offered by digital financial services has not been fully balanced with adequate financial management capabilities.</w:t>
      </w:r>
    </w:p>
    <w:p w14:paraId="47967DD1" w14:textId="77777777" w:rsidR="00117D58" w:rsidRDefault="00117D58">
      <w:pPr>
        <w:pStyle w:val="BodyText"/>
        <w:spacing w:line="360" w:lineRule="auto"/>
        <w:sectPr w:rsidR="00117D58">
          <w:pgSz w:w="11910" w:h="16840"/>
          <w:pgMar w:top="1360" w:right="1417" w:bottom="280" w:left="1417" w:header="720" w:footer="720" w:gutter="0"/>
          <w:cols w:space="720"/>
        </w:sectPr>
      </w:pPr>
    </w:p>
    <w:p w14:paraId="73658E18" w14:textId="77777777" w:rsidR="00117D58" w:rsidRDefault="00F52091">
      <w:pPr>
        <w:pStyle w:val="BodyText"/>
        <w:spacing w:before="74" w:line="360" w:lineRule="auto"/>
        <w:ind w:right="14" w:firstLine="720"/>
      </w:pPr>
      <w:r>
        <w:lastRenderedPageBreak/>
        <w:t>Apriliani (2024) explained that the low level of financial literacy has an impact on people's difficulties in managing finances effectively. As a result, individuals are more easily trapped in excessive consumption patterns and experience obstacles in preparing funds for long-term needs. The findings are strengthened by data released by Bank Indonesia which noted that the value of electronic money transactions throughout 2024 is estimated to reach Rp 2.5 quadrillion. This figure has increased by 35.76 percent compared to the previous year.</w:t>
      </w:r>
    </w:p>
    <w:p w14:paraId="1A092063" w14:textId="4AA3E82E" w:rsidR="00117D58" w:rsidRDefault="00F52091">
      <w:pPr>
        <w:pStyle w:val="BodyText"/>
        <w:spacing w:before="160" w:line="360" w:lineRule="auto"/>
        <w:ind w:right="17" w:firstLine="720"/>
      </w:pPr>
      <w:r>
        <w:t xml:space="preserve">The increase in transaction value reflects the rapid development of the digital economy. However, on the other hand, this condition also illustrates the potential for an increase in consumptive behavior as a result of the increasingly easy process of financial transactions carried out digitally. As explained by Dewi et al. (2021) in their research which states that excessive use  of </w:t>
      </w:r>
      <w:r>
        <w:rPr>
          <w:i/>
        </w:rPr>
        <w:t xml:space="preserve">e-money </w:t>
      </w:r>
      <w:r w:rsidR="006768C0">
        <w:t xml:space="preserve">can lead to consumptive behavior if it is not balanced with good self-control. This condition is very relevant for students of the Open University (UT) Majene, due to the fact that most of them are students who work with a high level of activity and a high dependence on digital technology. They use </w:t>
      </w:r>
      <w:r>
        <w:rPr>
          <w:i/>
        </w:rPr>
        <w:t xml:space="preserve">e-wallets </w:t>
      </w:r>
      <w:r>
        <w:t xml:space="preserve">and </w:t>
      </w:r>
      <w:r>
        <w:rPr>
          <w:i/>
        </w:rPr>
        <w:t xml:space="preserve">mobile banking </w:t>
      </w:r>
      <w:r>
        <w:t>for their college, transportation, entertainment, and online shopping needs. With this ease, financial decisions are often made spontaneously without any planning. This creates a paradox: advances in the digital financial system, which are supposed to improve efficiency, have the potential to reduce savings awareness.</w:t>
      </w:r>
    </w:p>
    <w:p w14:paraId="6B2C3E91" w14:textId="608CB492" w:rsidR="00117D58" w:rsidRDefault="00F52091">
      <w:pPr>
        <w:pStyle w:val="BodyText"/>
        <w:spacing w:before="164" w:line="360" w:lineRule="auto"/>
        <w:ind w:right="13" w:firstLine="720"/>
        <w:rPr>
          <w:i/>
        </w:rPr>
      </w:pPr>
      <w:r>
        <w:t xml:space="preserve">Previous studies have shown inconsistent findings regarding the influence  of </w:t>
      </w:r>
      <w:r w:rsidR="006768C0" w:rsidRPr="006768C0">
        <w:rPr>
          <w:iCs/>
        </w:rPr>
        <w:t xml:space="preserve">Non-Cash Transactions </w:t>
      </w:r>
      <w:r>
        <w:t xml:space="preserve">on </w:t>
      </w:r>
      <w:r>
        <w:rPr>
          <w:i/>
        </w:rPr>
        <w:t>saving behaviour</w:t>
      </w:r>
      <w:r>
        <w:t xml:space="preserve">. Rahmatika et al. (2024) found that the use of electronic money has a positive effect on the consumptive behavior of Generation Z and is not significantly related to increased saving. This finding is supported by Sintiani et al. (2025), who stated that </w:t>
      </w:r>
      <w:r w:rsidR="006768C0" w:rsidRPr="006768C0">
        <w:rPr>
          <w:iCs/>
        </w:rPr>
        <w:t xml:space="preserve">Non-Cash Transactions </w:t>
      </w:r>
      <w:r>
        <w:t xml:space="preserve">do facilitate financial transactions, but can encourage consumptive behavior if not accompanied by adequate financial literacy. On the contrary, Dewi et al. (2021) show that electronic money can help with financial control if users have good self-control. Another study by Suryanti et al. (2021) found that </w:t>
      </w:r>
      <w:r>
        <w:rPr>
          <w:i/>
        </w:rPr>
        <w:t>financial literacy</w:t>
      </w:r>
      <w:r>
        <w:t xml:space="preserve">, </w:t>
      </w:r>
      <w:r>
        <w:rPr>
          <w:i/>
        </w:rPr>
        <w:t>self-control</w:t>
      </w:r>
      <w:r>
        <w:t xml:space="preserve">, and </w:t>
      </w:r>
      <w:r>
        <w:rPr>
          <w:i/>
        </w:rPr>
        <w:t xml:space="preserve">saving motive </w:t>
      </w:r>
      <w:r>
        <w:t xml:space="preserve">have a positive influence on saving behavior, while the influence of peers is not significant. Handayani et al. (2024) also found that financial literacy and social influence have a significant influence on the saving behavior of students who live far from home. Maharani &amp; Widajantie (2025) in </w:t>
      </w:r>
      <w:r>
        <w:rPr>
          <w:i/>
        </w:rPr>
        <w:t>Systematic Literature Review</w:t>
      </w:r>
    </w:p>
    <w:p w14:paraId="1B694141" w14:textId="77777777" w:rsidR="00117D58" w:rsidRDefault="00117D58">
      <w:pPr>
        <w:pStyle w:val="BodyText"/>
        <w:spacing w:line="360" w:lineRule="auto"/>
        <w:rPr>
          <w:i/>
        </w:rPr>
        <w:sectPr w:rsidR="00117D58">
          <w:pgSz w:w="11910" w:h="16840"/>
          <w:pgMar w:top="1340" w:right="1417" w:bottom="280" w:left="1417" w:header="720" w:footer="720" w:gutter="0"/>
          <w:cols w:space="720"/>
        </w:sectPr>
      </w:pPr>
    </w:p>
    <w:p w14:paraId="2FF928C4" w14:textId="19291839" w:rsidR="00117D58" w:rsidRDefault="00F52091">
      <w:pPr>
        <w:pStyle w:val="BodyText"/>
        <w:spacing w:before="74" w:line="360" w:lineRule="auto"/>
        <w:ind w:right="14"/>
      </w:pPr>
      <w:r>
        <w:lastRenderedPageBreak/>
        <w:t xml:space="preserve">They emphasized that financial literacy and self-control have a direct impact on saving behavior, while financial attitudes have no significant influence. In accordance with these findings, Samadiyah et al. (2024) highlight that financial knowledge, financial attitudes, and self-control together form positive saving habits. However, Angelista et al. (2024) found that the ease of use of financial technology such as Shopee Paylater actually increases student consumptive behavior. The difference in findings in these studies indicates that there is a gap in understanding the relationship between  the </w:t>
      </w:r>
      <w:r w:rsidR="006768C0" w:rsidRPr="006768C0">
        <w:rPr>
          <w:iCs/>
        </w:rPr>
        <w:t xml:space="preserve">Non-Cash Transaction </w:t>
      </w:r>
      <w:r>
        <w:t xml:space="preserve"> variable and the saving behavior</w:t>
      </w:r>
      <w:r>
        <w:rPr>
          <w:i/>
        </w:rPr>
        <w:t xml:space="preserve"> variable</w:t>
      </w:r>
      <w:r>
        <w:t xml:space="preserve">. A number of studies show that the implementation  of </w:t>
      </w:r>
      <w:r w:rsidR="006768C0" w:rsidRPr="006768C0">
        <w:rPr>
          <w:iCs/>
        </w:rPr>
        <w:t xml:space="preserve">Non-Cash Transactions </w:t>
      </w:r>
      <w:r>
        <w:t xml:space="preserve">has a positive impact on the efficiency of financial management. However, other research argues that the ease of digital transactions actually has the potential to weaken individuals' motivation to save. The gap in the results of the study shows that the influence of </w:t>
      </w:r>
      <w:r w:rsidR="006768C0" w:rsidRPr="006768C0">
        <w:rPr>
          <w:iCs/>
        </w:rPr>
        <w:t xml:space="preserve">Non-Cash Transactions </w:t>
      </w:r>
      <w:r>
        <w:t xml:space="preserve">on </w:t>
      </w:r>
      <w:r>
        <w:rPr>
          <w:i/>
        </w:rPr>
        <w:t xml:space="preserve">saving behavior </w:t>
      </w:r>
      <w:r>
        <w:t>is not universal. The impact caused tends to be contextual and influenced by individual internal factors such as the level of self-control and financial literacy possessed.</w:t>
      </w:r>
    </w:p>
    <w:p w14:paraId="049DABFE" w14:textId="77777777" w:rsidR="00117D58" w:rsidRDefault="00F52091">
      <w:pPr>
        <w:spacing w:before="162" w:line="360" w:lineRule="auto"/>
        <w:ind w:left="23" w:right="16" w:firstLine="720"/>
        <w:jc w:val="both"/>
        <w:rPr>
          <w:sz w:val="24"/>
        </w:rPr>
      </w:pPr>
      <w:r>
        <w:rPr>
          <w:sz w:val="24"/>
        </w:rPr>
        <w:t xml:space="preserve">In the framework  of </w:t>
      </w:r>
      <w:r>
        <w:rPr>
          <w:i/>
          <w:sz w:val="24"/>
        </w:rPr>
        <w:t xml:space="preserve">the Theory of Planned Behavior </w:t>
      </w:r>
      <w:r>
        <w:rPr>
          <w:sz w:val="24"/>
        </w:rPr>
        <w:t>put forward by Ajzen (1991), individual behavior is understood as the result of the interaction of three main components. These components include attitudes</w:t>
      </w:r>
      <w:r>
        <w:rPr>
          <w:i/>
          <w:sz w:val="24"/>
        </w:rPr>
        <w:t xml:space="preserve"> toward behaviour</w:t>
      </w:r>
      <w:r>
        <w:rPr>
          <w:sz w:val="24"/>
        </w:rPr>
        <w:t>, subjective</w:t>
      </w:r>
      <w:r>
        <w:rPr>
          <w:i/>
          <w:sz w:val="24"/>
        </w:rPr>
        <w:t xml:space="preserve"> norms</w:t>
      </w:r>
      <w:r>
        <w:rPr>
          <w:sz w:val="24"/>
        </w:rPr>
        <w:t xml:space="preserve">, and </w:t>
      </w:r>
      <w:r>
        <w:rPr>
          <w:i/>
          <w:sz w:val="24"/>
        </w:rPr>
        <w:t>perceived behavioural control</w:t>
      </w:r>
      <w:r>
        <w:rPr>
          <w:sz w:val="24"/>
        </w:rPr>
        <w:t>. These three components play a role in shaping an individual's intention to act which further influences the actual behavior displayed.</w:t>
      </w:r>
    </w:p>
    <w:p w14:paraId="2FDBD903" w14:textId="1604EF2E" w:rsidR="00117D58" w:rsidRDefault="006768C0">
      <w:pPr>
        <w:pStyle w:val="BodyText"/>
        <w:spacing w:before="161" w:line="360" w:lineRule="auto"/>
        <w:ind w:right="16" w:firstLine="720"/>
      </w:pPr>
      <w:r>
        <w:t>Ajzen (1991) emphasized that behavior is greatly influenced by the level of control that individuals feel in carrying out an action. As a result, the success of students in managing their finances and maintaining their saving habits is not solely determined by intention. The ability to control the consumption impulse that arises due to the ease of digital transactions is also a determining factor. This condition makes Majene Open University students a relevant subject to be studied. A learning environment that emphasizes flexibility, independence, and high demands for adaptation to technology form the unique financial characteristics of students.</w:t>
      </w:r>
    </w:p>
    <w:p w14:paraId="2021023D" w14:textId="19D5B0EC" w:rsidR="00117D58" w:rsidRDefault="00F52091">
      <w:pPr>
        <w:pStyle w:val="BodyText"/>
        <w:spacing w:before="160" w:line="362" w:lineRule="auto"/>
        <w:ind w:right="19" w:firstLine="720"/>
      </w:pPr>
      <w:r>
        <w:t xml:space="preserve">Based on this background, the phenomenon  of </w:t>
      </w:r>
      <w:r w:rsidR="006768C0" w:rsidRPr="006768C0">
        <w:rPr>
          <w:iCs/>
        </w:rPr>
        <w:t>Non-Cash Transactions</w:t>
      </w:r>
      <w:r>
        <w:t>, which is characterized by the increasing use of digital-based non-cash payment systems, has affected the pattern of student financial management. The ease and intensity of digital transactions have</w:t>
      </w:r>
    </w:p>
    <w:p w14:paraId="2D5F8FD7" w14:textId="77777777" w:rsidR="00117D58" w:rsidRDefault="00117D58">
      <w:pPr>
        <w:pStyle w:val="BodyText"/>
        <w:spacing w:line="362" w:lineRule="auto"/>
        <w:sectPr w:rsidR="00117D58">
          <w:pgSz w:w="11910" w:h="16840"/>
          <w:pgMar w:top="1340" w:right="1417" w:bottom="280" w:left="1417" w:header="720" w:footer="720" w:gutter="0"/>
          <w:cols w:space="720"/>
        </w:sectPr>
      </w:pPr>
    </w:p>
    <w:p w14:paraId="461DEEFE" w14:textId="1AA47023" w:rsidR="00117D58" w:rsidRDefault="00F52091">
      <w:pPr>
        <w:pStyle w:val="BodyText"/>
        <w:spacing w:before="74" w:line="360" w:lineRule="auto"/>
        <w:ind w:right="18"/>
      </w:pPr>
      <w:r>
        <w:lastRenderedPageBreak/>
        <w:t xml:space="preserve">potential to influence financial behavior, especially in terms of setting aside income for savings. Therefore, research is needed that aims to examine and explain the relationship between the variables  of </w:t>
      </w:r>
      <w:r w:rsidR="006768C0" w:rsidRPr="006768C0">
        <w:rPr>
          <w:iCs/>
        </w:rPr>
        <w:t xml:space="preserve">Non-Cash Transactions </w:t>
      </w:r>
      <w:r>
        <w:t xml:space="preserve">and the variables of </w:t>
      </w:r>
      <w:r>
        <w:rPr>
          <w:i/>
        </w:rPr>
        <w:t xml:space="preserve">saving behavior </w:t>
      </w:r>
      <w:r>
        <w:t xml:space="preserve">in students. So it can be concluded that the formulation of the main problem in this study is: How does </w:t>
      </w:r>
      <w:r w:rsidR="006768C0" w:rsidRPr="006768C0">
        <w:rPr>
          <w:iCs/>
        </w:rPr>
        <w:t xml:space="preserve">Non-Cash Transactions </w:t>
      </w:r>
      <w:r>
        <w:t xml:space="preserve">affect  the </w:t>
      </w:r>
      <w:r>
        <w:rPr>
          <w:i/>
        </w:rPr>
        <w:t xml:space="preserve">saving behavior  of </w:t>
      </w:r>
      <w:r w:rsidR="006768C0">
        <w:t>students of the Open University of Majene?</w:t>
      </w:r>
    </w:p>
    <w:p w14:paraId="05664F7B" w14:textId="7CA45FB8" w:rsidR="00117D58" w:rsidRDefault="00F52091">
      <w:pPr>
        <w:pStyle w:val="BodyText"/>
        <w:spacing w:before="162" w:line="360" w:lineRule="auto"/>
        <w:ind w:right="17" w:firstLine="720"/>
      </w:pPr>
      <w:r>
        <w:t xml:space="preserve">The purpose of this study is to analyze the influence of </w:t>
      </w:r>
      <w:r w:rsidR="006768C0" w:rsidRPr="006768C0">
        <w:rPr>
          <w:iCs/>
        </w:rPr>
        <w:t xml:space="preserve">Non-Cash Transactions </w:t>
      </w:r>
      <w:r>
        <w:t xml:space="preserve">on  the </w:t>
      </w:r>
      <w:r>
        <w:rPr>
          <w:i/>
        </w:rPr>
        <w:t xml:space="preserve">saving behavior </w:t>
      </w:r>
      <w:r>
        <w:rPr>
          <w:spacing w:val="-2"/>
        </w:rPr>
        <w:t xml:space="preserve">of students at the Open University of Majene. Specifically, this study aims to examine the extent to which the use of digital financial services such as digital wallets and QRIS affects  students' </w:t>
      </w:r>
      <w:r>
        <w:rPr>
          <w:i/>
        </w:rPr>
        <w:t>saving behavior</w:t>
      </w:r>
      <w:r>
        <w:t>. The focus of the research is directed at understanding the relationship between the intensity of utilization of non-cash transactions and the saving behavior shown in students' daily financial activities.</w:t>
      </w:r>
    </w:p>
    <w:p w14:paraId="4103E6EB" w14:textId="77777777" w:rsidR="00117D58" w:rsidRDefault="00F52091">
      <w:pPr>
        <w:pStyle w:val="BodyText"/>
        <w:spacing w:before="161" w:line="360" w:lineRule="auto"/>
        <w:ind w:right="19" w:firstLine="720"/>
      </w:pPr>
      <w:r>
        <w:t xml:space="preserve">The benefits of this research can be seen from several aspects. For students and users of digital financial services, the results of this research are expected to be reference materials in improving financial literacy and self-control skills in using non-cash services. With this understanding, the balance between consumption patterns and </w:t>
      </w:r>
      <w:r>
        <w:rPr>
          <w:i/>
        </w:rPr>
        <w:t xml:space="preserve">saving behavior </w:t>
      </w:r>
      <w:r>
        <w:t xml:space="preserve">can be better maintained. For academics, this research is expected to make a scientific contribution to the development of financial behavior studies, especially through the application  of </w:t>
      </w:r>
      <w:r>
        <w:rPr>
          <w:i/>
        </w:rPr>
        <w:t xml:space="preserve">the Theory of Planned Behavior </w:t>
      </w:r>
      <w:r>
        <w:t>proposed by Ajzen (1991) in the context of modern financial technology. As for educational institutions and policy makers, the results of this research are expected to be used as a basis for the formulation of digital financial education programs that emphasize the importance of financial discipline and the formation of saving habits among students.</w:t>
      </w:r>
    </w:p>
    <w:p w14:paraId="4DBE98EA" w14:textId="0A32FD21" w:rsidR="00117D58" w:rsidRDefault="00F52091">
      <w:pPr>
        <w:pStyle w:val="BodyText"/>
        <w:spacing w:before="162" w:line="360" w:lineRule="auto"/>
        <w:ind w:right="20" w:firstLine="720"/>
      </w:pPr>
      <w:r>
        <w:t xml:space="preserve">Thus, this research not only contributes to the development of theories in the study of financial behavior. Practical impacts are also expected to emerge through efforts to form a young generation who have good financial awareness and understanding in the midst of the rapid development </w:t>
      </w:r>
      <w:r w:rsidR="006768C0" w:rsidRPr="006768C0">
        <w:rPr>
          <w:iCs/>
        </w:rPr>
        <w:t xml:space="preserve">of Non-Cash Transactions </w:t>
      </w:r>
      <w:r>
        <w:t>in Indonesia.</w:t>
      </w:r>
    </w:p>
    <w:p w14:paraId="23FD3728" w14:textId="77777777" w:rsidR="00117D58" w:rsidRDefault="00F52091">
      <w:pPr>
        <w:pStyle w:val="Heading1"/>
        <w:spacing w:before="168"/>
        <w:jc w:val="both"/>
      </w:pPr>
      <w:r>
        <w:t>LITERATURE REVIEW</w:t>
      </w:r>
    </w:p>
    <w:p w14:paraId="4439AD75" w14:textId="77777777" w:rsidR="00117D58" w:rsidRDefault="00117D58">
      <w:pPr>
        <w:pStyle w:val="BodyText"/>
        <w:spacing w:before="19"/>
        <w:ind w:left="0"/>
        <w:jc w:val="left"/>
        <w:rPr>
          <w:b/>
        </w:rPr>
      </w:pPr>
    </w:p>
    <w:p w14:paraId="73C0369F" w14:textId="7924D968" w:rsidR="00117D58" w:rsidRDefault="006768C0">
      <w:pPr>
        <w:pStyle w:val="Heading2"/>
        <w:spacing w:before="0"/>
      </w:pPr>
      <w:r>
        <w:t>Non-Cash Transactions</w:t>
      </w:r>
    </w:p>
    <w:p w14:paraId="2FFC58CA" w14:textId="77777777" w:rsidR="00117D58" w:rsidRDefault="00117D58">
      <w:pPr>
        <w:pStyle w:val="BodyText"/>
        <w:spacing w:before="15"/>
        <w:ind w:left="0"/>
        <w:jc w:val="left"/>
        <w:rPr>
          <w:b/>
        </w:rPr>
      </w:pPr>
    </w:p>
    <w:p w14:paraId="7EE70DED" w14:textId="6C577166" w:rsidR="00117D58" w:rsidRDefault="006768C0">
      <w:pPr>
        <w:pStyle w:val="BodyText"/>
        <w:spacing w:line="360" w:lineRule="auto"/>
        <w:ind w:right="21" w:firstLine="720"/>
      </w:pPr>
      <w:r w:rsidRPr="006768C0">
        <w:rPr>
          <w:iCs/>
        </w:rPr>
        <w:t xml:space="preserve">Non-Cash Transactions </w:t>
      </w:r>
      <w:r>
        <w:t>are a condition of society that in their economic activities increasingly reduces the use of cash and switches to payment systems</w:t>
      </w:r>
    </w:p>
    <w:p w14:paraId="010E476B" w14:textId="77777777" w:rsidR="00117D58" w:rsidRDefault="00117D58">
      <w:pPr>
        <w:pStyle w:val="BodyText"/>
        <w:spacing w:line="360" w:lineRule="auto"/>
        <w:sectPr w:rsidR="00117D58">
          <w:pgSz w:w="11910" w:h="16840"/>
          <w:pgMar w:top="1340" w:right="1417" w:bottom="280" w:left="1417" w:header="720" w:footer="720" w:gutter="0"/>
          <w:cols w:space="720"/>
        </w:sectPr>
      </w:pPr>
    </w:p>
    <w:p w14:paraId="1BD69357" w14:textId="106B4BCD" w:rsidR="00117D58" w:rsidRDefault="00F52091">
      <w:pPr>
        <w:pStyle w:val="BodyText"/>
        <w:spacing w:before="74" w:line="362" w:lineRule="auto"/>
        <w:ind w:right="13"/>
      </w:pPr>
      <w:r>
        <w:lastRenderedPageBreak/>
        <w:t xml:space="preserve">digital-based non-cash. Rahmatika et al. (2024) define </w:t>
      </w:r>
      <w:r w:rsidR="006768C0" w:rsidRPr="006768C0">
        <w:rPr>
          <w:iCs/>
        </w:rPr>
        <w:t xml:space="preserve">Non-Cash Transactions </w:t>
      </w:r>
      <w:r>
        <w:t>as the transition of payment systems from cash to the use of electronic money and digital wallets, such as OVO, DANA, GoPay, ShopeePay, and LinkAja. This development is driven by advances in digital technology that provide convenience, speed, and efficiency in conducting daily financial transactions.</w:t>
      </w:r>
    </w:p>
    <w:p w14:paraId="11DF1E51" w14:textId="7AB286BD" w:rsidR="00117D58" w:rsidRDefault="00F52091">
      <w:pPr>
        <w:pStyle w:val="BodyText"/>
        <w:spacing w:before="149" w:line="360" w:lineRule="auto"/>
        <w:ind w:right="19" w:firstLine="720"/>
      </w:pPr>
      <w:r>
        <w:t xml:space="preserve">In practice, </w:t>
      </w:r>
      <w:r w:rsidR="006768C0" w:rsidRPr="006768C0">
        <w:rPr>
          <w:iCs/>
        </w:rPr>
        <w:t xml:space="preserve">Non-Cash Transactions </w:t>
      </w:r>
      <w:r>
        <w:t>are characterized by an increasing intensity of the use of digital payment instruments in various activities, ranging from the purchase of daily necessities, payment for transportation services, to academic and social transactions. The Financial Services Authority (2024) states that digital transactions are considered more practical and secure than conventional payment systems because they can minimize the risk of losing cash and provide convenience in recording transactions. This condition encourages people, especially the younger generation, to increasingly rely on digital technology in managing their finances.</w:t>
      </w:r>
    </w:p>
    <w:p w14:paraId="379AC0C3" w14:textId="3A2ADC60" w:rsidR="00117D58" w:rsidRDefault="00F52091">
      <w:pPr>
        <w:pStyle w:val="BodyText"/>
        <w:spacing w:before="159" w:line="360" w:lineRule="auto"/>
        <w:ind w:right="15" w:firstLine="720"/>
      </w:pPr>
      <w:r>
        <w:t xml:space="preserve">Generation Z and students are the most adaptive group to the phenomenon of </w:t>
      </w:r>
      <w:r w:rsidR="006768C0" w:rsidRPr="006768C0">
        <w:rPr>
          <w:iCs/>
        </w:rPr>
        <w:t>Non-Cash Transactions</w:t>
      </w:r>
      <w:r>
        <w:t xml:space="preserve">. Rahmatika et al. (2024) explained that the high level of technological literacy and digital lifestyle makes the younger generation faster to accept and use non-cash payment systems. For students, the use of </w:t>
      </w:r>
      <w:r>
        <w:rPr>
          <w:i/>
        </w:rPr>
        <w:t xml:space="preserve">cashless </w:t>
      </w:r>
      <w:r>
        <w:t xml:space="preserve"> transactions is not only influenced by practical needs, but also by the social environment and digital trends that are developing around it. The ease of access and integration of digital wallets with various shopping platforms and services makes non-cash transactions part of students' daily lives.</w:t>
      </w:r>
    </w:p>
    <w:p w14:paraId="46E1C4EE" w14:textId="74559EBF" w:rsidR="00117D58" w:rsidRDefault="00F52091">
      <w:pPr>
        <w:pStyle w:val="BodyText"/>
        <w:spacing w:before="160" w:line="360" w:lineRule="auto"/>
        <w:ind w:right="16" w:firstLine="720"/>
      </w:pPr>
      <w:r>
        <w:t>Although it offers a wide range of developmental conveniences</w:t>
      </w:r>
      <w:r w:rsidR="006768C0" w:rsidRPr="006768C0">
        <w:rPr>
          <w:iCs/>
        </w:rPr>
        <w:t xml:space="preserve">, Non-Cash Transactions </w:t>
      </w:r>
      <w:r>
        <w:t xml:space="preserve">also have implications for individual financial behavior. This finding is strengthened by research from Rahmatika et al. (2024) which shows that the implementation </w:t>
      </w:r>
      <w:r w:rsidR="006768C0" w:rsidRPr="006768C0">
        <w:rPr>
          <w:iCs/>
        </w:rPr>
        <w:t xml:space="preserve"> of Non-Cash Transactions </w:t>
      </w:r>
      <w:r>
        <w:t xml:space="preserve">has a significant effect on increasing consumptive behavior in Generation Z. Various forms of discount promotions and </w:t>
      </w:r>
      <w:r>
        <w:rPr>
          <w:i/>
        </w:rPr>
        <w:t xml:space="preserve">cashback </w:t>
      </w:r>
      <w:r>
        <w:t xml:space="preserve"> programs provided by digital payment service providers encourage impulse purchases. The transaction process that takes place quickly and has minimal psychological barriers makes expenses tend to increase when compared to the use of cash.</w:t>
      </w:r>
    </w:p>
    <w:p w14:paraId="5E4CB693" w14:textId="77777777" w:rsidR="00117D58" w:rsidRDefault="00F52091">
      <w:pPr>
        <w:pStyle w:val="BodyText"/>
        <w:spacing w:before="160" w:line="360" w:lineRule="auto"/>
        <w:ind w:right="20" w:firstLine="720"/>
      </w:pPr>
      <w:r>
        <w:t>Among students, the high intensity of using non-cash transactions can affect personal financial management patterns. Digital payments often cause the amount of spending to go unnoticed due to the absence of physical interaction with</w:t>
      </w:r>
    </w:p>
    <w:p w14:paraId="4005169F" w14:textId="77777777" w:rsidR="00117D58" w:rsidRDefault="00117D58">
      <w:pPr>
        <w:pStyle w:val="BodyText"/>
        <w:spacing w:line="360" w:lineRule="auto"/>
        <w:sectPr w:rsidR="00117D58">
          <w:pgSz w:w="11910" w:h="16840"/>
          <w:pgMar w:top="1340" w:right="1417" w:bottom="280" w:left="1417" w:header="720" w:footer="720" w:gutter="0"/>
          <w:cols w:space="720"/>
        </w:sectPr>
      </w:pPr>
    </w:p>
    <w:p w14:paraId="1E4196D9" w14:textId="77777777" w:rsidR="00117D58" w:rsidRDefault="00F52091">
      <w:pPr>
        <w:pStyle w:val="BodyText"/>
        <w:spacing w:before="74" w:line="362" w:lineRule="auto"/>
        <w:ind w:right="23"/>
      </w:pPr>
      <w:r>
        <w:lastRenderedPageBreak/>
        <w:t>money. This condition has the potential to shift students' financial orientation from productive activities such as saving to more instant consumption patterns. Some studies also show that college students who use non-cash transactions more often tend to have higher spending rates compared to college students who still limit the use of cash.</w:t>
      </w:r>
    </w:p>
    <w:p w14:paraId="5544C870" w14:textId="7C941A6D" w:rsidR="00117D58" w:rsidRDefault="00F52091">
      <w:pPr>
        <w:pStyle w:val="BodyText"/>
        <w:spacing w:before="149" w:line="360" w:lineRule="auto"/>
        <w:ind w:right="15" w:firstLine="720"/>
      </w:pPr>
      <w:r>
        <w:t xml:space="preserve">In addition, the phenomenon </w:t>
      </w:r>
      <w:r w:rsidR="006768C0" w:rsidRPr="006768C0">
        <w:rPr>
          <w:iCs/>
        </w:rPr>
        <w:t xml:space="preserve"> of Non-Cash Transactions </w:t>
      </w:r>
      <w:r>
        <w:t xml:space="preserve">is closely related to the aspect of self-control in financial management. The ease of digital transactions allows purchases to be made anytime and anywhere. Without adequate self-control, individuals become more susceptible to consumptive behavior. A study conducted by Dewi et al. (2021) shows that the use of e-money has an effect on student consumptive behavior. However, this impact can be minimized if individuals have a good level of self-control. These findings show that </w:t>
      </w:r>
      <w:r w:rsidR="006768C0" w:rsidRPr="006768C0">
        <w:rPr>
          <w:iCs/>
        </w:rPr>
        <w:t xml:space="preserve">Non-Cash Transactions </w:t>
      </w:r>
      <w:r>
        <w:t>do not directly have a negative impact but are highly dependent on the individual's ability to manage their finances.</w:t>
      </w:r>
    </w:p>
    <w:p w14:paraId="4ACA6713" w14:textId="75906068" w:rsidR="00117D58" w:rsidRDefault="00F52091">
      <w:pPr>
        <w:pStyle w:val="BodyText"/>
        <w:spacing w:before="159" w:line="360" w:lineRule="auto"/>
        <w:ind w:right="18" w:firstLine="720"/>
      </w:pPr>
      <w:r>
        <w:t>Overall</w:t>
      </w:r>
      <w:r w:rsidR="006768C0" w:rsidRPr="006768C0">
        <w:rPr>
          <w:iCs/>
        </w:rPr>
        <w:t xml:space="preserve">, Non-Cash Transactions </w:t>
      </w:r>
      <w:r>
        <w:t xml:space="preserve">are an inseparable phenomenon from the development of modern financial technology. The non-cash payment system provides ease of efficiency and security in transactions. However, on the other hand, its application also has the potential to affect students' financial behavior, especially related to spending patterns and personal financial management. Therefore, a comprehensive understanding of </w:t>
      </w:r>
      <w:r w:rsidR="006768C0" w:rsidRPr="006768C0">
        <w:rPr>
          <w:iCs/>
        </w:rPr>
        <w:t xml:space="preserve">Non-Cash Transactions </w:t>
      </w:r>
      <w:r>
        <w:t xml:space="preserve">is important to assess the extent to which the use of digital transactions has an impact on financial behavior, especially in relation to </w:t>
      </w:r>
      <w:r>
        <w:rPr>
          <w:i/>
        </w:rPr>
        <w:t xml:space="preserve"> student saving behavior</w:t>
      </w:r>
      <w:r>
        <w:rPr>
          <w:spacing w:val="-2"/>
        </w:rPr>
        <w:t>.</w:t>
      </w:r>
    </w:p>
    <w:p w14:paraId="51E11D71" w14:textId="77777777" w:rsidR="00117D58" w:rsidRDefault="00F52091">
      <w:pPr>
        <w:pStyle w:val="Heading2"/>
      </w:pPr>
      <w:r>
        <w:t>Saving Behaviour</w:t>
      </w:r>
    </w:p>
    <w:p w14:paraId="44335436" w14:textId="77777777" w:rsidR="00117D58" w:rsidRDefault="00117D58">
      <w:pPr>
        <w:pStyle w:val="BodyText"/>
        <w:spacing w:before="14"/>
        <w:ind w:left="0"/>
        <w:jc w:val="left"/>
        <w:rPr>
          <w:b/>
        </w:rPr>
      </w:pPr>
    </w:p>
    <w:p w14:paraId="0032857F" w14:textId="77777777" w:rsidR="00117D58" w:rsidRDefault="00F52091">
      <w:pPr>
        <w:pStyle w:val="BodyText"/>
        <w:spacing w:line="360" w:lineRule="auto"/>
        <w:ind w:right="19" w:firstLine="720"/>
      </w:pPr>
      <w:r>
        <w:rPr>
          <w:i/>
        </w:rPr>
        <w:t xml:space="preserve">Saving behavior </w:t>
      </w:r>
      <w:r>
        <w:t xml:space="preserve">is understood as an individual's behavior in setting aside part of their income to be used in the future or as a reserve in dealing with emergency conditions. This behavior reflects an individual's ability to plan and manage finances responsibly and shows a long-term financial orientation. Among students, </w:t>
      </w:r>
      <w:r>
        <w:rPr>
          <w:i/>
        </w:rPr>
        <w:t xml:space="preserve">saving behavior </w:t>
      </w:r>
      <w:r>
        <w:t>has an important role because the lecture period is the initial stage of forming financial habits that will affect financial stability in the future.</w:t>
      </w:r>
    </w:p>
    <w:p w14:paraId="2D37FF80" w14:textId="77777777" w:rsidR="00117D58" w:rsidRDefault="00F52091">
      <w:pPr>
        <w:pStyle w:val="BodyText"/>
        <w:spacing w:before="161" w:line="360" w:lineRule="auto"/>
        <w:ind w:right="19" w:firstLine="720"/>
      </w:pPr>
      <w:r>
        <w:t>Riana (2022) explained that students' saving behavior is influenced by several main factors. These factors include financial literacy, personal income level,</w:t>
      </w:r>
    </w:p>
    <w:p w14:paraId="5851AB57" w14:textId="77777777" w:rsidR="00117D58" w:rsidRDefault="00117D58">
      <w:pPr>
        <w:pStyle w:val="BodyText"/>
        <w:spacing w:line="360" w:lineRule="auto"/>
        <w:sectPr w:rsidR="00117D58">
          <w:pgSz w:w="11910" w:h="16840"/>
          <w:pgMar w:top="1340" w:right="1417" w:bottom="280" w:left="1417" w:header="720" w:footer="720" w:gutter="0"/>
          <w:cols w:space="720"/>
        </w:sectPr>
      </w:pPr>
    </w:p>
    <w:p w14:paraId="502708AA" w14:textId="77777777" w:rsidR="00117D58" w:rsidRDefault="00F52091">
      <w:pPr>
        <w:pStyle w:val="BodyText"/>
        <w:spacing w:before="74" w:line="360" w:lineRule="auto"/>
        <w:ind w:right="19"/>
      </w:pPr>
      <w:r>
        <w:lastRenderedPageBreak/>
        <w:t>peer influence and risk tolerance. Financial literacy plays a role in shaping students' understanding of financial management, including spending planning and the importance of saving. Students with a good level of financial literacy tend to be able to allocate income in a more structured manner and have a higher awareness of the urgency of saving. On the other hand, the level of income or pocket money also determines the student's saving capacity. However, the amount of income does not always guarantee the formation of good saving behavior if it is not accompanied by proper financial management.</w:t>
      </w:r>
    </w:p>
    <w:p w14:paraId="0484365B" w14:textId="77777777" w:rsidR="00117D58" w:rsidRDefault="00F52091">
      <w:pPr>
        <w:pStyle w:val="BodyText"/>
        <w:spacing w:before="159" w:line="360" w:lineRule="auto"/>
        <w:ind w:right="14" w:firstLine="720"/>
      </w:pPr>
      <w:r>
        <w:t>In addition to economic factors</w:t>
      </w:r>
      <w:r>
        <w:rPr>
          <w:i/>
        </w:rPr>
        <w:t xml:space="preserve">, saving behavior </w:t>
      </w:r>
      <w:r>
        <w:t>is also influenced by psychological and social aspects. Riana (2022) emphasized that attitudes towards finances, levels of self-control, and social norms that develop in the student environment also shape saving behavior. Self-control plays an important role in a student's ability to resist consumptive impulses and prioritize long-term needs over momentary gratification. Meanwhile, the social environment, including peer influence, can have a positive or negative impact on saving habits. The impact depends on the norms and patterns of financial behavior that apply in the student environment.</w:t>
      </w:r>
    </w:p>
    <w:p w14:paraId="5F25F74E" w14:textId="77777777" w:rsidR="00117D58" w:rsidRDefault="00F52091">
      <w:pPr>
        <w:pStyle w:val="BodyText"/>
        <w:spacing w:before="165" w:line="360" w:lineRule="auto"/>
        <w:ind w:right="15" w:firstLine="720"/>
      </w:pPr>
      <w:r>
        <w:t xml:space="preserve">These findings are in line with the research of Suryanti et al. (2021) which states that </w:t>
      </w:r>
      <w:r>
        <w:rPr>
          <w:i/>
        </w:rPr>
        <w:t>financial literacy, self-control, saving motive</w:t>
      </w:r>
      <w:r>
        <w:t xml:space="preserve">, and income have a significant effect on  the </w:t>
      </w:r>
      <w:r>
        <w:rPr>
          <w:i/>
        </w:rPr>
        <w:t xml:space="preserve">saving behavior </w:t>
      </w:r>
      <w:r>
        <w:t xml:space="preserve">of the millennial generation. This study shows that individuals with high levels of self-control tend to be more consistent in saving, even in conditions that allow for increased consumption. </w:t>
      </w:r>
      <w:r>
        <w:rPr>
          <w:i/>
        </w:rPr>
        <w:t xml:space="preserve">Saving motive </w:t>
      </w:r>
      <w:r>
        <w:t>or saving motivation is also an important factor, because individuals who have a clear saving goal will be more disciplined in setting aside income. Income plays a supporting factor, but it is not the only determinant of saving behavior.</w:t>
      </w:r>
    </w:p>
    <w:p w14:paraId="4E8D58A8" w14:textId="77777777" w:rsidR="00117D58" w:rsidRDefault="00F52091">
      <w:pPr>
        <w:pStyle w:val="BodyText"/>
        <w:spacing w:before="158" w:line="360" w:lineRule="auto"/>
        <w:ind w:right="16" w:firstLine="720"/>
      </w:pPr>
      <w:r>
        <w:t>In the context of students, the motivation to save is generally related to academic and daily life needs, such as education costs, living expenses, and preparation for unexpected needs. Handayani et al. (2024) found that financial literacy has a significant effect on the saving behavior of regional students. Students who migrate are required to be more independent in managing finances because they are not under the direct supervision of their parents. This condition encourages students to have</w:t>
      </w:r>
    </w:p>
    <w:p w14:paraId="1F8EFF66" w14:textId="77777777" w:rsidR="00117D58" w:rsidRDefault="00117D58">
      <w:pPr>
        <w:pStyle w:val="BodyText"/>
        <w:spacing w:line="360" w:lineRule="auto"/>
        <w:sectPr w:rsidR="00117D58">
          <w:pgSz w:w="11910" w:h="16840"/>
          <w:pgMar w:top="1340" w:right="1417" w:bottom="280" w:left="1417" w:header="720" w:footer="720" w:gutter="0"/>
          <w:cols w:space="720"/>
        </w:sectPr>
      </w:pPr>
    </w:p>
    <w:p w14:paraId="4BE8A1C7" w14:textId="77777777" w:rsidR="00117D58" w:rsidRDefault="00F52091">
      <w:pPr>
        <w:pStyle w:val="BodyText"/>
        <w:spacing w:before="74" w:line="362" w:lineRule="auto"/>
        <w:ind w:right="22"/>
      </w:pPr>
      <w:r>
        <w:lastRenderedPageBreak/>
        <w:t>Higher awareness of the importance of saving as a form of financial security.</w:t>
      </w:r>
    </w:p>
    <w:p w14:paraId="36933233" w14:textId="77777777" w:rsidR="00117D58" w:rsidRDefault="00F52091">
      <w:pPr>
        <w:pStyle w:val="BodyText"/>
        <w:spacing w:before="156" w:line="360" w:lineRule="auto"/>
        <w:ind w:right="17" w:firstLine="720"/>
      </w:pPr>
      <w:r>
        <w:t xml:space="preserve">The development of financial technology also has an influence on  students' </w:t>
      </w:r>
      <w:r>
        <w:rPr>
          <w:i/>
        </w:rPr>
        <w:t>saving behavior</w:t>
      </w:r>
      <w:r>
        <w:t xml:space="preserve">. Maharani and Widajantie (2025) concluded that the saving behavior of financial technology service users is greatly influenced by the level of financial literacy and self-control ability. The ease of transactions offered by financial technology can encourage impulse spending. This condition has the potential to reduce saving behavior if it is not balanced with good self-control. On the other hand, if students have adequate financial literacy, financial technology can actually be used as a means of support in managing and storing funds. Research by Widhiastuti (2024) explains that the purpose of saving includes the provision of emergency funds, education financing, asset purchases, and preparation of long-term needs. So that strengthening financial literacy, self-control, and motivation to save are important aspects in forming  sustainable </w:t>
      </w:r>
      <w:r>
        <w:rPr>
          <w:i/>
        </w:rPr>
        <w:t xml:space="preserve">saving behavior </w:t>
      </w:r>
      <w:r>
        <w:t>among students.</w:t>
      </w:r>
    </w:p>
    <w:p w14:paraId="47F99F60" w14:textId="77777777" w:rsidR="00117D58" w:rsidRDefault="00F52091">
      <w:pPr>
        <w:pStyle w:val="Heading2"/>
        <w:spacing w:before="168"/>
      </w:pPr>
      <w:r>
        <w:t>Theory of Planned Behavior (Ajzen, 1991)</w:t>
      </w:r>
    </w:p>
    <w:p w14:paraId="4E63FF57" w14:textId="77777777" w:rsidR="00117D58" w:rsidRDefault="00117D58">
      <w:pPr>
        <w:pStyle w:val="BodyText"/>
        <w:spacing w:before="15"/>
        <w:ind w:left="0"/>
        <w:jc w:val="left"/>
        <w:rPr>
          <w:b/>
        </w:rPr>
      </w:pPr>
    </w:p>
    <w:p w14:paraId="6D4781CC" w14:textId="77777777" w:rsidR="00117D58" w:rsidRDefault="00F52091">
      <w:pPr>
        <w:pStyle w:val="BodyText"/>
        <w:spacing w:line="360" w:lineRule="auto"/>
        <w:ind w:right="14" w:firstLine="720"/>
      </w:pPr>
      <w:r>
        <w:t xml:space="preserve">The main theory underlying this research is </w:t>
      </w:r>
      <w:r>
        <w:rPr>
          <w:i/>
        </w:rPr>
        <w:t xml:space="preserve">the Theory of Planned Behaviour </w:t>
      </w:r>
      <w:r>
        <w:t xml:space="preserve">(TPB) introduced by Icek Ajzen in 1991, which is the result of the development of </w:t>
      </w:r>
      <w:r>
        <w:rPr>
          <w:i/>
        </w:rPr>
        <w:t xml:space="preserve">the Reassoned Action </w:t>
      </w:r>
      <w:r>
        <w:t>(TRA) Theory. TPB explained that individual behavior can be predicted through three main determinants, namely attitudes towards behavior, subjective norms, and perceived behavioral control. These three factors influence an individual's intention to perform a behavior, which in turn determines the actual behavior.</w:t>
      </w:r>
    </w:p>
    <w:p w14:paraId="6B4B5D1A" w14:textId="37CE77A4" w:rsidR="00117D58" w:rsidRDefault="00F52091">
      <w:pPr>
        <w:pStyle w:val="BodyText"/>
        <w:spacing w:before="162" w:line="360" w:lineRule="auto"/>
        <w:ind w:right="18" w:firstLine="720"/>
      </w:pPr>
      <w:r>
        <w:t xml:space="preserve">Ajzen's theory provides a solid framework for analyzing the relationship between </w:t>
      </w:r>
      <w:r w:rsidR="006768C0">
        <w:rPr>
          <w:i/>
        </w:rPr>
        <w:t xml:space="preserve">Non-Cash Transactions </w:t>
      </w:r>
      <w:r>
        <w:t xml:space="preserve">and </w:t>
      </w:r>
      <w:r>
        <w:rPr>
          <w:i/>
        </w:rPr>
        <w:t>saving behaviour</w:t>
      </w:r>
      <w:r>
        <w:t xml:space="preserve">. The intensity of the use of non-cash transactions can affect attitudes towards consumption, subjective norms in the digital environment, and perceived behavioral control over personal finances. Therefore, this study aims to test whether the ease of digital transactions actually reduces students' intentions and </w:t>
      </w:r>
      <w:r>
        <w:rPr>
          <w:i/>
        </w:rPr>
        <w:t xml:space="preserve">saving behaviors </w:t>
      </w:r>
      <w:r>
        <w:t>, or vice versa, can be managed as a tool that supports healthy financial behavior.</w:t>
      </w:r>
    </w:p>
    <w:p w14:paraId="453FA129" w14:textId="0ED3F74B" w:rsidR="00117D58" w:rsidRDefault="00F52091">
      <w:pPr>
        <w:pStyle w:val="BodyText"/>
        <w:spacing w:before="161" w:line="360" w:lineRule="auto"/>
        <w:ind w:right="21" w:firstLine="720"/>
      </w:pPr>
      <w:r>
        <w:t xml:space="preserve">The phenomenon </w:t>
      </w:r>
      <w:r w:rsidR="006768C0" w:rsidRPr="006768C0">
        <w:rPr>
          <w:iCs/>
        </w:rPr>
        <w:t xml:space="preserve"> of Non-Cash Transactions </w:t>
      </w:r>
      <w:r>
        <w:t xml:space="preserve">offers opportunities and challenges for students' financial behavior. Based on </w:t>
      </w:r>
      <w:r>
        <w:rPr>
          <w:i/>
        </w:rPr>
        <w:t>the Theory of Planned Behavior</w:t>
      </w:r>
      <w:r>
        <w:t>, this study analyzes how psychological and social factors mediate the impact of transaction digitization on behavior</w:t>
      </w:r>
    </w:p>
    <w:p w14:paraId="35167F55" w14:textId="77777777" w:rsidR="00117D58" w:rsidRDefault="00117D58">
      <w:pPr>
        <w:pStyle w:val="BodyText"/>
        <w:spacing w:line="360" w:lineRule="auto"/>
        <w:sectPr w:rsidR="00117D58">
          <w:pgSz w:w="11910" w:h="16840"/>
          <w:pgMar w:top="1340" w:right="1417" w:bottom="280" w:left="1417" w:header="720" w:footer="720" w:gutter="0"/>
          <w:cols w:space="720"/>
        </w:sectPr>
      </w:pPr>
    </w:p>
    <w:p w14:paraId="3B1FA6C3" w14:textId="77777777" w:rsidR="00117D58" w:rsidRDefault="00F52091">
      <w:pPr>
        <w:pStyle w:val="BodyText"/>
        <w:spacing w:before="74" w:line="362" w:lineRule="auto"/>
        <w:ind w:right="27"/>
      </w:pPr>
      <w:r>
        <w:lastRenderedPageBreak/>
        <w:t>saving. This understanding is expected to enrich the study of contemporary financial behavior and provide a theoretical foundation for strategies to improve financial literacy and control among students.</w:t>
      </w:r>
    </w:p>
    <w:p w14:paraId="484D5A3C" w14:textId="1E548070" w:rsidR="00117D58" w:rsidRDefault="00F52091">
      <w:pPr>
        <w:pStyle w:val="BodyText"/>
        <w:spacing w:before="152" w:line="360" w:lineRule="auto"/>
        <w:ind w:right="14" w:firstLine="720"/>
      </w:pPr>
      <w:r>
        <w:t xml:space="preserve">Based on the formulation of the problem and the theoretical framework described above, the research hypothesis is formulated as follows. The zero hypothesis (H₀) states that there is no significant influence of </w:t>
      </w:r>
      <w:r w:rsidR="006768C0" w:rsidRPr="006768C0">
        <w:rPr>
          <w:iCs/>
        </w:rPr>
        <w:t xml:space="preserve">Non-Cash Transactions </w:t>
      </w:r>
      <w:r>
        <w:t xml:space="preserve">on  the </w:t>
      </w:r>
      <w:r>
        <w:rPr>
          <w:i/>
        </w:rPr>
        <w:t xml:space="preserve">saving behaviour </w:t>
      </w:r>
      <w:r w:rsidR="006768C0">
        <w:t xml:space="preserve"> of students at Majene Open University, while the alternative hypothesis (H₁) states that there is a significant influence of </w:t>
      </w:r>
      <w:r w:rsidR="006768C0" w:rsidRPr="006768C0">
        <w:rPr>
          <w:iCs/>
        </w:rPr>
        <w:t xml:space="preserve">Non-Cash Transactions </w:t>
      </w:r>
      <w:r>
        <w:t xml:space="preserve">on  the </w:t>
      </w:r>
      <w:r>
        <w:rPr>
          <w:i/>
        </w:rPr>
        <w:t xml:space="preserve">saving behaviour </w:t>
      </w:r>
      <w:r w:rsidR="006768C0">
        <w:t>of students at Majene Open University.</w:t>
      </w:r>
    </w:p>
    <w:p w14:paraId="5A8B9001" w14:textId="77777777" w:rsidR="00117D58" w:rsidRDefault="00F52091">
      <w:pPr>
        <w:pStyle w:val="Heading1"/>
        <w:spacing w:before="171"/>
        <w:jc w:val="both"/>
      </w:pPr>
      <w:r>
        <w:t>RESEARCH METHODOLOGY</w:t>
      </w:r>
    </w:p>
    <w:p w14:paraId="372058E5" w14:textId="77777777" w:rsidR="00117D58" w:rsidRDefault="00117D58">
      <w:pPr>
        <w:pStyle w:val="BodyText"/>
        <w:spacing w:before="10"/>
        <w:ind w:left="0"/>
        <w:jc w:val="left"/>
        <w:rPr>
          <w:b/>
        </w:rPr>
      </w:pPr>
    </w:p>
    <w:p w14:paraId="6EFF1D8F" w14:textId="0B98DFF0" w:rsidR="00117D58" w:rsidRDefault="00F52091">
      <w:pPr>
        <w:pStyle w:val="BodyText"/>
        <w:spacing w:line="360" w:lineRule="auto"/>
        <w:ind w:right="16" w:firstLine="720"/>
      </w:pPr>
      <w:r>
        <w:t xml:space="preserve">This study applies a quantitative approach with an associative method that aims to identify the relationship or influence between two or more variables that can be measured numerically. This approach was chosen because the focus of the research was directed at analyzing the relationship between the implementation </w:t>
      </w:r>
      <w:r w:rsidR="006768C0" w:rsidRPr="006768C0">
        <w:rPr>
          <w:iCs/>
        </w:rPr>
        <w:t xml:space="preserve"> of Non-Cash Transactions </w:t>
      </w:r>
      <w:r>
        <w:t xml:space="preserve">as an independent variable and  students' </w:t>
      </w:r>
      <w:r>
        <w:rPr>
          <w:i/>
        </w:rPr>
        <w:t xml:space="preserve">saving behavior </w:t>
      </w:r>
      <w:r w:rsidR="006768C0">
        <w:t>as a dependent variable at Majene Open University. In quantitative research, the associative method is used when hypothesis testing is carried out based on a theoretical framework through structured measurement of variables and analysis of relationships between variables using inferential statistical techniques.</w:t>
      </w:r>
    </w:p>
    <w:p w14:paraId="4C1DE505" w14:textId="0D5B48B3" w:rsidR="00117D58" w:rsidRDefault="00F52091">
      <w:pPr>
        <w:pStyle w:val="BodyText"/>
        <w:spacing w:before="164" w:line="360" w:lineRule="auto"/>
        <w:ind w:right="17" w:firstLine="720"/>
      </w:pPr>
      <w:r>
        <w:t xml:space="preserve">Creswell and Creswell (2024) explain that a quantitative approach with an associative method allows researchers to objectively identify patterns of causal relationships through the use of numerical data or using numbers. Through this approach, research hypotheses can be tested empirically using data obtained through standardized research instruments. This research is categorized as explanatory research because it aims to explain the causal relationship between independent variables and dependent variables. The research not only focuses on the presentation of the phenomenon of the implementation of the digital payment system but also examines the extent to which </w:t>
      </w:r>
      <w:r w:rsidR="006768C0" w:rsidRPr="006768C0">
        <w:rPr>
          <w:iCs/>
        </w:rPr>
        <w:t xml:space="preserve">Non-Cash Transactions </w:t>
      </w:r>
      <w:r>
        <w:t xml:space="preserve">affect  the </w:t>
      </w:r>
      <w:r>
        <w:rPr>
          <w:i/>
        </w:rPr>
        <w:t xml:space="preserve">saving behavior </w:t>
      </w:r>
      <w:r w:rsidR="006768C0">
        <w:t>of Majene Open University students.</w:t>
      </w:r>
    </w:p>
    <w:p w14:paraId="31E7C436" w14:textId="7244303B" w:rsidR="00117D58" w:rsidRDefault="006768C0">
      <w:pPr>
        <w:pStyle w:val="BodyText"/>
        <w:spacing w:before="159" w:line="360" w:lineRule="auto"/>
        <w:ind w:right="12" w:firstLine="720"/>
      </w:pPr>
      <w:r>
        <w:t xml:space="preserve">The population in this study includes all active students of Majene Open University in the 2025 academic year with a total of 18,894 students. The sampling technique used is probability sampling with </w:t>
      </w:r>
      <w:r w:rsidR="00F52091">
        <w:rPr>
          <w:i/>
        </w:rPr>
        <w:t>a simple random sampling</w:t>
      </w:r>
      <w:r w:rsidR="00F52091">
        <w:t xml:space="preserve"> method, so that every individual in the population has the same opportunity to</w:t>
      </w:r>
    </w:p>
    <w:p w14:paraId="235F2BD4" w14:textId="77777777" w:rsidR="00117D58" w:rsidRDefault="00117D58">
      <w:pPr>
        <w:pStyle w:val="BodyText"/>
        <w:spacing w:line="360" w:lineRule="auto"/>
        <w:sectPr w:rsidR="00117D58">
          <w:pgSz w:w="11910" w:h="16840"/>
          <w:pgMar w:top="1340" w:right="1417" w:bottom="280" w:left="1417" w:header="720" w:footer="720" w:gutter="0"/>
          <w:cols w:space="720"/>
        </w:sectPr>
      </w:pPr>
    </w:p>
    <w:p w14:paraId="15212030" w14:textId="77777777" w:rsidR="00117D58" w:rsidRDefault="00F52091">
      <w:pPr>
        <w:pStyle w:val="BodyText"/>
        <w:spacing w:before="74" w:line="362" w:lineRule="auto"/>
        <w:jc w:val="left"/>
      </w:pPr>
      <w:r>
        <w:lastRenderedPageBreak/>
        <w:t>became a respondent. The sample size was determined using the Slovin formula with a margin of error of 10%, so that the sample produced was representative of the population.</w:t>
      </w:r>
    </w:p>
    <w:p w14:paraId="32DC7F72" w14:textId="77777777" w:rsidR="00117D58" w:rsidRDefault="00F52091">
      <w:pPr>
        <w:pStyle w:val="BodyText"/>
        <w:spacing w:before="160"/>
        <w:ind w:left="744"/>
        <w:jc w:val="left"/>
      </w:pPr>
      <w:r>
        <w:t>The calculation of the Slovin formula is as follows:</w:t>
      </w:r>
    </w:p>
    <w:p w14:paraId="5012001F" w14:textId="77777777" w:rsidR="00117D58" w:rsidRDefault="00117D58">
      <w:pPr>
        <w:pStyle w:val="BodyText"/>
        <w:spacing w:before="10"/>
        <w:ind w:left="0"/>
        <w:jc w:val="left"/>
        <w:rPr>
          <w:sz w:val="18"/>
        </w:rPr>
      </w:pPr>
    </w:p>
    <w:p w14:paraId="5D9B7895" w14:textId="77777777" w:rsidR="00117D58" w:rsidRDefault="00117D58">
      <w:pPr>
        <w:pStyle w:val="BodyText"/>
        <w:jc w:val="left"/>
        <w:rPr>
          <w:sz w:val="18"/>
        </w:rPr>
        <w:sectPr w:rsidR="00117D58">
          <w:pgSz w:w="11910" w:h="16840"/>
          <w:pgMar w:top="1340" w:right="1417" w:bottom="280" w:left="1417" w:header="720" w:footer="720" w:gutter="0"/>
          <w:cols w:space="720"/>
        </w:sectPr>
      </w:pPr>
    </w:p>
    <w:p w14:paraId="306DC55F" w14:textId="77777777" w:rsidR="00117D58" w:rsidRDefault="00117D58">
      <w:pPr>
        <w:pStyle w:val="BodyText"/>
        <w:spacing w:before="63"/>
        <w:ind w:left="0"/>
        <w:jc w:val="left"/>
        <w:rPr>
          <w:sz w:val="20"/>
        </w:rPr>
      </w:pPr>
    </w:p>
    <w:p w14:paraId="7E398DCC" w14:textId="77777777" w:rsidR="00117D58" w:rsidRDefault="00F52091">
      <w:pPr>
        <w:spacing w:line="20" w:lineRule="exact"/>
        <w:ind w:left="2597" w:right="-87"/>
        <w:rPr>
          <w:sz w:val="2"/>
        </w:rPr>
      </w:pPr>
      <w:r>
        <w:rPr>
          <w:noProof/>
          <w:sz w:val="2"/>
        </w:rPr>
        <mc:AlternateContent>
          <mc:Choice Requires="wpg">
            <w:drawing>
              <wp:inline distT="0" distB="0" distL="0" distR="0" wp14:anchorId="48B90357" wp14:editId="7CC20169">
                <wp:extent cx="457834" cy="952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834" cy="9525"/>
                          <a:chOff x="0" y="0"/>
                          <a:chExt cx="457834" cy="9525"/>
                        </a:xfrm>
                      </wpg:grpSpPr>
                      <wps:wsp>
                        <wps:cNvPr id="2" name="Graphic 2"/>
                        <wps:cNvSpPr/>
                        <wps:spPr>
                          <a:xfrm>
                            <a:off x="0" y="0"/>
                            <a:ext cx="457834" cy="9525"/>
                          </a:xfrm>
                          <a:custGeom>
                            <a:avLst/>
                            <a:gdLst/>
                            <a:ahLst/>
                            <a:cxnLst/>
                            <a:rect l="l" t="t" r="r" b="b"/>
                            <a:pathLst>
                              <a:path w="457834" h="9525">
                                <a:moveTo>
                                  <a:pt x="457504" y="0"/>
                                </a:moveTo>
                                <a:lnTo>
                                  <a:pt x="0" y="0"/>
                                </a:lnTo>
                                <a:lnTo>
                                  <a:pt x="0" y="9144"/>
                                </a:lnTo>
                                <a:lnTo>
                                  <a:pt x="457504" y="9144"/>
                                </a:lnTo>
                                <a:lnTo>
                                  <a:pt x="4575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C2EFA7" id="Group 1" o:spid="_x0000_s1026" style="width:36.05pt;height:.75pt;mso-position-horizontal-relative:char;mso-position-vertical-relative:line" coordsize="45783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">
                <v:shape id="Graphic 2" o:spid="_x0000_s1027" style="position:absolute;width:457834;height:9525;visibility:visible;mso-wrap-style:square;v-text-anchor:top" coordsize="45783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" path="m457504,l,,,9144r457504,l457504,xe" fillcolor="black" stroked="f">
                  <v:path arrowok="t"/>
                </v:shape>
                <w10:anchorlock/>
              </v:group>
            </w:pict>
          </mc:Fallback>
        </mc:AlternateContent>
      </w:r>
    </w:p>
    <w:p w14:paraId="0101C579" w14:textId="77777777" w:rsidR="00117D58" w:rsidRDefault="00F52091">
      <w:pPr>
        <w:tabs>
          <w:tab w:val="left" w:pos="2400"/>
          <w:tab w:val="left" w:pos="2889"/>
        </w:tabs>
        <w:spacing w:line="122" w:lineRule="auto"/>
        <w:ind w:left="2597" w:hanging="918"/>
        <w:rPr>
          <w:rFonts w:ascii="Cambria Math" w:eastAsia="Cambria Math"/>
          <w:position w:val="5"/>
          <w:sz w:val="14"/>
        </w:rPr>
      </w:pPr>
      <w:r>
        <w:rPr>
          <w:spacing w:val="-10"/>
          <w:sz w:val="24"/>
        </w:rPr>
        <w:t>n</w:t>
      </w:r>
      <w:r>
        <w:rPr>
          <w:sz w:val="24"/>
        </w:rPr>
        <w:tab/>
      </w:r>
      <w:r>
        <w:rPr>
          <w:spacing w:val="-10"/>
          <w:sz w:val="24"/>
        </w:rPr>
        <w:t>=</w:t>
      </w:r>
      <w:r>
        <w:rPr>
          <w:sz w:val="24"/>
        </w:rPr>
        <w:tab/>
      </w:r>
      <w:r>
        <w:rPr>
          <w:sz w:val="24"/>
        </w:rPr>
        <w:tab/>
      </w:r>
      <w:r>
        <w:rPr>
          <w:rFonts w:ascii="Cambria Math" w:eastAsia="Cambria Math"/>
          <w:spacing w:val="-10"/>
          <w:sz w:val="24"/>
          <w:vertAlign w:val="superscript"/>
        </w:rPr>
        <w:t xml:space="preserve">𝑁 </w:t>
      </w:r>
      <w:r>
        <w:rPr>
          <w:rFonts w:ascii="Cambria Math" w:eastAsia="Cambria Math"/>
          <w:sz w:val="17"/>
        </w:rPr>
        <w:t>1+N (e)</w:t>
      </w:r>
      <w:r>
        <w:rPr>
          <w:rFonts w:ascii="Cambria Math" w:eastAsia="Cambria Math"/>
          <w:position w:val="5"/>
          <w:sz w:val="14"/>
        </w:rPr>
        <w:t>2</w:t>
      </w:r>
    </w:p>
    <w:p w14:paraId="3C0157E6" w14:textId="77777777" w:rsidR="00117D58" w:rsidRDefault="00F52091">
      <w:pPr>
        <w:tabs>
          <w:tab w:val="left" w:pos="640"/>
        </w:tabs>
        <w:spacing w:before="94" w:line="165" w:lineRule="auto"/>
        <w:ind w:left="93"/>
        <w:rPr>
          <w:rFonts w:ascii="Cambria Math"/>
          <w:sz w:val="17"/>
        </w:rPr>
      </w:pPr>
      <w:r>
        <w:br w:type="column"/>
      </w:r>
      <w:r>
        <w:rPr>
          <w:spacing w:val="-10"/>
          <w:position w:val="-13"/>
          <w:sz w:val="24"/>
        </w:rPr>
        <w:t>=</w:t>
      </w:r>
      <w:r>
        <w:rPr>
          <w:position w:val="-13"/>
          <w:sz w:val="24"/>
        </w:rPr>
        <w:tab/>
      </w:r>
      <w:r>
        <w:rPr>
          <w:rFonts w:ascii="Cambria Math"/>
          <w:spacing w:val="-2"/>
          <w:sz w:val="17"/>
        </w:rPr>
        <w:t>18.894</w:t>
      </w:r>
    </w:p>
    <w:p w14:paraId="1A95DB17" w14:textId="77777777" w:rsidR="00117D58" w:rsidRDefault="00F52091">
      <w:pPr>
        <w:spacing w:line="163" w:lineRule="exact"/>
        <w:ind w:left="280"/>
        <w:rPr>
          <w:rFonts w:ascii="Cambria Math"/>
          <w:position w:val="5"/>
          <w:sz w:val="14"/>
        </w:rPr>
      </w:pPr>
      <w:r>
        <w:rPr>
          <w:rFonts w:ascii="Cambria Math"/>
          <w:noProof/>
          <w:position w:val="5"/>
          <w:sz w:val="14"/>
        </w:rPr>
        <mc:AlternateContent>
          <mc:Choice Requires="wps">
            <w:drawing>
              <wp:anchor distT="0" distB="0" distL="0" distR="0" simplePos="0" relativeHeight="251654144" behindDoc="1" locked="0" layoutInCell="1" allowOverlap="1" wp14:anchorId="39BD0D0F" wp14:editId="24AAD24A">
                <wp:simplePos x="0" y="0"/>
                <wp:positionH relativeFrom="page">
                  <wp:posOffset>3204717</wp:posOffset>
                </wp:positionH>
                <wp:positionV relativeFrom="paragraph">
                  <wp:posOffset>-45251</wp:posOffset>
                </wp:positionV>
                <wp:extent cx="78994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9940" cy="9525"/>
                        </a:xfrm>
                        <a:custGeom>
                          <a:avLst/>
                          <a:gdLst/>
                          <a:ahLst/>
                          <a:cxnLst/>
                          <a:rect l="l" t="t" r="r" b="b"/>
                          <a:pathLst>
                            <a:path w="789940" h="9525">
                              <a:moveTo>
                                <a:pt x="789736" y="0"/>
                              </a:moveTo>
                              <a:lnTo>
                                <a:pt x="0" y="0"/>
                              </a:lnTo>
                              <a:lnTo>
                                <a:pt x="0" y="9144"/>
                              </a:lnTo>
                              <a:lnTo>
                                <a:pt x="789736" y="9144"/>
                              </a:lnTo>
                              <a:lnTo>
                                <a:pt x="7897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21F8B3" id="Graphic 3" o:spid="_x0000_s1026" style="position:absolute;margin-left:252.35pt;margin-top:-3.55pt;width:62.2pt;height:.75pt;z-index:-251662336;visibility:visible;mso-wrap-style:square;mso-wrap-distance-left:0;mso-wrap-distance-top:0;mso-wrap-distance-right:0;mso-wrap-distance-bottom:0;mso-position-horizontal:absolute;mso-position-horizontal-relative:page;mso-position-vertical:absolute;mso-position-vertical-relative:text;v-text-anchor:top" coordsize="7899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" path="m789736,l,,,9144r789736,l789736,xe" fillcolor="black" stroked="f">
                <v:path arrowok="t"/>
                <w10:wrap anchorx="page"/>
              </v:shape>
            </w:pict>
          </mc:Fallback>
        </mc:AlternateContent>
      </w:r>
      <w:r>
        <w:rPr>
          <w:rFonts w:ascii="Cambria Math"/>
          <w:sz w:val="17"/>
        </w:rPr>
        <w:t>1+18,894 (0,1)</w:t>
      </w:r>
      <w:r>
        <w:rPr>
          <w:rFonts w:ascii="Cambria Math"/>
          <w:spacing w:val="-2"/>
          <w:position w:val="5"/>
          <w:sz w:val="14"/>
        </w:rPr>
        <w:t>2</w:t>
      </w:r>
    </w:p>
    <w:p w14:paraId="0202B9B5" w14:textId="77777777" w:rsidR="00117D58" w:rsidRDefault="00F52091">
      <w:pPr>
        <w:spacing w:before="93" w:line="172" w:lineRule="auto"/>
        <w:ind w:left="30"/>
        <w:rPr>
          <w:rFonts w:ascii="Cambria Math"/>
          <w:sz w:val="17"/>
        </w:rPr>
      </w:pPr>
      <w:r>
        <w:br w:type="column"/>
      </w:r>
      <w:r>
        <w:rPr>
          <w:position w:val="-13"/>
          <w:sz w:val="24"/>
        </w:rPr>
        <w:t xml:space="preserve">=  </w:t>
      </w:r>
      <w:r>
        <w:rPr>
          <w:rFonts w:ascii="Cambria Math"/>
          <w:spacing w:val="-2"/>
          <w:sz w:val="17"/>
        </w:rPr>
        <w:t>18,894</w:t>
      </w:r>
    </w:p>
    <w:p w14:paraId="3D9AF8A5" w14:textId="77777777" w:rsidR="00117D58" w:rsidRDefault="00F52091">
      <w:pPr>
        <w:spacing w:line="159" w:lineRule="exact"/>
        <w:ind w:left="227"/>
        <w:rPr>
          <w:rFonts w:ascii="Cambria Math"/>
          <w:sz w:val="17"/>
        </w:rPr>
      </w:pPr>
      <w:r>
        <w:rPr>
          <w:rFonts w:ascii="Cambria Math"/>
          <w:noProof/>
          <w:sz w:val="17"/>
        </w:rPr>
        <mc:AlternateContent>
          <mc:Choice Requires="wps">
            <w:drawing>
              <wp:anchor distT="0" distB="0" distL="0" distR="0" simplePos="0" relativeHeight="251656192" behindDoc="1" locked="0" layoutInCell="1" allowOverlap="1" wp14:anchorId="4852328E" wp14:editId="146A4AFA">
                <wp:simplePos x="0" y="0"/>
                <wp:positionH relativeFrom="page">
                  <wp:posOffset>4158996</wp:posOffset>
                </wp:positionH>
                <wp:positionV relativeFrom="paragraph">
                  <wp:posOffset>-48121</wp:posOffset>
                </wp:positionV>
                <wp:extent cx="473075"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3075" cy="9525"/>
                        </a:xfrm>
                        <a:custGeom>
                          <a:avLst/>
                          <a:gdLst/>
                          <a:ahLst/>
                          <a:cxnLst/>
                          <a:rect l="l" t="t" r="r" b="b"/>
                          <a:pathLst>
                            <a:path w="473075" h="9525">
                              <a:moveTo>
                                <a:pt x="472744" y="0"/>
                              </a:moveTo>
                              <a:lnTo>
                                <a:pt x="0" y="0"/>
                              </a:lnTo>
                              <a:lnTo>
                                <a:pt x="0" y="9144"/>
                              </a:lnTo>
                              <a:lnTo>
                                <a:pt x="472744" y="9144"/>
                              </a:lnTo>
                              <a:lnTo>
                                <a:pt x="4727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43EDFA" id="Graphic 4" o:spid="_x0000_s1026" style="position:absolute;margin-left:327.5pt;margin-top:-3.8pt;width:37.25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4730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" path="m472744,l,,,9144r472744,l472744,xe" fillcolor="black" stroked="f">
                <v:path arrowok="t"/>
                <w10:wrap anchorx="page"/>
              </v:shape>
            </w:pict>
          </mc:Fallback>
        </mc:AlternateContent>
      </w:r>
      <w:r>
        <w:rPr>
          <w:rFonts w:ascii="Cambria Math"/>
          <w:spacing w:val="-2"/>
          <w:sz w:val="17"/>
        </w:rPr>
        <w:t>1+188,94</w:t>
      </w:r>
    </w:p>
    <w:p w14:paraId="7D41AC01" w14:textId="77777777" w:rsidR="00117D58" w:rsidRDefault="00F52091">
      <w:pPr>
        <w:spacing w:before="93" w:line="172" w:lineRule="auto"/>
        <w:ind w:left="27"/>
        <w:rPr>
          <w:position w:val="-13"/>
          <w:sz w:val="24"/>
        </w:rPr>
      </w:pPr>
      <w:r>
        <w:br w:type="column"/>
      </w:r>
      <w:r>
        <w:rPr>
          <w:position w:val="-13"/>
          <w:sz w:val="24"/>
        </w:rPr>
        <w:t xml:space="preserve">= </w:t>
      </w:r>
      <w:r>
        <w:rPr>
          <w:rFonts w:ascii="Cambria Math"/>
          <w:sz w:val="17"/>
        </w:rPr>
        <w:t xml:space="preserve">18,894 </w:t>
      </w:r>
      <w:r>
        <w:rPr>
          <w:position w:val="-13"/>
          <w:sz w:val="24"/>
        </w:rPr>
        <w:t>= 99.4</w:t>
      </w:r>
    </w:p>
    <w:p w14:paraId="5B709FF1" w14:textId="77777777" w:rsidR="00117D58" w:rsidRDefault="00F52091">
      <w:pPr>
        <w:spacing w:line="159" w:lineRule="exact"/>
        <w:ind w:left="219"/>
        <w:rPr>
          <w:rFonts w:ascii="Cambria Math"/>
          <w:sz w:val="17"/>
        </w:rPr>
      </w:pPr>
      <w:r>
        <w:rPr>
          <w:rFonts w:ascii="Cambria Math"/>
          <w:noProof/>
          <w:sz w:val="17"/>
        </w:rPr>
        <mc:AlternateContent>
          <mc:Choice Requires="wps">
            <w:drawing>
              <wp:anchor distT="0" distB="0" distL="0" distR="0" simplePos="0" relativeHeight="251658240" behindDoc="1" locked="0" layoutInCell="1" allowOverlap="1" wp14:anchorId="4CCB270C" wp14:editId="28A5C31D">
                <wp:simplePos x="0" y="0"/>
                <wp:positionH relativeFrom="page">
                  <wp:posOffset>4793234</wp:posOffset>
                </wp:positionH>
                <wp:positionV relativeFrom="paragraph">
                  <wp:posOffset>-48121</wp:posOffset>
                </wp:positionV>
                <wp:extent cx="33274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740" cy="9525"/>
                        </a:xfrm>
                        <a:custGeom>
                          <a:avLst/>
                          <a:gdLst/>
                          <a:ahLst/>
                          <a:cxnLst/>
                          <a:rect l="l" t="t" r="r" b="b"/>
                          <a:pathLst>
                            <a:path w="332740" h="9525">
                              <a:moveTo>
                                <a:pt x="332232" y="0"/>
                              </a:moveTo>
                              <a:lnTo>
                                <a:pt x="0" y="0"/>
                              </a:lnTo>
                              <a:lnTo>
                                <a:pt x="0" y="9144"/>
                              </a:lnTo>
                              <a:lnTo>
                                <a:pt x="332232" y="9144"/>
                              </a:lnTo>
                              <a:lnTo>
                                <a:pt x="3322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4C8094" id="Graphic 5" o:spid="_x0000_s1026" style="position:absolute;margin-left:377.4pt;margin-top:-3.8pt;width:26.2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3327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" path="m332232,l,,,9144r332232,l332232,xe" fillcolor="black" stroked="f">
                <v:path arrowok="t"/>
                <w10:wrap anchorx="page"/>
              </v:shape>
            </w:pict>
          </mc:Fallback>
        </mc:AlternateContent>
      </w:r>
      <w:r>
        <w:rPr>
          <w:rFonts w:ascii="Cambria Math"/>
          <w:spacing w:val="-2"/>
          <w:sz w:val="17"/>
        </w:rPr>
        <w:t>189,94</w:t>
      </w:r>
    </w:p>
    <w:p w14:paraId="0AB4CAE1" w14:textId="77777777" w:rsidR="00117D58" w:rsidRDefault="00117D58">
      <w:pPr>
        <w:spacing w:line="159" w:lineRule="exact"/>
        <w:rPr>
          <w:rFonts w:ascii="Cambria Math"/>
          <w:sz w:val="17"/>
        </w:rPr>
        <w:sectPr w:rsidR="00117D58">
          <w:type w:val="continuous"/>
          <w:pgSz w:w="11910" w:h="16840"/>
          <w:pgMar w:top="1360" w:right="1417" w:bottom="280" w:left="1417" w:header="720" w:footer="720" w:gutter="0"/>
          <w:cols w:num="4" w:space="720" w:equalWidth="0">
            <w:col w:w="3310" w:space="40"/>
            <w:col w:w="1516" w:space="39"/>
            <w:col w:w="968" w:space="39"/>
            <w:col w:w="3164"/>
          </w:cols>
        </w:sectPr>
      </w:pPr>
    </w:p>
    <w:p w14:paraId="54D7C38C" w14:textId="77777777" w:rsidR="00117D58" w:rsidRDefault="00F52091">
      <w:pPr>
        <w:pStyle w:val="BodyText"/>
        <w:spacing w:before="238" w:line="362" w:lineRule="auto"/>
        <w:ind w:right="14" w:firstLine="720"/>
      </w:pPr>
      <w:r>
        <w:t>The results of the calculation were rounded up, so that the total respondents used in this study were 100 respondents. All questionnaires collected, totaling exactly 100, were declared valid and ready for analysis. The data used in this study are primary data.</w:t>
      </w:r>
    </w:p>
    <w:p w14:paraId="7475B955" w14:textId="77777777" w:rsidR="00117D58" w:rsidRDefault="00F52091">
      <w:pPr>
        <w:pStyle w:val="BodyText"/>
        <w:spacing w:before="148" w:line="362" w:lineRule="auto"/>
        <w:ind w:right="23" w:firstLine="720"/>
      </w:pPr>
      <w:r>
        <w:t>To ensure clarity and consistency in the measurement process, each variable in this study is defined operationally. The measurement was carried out using a closed questionnaire instrument with a five-point Likert scale that ranged from strongly disagree with the value of one to strongly agree with the value of five. This approach is used so that respondents' perceptions of each statement can be measured systematically and standardized.</w:t>
      </w:r>
    </w:p>
    <w:p w14:paraId="6353EC29" w14:textId="77777777" w:rsidR="00117D58" w:rsidRDefault="00F52091">
      <w:pPr>
        <w:pStyle w:val="BodyText"/>
        <w:spacing w:before="149" w:line="360" w:lineRule="auto"/>
        <w:ind w:right="19" w:firstLine="720"/>
      </w:pPr>
      <w:r>
        <w:t>Creswell and Creswell (2024) explain that operational definition is an effort to translate research variables into indicators that can be observed and measured empirically. Through operational definitions, variables that are abstract can be analyzed quantitatively. Based on this, the preparation of the questionnaire in this study was carried out by referring to indicators that are relevant to the theoretical foundation and the research objectives that have been formulated.</w:t>
      </w:r>
    </w:p>
    <w:p w14:paraId="2597CB85" w14:textId="7F733B7E" w:rsidR="00117D58" w:rsidRDefault="00F52091">
      <w:pPr>
        <w:pStyle w:val="BodyText"/>
        <w:spacing w:before="161" w:line="360" w:lineRule="auto"/>
        <w:ind w:right="14" w:firstLine="720"/>
      </w:pPr>
      <w:r>
        <w:t xml:space="preserve">The </w:t>
      </w:r>
      <w:r w:rsidR="006768C0" w:rsidRPr="006768C0">
        <w:rPr>
          <w:iCs/>
        </w:rPr>
        <w:t xml:space="preserve">Non-Cash Transaction </w:t>
      </w:r>
      <w:r>
        <w:t xml:space="preserve">(X) variable was measured using 8 (eight) question items that reflect the level of use, convenience, security, convenience, and dependence of students on the non-cash payment system. The questions include the frequency of </w:t>
      </w:r>
      <w:r>
        <w:rPr>
          <w:i/>
        </w:rPr>
        <w:t xml:space="preserve">e-wallet </w:t>
      </w:r>
      <w:r>
        <w:t xml:space="preserve">use compared to cash, the use of </w:t>
      </w:r>
      <w:r>
        <w:rPr>
          <w:i/>
        </w:rPr>
        <w:t xml:space="preserve">e-wallets </w:t>
      </w:r>
      <w:r>
        <w:t xml:space="preserve">in various daily and academic transactions, the perception of security and comfort in digital transactions, the ease of expense management, the effect of promotions or </w:t>
      </w:r>
      <w:r>
        <w:rPr>
          <w:i/>
        </w:rPr>
        <w:t xml:space="preserve">cashback </w:t>
      </w:r>
      <w:r>
        <w:t>on transaction behavior, and the difficulties felt when having to transact using cash.</w:t>
      </w:r>
    </w:p>
    <w:p w14:paraId="4B677300" w14:textId="77777777" w:rsidR="00117D58" w:rsidRDefault="00F52091">
      <w:pPr>
        <w:pStyle w:val="BodyText"/>
        <w:spacing w:before="160" w:line="360" w:lineRule="auto"/>
        <w:ind w:right="27" w:firstLine="720"/>
      </w:pPr>
      <w:r>
        <w:t xml:space="preserve">The  Student </w:t>
      </w:r>
      <w:r>
        <w:rPr>
          <w:i/>
        </w:rPr>
        <w:t xml:space="preserve">Saving Behavior </w:t>
      </w:r>
      <w:r>
        <w:t>(Y) variable was also measured using 8 (eight) questions that described students' habits and attitudes in managing savings. These questions include the habit of setting aside income for savings,</w:t>
      </w:r>
    </w:p>
    <w:p w14:paraId="5AB39DFE" w14:textId="77777777" w:rsidR="00117D58" w:rsidRDefault="00117D58">
      <w:pPr>
        <w:pStyle w:val="BodyText"/>
        <w:spacing w:line="360" w:lineRule="auto"/>
        <w:sectPr w:rsidR="00117D58">
          <w:type w:val="continuous"/>
          <w:pgSz w:w="11910" w:h="16840"/>
          <w:pgMar w:top="1360" w:right="1417" w:bottom="280" w:left="1417" w:header="720" w:footer="720" w:gutter="0"/>
          <w:cols w:space="720"/>
        </w:sectPr>
      </w:pPr>
    </w:p>
    <w:p w14:paraId="37C0EEB1" w14:textId="77777777" w:rsidR="00117D58" w:rsidRDefault="00F52091">
      <w:pPr>
        <w:pStyle w:val="BodyText"/>
        <w:spacing w:before="74" w:line="362" w:lineRule="auto"/>
        <w:ind w:right="26"/>
      </w:pPr>
      <w:r>
        <w:lastRenderedPageBreak/>
        <w:t>Setting periodic savings targets, the ability to control consumptive purchases, the use of digital financial services to save, the ownership of an emergency fund separate from routine expenses, routine evaluation of the development of savings, resilience in not using savings for consumptive needs, and saving orientation for long-term goals such as education and future investment.</w:t>
      </w:r>
    </w:p>
    <w:p w14:paraId="7F91D8D5" w14:textId="593B43BE" w:rsidR="00117D58" w:rsidRDefault="00F52091">
      <w:pPr>
        <w:pStyle w:val="BodyText"/>
        <w:spacing w:before="149" w:line="360" w:lineRule="auto"/>
        <w:ind w:right="19" w:firstLine="720"/>
      </w:pPr>
      <w:r>
        <w:t xml:space="preserve">The data analysis technique is carried out through several key steps, namely testing the validity and reliability of the instrument, testing classical assumptions (including normality, multicollinearity, and heteroscedasticity), and simple linear regression analysis to determine the influence between independent and dependent variables. In addition, the t-test was conducted to assess the partial influence of </w:t>
      </w:r>
      <w:r w:rsidR="006768C0" w:rsidRPr="006768C0">
        <w:rPr>
          <w:iCs/>
        </w:rPr>
        <w:t xml:space="preserve">Non-Cash Transaction </w:t>
      </w:r>
      <w:r>
        <w:t xml:space="preserve"> variables on </w:t>
      </w:r>
      <w:r>
        <w:rPr>
          <w:i/>
        </w:rPr>
        <w:t>saving behavior</w:t>
      </w:r>
      <w:r>
        <w:t>, and the F-test was to evaluate the suitability of the overall regression model.</w:t>
      </w:r>
    </w:p>
    <w:p w14:paraId="19387019" w14:textId="0BAB06EA" w:rsidR="00117D58" w:rsidRDefault="00F52091">
      <w:pPr>
        <w:pStyle w:val="BodyText"/>
        <w:spacing w:before="157" w:line="360" w:lineRule="auto"/>
        <w:ind w:right="15" w:firstLine="720"/>
      </w:pPr>
      <w:r>
        <w:t xml:space="preserve">The entire data processing process is carried out using SPSS (Statistical Package for the Social Sciences) software version 27. The results of the analysis are then interpreted to provide empirical insight on the extent of the influence of the implementation </w:t>
      </w:r>
      <w:r w:rsidR="006768C0" w:rsidRPr="006768C0">
        <w:rPr>
          <w:iCs/>
        </w:rPr>
        <w:t xml:space="preserve"> of Non-Cash Transactions </w:t>
      </w:r>
      <w:r>
        <w:t xml:space="preserve">on  student </w:t>
      </w:r>
      <w:r>
        <w:rPr>
          <w:i/>
        </w:rPr>
        <w:t>saving behavior</w:t>
      </w:r>
      <w:r w:rsidR="006768C0">
        <w:t>, as well as as a basis for improving digital financial literacy among students of Majene Open University.</w:t>
      </w:r>
    </w:p>
    <w:p w14:paraId="2531275B" w14:textId="77777777" w:rsidR="00117D58" w:rsidRDefault="00F52091">
      <w:pPr>
        <w:pStyle w:val="Heading1"/>
        <w:spacing w:before="172"/>
        <w:jc w:val="both"/>
      </w:pPr>
      <w:r>
        <w:t>RESULTS AND DISCUSSION</w:t>
      </w:r>
    </w:p>
    <w:p w14:paraId="69BF9158" w14:textId="77777777" w:rsidR="00117D58" w:rsidRDefault="00117D58">
      <w:pPr>
        <w:pStyle w:val="BodyText"/>
        <w:spacing w:before="19"/>
        <w:ind w:left="0"/>
        <w:jc w:val="left"/>
        <w:rPr>
          <w:b/>
        </w:rPr>
      </w:pPr>
    </w:p>
    <w:p w14:paraId="7537BB27" w14:textId="77777777" w:rsidR="00117D58" w:rsidRDefault="00F52091">
      <w:pPr>
        <w:pStyle w:val="Heading2"/>
        <w:spacing w:before="1"/>
      </w:pPr>
      <w:r>
        <w:t>Respondent Characteristics</w:t>
      </w:r>
    </w:p>
    <w:p w14:paraId="7613AD5E" w14:textId="77777777" w:rsidR="00117D58" w:rsidRDefault="00117D58">
      <w:pPr>
        <w:pStyle w:val="BodyText"/>
        <w:spacing w:before="68"/>
        <w:ind w:left="0"/>
        <w:jc w:val="left"/>
        <w:rPr>
          <w:b/>
          <w:sz w:val="20"/>
        </w:rPr>
      </w:pPr>
    </w:p>
    <w:tbl>
      <w:tblPr>
        <w:tblW w:w="0" w:type="auto"/>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3"/>
        <w:gridCol w:w="1416"/>
        <w:gridCol w:w="1440"/>
        <w:gridCol w:w="2180"/>
      </w:tblGrid>
      <w:tr w:rsidR="00117D58" w14:paraId="249D5584" w14:textId="77777777">
        <w:trPr>
          <w:trHeight w:val="412"/>
        </w:trPr>
        <w:tc>
          <w:tcPr>
            <w:tcW w:w="2833" w:type="dxa"/>
          </w:tcPr>
          <w:p w14:paraId="6BEEE60F" w14:textId="77777777" w:rsidR="00117D58" w:rsidRDefault="00F52091">
            <w:pPr>
              <w:pStyle w:val="TableParagraph"/>
              <w:spacing w:line="273" w:lineRule="exact"/>
              <w:ind w:left="115"/>
              <w:jc w:val="left"/>
              <w:rPr>
                <w:b/>
                <w:sz w:val="24"/>
              </w:rPr>
            </w:pPr>
            <w:r>
              <w:rPr>
                <w:b/>
                <w:sz w:val="24"/>
              </w:rPr>
              <w:t>Respondent Characteristics</w:t>
            </w:r>
          </w:p>
        </w:tc>
        <w:tc>
          <w:tcPr>
            <w:tcW w:w="1416" w:type="dxa"/>
          </w:tcPr>
          <w:p w14:paraId="46FCB17A" w14:textId="77777777" w:rsidR="00117D58" w:rsidRDefault="00F52091">
            <w:pPr>
              <w:pStyle w:val="TableParagraph"/>
              <w:spacing w:line="273" w:lineRule="exact"/>
              <w:rPr>
                <w:b/>
                <w:sz w:val="24"/>
              </w:rPr>
            </w:pPr>
            <w:r>
              <w:rPr>
                <w:b/>
                <w:spacing w:val="-2"/>
                <w:sz w:val="24"/>
              </w:rPr>
              <w:t>Categories</w:t>
            </w:r>
          </w:p>
        </w:tc>
        <w:tc>
          <w:tcPr>
            <w:tcW w:w="1440" w:type="dxa"/>
          </w:tcPr>
          <w:p w14:paraId="6731820A" w14:textId="77777777" w:rsidR="00117D58" w:rsidRDefault="00F52091">
            <w:pPr>
              <w:pStyle w:val="TableParagraph"/>
              <w:spacing w:line="273" w:lineRule="exact"/>
              <w:ind w:left="2"/>
              <w:rPr>
                <w:b/>
                <w:sz w:val="24"/>
              </w:rPr>
            </w:pPr>
            <w:r>
              <w:rPr>
                <w:b/>
                <w:sz w:val="24"/>
              </w:rPr>
              <w:t>Quantity (n)</w:t>
            </w:r>
          </w:p>
        </w:tc>
        <w:tc>
          <w:tcPr>
            <w:tcW w:w="2180" w:type="dxa"/>
          </w:tcPr>
          <w:p w14:paraId="7156A8F9" w14:textId="77777777" w:rsidR="00117D58" w:rsidRDefault="00F52091">
            <w:pPr>
              <w:pStyle w:val="TableParagraph"/>
              <w:spacing w:line="273" w:lineRule="exact"/>
              <w:ind w:left="2"/>
              <w:rPr>
                <w:b/>
                <w:sz w:val="24"/>
              </w:rPr>
            </w:pPr>
            <w:r>
              <w:rPr>
                <w:b/>
                <w:sz w:val="24"/>
              </w:rPr>
              <w:t>Percentage (%)</w:t>
            </w:r>
          </w:p>
        </w:tc>
      </w:tr>
      <w:tr w:rsidR="00117D58" w14:paraId="21DB02C3" w14:textId="77777777">
        <w:trPr>
          <w:trHeight w:val="417"/>
        </w:trPr>
        <w:tc>
          <w:tcPr>
            <w:tcW w:w="2833" w:type="dxa"/>
            <w:vMerge w:val="restart"/>
          </w:tcPr>
          <w:p w14:paraId="42E66293" w14:textId="77777777" w:rsidR="00117D58" w:rsidRDefault="00F52091">
            <w:pPr>
              <w:pStyle w:val="TableParagraph"/>
              <w:spacing w:line="273" w:lineRule="exact"/>
              <w:ind w:left="729"/>
              <w:jc w:val="left"/>
              <w:rPr>
                <w:sz w:val="24"/>
              </w:rPr>
            </w:pPr>
            <w:r>
              <w:rPr>
                <w:sz w:val="24"/>
              </w:rPr>
              <w:t>Gender</w:t>
            </w:r>
          </w:p>
        </w:tc>
        <w:tc>
          <w:tcPr>
            <w:tcW w:w="1416" w:type="dxa"/>
          </w:tcPr>
          <w:p w14:paraId="1B606F08" w14:textId="77777777" w:rsidR="00117D58" w:rsidRDefault="00F52091">
            <w:pPr>
              <w:pStyle w:val="TableParagraph"/>
              <w:rPr>
                <w:sz w:val="24"/>
              </w:rPr>
            </w:pPr>
            <w:r>
              <w:rPr>
                <w:spacing w:val="-2"/>
                <w:sz w:val="24"/>
              </w:rPr>
              <w:t>Male</w:t>
            </w:r>
          </w:p>
        </w:tc>
        <w:tc>
          <w:tcPr>
            <w:tcW w:w="1440" w:type="dxa"/>
          </w:tcPr>
          <w:p w14:paraId="5D904046" w14:textId="77777777" w:rsidR="00117D58" w:rsidRDefault="00F52091">
            <w:pPr>
              <w:pStyle w:val="TableParagraph"/>
              <w:ind w:left="2" w:right="2"/>
              <w:rPr>
                <w:sz w:val="24"/>
              </w:rPr>
            </w:pPr>
            <w:r>
              <w:rPr>
                <w:spacing w:val="-5"/>
                <w:sz w:val="24"/>
              </w:rPr>
              <w:t>25</w:t>
            </w:r>
          </w:p>
        </w:tc>
        <w:tc>
          <w:tcPr>
            <w:tcW w:w="2180" w:type="dxa"/>
          </w:tcPr>
          <w:p w14:paraId="01FEAA61" w14:textId="77777777" w:rsidR="00117D58" w:rsidRDefault="00F52091">
            <w:pPr>
              <w:pStyle w:val="TableParagraph"/>
              <w:ind w:left="2" w:right="2"/>
              <w:rPr>
                <w:sz w:val="24"/>
              </w:rPr>
            </w:pPr>
            <w:r>
              <w:rPr>
                <w:spacing w:val="-5"/>
                <w:sz w:val="24"/>
              </w:rPr>
              <w:t>25%</w:t>
            </w:r>
          </w:p>
        </w:tc>
      </w:tr>
      <w:tr w:rsidR="00117D58" w14:paraId="59A3537D" w14:textId="77777777">
        <w:trPr>
          <w:trHeight w:val="412"/>
        </w:trPr>
        <w:tc>
          <w:tcPr>
            <w:tcW w:w="2833" w:type="dxa"/>
            <w:vMerge/>
            <w:tcBorders>
              <w:top w:val="nil"/>
            </w:tcBorders>
          </w:tcPr>
          <w:p w14:paraId="6A05BD2B" w14:textId="77777777" w:rsidR="00117D58" w:rsidRDefault="00117D58">
            <w:pPr>
              <w:rPr>
                <w:sz w:val="2"/>
                <w:szCs w:val="2"/>
              </w:rPr>
            </w:pPr>
          </w:p>
        </w:tc>
        <w:tc>
          <w:tcPr>
            <w:tcW w:w="1416" w:type="dxa"/>
          </w:tcPr>
          <w:p w14:paraId="793712A7" w14:textId="77777777" w:rsidR="00117D58" w:rsidRDefault="00F52091">
            <w:pPr>
              <w:pStyle w:val="TableParagraph"/>
              <w:rPr>
                <w:sz w:val="24"/>
              </w:rPr>
            </w:pPr>
            <w:r>
              <w:rPr>
                <w:spacing w:val="-2"/>
                <w:sz w:val="24"/>
              </w:rPr>
              <w:t>Women</w:t>
            </w:r>
          </w:p>
        </w:tc>
        <w:tc>
          <w:tcPr>
            <w:tcW w:w="1440" w:type="dxa"/>
          </w:tcPr>
          <w:p w14:paraId="50D3906C" w14:textId="77777777" w:rsidR="00117D58" w:rsidRDefault="00F52091">
            <w:pPr>
              <w:pStyle w:val="TableParagraph"/>
              <w:ind w:left="2" w:right="2"/>
              <w:rPr>
                <w:sz w:val="24"/>
              </w:rPr>
            </w:pPr>
            <w:r>
              <w:rPr>
                <w:spacing w:val="-5"/>
                <w:sz w:val="24"/>
              </w:rPr>
              <w:t>75</w:t>
            </w:r>
          </w:p>
        </w:tc>
        <w:tc>
          <w:tcPr>
            <w:tcW w:w="2180" w:type="dxa"/>
          </w:tcPr>
          <w:p w14:paraId="5F584D88" w14:textId="77777777" w:rsidR="00117D58" w:rsidRDefault="00F52091">
            <w:pPr>
              <w:pStyle w:val="TableParagraph"/>
              <w:ind w:left="2" w:right="2"/>
              <w:rPr>
                <w:sz w:val="24"/>
              </w:rPr>
            </w:pPr>
            <w:r>
              <w:rPr>
                <w:spacing w:val="-5"/>
                <w:sz w:val="24"/>
              </w:rPr>
              <w:t>75%</w:t>
            </w:r>
          </w:p>
        </w:tc>
      </w:tr>
      <w:tr w:rsidR="00117D58" w14:paraId="24369351" w14:textId="77777777">
        <w:trPr>
          <w:trHeight w:val="412"/>
        </w:trPr>
        <w:tc>
          <w:tcPr>
            <w:tcW w:w="2833" w:type="dxa"/>
            <w:vMerge w:val="restart"/>
          </w:tcPr>
          <w:p w14:paraId="69C6D0A1" w14:textId="77777777" w:rsidR="00117D58" w:rsidRDefault="00F52091">
            <w:pPr>
              <w:pStyle w:val="TableParagraph"/>
              <w:spacing w:before="207" w:line="240" w:lineRule="auto"/>
              <w:ind w:right="2"/>
              <w:rPr>
                <w:sz w:val="24"/>
              </w:rPr>
            </w:pPr>
            <w:r>
              <w:rPr>
                <w:spacing w:val="-4"/>
                <w:sz w:val="24"/>
              </w:rPr>
              <w:t>Age</w:t>
            </w:r>
          </w:p>
        </w:tc>
        <w:tc>
          <w:tcPr>
            <w:tcW w:w="1416" w:type="dxa"/>
          </w:tcPr>
          <w:p w14:paraId="0B3E91C0" w14:textId="77777777" w:rsidR="00117D58" w:rsidRDefault="00F52091">
            <w:pPr>
              <w:pStyle w:val="TableParagraph"/>
              <w:ind w:left="4"/>
              <w:rPr>
                <w:sz w:val="24"/>
              </w:rPr>
            </w:pPr>
            <w:r>
              <w:rPr>
                <w:sz w:val="24"/>
              </w:rPr>
              <w:t>&lt; 20 years old</w:t>
            </w:r>
          </w:p>
        </w:tc>
        <w:tc>
          <w:tcPr>
            <w:tcW w:w="1440" w:type="dxa"/>
          </w:tcPr>
          <w:p w14:paraId="7A6A1D62" w14:textId="77777777" w:rsidR="00117D58" w:rsidRDefault="00F52091">
            <w:pPr>
              <w:pStyle w:val="TableParagraph"/>
              <w:ind w:left="2" w:right="2"/>
              <w:rPr>
                <w:sz w:val="24"/>
              </w:rPr>
            </w:pPr>
            <w:r>
              <w:rPr>
                <w:spacing w:val="-5"/>
                <w:sz w:val="24"/>
              </w:rPr>
              <w:t>15</w:t>
            </w:r>
          </w:p>
        </w:tc>
        <w:tc>
          <w:tcPr>
            <w:tcW w:w="2180" w:type="dxa"/>
          </w:tcPr>
          <w:p w14:paraId="53F62000" w14:textId="77777777" w:rsidR="00117D58" w:rsidRDefault="00F52091">
            <w:pPr>
              <w:pStyle w:val="TableParagraph"/>
              <w:ind w:left="2" w:right="2"/>
              <w:rPr>
                <w:sz w:val="24"/>
              </w:rPr>
            </w:pPr>
            <w:r>
              <w:rPr>
                <w:spacing w:val="-5"/>
                <w:sz w:val="24"/>
              </w:rPr>
              <w:t>15%</w:t>
            </w:r>
          </w:p>
        </w:tc>
      </w:tr>
      <w:tr w:rsidR="00117D58" w14:paraId="7437814F" w14:textId="77777777">
        <w:trPr>
          <w:trHeight w:val="417"/>
        </w:trPr>
        <w:tc>
          <w:tcPr>
            <w:tcW w:w="2833" w:type="dxa"/>
            <w:vMerge/>
            <w:tcBorders>
              <w:top w:val="nil"/>
            </w:tcBorders>
          </w:tcPr>
          <w:p w14:paraId="5CBE52CE" w14:textId="77777777" w:rsidR="00117D58" w:rsidRDefault="00117D58">
            <w:pPr>
              <w:rPr>
                <w:sz w:val="2"/>
                <w:szCs w:val="2"/>
              </w:rPr>
            </w:pPr>
          </w:p>
        </w:tc>
        <w:tc>
          <w:tcPr>
            <w:tcW w:w="1416" w:type="dxa"/>
          </w:tcPr>
          <w:p w14:paraId="0C7B9483" w14:textId="77777777" w:rsidR="00117D58" w:rsidRDefault="00F52091">
            <w:pPr>
              <w:pStyle w:val="TableParagraph"/>
              <w:rPr>
                <w:sz w:val="24"/>
              </w:rPr>
            </w:pPr>
            <w:r>
              <w:rPr>
                <w:sz w:val="24"/>
              </w:rPr>
              <w:t>20–25 years old</w:t>
            </w:r>
          </w:p>
        </w:tc>
        <w:tc>
          <w:tcPr>
            <w:tcW w:w="1440" w:type="dxa"/>
          </w:tcPr>
          <w:p w14:paraId="7BFD19BD" w14:textId="77777777" w:rsidR="00117D58" w:rsidRDefault="00F52091">
            <w:pPr>
              <w:pStyle w:val="TableParagraph"/>
              <w:ind w:left="2" w:right="2"/>
              <w:rPr>
                <w:sz w:val="24"/>
              </w:rPr>
            </w:pPr>
            <w:r>
              <w:rPr>
                <w:spacing w:val="-5"/>
                <w:sz w:val="24"/>
              </w:rPr>
              <w:t>67</w:t>
            </w:r>
          </w:p>
        </w:tc>
        <w:tc>
          <w:tcPr>
            <w:tcW w:w="2180" w:type="dxa"/>
          </w:tcPr>
          <w:p w14:paraId="37D151AF" w14:textId="77777777" w:rsidR="00117D58" w:rsidRDefault="00F52091">
            <w:pPr>
              <w:pStyle w:val="TableParagraph"/>
              <w:ind w:left="2" w:right="2"/>
              <w:rPr>
                <w:sz w:val="24"/>
              </w:rPr>
            </w:pPr>
            <w:r>
              <w:rPr>
                <w:spacing w:val="-5"/>
                <w:sz w:val="24"/>
              </w:rPr>
              <w:t>67%</w:t>
            </w:r>
          </w:p>
        </w:tc>
      </w:tr>
      <w:tr w:rsidR="00117D58" w14:paraId="547B727F" w14:textId="77777777">
        <w:trPr>
          <w:trHeight w:val="412"/>
        </w:trPr>
        <w:tc>
          <w:tcPr>
            <w:tcW w:w="2833" w:type="dxa"/>
            <w:vMerge/>
            <w:tcBorders>
              <w:top w:val="nil"/>
            </w:tcBorders>
          </w:tcPr>
          <w:p w14:paraId="1068B2A2" w14:textId="77777777" w:rsidR="00117D58" w:rsidRDefault="00117D58">
            <w:pPr>
              <w:rPr>
                <w:sz w:val="2"/>
                <w:szCs w:val="2"/>
              </w:rPr>
            </w:pPr>
          </w:p>
        </w:tc>
        <w:tc>
          <w:tcPr>
            <w:tcW w:w="1416" w:type="dxa"/>
          </w:tcPr>
          <w:p w14:paraId="1B9998F1" w14:textId="77777777" w:rsidR="00117D58" w:rsidRDefault="00F52091">
            <w:pPr>
              <w:pStyle w:val="TableParagraph"/>
              <w:ind w:left="4"/>
              <w:rPr>
                <w:sz w:val="24"/>
              </w:rPr>
            </w:pPr>
            <w:r>
              <w:rPr>
                <w:sz w:val="24"/>
              </w:rPr>
              <w:t>&gt; 25 years old</w:t>
            </w:r>
          </w:p>
        </w:tc>
        <w:tc>
          <w:tcPr>
            <w:tcW w:w="1440" w:type="dxa"/>
          </w:tcPr>
          <w:p w14:paraId="6E8D0FD8" w14:textId="77777777" w:rsidR="00117D58" w:rsidRDefault="00F52091">
            <w:pPr>
              <w:pStyle w:val="TableParagraph"/>
              <w:ind w:left="2" w:right="2"/>
              <w:rPr>
                <w:sz w:val="24"/>
              </w:rPr>
            </w:pPr>
            <w:r>
              <w:rPr>
                <w:spacing w:val="-5"/>
                <w:sz w:val="24"/>
              </w:rPr>
              <w:t>18</w:t>
            </w:r>
          </w:p>
        </w:tc>
        <w:tc>
          <w:tcPr>
            <w:tcW w:w="2180" w:type="dxa"/>
          </w:tcPr>
          <w:p w14:paraId="34A5B772" w14:textId="77777777" w:rsidR="00117D58" w:rsidRDefault="00F52091">
            <w:pPr>
              <w:pStyle w:val="TableParagraph"/>
              <w:ind w:left="2" w:right="2"/>
              <w:rPr>
                <w:sz w:val="24"/>
              </w:rPr>
            </w:pPr>
            <w:r>
              <w:rPr>
                <w:spacing w:val="-5"/>
                <w:sz w:val="24"/>
              </w:rPr>
              <w:t>18%</w:t>
            </w:r>
          </w:p>
        </w:tc>
      </w:tr>
      <w:tr w:rsidR="00117D58" w14:paraId="0AC3CEF8" w14:textId="77777777">
        <w:trPr>
          <w:trHeight w:val="412"/>
        </w:trPr>
        <w:tc>
          <w:tcPr>
            <w:tcW w:w="2833" w:type="dxa"/>
            <w:vMerge w:val="restart"/>
          </w:tcPr>
          <w:p w14:paraId="1EE44310" w14:textId="77777777" w:rsidR="00117D58" w:rsidRDefault="00F52091">
            <w:pPr>
              <w:pStyle w:val="TableParagraph"/>
              <w:spacing w:before="208" w:line="362" w:lineRule="auto"/>
              <w:ind w:left="508" w:right="177" w:hanging="332"/>
              <w:jc w:val="left"/>
              <w:rPr>
                <w:sz w:val="24"/>
              </w:rPr>
            </w:pPr>
            <w:r>
              <w:rPr>
                <w:sz w:val="24"/>
              </w:rPr>
              <w:t>Frequency of E-Wallet Use per Week</w:t>
            </w:r>
          </w:p>
        </w:tc>
        <w:tc>
          <w:tcPr>
            <w:tcW w:w="1416" w:type="dxa"/>
          </w:tcPr>
          <w:p w14:paraId="35ED76E2" w14:textId="77777777" w:rsidR="00117D58" w:rsidRDefault="00F52091">
            <w:pPr>
              <w:pStyle w:val="TableParagraph"/>
              <w:rPr>
                <w:sz w:val="24"/>
              </w:rPr>
            </w:pPr>
            <w:r>
              <w:rPr>
                <w:sz w:val="24"/>
              </w:rPr>
              <w:t>&lt; 3 times</w:t>
            </w:r>
          </w:p>
        </w:tc>
        <w:tc>
          <w:tcPr>
            <w:tcW w:w="1440" w:type="dxa"/>
          </w:tcPr>
          <w:p w14:paraId="71F68D2C" w14:textId="77777777" w:rsidR="00117D58" w:rsidRDefault="00F52091">
            <w:pPr>
              <w:pStyle w:val="TableParagraph"/>
              <w:ind w:left="2" w:right="2"/>
              <w:rPr>
                <w:sz w:val="24"/>
              </w:rPr>
            </w:pPr>
            <w:r>
              <w:rPr>
                <w:spacing w:val="-5"/>
                <w:sz w:val="24"/>
              </w:rPr>
              <w:t>19</w:t>
            </w:r>
          </w:p>
        </w:tc>
        <w:tc>
          <w:tcPr>
            <w:tcW w:w="2180" w:type="dxa"/>
          </w:tcPr>
          <w:p w14:paraId="1A92BF5B" w14:textId="77777777" w:rsidR="00117D58" w:rsidRDefault="00F52091">
            <w:pPr>
              <w:pStyle w:val="TableParagraph"/>
              <w:ind w:left="2" w:right="2"/>
              <w:rPr>
                <w:sz w:val="24"/>
              </w:rPr>
            </w:pPr>
            <w:r>
              <w:rPr>
                <w:spacing w:val="-5"/>
                <w:sz w:val="24"/>
              </w:rPr>
              <w:t>19%</w:t>
            </w:r>
          </w:p>
        </w:tc>
      </w:tr>
      <w:tr w:rsidR="00117D58" w14:paraId="572C1427" w14:textId="77777777">
        <w:trPr>
          <w:trHeight w:val="417"/>
        </w:trPr>
        <w:tc>
          <w:tcPr>
            <w:tcW w:w="2833" w:type="dxa"/>
            <w:vMerge/>
            <w:tcBorders>
              <w:top w:val="nil"/>
            </w:tcBorders>
          </w:tcPr>
          <w:p w14:paraId="14E7A975" w14:textId="77777777" w:rsidR="00117D58" w:rsidRDefault="00117D58">
            <w:pPr>
              <w:rPr>
                <w:sz w:val="2"/>
                <w:szCs w:val="2"/>
              </w:rPr>
            </w:pPr>
          </w:p>
        </w:tc>
        <w:tc>
          <w:tcPr>
            <w:tcW w:w="1416" w:type="dxa"/>
          </w:tcPr>
          <w:p w14:paraId="165CAB2C" w14:textId="77777777" w:rsidR="00117D58" w:rsidRDefault="00F52091">
            <w:pPr>
              <w:pStyle w:val="TableParagraph"/>
              <w:ind w:left="8"/>
              <w:rPr>
                <w:sz w:val="24"/>
              </w:rPr>
            </w:pPr>
            <w:r>
              <w:rPr>
                <w:sz w:val="24"/>
              </w:rPr>
              <w:t>3–7 times</w:t>
            </w:r>
          </w:p>
        </w:tc>
        <w:tc>
          <w:tcPr>
            <w:tcW w:w="1440" w:type="dxa"/>
          </w:tcPr>
          <w:p w14:paraId="7C1F7D44" w14:textId="77777777" w:rsidR="00117D58" w:rsidRDefault="00F52091">
            <w:pPr>
              <w:pStyle w:val="TableParagraph"/>
              <w:ind w:left="2" w:right="2"/>
              <w:rPr>
                <w:sz w:val="24"/>
              </w:rPr>
            </w:pPr>
            <w:r>
              <w:rPr>
                <w:spacing w:val="-5"/>
                <w:sz w:val="24"/>
              </w:rPr>
              <w:t>53</w:t>
            </w:r>
          </w:p>
        </w:tc>
        <w:tc>
          <w:tcPr>
            <w:tcW w:w="2180" w:type="dxa"/>
          </w:tcPr>
          <w:p w14:paraId="5F158214" w14:textId="77777777" w:rsidR="00117D58" w:rsidRDefault="00F52091">
            <w:pPr>
              <w:pStyle w:val="TableParagraph"/>
              <w:ind w:left="2" w:right="2"/>
              <w:rPr>
                <w:sz w:val="24"/>
              </w:rPr>
            </w:pPr>
            <w:r>
              <w:rPr>
                <w:spacing w:val="-5"/>
                <w:sz w:val="24"/>
              </w:rPr>
              <w:t>53%</w:t>
            </w:r>
          </w:p>
        </w:tc>
      </w:tr>
      <w:tr w:rsidR="00117D58" w14:paraId="3C2321B1" w14:textId="77777777">
        <w:trPr>
          <w:trHeight w:val="412"/>
        </w:trPr>
        <w:tc>
          <w:tcPr>
            <w:tcW w:w="2833" w:type="dxa"/>
            <w:vMerge/>
            <w:tcBorders>
              <w:top w:val="nil"/>
            </w:tcBorders>
          </w:tcPr>
          <w:p w14:paraId="510E02AB" w14:textId="77777777" w:rsidR="00117D58" w:rsidRDefault="00117D58">
            <w:pPr>
              <w:rPr>
                <w:sz w:val="2"/>
                <w:szCs w:val="2"/>
              </w:rPr>
            </w:pPr>
          </w:p>
        </w:tc>
        <w:tc>
          <w:tcPr>
            <w:tcW w:w="1416" w:type="dxa"/>
          </w:tcPr>
          <w:p w14:paraId="2189468B" w14:textId="77777777" w:rsidR="00117D58" w:rsidRDefault="00F52091">
            <w:pPr>
              <w:pStyle w:val="TableParagraph"/>
              <w:rPr>
                <w:sz w:val="24"/>
              </w:rPr>
            </w:pPr>
            <w:r>
              <w:rPr>
                <w:sz w:val="24"/>
              </w:rPr>
              <w:t>&gt; 7 times</w:t>
            </w:r>
          </w:p>
        </w:tc>
        <w:tc>
          <w:tcPr>
            <w:tcW w:w="1440" w:type="dxa"/>
          </w:tcPr>
          <w:p w14:paraId="2A6415F8" w14:textId="77777777" w:rsidR="00117D58" w:rsidRDefault="00F52091">
            <w:pPr>
              <w:pStyle w:val="TableParagraph"/>
              <w:ind w:left="2" w:right="2"/>
              <w:rPr>
                <w:sz w:val="24"/>
              </w:rPr>
            </w:pPr>
            <w:r>
              <w:rPr>
                <w:spacing w:val="-5"/>
                <w:sz w:val="24"/>
              </w:rPr>
              <w:t>28</w:t>
            </w:r>
          </w:p>
        </w:tc>
        <w:tc>
          <w:tcPr>
            <w:tcW w:w="2180" w:type="dxa"/>
          </w:tcPr>
          <w:p w14:paraId="5CAB8BE8" w14:textId="77777777" w:rsidR="00117D58" w:rsidRDefault="00F52091">
            <w:pPr>
              <w:pStyle w:val="TableParagraph"/>
              <w:ind w:left="2" w:right="2"/>
              <w:rPr>
                <w:sz w:val="24"/>
              </w:rPr>
            </w:pPr>
            <w:r>
              <w:rPr>
                <w:spacing w:val="-5"/>
                <w:sz w:val="24"/>
              </w:rPr>
              <w:t>28%</w:t>
            </w:r>
          </w:p>
        </w:tc>
      </w:tr>
    </w:tbl>
    <w:p w14:paraId="2AD0580C" w14:textId="77777777" w:rsidR="00117D58" w:rsidRDefault="00F52091">
      <w:pPr>
        <w:pStyle w:val="BodyText"/>
        <w:ind w:left="738" w:right="738"/>
        <w:jc w:val="center"/>
      </w:pPr>
      <w:r>
        <w:t>Table 1. Respondent Characteristics</w:t>
      </w:r>
    </w:p>
    <w:p w14:paraId="15CE888C" w14:textId="77777777" w:rsidR="00117D58" w:rsidRDefault="00117D58">
      <w:pPr>
        <w:pStyle w:val="BodyText"/>
        <w:spacing w:before="20"/>
        <w:ind w:left="0"/>
        <w:jc w:val="left"/>
      </w:pPr>
    </w:p>
    <w:p w14:paraId="2F592193" w14:textId="77777777" w:rsidR="00117D58" w:rsidRDefault="00F52091">
      <w:pPr>
        <w:pStyle w:val="BodyText"/>
        <w:spacing w:line="360" w:lineRule="auto"/>
        <w:ind w:right="21" w:firstLine="720"/>
      </w:pPr>
      <w:r>
        <w:t xml:space="preserve">Table 1 shows the characteristics of respondents based on gender, age, and frequency of </w:t>
      </w:r>
      <w:r>
        <w:rPr>
          <w:i/>
        </w:rPr>
        <w:t xml:space="preserve">e-wallet </w:t>
      </w:r>
      <w:r>
        <w:t xml:space="preserve"> use per week. Based on gender characteristics, female respondents dominated the number of study participants with a total of 75 people. Meanwhile</w:t>
      </w:r>
    </w:p>
    <w:p w14:paraId="0969DF85" w14:textId="77777777" w:rsidR="00117D58" w:rsidRDefault="00117D58">
      <w:pPr>
        <w:pStyle w:val="BodyText"/>
        <w:spacing w:line="360" w:lineRule="auto"/>
        <w:sectPr w:rsidR="00117D58">
          <w:pgSz w:w="11910" w:h="16840"/>
          <w:pgMar w:top="1340" w:right="1417" w:bottom="280" w:left="1417" w:header="720" w:footer="720" w:gutter="0"/>
          <w:cols w:space="720"/>
        </w:sectPr>
      </w:pPr>
    </w:p>
    <w:p w14:paraId="3DB09FFF" w14:textId="77777777" w:rsidR="00117D58" w:rsidRDefault="00F52091">
      <w:pPr>
        <w:pStyle w:val="BodyText"/>
        <w:spacing w:before="74" w:line="362" w:lineRule="auto"/>
        <w:ind w:right="24"/>
      </w:pPr>
      <w:r>
        <w:lastRenderedPageBreak/>
        <w:t>There were 25 male respondents. This condition shows that the participation rate of women in filling out questionnaires is higher than that of male respondents.</w:t>
      </w:r>
    </w:p>
    <w:p w14:paraId="3BF6D9B2" w14:textId="77777777" w:rsidR="00117D58" w:rsidRDefault="00F52091">
      <w:pPr>
        <w:pStyle w:val="BodyText"/>
        <w:spacing w:before="152" w:line="360" w:lineRule="auto"/>
        <w:ind w:right="13" w:firstLine="720"/>
      </w:pPr>
      <w:r>
        <w:t>Judging from the aspect of age, the majority of respondents were in the range of 20 to 25 years old with a total of 67 people. Respondents under the age of 20 amounted to 15 people while respondents over the age of 25 were recorded as many as 18 people. These findings show that the young adult age group was the most dominant group in the study.</w:t>
      </w:r>
    </w:p>
    <w:p w14:paraId="080A5643" w14:textId="77777777" w:rsidR="00117D58" w:rsidRDefault="00F52091">
      <w:pPr>
        <w:pStyle w:val="BodyText"/>
        <w:spacing w:before="162" w:line="360" w:lineRule="auto"/>
        <w:ind w:right="21" w:firstLine="720"/>
      </w:pPr>
      <w:r>
        <w:t>Based on the frequency of digital wallet use, most respondents were recorded to use digital wallets 3 to 7 times in one week with a total of 53 people. Respondents who use digital wallets less than 3 times per week are 19 people. Meanwhile, as many as 28 respondents use digital wallets more than 7 times per week. These results show that the level of digital wallet use among respondents is quite intensive with the majority being in the moderate to high usage category.</w:t>
      </w:r>
    </w:p>
    <w:p w14:paraId="0F9BFE97" w14:textId="77777777" w:rsidR="00117D58" w:rsidRDefault="00F52091">
      <w:pPr>
        <w:pStyle w:val="Heading2"/>
        <w:spacing w:before="171"/>
        <w:jc w:val="left"/>
      </w:pPr>
      <w:r>
        <w:t>Validity Test</w:t>
      </w:r>
    </w:p>
    <w:p w14:paraId="6E82ADCF" w14:textId="77777777" w:rsidR="00117D58" w:rsidRDefault="00117D58">
      <w:pPr>
        <w:pStyle w:val="BodyText"/>
        <w:spacing w:before="9"/>
        <w:ind w:left="0"/>
        <w:jc w:val="left"/>
        <w:rPr>
          <w:b/>
        </w:rPr>
      </w:pPr>
    </w:p>
    <w:p w14:paraId="2652DEEE" w14:textId="77777777" w:rsidR="00117D58" w:rsidRDefault="00F52091">
      <w:pPr>
        <w:pStyle w:val="BodyText"/>
        <w:spacing w:line="360" w:lineRule="auto"/>
        <w:ind w:right="21" w:firstLine="720"/>
      </w:pPr>
      <w:r>
        <w:t>According to Creswell and Creswell (2024), the validity of the instrument refers to the level of accuracy and conformity between the items in the questionnaire and the theoretical construct to be measured. An instrument is considered valid if its items can represent the essence of the concept being researched and demonstrate a meaningful relationship to the overall variable score. If the correlation coefficient of an item exceeds the minimum correlation value (r table) and is statistically significant, then the item is declared valid.</w:t>
      </w:r>
    </w:p>
    <w:p w14:paraId="543F0655" w14:textId="77777777" w:rsidR="00117D58" w:rsidRDefault="00117D58">
      <w:pPr>
        <w:pStyle w:val="BodyText"/>
        <w:spacing w:before="9"/>
        <w:ind w:left="0"/>
        <w:jc w:val="left"/>
        <w:rPr>
          <w:sz w:val="1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6"/>
        <w:gridCol w:w="1134"/>
        <w:gridCol w:w="1119"/>
        <w:gridCol w:w="1565"/>
        <w:gridCol w:w="1205"/>
        <w:gridCol w:w="1589"/>
      </w:tblGrid>
      <w:tr w:rsidR="00117D58" w14:paraId="7F482DA1" w14:textId="77777777">
        <w:trPr>
          <w:trHeight w:val="412"/>
        </w:trPr>
        <w:tc>
          <w:tcPr>
            <w:tcW w:w="2406" w:type="dxa"/>
          </w:tcPr>
          <w:p w14:paraId="10E2DBB9" w14:textId="77777777" w:rsidR="00117D58" w:rsidRDefault="00F52091">
            <w:pPr>
              <w:pStyle w:val="TableParagraph"/>
              <w:ind w:left="10" w:right="10"/>
              <w:rPr>
                <w:sz w:val="24"/>
              </w:rPr>
            </w:pPr>
            <w:r>
              <w:rPr>
                <w:spacing w:val="-2"/>
                <w:sz w:val="24"/>
              </w:rPr>
              <w:t>Variable</w:t>
            </w:r>
          </w:p>
        </w:tc>
        <w:tc>
          <w:tcPr>
            <w:tcW w:w="1134" w:type="dxa"/>
          </w:tcPr>
          <w:p w14:paraId="6A1410CF" w14:textId="77777777" w:rsidR="00117D58" w:rsidRDefault="00F52091">
            <w:pPr>
              <w:pStyle w:val="TableParagraph"/>
              <w:ind w:left="15"/>
              <w:rPr>
                <w:sz w:val="24"/>
              </w:rPr>
            </w:pPr>
            <w:r>
              <w:rPr>
                <w:spacing w:val="-2"/>
                <w:sz w:val="24"/>
              </w:rPr>
              <w:t>Indicator</w:t>
            </w:r>
          </w:p>
        </w:tc>
        <w:tc>
          <w:tcPr>
            <w:tcW w:w="1119" w:type="dxa"/>
          </w:tcPr>
          <w:p w14:paraId="1ED5D5C7" w14:textId="77777777" w:rsidR="00117D58" w:rsidRDefault="00F52091">
            <w:pPr>
              <w:pStyle w:val="TableParagraph"/>
              <w:ind w:left="7" w:right="6"/>
              <w:rPr>
                <w:sz w:val="24"/>
              </w:rPr>
            </w:pPr>
            <w:r>
              <w:rPr>
                <w:sz w:val="24"/>
              </w:rPr>
              <w:t>R Count</w:t>
            </w:r>
          </w:p>
        </w:tc>
        <w:tc>
          <w:tcPr>
            <w:tcW w:w="1565" w:type="dxa"/>
          </w:tcPr>
          <w:p w14:paraId="0C770172" w14:textId="77777777" w:rsidR="00117D58" w:rsidRDefault="00F52091">
            <w:pPr>
              <w:pStyle w:val="TableParagraph"/>
              <w:ind w:left="6" w:right="12"/>
              <w:rPr>
                <w:sz w:val="24"/>
              </w:rPr>
            </w:pPr>
            <w:r>
              <w:rPr>
                <w:sz w:val="24"/>
              </w:rPr>
              <w:t>Sig. (2-tailed)</w:t>
            </w:r>
          </w:p>
        </w:tc>
        <w:tc>
          <w:tcPr>
            <w:tcW w:w="1205" w:type="dxa"/>
          </w:tcPr>
          <w:p w14:paraId="4C7F3733" w14:textId="77777777" w:rsidR="00117D58" w:rsidRDefault="00F52091">
            <w:pPr>
              <w:pStyle w:val="TableParagraph"/>
              <w:ind w:left="17" w:right="6"/>
              <w:rPr>
                <w:sz w:val="24"/>
              </w:rPr>
            </w:pPr>
            <w:r>
              <w:rPr>
                <w:sz w:val="24"/>
              </w:rPr>
              <w:t>R Table</w:t>
            </w:r>
          </w:p>
        </w:tc>
        <w:tc>
          <w:tcPr>
            <w:tcW w:w="1589" w:type="dxa"/>
          </w:tcPr>
          <w:p w14:paraId="47756FA0" w14:textId="77777777" w:rsidR="00117D58" w:rsidRDefault="00F52091">
            <w:pPr>
              <w:pStyle w:val="TableParagraph"/>
              <w:ind w:left="2"/>
              <w:rPr>
                <w:sz w:val="24"/>
              </w:rPr>
            </w:pPr>
            <w:r>
              <w:rPr>
                <w:spacing w:val="-2"/>
                <w:sz w:val="24"/>
              </w:rPr>
              <w:t>Remarks</w:t>
            </w:r>
          </w:p>
        </w:tc>
      </w:tr>
      <w:tr w:rsidR="00117D58" w14:paraId="675C869A" w14:textId="77777777">
        <w:trPr>
          <w:trHeight w:val="417"/>
        </w:trPr>
        <w:tc>
          <w:tcPr>
            <w:tcW w:w="2406" w:type="dxa"/>
            <w:vMerge w:val="restart"/>
          </w:tcPr>
          <w:p w14:paraId="0F0B77E5" w14:textId="77777777" w:rsidR="00117D58" w:rsidRDefault="00117D58">
            <w:pPr>
              <w:pStyle w:val="TableParagraph"/>
              <w:spacing w:line="240" w:lineRule="auto"/>
              <w:jc w:val="left"/>
              <w:rPr>
                <w:sz w:val="24"/>
              </w:rPr>
            </w:pPr>
          </w:p>
          <w:p w14:paraId="46035027" w14:textId="77777777" w:rsidR="00117D58" w:rsidRDefault="00117D58">
            <w:pPr>
              <w:pStyle w:val="TableParagraph"/>
              <w:spacing w:line="240" w:lineRule="auto"/>
              <w:jc w:val="left"/>
              <w:rPr>
                <w:sz w:val="24"/>
              </w:rPr>
            </w:pPr>
          </w:p>
          <w:p w14:paraId="0826B858" w14:textId="77777777" w:rsidR="00117D58" w:rsidRDefault="00117D58">
            <w:pPr>
              <w:pStyle w:val="TableParagraph"/>
              <w:spacing w:line="240" w:lineRule="auto"/>
              <w:jc w:val="left"/>
              <w:rPr>
                <w:sz w:val="24"/>
              </w:rPr>
            </w:pPr>
          </w:p>
          <w:p w14:paraId="507AC915" w14:textId="77777777" w:rsidR="00117D58" w:rsidRDefault="00117D58">
            <w:pPr>
              <w:pStyle w:val="TableParagraph"/>
              <w:spacing w:line="240" w:lineRule="auto"/>
              <w:jc w:val="left"/>
              <w:rPr>
                <w:sz w:val="24"/>
              </w:rPr>
            </w:pPr>
          </w:p>
          <w:p w14:paraId="1180FE8D" w14:textId="77777777" w:rsidR="00117D58" w:rsidRDefault="00117D58">
            <w:pPr>
              <w:pStyle w:val="TableParagraph"/>
              <w:spacing w:before="100" w:line="240" w:lineRule="auto"/>
              <w:jc w:val="left"/>
              <w:rPr>
                <w:sz w:val="24"/>
              </w:rPr>
            </w:pPr>
          </w:p>
          <w:p w14:paraId="1CB22B7C" w14:textId="77777777" w:rsidR="00117D58" w:rsidRDefault="00F52091">
            <w:pPr>
              <w:pStyle w:val="TableParagraph"/>
              <w:spacing w:line="240" w:lineRule="auto"/>
              <w:ind w:left="143"/>
              <w:jc w:val="left"/>
              <w:rPr>
                <w:sz w:val="24"/>
              </w:rPr>
            </w:pPr>
            <w:r>
              <w:rPr>
                <w:sz w:val="24"/>
              </w:rPr>
              <w:t>Saving Behaviour (Y)</w:t>
            </w:r>
          </w:p>
        </w:tc>
        <w:tc>
          <w:tcPr>
            <w:tcW w:w="1134" w:type="dxa"/>
          </w:tcPr>
          <w:p w14:paraId="7A3AF9BA" w14:textId="77777777" w:rsidR="00117D58" w:rsidRDefault="00F52091">
            <w:pPr>
              <w:pStyle w:val="TableParagraph"/>
              <w:ind w:left="15" w:right="3"/>
              <w:rPr>
                <w:sz w:val="24"/>
              </w:rPr>
            </w:pPr>
            <w:r>
              <w:rPr>
                <w:spacing w:val="-5"/>
                <w:sz w:val="24"/>
              </w:rPr>
              <w:t>Y1</w:t>
            </w:r>
          </w:p>
        </w:tc>
        <w:tc>
          <w:tcPr>
            <w:tcW w:w="1119" w:type="dxa"/>
          </w:tcPr>
          <w:p w14:paraId="438B51ED" w14:textId="77777777" w:rsidR="00117D58" w:rsidRDefault="00F52091">
            <w:pPr>
              <w:pStyle w:val="TableParagraph"/>
              <w:ind w:left="7"/>
              <w:rPr>
                <w:sz w:val="24"/>
              </w:rPr>
            </w:pPr>
            <w:r>
              <w:rPr>
                <w:spacing w:val="-4"/>
                <w:sz w:val="24"/>
              </w:rPr>
              <w:t>0.750</w:t>
            </w:r>
          </w:p>
        </w:tc>
        <w:tc>
          <w:tcPr>
            <w:tcW w:w="1565" w:type="dxa"/>
          </w:tcPr>
          <w:p w14:paraId="52D2C697" w14:textId="77777777" w:rsidR="00117D58" w:rsidRDefault="00F52091">
            <w:pPr>
              <w:pStyle w:val="TableParagraph"/>
              <w:ind w:left="12" w:right="6"/>
              <w:rPr>
                <w:sz w:val="24"/>
              </w:rPr>
            </w:pPr>
            <w:r>
              <w:rPr>
                <w:sz w:val="24"/>
              </w:rPr>
              <w:t>&lt; 0.001</w:t>
            </w:r>
          </w:p>
        </w:tc>
        <w:tc>
          <w:tcPr>
            <w:tcW w:w="1205" w:type="dxa"/>
          </w:tcPr>
          <w:p w14:paraId="7B19725B" w14:textId="77777777" w:rsidR="00117D58" w:rsidRDefault="00F52091">
            <w:pPr>
              <w:pStyle w:val="TableParagraph"/>
              <w:ind w:left="17"/>
              <w:rPr>
                <w:sz w:val="24"/>
              </w:rPr>
            </w:pPr>
            <w:r>
              <w:rPr>
                <w:spacing w:val="-4"/>
                <w:sz w:val="24"/>
              </w:rPr>
              <w:t>0.195</w:t>
            </w:r>
          </w:p>
        </w:tc>
        <w:tc>
          <w:tcPr>
            <w:tcW w:w="1589" w:type="dxa"/>
          </w:tcPr>
          <w:p w14:paraId="1A4515A8" w14:textId="77777777" w:rsidR="00117D58" w:rsidRDefault="00F52091">
            <w:pPr>
              <w:pStyle w:val="TableParagraph"/>
              <w:ind w:left="2" w:right="2"/>
              <w:rPr>
                <w:sz w:val="24"/>
              </w:rPr>
            </w:pPr>
            <w:r>
              <w:rPr>
                <w:spacing w:val="-2"/>
                <w:sz w:val="24"/>
              </w:rPr>
              <w:t>Valid</w:t>
            </w:r>
          </w:p>
        </w:tc>
      </w:tr>
      <w:tr w:rsidR="00117D58" w14:paraId="63A7D9D7" w14:textId="77777777">
        <w:trPr>
          <w:trHeight w:val="412"/>
        </w:trPr>
        <w:tc>
          <w:tcPr>
            <w:tcW w:w="2406" w:type="dxa"/>
            <w:vMerge/>
            <w:tcBorders>
              <w:top w:val="nil"/>
            </w:tcBorders>
          </w:tcPr>
          <w:p w14:paraId="63A4A11A" w14:textId="77777777" w:rsidR="00117D58" w:rsidRDefault="00117D58">
            <w:pPr>
              <w:rPr>
                <w:sz w:val="2"/>
                <w:szCs w:val="2"/>
              </w:rPr>
            </w:pPr>
          </w:p>
        </w:tc>
        <w:tc>
          <w:tcPr>
            <w:tcW w:w="1134" w:type="dxa"/>
          </w:tcPr>
          <w:p w14:paraId="3DC55682" w14:textId="77777777" w:rsidR="00117D58" w:rsidRDefault="00F52091">
            <w:pPr>
              <w:pStyle w:val="TableParagraph"/>
              <w:ind w:left="15" w:right="3"/>
              <w:rPr>
                <w:sz w:val="24"/>
              </w:rPr>
            </w:pPr>
            <w:r>
              <w:rPr>
                <w:spacing w:val="-5"/>
                <w:sz w:val="24"/>
              </w:rPr>
              <w:t>Y2</w:t>
            </w:r>
          </w:p>
        </w:tc>
        <w:tc>
          <w:tcPr>
            <w:tcW w:w="1119" w:type="dxa"/>
          </w:tcPr>
          <w:p w14:paraId="5694A0ED" w14:textId="77777777" w:rsidR="00117D58" w:rsidRDefault="00F52091">
            <w:pPr>
              <w:pStyle w:val="TableParagraph"/>
              <w:ind w:left="7"/>
              <w:rPr>
                <w:sz w:val="24"/>
              </w:rPr>
            </w:pPr>
            <w:r>
              <w:rPr>
                <w:spacing w:val="-4"/>
                <w:sz w:val="24"/>
              </w:rPr>
              <w:t>0.832</w:t>
            </w:r>
          </w:p>
        </w:tc>
        <w:tc>
          <w:tcPr>
            <w:tcW w:w="1565" w:type="dxa"/>
          </w:tcPr>
          <w:p w14:paraId="1EEE8CED" w14:textId="77777777" w:rsidR="00117D58" w:rsidRDefault="00F52091">
            <w:pPr>
              <w:pStyle w:val="TableParagraph"/>
              <w:ind w:left="12" w:right="6"/>
              <w:rPr>
                <w:sz w:val="24"/>
              </w:rPr>
            </w:pPr>
            <w:r>
              <w:rPr>
                <w:sz w:val="24"/>
              </w:rPr>
              <w:t>&lt; 0.001</w:t>
            </w:r>
          </w:p>
        </w:tc>
        <w:tc>
          <w:tcPr>
            <w:tcW w:w="1205" w:type="dxa"/>
          </w:tcPr>
          <w:p w14:paraId="40A117FF" w14:textId="77777777" w:rsidR="00117D58" w:rsidRDefault="00F52091">
            <w:pPr>
              <w:pStyle w:val="TableParagraph"/>
              <w:ind w:left="17"/>
              <w:rPr>
                <w:sz w:val="24"/>
              </w:rPr>
            </w:pPr>
            <w:r>
              <w:rPr>
                <w:spacing w:val="-4"/>
                <w:sz w:val="24"/>
              </w:rPr>
              <w:t>0.195</w:t>
            </w:r>
          </w:p>
        </w:tc>
        <w:tc>
          <w:tcPr>
            <w:tcW w:w="1589" w:type="dxa"/>
          </w:tcPr>
          <w:p w14:paraId="7F225871" w14:textId="77777777" w:rsidR="00117D58" w:rsidRDefault="00F52091">
            <w:pPr>
              <w:pStyle w:val="TableParagraph"/>
              <w:ind w:left="2" w:right="2"/>
              <w:rPr>
                <w:sz w:val="24"/>
              </w:rPr>
            </w:pPr>
            <w:r>
              <w:rPr>
                <w:spacing w:val="-2"/>
                <w:sz w:val="24"/>
              </w:rPr>
              <w:t>Valid</w:t>
            </w:r>
          </w:p>
        </w:tc>
      </w:tr>
      <w:tr w:rsidR="00117D58" w14:paraId="649D4BA6" w14:textId="77777777">
        <w:trPr>
          <w:trHeight w:val="412"/>
        </w:trPr>
        <w:tc>
          <w:tcPr>
            <w:tcW w:w="2406" w:type="dxa"/>
            <w:vMerge/>
            <w:tcBorders>
              <w:top w:val="nil"/>
            </w:tcBorders>
          </w:tcPr>
          <w:p w14:paraId="395CF16F" w14:textId="77777777" w:rsidR="00117D58" w:rsidRDefault="00117D58">
            <w:pPr>
              <w:rPr>
                <w:sz w:val="2"/>
                <w:szCs w:val="2"/>
              </w:rPr>
            </w:pPr>
          </w:p>
        </w:tc>
        <w:tc>
          <w:tcPr>
            <w:tcW w:w="1134" w:type="dxa"/>
          </w:tcPr>
          <w:p w14:paraId="3DA7117B" w14:textId="77777777" w:rsidR="00117D58" w:rsidRDefault="00F52091">
            <w:pPr>
              <w:pStyle w:val="TableParagraph"/>
              <w:ind w:left="15" w:right="3"/>
              <w:rPr>
                <w:sz w:val="24"/>
              </w:rPr>
            </w:pPr>
            <w:r>
              <w:rPr>
                <w:spacing w:val="-5"/>
                <w:sz w:val="24"/>
              </w:rPr>
              <w:t>Y3</w:t>
            </w:r>
          </w:p>
        </w:tc>
        <w:tc>
          <w:tcPr>
            <w:tcW w:w="1119" w:type="dxa"/>
          </w:tcPr>
          <w:p w14:paraId="4D567393" w14:textId="77777777" w:rsidR="00117D58" w:rsidRDefault="00F52091">
            <w:pPr>
              <w:pStyle w:val="TableParagraph"/>
              <w:ind w:left="7"/>
              <w:rPr>
                <w:sz w:val="24"/>
              </w:rPr>
            </w:pPr>
            <w:r>
              <w:rPr>
                <w:spacing w:val="-4"/>
                <w:sz w:val="24"/>
              </w:rPr>
              <w:t>0.693</w:t>
            </w:r>
          </w:p>
        </w:tc>
        <w:tc>
          <w:tcPr>
            <w:tcW w:w="1565" w:type="dxa"/>
          </w:tcPr>
          <w:p w14:paraId="089CAAB8" w14:textId="77777777" w:rsidR="00117D58" w:rsidRDefault="00F52091">
            <w:pPr>
              <w:pStyle w:val="TableParagraph"/>
              <w:ind w:left="12" w:right="6"/>
              <w:rPr>
                <w:sz w:val="24"/>
              </w:rPr>
            </w:pPr>
            <w:r>
              <w:rPr>
                <w:sz w:val="24"/>
              </w:rPr>
              <w:t>&lt; 0.001</w:t>
            </w:r>
          </w:p>
        </w:tc>
        <w:tc>
          <w:tcPr>
            <w:tcW w:w="1205" w:type="dxa"/>
          </w:tcPr>
          <w:p w14:paraId="7D4DFFED" w14:textId="77777777" w:rsidR="00117D58" w:rsidRDefault="00F52091">
            <w:pPr>
              <w:pStyle w:val="TableParagraph"/>
              <w:ind w:left="17"/>
              <w:rPr>
                <w:sz w:val="24"/>
              </w:rPr>
            </w:pPr>
            <w:r>
              <w:rPr>
                <w:spacing w:val="-4"/>
                <w:sz w:val="24"/>
              </w:rPr>
              <w:t>0.195</w:t>
            </w:r>
          </w:p>
        </w:tc>
        <w:tc>
          <w:tcPr>
            <w:tcW w:w="1589" w:type="dxa"/>
          </w:tcPr>
          <w:p w14:paraId="346011F2" w14:textId="77777777" w:rsidR="00117D58" w:rsidRDefault="00F52091">
            <w:pPr>
              <w:pStyle w:val="TableParagraph"/>
              <w:ind w:left="2" w:right="2"/>
              <w:rPr>
                <w:sz w:val="24"/>
              </w:rPr>
            </w:pPr>
            <w:r>
              <w:rPr>
                <w:spacing w:val="-2"/>
                <w:sz w:val="24"/>
              </w:rPr>
              <w:t>Valid</w:t>
            </w:r>
          </w:p>
        </w:tc>
      </w:tr>
      <w:tr w:rsidR="00117D58" w14:paraId="2F8EF7A6" w14:textId="77777777">
        <w:trPr>
          <w:trHeight w:val="417"/>
        </w:trPr>
        <w:tc>
          <w:tcPr>
            <w:tcW w:w="2406" w:type="dxa"/>
            <w:vMerge/>
            <w:tcBorders>
              <w:top w:val="nil"/>
            </w:tcBorders>
          </w:tcPr>
          <w:p w14:paraId="016C1E3D" w14:textId="77777777" w:rsidR="00117D58" w:rsidRDefault="00117D58">
            <w:pPr>
              <w:rPr>
                <w:sz w:val="2"/>
                <w:szCs w:val="2"/>
              </w:rPr>
            </w:pPr>
          </w:p>
        </w:tc>
        <w:tc>
          <w:tcPr>
            <w:tcW w:w="1134" w:type="dxa"/>
          </w:tcPr>
          <w:p w14:paraId="2BD0B219" w14:textId="77777777" w:rsidR="00117D58" w:rsidRDefault="00F52091">
            <w:pPr>
              <w:pStyle w:val="TableParagraph"/>
              <w:ind w:left="15" w:right="3"/>
              <w:rPr>
                <w:sz w:val="24"/>
              </w:rPr>
            </w:pPr>
            <w:r>
              <w:rPr>
                <w:spacing w:val="-5"/>
                <w:sz w:val="24"/>
              </w:rPr>
              <w:t>Y4</w:t>
            </w:r>
          </w:p>
        </w:tc>
        <w:tc>
          <w:tcPr>
            <w:tcW w:w="1119" w:type="dxa"/>
          </w:tcPr>
          <w:p w14:paraId="004D3BCF" w14:textId="77777777" w:rsidR="00117D58" w:rsidRDefault="00F52091">
            <w:pPr>
              <w:pStyle w:val="TableParagraph"/>
              <w:ind w:left="7"/>
              <w:rPr>
                <w:sz w:val="24"/>
              </w:rPr>
            </w:pPr>
            <w:r>
              <w:rPr>
                <w:spacing w:val="-4"/>
                <w:sz w:val="24"/>
              </w:rPr>
              <w:t>0.640</w:t>
            </w:r>
          </w:p>
        </w:tc>
        <w:tc>
          <w:tcPr>
            <w:tcW w:w="1565" w:type="dxa"/>
          </w:tcPr>
          <w:p w14:paraId="2DFC2132" w14:textId="77777777" w:rsidR="00117D58" w:rsidRDefault="00F52091">
            <w:pPr>
              <w:pStyle w:val="TableParagraph"/>
              <w:ind w:left="12" w:right="6"/>
              <w:rPr>
                <w:sz w:val="24"/>
              </w:rPr>
            </w:pPr>
            <w:r>
              <w:rPr>
                <w:sz w:val="24"/>
              </w:rPr>
              <w:t>&lt; 0.001</w:t>
            </w:r>
          </w:p>
        </w:tc>
        <w:tc>
          <w:tcPr>
            <w:tcW w:w="1205" w:type="dxa"/>
          </w:tcPr>
          <w:p w14:paraId="3C9244B5" w14:textId="77777777" w:rsidR="00117D58" w:rsidRDefault="00F52091">
            <w:pPr>
              <w:pStyle w:val="TableParagraph"/>
              <w:ind w:left="17"/>
              <w:rPr>
                <w:sz w:val="24"/>
              </w:rPr>
            </w:pPr>
            <w:r>
              <w:rPr>
                <w:spacing w:val="-4"/>
                <w:sz w:val="24"/>
              </w:rPr>
              <w:t>0.195</w:t>
            </w:r>
          </w:p>
        </w:tc>
        <w:tc>
          <w:tcPr>
            <w:tcW w:w="1589" w:type="dxa"/>
          </w:tcPr>
          <w:p w14:paraId="5262B38D" w14:textId="77777777" w:rsidR="00117D58" w:rsidRDefault="00F52091">
            <w:pPr>
              <w:pStyle w:val="TableParagraph"/>
              <w:ind w:left="2" w:right="2"/>
              <w:rPr>
                <w:sz w:val="24"/>
              </w:rPr>
            </w:pPr>
            <w:r>
              <w:rPr>
                <w:spacing w:val="-2"/>
                <w:sz w:val="24"/>
              </w:rPr>
              <w:t>Valid</w:t>
            </w:r>
          </w:p>
        </w:tc>
      </w:tr>
      <w:tr w:rsidR="00117D58" w14:paraId="38CB6468" w14:textId="77777777">
        <w:trPr>
          <w:trHeight w:val="412"/>
        </w:trPr>
        <w:tc>
          <w:tcPr>
            <w:tcW w:w="2406" w:type="dxa"/>
            <w:vMerge/>
            <w:tcBorders>
              <w:top w:val="nil"/>
            </w:tcBorders>
          </w:tcPr>
          <w:p w14:paraId="1ABF6377" w14:textId="77777777" w:rsidR="00117D58" w:rsidRDefault="00117D58">
            <w:pPr>
              <w:rPr>
                <w:sz w:val="2"/>
                <w:szCs w:val="2"/>
              </w:rPr>
            </w:pPr>
          </w:p>
        </w:tc>
        <w:tc>
          <w:tcPr>
            <w:tcW w:w="1134" w:type="dxa"/>
          </w:tcPr>
          <w:p w14:paraId="3B577CA2" w14:textId="77777777" w:rsidR="00117D58" w:rsidRDefault="00F52091">
            <w:pPr>
              <w:pStyle w:val="TableParagraph"/>
              <w:ind w:left="15" w:right="3"/>
              <w:rPr>
                <w:sz w:val="24"/>
              </w:rPr>
            </w:pPr>
            <w:r>
              <w:rPr>
                <w:spacing w:val="-5"/>
                <w:sz w:val="24"/>
              </w:rPr>
              <w:t>Y5</w:t>
            </w:r>
          </w:p>
        </w:tc>
        <w:tc>
          <w:tcPr>
            <w:tcW w:w="1119" w:type="dxa"/>
          </w:tcPr>
          <w:p w14:paraId="265539BB" w14:textId="77777777" w:rsidR="00117D58" w:rsidRDefault="00F52091">
            <w:pPr>
              <w:pStyle w:val="TableParagraph"/>
              <w:ind w:left="7"/>
              <w:rPr>
                <w:sz w:val="24"/>
              </w:rPr>
            </w:pPr>
            <w:r>
              <w:rPr>
                <w:spacing w:val="-4"/>
                <w:sz w:val="24"/>
              </w:rPr>
              <w:t>0.731</w:t>
            </w:r>
          </w:p>
        </w:tc>
        <w:tc>
          <w:tcPr>
            <w:tcW w:w="1565" w:type="dxa"/>
          </w:tcPr>
          <w:p w14:paraId="2E947D79" w14:textId="77777777" w:rsidR="00117D58" w:rsidRDefault="00F52091">
            <w:pPr>
              <w:pStyle w:val="TableParagraph"/>
              <w:ind w:left="12" w:right="6"/>
              <w:rPr>
                <w:sz w:val="24"/>
              </w:rPr>
            </w:pPr>
            <w:r>
              <w:rPr>
                <w:sz w:val="24"/>
              </w:rPr>
              <w:t>&lt; 0.001</w:t>
            </w:r>
          </w:p>
        </w:tc>
        <w:tc>
          <w:tcPr>
            <w:tcW w:w="1205" w:type="dxa"/>
          </w:tcPr>
          <w:p w14:paraId="119E49D3" w14:textId="77777777" w:rsidR="00117D58" w:rsidRDefault="00F52091">
            <w:pPr>
              <w:pStyle w:val="TableParagraph"/>
              <w:ind w:left="17"/>
              <w:rPr>
                <w:sz w:val="24"/>
              </w:rPr>
            </w:pPr>
            <w:r>
              <w:rPr>
                <w:spacing w:val="-4"/>
                <w:sz w:val="24"/>
              </w:rPr>
              <w:t>0.195</w:t>
            </w:r>
          </w:p>
        </w:tc>
        <w:tc>
          <w:tcPr>
            <w:tcW w:w="1589" w:type="dxa"/>
          </w:tcPr>
          <w:p w14:paraId="0082E658" w14:textId="77777777" w:rsidR="00117D58" w:rsidRDefault="00F52091">
            <w:pPr>
              <w:pStyle w:val="TableParagraph"/>
              <w:ind w:left="2" w:right="2"/>
              <w:rPr>
                <w:sz w:val="24"/>
              </w:rPr>
            </w:pPr>
            <w:r>
              <w:rPr>
                <w:spacing w:val="-2"/>
                <w:sz w:val="24"/>
              </w:rPr>
              <w:t>Valid</w:t>
            </w:r>
          </w:p>
        </w:tc>
      </w:tr>
      <w:tr w:rsidR="00117D58" w14:paraId="62A5F19A" w14:textId="77777777">
        <w:trPr>
          <w:trHeight w:val="413"/>
        </w:trPr>
        <w:tc>
          <w:tcPr>
            <w:tcW w:w="2406" w:type="dxa"/>
            <w:vMerge/>
            <w:tcBorders>
              <w:top w:val="nil"/>
            </w:tcBorders>
          </w:tcPr>
          <w:p w14:paraId="6DD7CA96" w14:textId="77777777" w:rsidR="00117D58" w:rsidRDefault="00117D58">
            <w:pPr>
              <w:rPr>
                <w:sz w:val="2"/>
                <w:szCs w:val="2"/>
              </w:rPr>
            </w:pPr>
          </w:p>
        </w:tc>
        <w:tc>
          <w:tcPr>
            <w:tcW w:w="1134" w:type="dxa"/>
          </w:tcPr>
          <w:p w14:paraId="0A83DBE0" w14:textId="77777777" w:rsidR="00117D58" w:rsidRDefault="00F52091">
            <w:pPr>
              <w:pStyle w:val="TableParagraph"/>
              <w:ind w:left="15" w:right="3"/>
              <w:rPr>
                <w:sz w:val="24"/>
              </w:rPr>
            </w:pPr>
            <w:r>
              <w:rPr>
                <w:spacing w:val="-5"/>
                <w:sz w:val="24"/>
              </w:rPr>
              <w:t>Y6</w:t>
            </w:r>
          </w:p>
        </w:tc>
        <w:tc>
          <w:tcPr>
            <w:tcW w:w="1119" w:type="dxa"/>
          </w:tcPr>
          <w:p w14:paraId="7F96CBC1" w14:textId="77777777" w:rsidR="00117D58" w:rsidRDefault="00F52091">
            <w:pPr>
              <w:pStyle w:val="TableParagraph"/>
              <w:ind w:left="7"/>
              <w:rPr>
                <w:sz w:val="24"/>
              </w:rPr>
            </w:pPr>
            <w:r>
              <w:rPr>
                <w:spacing w:val="-4"/>
                <w:sz w:val="24"/>
              </w:rPr>
              <w:t>0.856</w:t>
            </w:r>
          </w:p>
        </w:tc>
        <w:tc>
          <w:tcPr>
            <w:tcW w:w="1565" w:type="dxa"/>
          </w:tcPr>
          <w:p w14:paraId="5713B1D5" w14:textId="77777777" w:rsidR="00117D58" w:rsidRDefault="00F52091">
            <w:pPr>
              <w:pStyle w:val="TableParagraph"/>
              <w:ind w:left="12" w:right="6"/>
              <w:rPr>
                <w:sz w:val="24"/>
              </w:rPr>
            </w:pPr>
            <w:r>
              <w:rPr>
                <w:sz w:val="24"/>
              </w:rPr>
              <w:t>&lt; 0.001</w:t>
            </w:r>
          </w:p>
        </w:tc>
        <w:tc>
          <w:tcPr>
            <w:tcW w:w="1205" w:type="dxa"/>
          </w:tcPr>
          <w:p w14:paraId="299A28FF" w14:textId="77777777" w:rsidR="00117D58" w:rsidRDefault="00F52091">
            <w:pPr>
              <w:pStyle w:val="TableParagraph"/>
              <w:ind w:left="17"/>
              <w:rPr>
                <w:sz w:val="24"/>
              </w:rPr>
            </w:pPr>
            <w:r>
              <w:rPr>
                <w:spacing w:val="-4"/>
                <w:sz w:val="24"/>
              </w:rPr>
              <w:t>0.195</w:t>
            </w:r>
          </w:p>
        </w:tc>
        <w:tc>
          <w:tcPr>
            <w:tcW w:w="1589" w:type="dxa"/>
          </w:tcPr>
          <w:p w14:paraId="1A2398B4" w14:textId="77777777" w:rsidR="00117D58" w:rsidRDefault="00F52091">
            <w:pPr>
              <w:pStyle w:val="TableParagraph"/>
              <w:ind w:left="2" w:right="2"/>
              <w:rPr>
                <w:sz w:val="24"/>
              </w:rPr>
            </w:pPr>
            <w:r>
              <w:rPr>
                <w:spacing w:val="-2"/>
                <w:sz w:val="24"/>
              </w:rPr>
              <w:t>Valid</w:t>
            </w:r>
          </w:p>
        </w:tc>
      </w:tr>
      <w:tr w:rsidR="00117D58" w14:paraId="78954A8B" w14:textId="77777777">
        <w:trPr>
          <w:trHeight w:val="417"/>
        </w:trPr>
        <w:tc>
          <w:tcPr>
            <w:tcW w:w="2406" w:type="dxa"/>
            <w:vMerge/>
            <w:tcBorders>
              <w:top w:val="nil"/>
            </w:tcBorders>
          </w:tcPr>
          <w:p w14:paraId="13329457" w14:textId="77777777" w:rsidR="00117D58" w:rsidRDefault="00117D58">
            <w:pPr>
              <w:rPr>
                <w:sz w:val="2"/>
                <w:szCs w:val="2"/>
              </w:rPr>
            </w:pPr>
          </w:p>
        </w:tc>
        <w:tc>
          <w:tcPr>
            <w:tcW w:w="1134" w:type="dxa"/>
          </w:tcPr>
          <w:p w14:paraId="16717698" w14:textId="77777777" w:rsidR="00117D58" w:rsidRDefault="00F52091">
            <w:pPr>
              <w:pStyle w:val="TableParagraph"/>
              <w:ind w:left="15" w:right="3"/>
              <w:rPr>
                <w:sz w:val="24"/>
              </w:rPr>
            </w:pPr>
            <w:r>
              <w:rPr>
                <w:spacing w:val="-5"/>
                <w:sz w:val="24"/>
              </w:rPr>
              <w:t>Y7</w:t>
            </w:r>
          </w:p>
        </w:tc>
        <w:tc>
          <w:tcPr>
            <w:tcW w:w="1119" w:type="dxa"/>
          </w:tcPr>
          <w:p w14:paraId="19DF6669" w14:textId="77777777" w:rsidR="00117D58" w:rsidRDefault="00F52091">
            <w:pPr>
              <w:pStyle w:val="TableParagraph"/>
              <w:ind w:left="7"/>
              <w:rPr>
                <w:sz w:val="24"/>
              </w:rPr>
            </w:pPr>
            <w:r>
              <w:rPr>
                <w:spacing w:val="-4"/>
                <w:sz w:val="24"/>
              </w:rPr>
              <w:t>0.744</w:t>
            </w:r>
          </w:p>
        </w:tc>
        <w:tc>
          <w:tcPr>
            <w:tcW w:w="1565" w:type="dxa"/>
          </w:tcPr>
          <w:p w14:paraId="2A687EAC" w14:textId="77777777" w:rsidR="00117D58" w:rsidRDefault="00F52091">
            <w:pPr>
              <w:pStyle w:val="TableParagraph"/>
              <w:ind w:left="12" w:right="6"/>
              <w:rPr>
                <w:sz w:val="24"/>
              </w:rPr>
            </w:pPr>
            <w:r>
              <w:rPr>
                <w:sz w:val="24"/>
              </w:rPr>
              <w:t>&lt; 0.001</w:t>
            </w:r>
          </w:p>
        </w:tc>
        <w:tc>
          <w:tcPr>
            <w:tcW w:w="1205" w:type="dxa"/>
          </w:tcPr>
          <w:p w14:paraId="05D04CA0" w14:textId="77777777" w:rsidR="00117D58" w:rsidRDefault="00F52091">
            <w:pPr>
              <w:pStyle w:val="TableParagraph"/>
              <w:ind w:left="17"/>
              <w:rPr>
                <w:sz w:val="24"/>
              </w:rPr>
            </w:pPr>
            <w:r>
              <w:rPr>
                <w:spacing w:val="-4"/>
                <w:sz w:val="24"/>
              </w:rPr>
              <w:t>0.195</w:t>
            </w:r>
          </w:p>
        </w:tc>
        <w:tc>
          <w:tcPr>
            <w:tcW w:w="1589" w:type="dxa"/>
          </w:tcPr>
          <w:p w14:paraId="23185C2F" w14:textId="77777777" w:rsidR="00117D58" w:rsidRDefault="00F52091">
            <w:pPr>
              <w:pStyle w:val="TableParagraph"/>
              <w:ind w:left="2" w:right="2"/>
              <w:rPr>
                <w:sz w:val="24"/>
              </w:rPr>
            </w:pPr>
            <w:r>
              <w:rPr>
                <w:spacing w:val="-2"/>
                <w:sz w:val="24"/>
              </w:rPr>
              <w:t>Valid</w:t>
            </w:r>
          </w:p>
        </w:tc>
      </w:tr>
      <w:tr w:rsidR="00117D58" w14:paraId="1D59DF0C" w14:textId="77777777">
        <w:trPr>
          <w:trHeight w:val="412"/>
        </w:trPr>
        <w:tc>
          <w:tcPr>
            <w:tcW w:w="2406" w:type="dxa"/>
            <w:vMerge/>
            <w:tcBorders>
              <w:top w:val="nil"/>
            </w:tcBorders>
          </w:tcPr>
          <w:p w14:paraId="12599DAD" w14:textId="77777777" w:rsidR="00117D58" w:rsidRDefault="00117D58">
            <w:pPr>
              <w:rPr>
                <w:sz w:val="2"/>
                <w:szCs w:val="2"/>
              </w:rPr>
            </w:pPr>
          </w:p>
        </w:tc>
        <w:tc>
          <w:tcPr>
            <w:tcW w:w="1134" w:type="dxa"/>
          </w:tcPr>
          <w:p w14:paraId="1302ADF9" w14:textId="77777777" w:rsidR="00117D58" w:rsidRDefault="00F52091">
            <w:pPr>
              <w:pStyle w:val="TableParagraph"/>
              <w:ind w:left="15" w:right="3"/>
              <w:rPr>
                <w:sz w:val="24"/>
              </w:rPr>
            </w:pPr>
            <w:r>
              <w:rPr>
                <w:spacing w:val="-5"/>
                <w:sz w:val="24"/>
              </w:rPr>
              <w:t>Y8</w:t>
            </w:r>
          </w:p>
        </w:tc>
        <w:tc>
          <w:tcPr>
            <w:tcW w:w="1119" w:type="dxa"/>
          </w:tcPr>
          <w:p w14:paraId="68D8DECE" w14:textId="77777777" w:rsidR="00117D58" w:rsidRDefault="00F52091">
            <w:pPr>
              <w:pStyle w:val="TableParagraph"/>
              <w:ind w:left="7"/>
              <w:rPr>
                <w:sz w:val="24"/>
              </w:rPr>
            </w:pPr>
            <w:r>
              <w:rPr>
                <w:spacing w:val="-4"/>
                <w:sz w:val="24"/>
              </w:rPr>
              <w:t>0.734</w:t>
            </w:r>
          </w:p>
        </w:tc>
        <w:tc>
          <w:tcPr>
            <w:tcW w:w="1565" w:type="dxa"/>
          </w:tcPr>
          <w:p w14:paraId="62E86B43" w14:textId="77777777" w:rsidR="00117D58" w:rsidRDefault="00F52091">
            <w:pPr>
              <w:pStyle w:val="TableParagraph"/>
              <w:ind w:left="12" w:right="6"/>
              <w:rPr>
                <w:sz w:val="24"/>
              </w:rPr>
            </w:pPr>
            <w:r>
              <w:rPr>
                <w:sz w:val="24"/>
              </w:rPr>
              <w:t>&lt; 0.001</w:t>
            </w:r>
          </w:p>
        </w:tc>
        <w:tc>
          <w:tcPr>
            <w:tcW w:w="1205" w:type="dxa"/>
          </w:tcPr>
          <w:p w14:paraId="0967CECC" w14:textId="77777777" w:rsidR="00117D58" w:rsidRDefault="00F52091">
            <w:pPr>
              <w:pStyle w:val="TableParagraph"/>
              <w:ind w:left="17"/>
              <w:rPr>
                <w:sz w:val="24"/>
              </w:rPr>
            </w:pPr>
            <w:r>
              <w:rPr>
                <w:spacing w:val="-4"/>
                <w:sz w:val="24"/>
              </w:rPr>
              <w:t>0.195</w:t>
            </w:r>
          </w:p>
        </w:tc>
        <w:tc>
          <w:tcPr>
            <w:tcW w:w="1589" w:type="dxa"/>
          </w:tcPr>
          <w:p w14:paraId="6E751956" w14:textId="77777777" w:rsidR="00117D58" w:rsidRDefault="00F52091">
            <w:pPr>
              <w:pStyle w:val="TableParagraph"/>
              <w:ind w:left="2" w:right="2"/>
              <w:rPr>
                <w:sz w:val="24"/>
              </w:rPr>
            </w:pPr>
            <w:r>
              <w:rPr>
                <w:spacing w:val="-2"/>
                <w:sz w:val="24"/>
              </w:rPr>
              <w:t>Valid</w:t>
            </w:r>
          </w:p>
        </w:tc>
      </w:tr>
    </w:tbl>
    <w:p w14:paraId="1BCE8AEE" w14:textId="77777777" w:rsidR="00117D58" w:rsidRDefault="00117D58">
      <w:pPr>
        <w:pStyle w:val="TableParagraph"/>
        <w:rPr>
          <w:sz w:val="24"/>
        </w:rPr>
        <w:sectPr w:rsidR="00117D58">
          <w:pgSz w:w="11910" w:h="16840"/>
          <w:pgMar w:top="1340" w:right="1417" w:bottom="1477" w:left="1417" w:header="720" w:footer="720"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6"/>
        <w:gridCol w:w="1134"/>
        <w:gridCol w:w="1119"/>
        <w:gridCol w:w="1565"/>
        <w:gridCol w:w="1205"/>
        <w:gridCol w:w="1589"/>
      </w:tblGrid>
      <w:tr w:rsidR="00117D58" w14:paraId="1F2F0E61" w14:textId="77777777">
        <w:trPr>
          <w:trHeight w:val="412"/>
        </w:trPr>
        <w:tc>
          <w:tcPr>
            <w:tcW w:w="2406" w:type="dxa"/>
            <w:vMerge w:val="restart"/>
          </w:tcPr>
          <w:p w14:paraId="5DB48F72" w14:textId="77777777" w:rsidR="00117D58" w:rsidRDefault="00117D58">
            <w:pPr>
              <w:pStyle w:val="TableParagraph"/>
              <w:spacing w:line="240" w:lineRule="auto"/>
              <w:jc w:val="left"/>
              <w:rPr>
                <w:sz w:val="24"/>
              </w:rPr>
            </w:pPr>
          </w:p>
          <w:p w14:paraId="72EFF116" w14:textId="77777777" w:rsidR="00117D58" w:rsidRDefault="00117D58">
            <w:pPr>
              <w:pStyle w:val="TableParagraph"/>
              <w:spacing w:line="240" w:lineRule="auto"/>
              <w:jc w:val="left"/>
              <w:rPr>
                <w:sz w:val="24"/>
              </w:rPr>
            </w:pPr>
          </w:p>
          <w:p w14:paraId="7A00CFAD" w14:textId="77777777" w:rsidR="00117D58" w:rsidRDefault="00117D58">
            <w:pPr>
              <w:pStyle w:val="TableParagraph"/>
              <w:spacing w:line="240" w:lineRule="auto"/>
              <w:jc w:val="left"/>
              <w:rPr>
                <w:sz w:val="24"/>
              </w:rPr>
            </w:pPr>
          </w:p>
          <w:p w14:paraId="0C2C1544" w14:textId="77777777" w:rsidR="00117D58" w:rsidRDefault="00117D58">
            <w:pPr>
              <w:pStyle w:val="TableParagraph"/>
              <w:spacing w:line="240" w:lineRule="auto"/>
              <w:jc w:val="left"/>
              <w:rPr>
                <w:sz w:val="24"/>
              </w:rPr>
            </w:pPr>
          </w:p>
          <w:p w14:paraId="12387718" w14:textId="77777777" w:rsidR="00117D58" w:rsidRDefault="00117D58">
            <w:pPr>
              <w:pStyle w:val="TableParagraph"/>
              <w:spacing w:before="95" w:line="240" w:lineRule="auto"/>
              <w:jc w:val="left"/>
              <w:rPr>
                <w:sz w:val="24"/>
              </w:rPr>
            </w:pPr>
          </w:p>
          <w:p w14:paraId="1B3D9FB3" w14:textId="52A0C406" w:rsidR="00117D58" w:rsidRDefault="006768C0">
            <w:pPr>
              <w:pStyle w:val="TableParagraph"/>
              <w:spacing w:line="240" w:lineRule="auto"/>
              <w:ind w:left="196"/>
              <w:jc w:val="left"/>
              <w:rPr>
                <w:sz w:val="24"/>
              </w:rPr>
            </w:pPr>
            <w:r>
              <w:rPr>
                <w:sz w:val="24"/>
              </w:rPr>
              <w:t>Non-Cash Transactions (X)</w:t>
            </w:r>
          </w:p>
        </w:tc>
        <w:tc>
          <w:tcPr>
            <w:tcW w:w="1134" w:type="dxa"/>
          </w:tcPr>
          <w:p w14:paraId="2624508C" w14:textId="77777777" w:rsidR="00117D58" w:rsidRDefault="00F52091">
            <w:pPr>
              <w:pStyle w:val="TableParagraph"/>
              <w:ind w:left="15" w:right="3"/>
              <w:rPr>
                <w:sz w:val="24"/>
              </w:rPr>
            </w:pPr>
            <w:r>
              <w:rPr>
                <w:spacing w:val="-5"/>
                <w:sz w:val="24"/>
              </w:rPr>
              <w:lastRenderedPageBreak/>
              <w:t>X1</w:t>
            </w:r>
          </w:p>
        </w:tc>
        <w:tc>
          <w:tcPr>
            <w:tcW w:w="1119" w:type="dxa"/>
          </w:tcPr>
          <w:p w14:paraId="5A32DF61" w14:textId="77777777" w:rsidR="00117D58" w:rsidRDefault="00F52091">
            <w:pPr>
              <w:pStyle w:val="TableParagraph"/>
              <w:ind w:left="7"/>
              <w:rPr>
                <w:sz w:val="24"/>
              </w:rPr>
            </w:pPr>
            <w:r>
              <w:rPr>
                <w:spacing w:val="-4"/>
                <w:sz w:val="24"/>
              </w:rPr>
              <w:t>0.654</w:t>
            </w:r>
          </w:p>
        </w:tc>
        <w:tc>
          <w:tcPr>
            <w:tcW w:w="1565" w:type="dxa"/>
          </w:tcPr>
          <w:p w14:paraId="6CB061E1" w14:textId="77777777" w:rsidR="00117D58" w:rsidRDefault="00F52091">
            <w:pPr>
              <w:pStyle w:val="TableParagraph"/>
              <w:ind w:left="12" w:right="6"/>
              <w:rPr>
                <w:sz w:val="24"/>
              </w:rPr>
            </w:pPr>
            <w:r>
              <w:rPr>
                <w:sz w:val="24"/>
              </w:rPr>
              <w:t>&lt; 0.001</w:t>
            </w:r>
          </w:p>
        </w:tc>
        <w:tc>
          <w:tcPr>
            <w:tcW w:w="1205" w:type="dxa"/>
          </w:tcPr>
          <w:p w14:paraId="45A7E62E" w14:textId="77777777" w:rsidR="00117D58" w:rsidRDefault="00F52091">
            <w:pPr>
              <w:pStyle w:val="TableParagraph"/>
              <w:ind w:left="17"/>
              <w:rPr>
                <w:sz w:val="24"/>
              </w:rPr>
            </w:pPr>
            <w:r>
              <w:rPr>
                <w:spacing w:val="-4"/>
                <w:sz w:val="24"/>
              </w:rPr>
              <w:t>0.195</w:t>
            </w:r>
          </w:p>
        </w:tc>
        <w:tc>
          <w:tcPr>
            <w:tcW w:w="1589" w:type="dxa"/>
          </w:tcPr>
          <w:p w14:paraId="55364CD9" w14:textId="77777777" w:rsidR="00117D58" w:rsidRDefault="00F52091">
            <w:pPr>
              <w:pStyle w:val="TableParagraph"/>
              <w:ind w:left="2" w:right="2"/>
              <w:rPr>
                <w:sz w:val="24"/>
              </w:rPr>
            </w:pPr>
            <w:r>
              <w:rPr>
                <w:spacing w:val="-2"/>
                <w:sz w:val="24"/>
              </w:rPr>
              <w:t>Valid</w:t>
            </w:r>
          </w:p>
        </w:tc>
      </w:tr>
      <w:tr w:rsidR="00117D58" w14:paraId="6740784A" w14:textId="77777777">
        <w:trPr>
          <w:trHeight w:val="417"/>
        </w:trPr>
        <w:tc>
          <w:tcPr>
            <w:tcW w:w="2406" w:type="dxa"/>
            <w:vMerge/>
            <w:tcBorders>
              <w:top w:val="nil"/>
            </w:tcBorders>
          </w:tcPr>
          <w:p w14:paraId="6B476824" w14:textId="77777777" w:rsidR="00117D58" w:rsidRDefault="00117D58">
            <w:pPr>
              <w:rPr>
                <w:sz w:val="2"/>
                <w:szCs w:val="2"/>
              </w:rPr>
            </w:pPr>
          </w:p>
        </w:tc>
        <w:tc>
          <w:tcPr>
            <w:tcW w:w="1134" w:type="dxa"/>
          </w:tcPr>
          <w:p w14:paraId="2D73232B" w14:textId="77777777" w:rsidR="00117D58" w:rsidRDefault="00F52091">
            <w:pPr>
              <w:pStyle w:val="TableParagraph"/>
              <w:ind w:left="15" w:right="3"/>
              <w:rPr>
                <w:sz w:val="24"/>
              </w:rPr>
            </w:pPr>
            <w:r>
              <w:rPr>
                <w:spacing w:val="-5"/>
                <w:sz w:val="24"/>
              </w:rPr>
              <w:t>X2</w:t>
            </w:r>
          </w:p>
        </w:tc>
        <w:tc>
          <w:tcPr>
            <w:tcW w:w="1119" w:type="dxa"/>
          </w:tcPr>
          <w:p w14:paraId="3518E64A" w14:textId="77777777" w:rsidR="00117D58" w:rsidRDefault="00F52091">
            <w:pPr>
              <w:pStyle w:val="TableParagraph"/>
              <w:ind w:left="7"/>
              <w:rPr>
                <w:sz w:val="24"/>
              </w:rPr>
            </w:pPr>
            <w:r>
              <w:rPr>
                <w:spacing w:val="-4"/>
                <w:sz w:val="24"/>
              </w:rPr>
              <w:t>0.652</w:t>
            </w:r>
          </w:p>
        </w:tc>
        <w:tc>
          <w:tcPr>
            <w:tcW w:w="1565" w:type="dxa"/>
          </w:tcPr>
          <w:p w14:paraId="17476B2B" w14:textId="77777777" w:rsidR="00117D58" w:rsidRDefault="00F52091">
            <w:pPr>
              <w:pStyle w:val="TableParagraph"/>
              <w:ind w:left="12" w:right="6"/>
              <w:rPr>
                <w:sz w:val="24"/>
              </w:rPr>
            </w:pPr>
            <w:r>
              <w:rPr>
                <w:sz w:val="24"/>
              </w:rPr>
              <w:t>&lt; 0.001</w:t>
            </w:r>
          </w:p>
        </w:tc>
        <w:tc>
          <w:tcPr>
            <w:tcW w:w="1205" w:type="dxa"/>
          </w:tcPr>
          <w:p w14:paraId="29E712A2" w14:textId="77777777" w:rsidR="00117D58" w:rsidRDefault="00F52091">
            <w:pPr>
              <w:pStyle w:val="TableParagraph"/>
              <w:ind w:left="17"/>
              <w:rPr>
                <w:sz w:val="24"/>
              </w:rPr>
            </w:pPr>
            <w:r>
              <w:rPr>
                <w:spacing w:val="-4"/>
                <w:sz w:val="24"/>
              </w:rPr>
              <w:t>0.195</w:t>
            </w:r>
          </w:p>
        </w:tc>
        <w:tc>
          <w:tcPr>
            <w:tcW w:w="1589" w:type="dxa"/>
          </w:tcPr>
          <w:p w14:paraId="20C2ABAB" w14:textId="77777777" w:rsidR="00117D58" w:rsidRDefault="00F52091">
            <w:pPr>
              <w:pStyle w:val="TableParagraph"/>
              <w:ind w:left="2" w:right="2"/>
              <w:rPr>
                <w:sz w:val="24"/>
              </w:rPr>
            </w:pPr>
            <w:r>
              <w:rPr>
                <w:spacing w:val="-2"/>
                <w:sz w:val="24"/>
              </w:rPr>
              <w:t>Valid</w:t>
            </w:r>
          </w:p>
        </w:tc>
      </w:tr>
      <w:tr w:rsidR="00117D58" w14:paraId="4BBE211D" w14:textId="77777777">
        <w:trPr>
          <w:trHeight w:val="412"/>
        </w:trPr>
        <w:tc>
          <w:tcPr>
            <w:tcW w:w="2406" w:type="dxa"/>
            <w:vMerge/>
            <w:tcBorders>
              <w:top w:val="nil"/>
            </w:tcBorders>
          </w:tcPr>
          <w:p w14:paraId="2F539F6D" w14:textId="77777777" w:rsidR="00117D58" w:rsidRDefault="00117D58">
            <w:pPr>
              <w:rPr>
                <w:sz w:val="2"/>
                <w:szCs w:val="2"/>
              </w:rPr>
            </w:pPr>
          </w:p>
        </w:tc>
        <w:tc>
          <w:tcPr>
            <w:tcW w:w="1134" w:type="dxa"/>
          </w:tcPr>
          <w:p w14:paraId="3617EBB2" w14:textId="77777777" w:rsidR="00117D58" w:rsidRDefault="00F52091">
            <w:pPr>
              <w:pStyle w:val="TableParagraph"/>
              <w:ind w:left="15" w:right="3"/>
              <w:rPr>
                <w:sz w:val="24"/>
              </w:rPr>
            </w:pPr>
            <w:r>
              <w:rPr>
                <w:spacing w:val="-5"/>
                <w:sz w:val="24"/>
              </w:rPr>
              <w:t>X3</w:t>
            </w:r>
          </w:p>
        </w:tc>
        <w:tc>
          <w:tcPr>
            <w:tcW w:w="1119" w:type="dxa"/>
          </w:tcPr>
          <w:p w14:paraId="4EB9D000" w14:textId="77777777" w:rsidR="00117D58" w:rsidRDefault="00F52091">
            <w:pPr>
              <w:pStyle w:val="TableParagraph"/>
              <w:ind w:left="7"/>
              <w:rPr>
                <w:sz w:val="24"/>
              </w:rPr>
            </w:pPr>
            <w:r>
              <w:rPr>
                <w:spacing w:val="-4"/>
                <w:sz w:val="24"/>
              </w:rPr>
              <w:t>0.703</w:t>
            </w:r>
          </w:p>
        </w:tc>
        <w:tc>
          <w:tcPr>
            <w:tcW w:w="1565" w:type="dxa"/>
          </w:tcPr>
          <w:p w14:paraId="496D5CA7" w14:textId="77777777" w:rsidR="00117D58" w:rsidRDefault="00F52091">
            <w:pPr>
              <w:pStyle w:val="TableParagraph"/>
              <w:ind w:left="12" w:right="6"/>
              <w:rPr>
                <w:sz w:val="24"/>
              </w:rPr>
            </w:pPr>
            <w:r>
              <w:rPr>
                <w:sz w:val="24"/>
              </w:rPr>
              <w:t>&lt; 0.001</w:t>
            </w:r>
          </w:p>
        </w:tc>
        <w:tc>
          <w:tcPr>
            <w:tcW w:w="1205" w:type="dxa"/>
          </w:tcPr>
          <w:p w14:paraId="0388458B" w14:textId="77777777" w:rsidR="00117D58" w:rsidRDefault="00F52091">
            <w:pPr>
              <w:pStyle w:val="TableParagraph"/>
              <w:ind w:left="17"/>
              <w:rPr>
                <w:sz w:val="24"/>
              </w:rPr>
            </w:pPr>
            <w:r>
              <w:rPr>
                <w:spacing w:val="-4"/>
                <w:sz w:val="24"/>
              </w:rPr>
              <w:t>0.195</w:t>
            </w:r>
          </w:p>
        </w:tc>
        <w:tc>
          <w:tcPr>
            <w:tcW w:w="1589" w:type="dxa"/>
          </w:tcPr>
          <w:p w14:paraId="1DE094EE" w14:textId="77777777" w:rsidR="00117D58" w:rsidRDefault="00F52091">
            <w:pPr>
              <w:pStyle w:val="TableParagraph"/>
              <w:ind w:left="2" w:right="2"/>
              <w:rPr>
                <w:sz w:val="24"/>
              </w:rPr>
            </w:pPr>
            <w:r>
              <w:rPr>
                <w:spacing w:val="-2"/>
                <w:sz w:val="24"/>
              </w:rPr>
              <w:t>Valid</w:t>
            </w:r>
          </w:p>
        </w:tc>
      </w:tr>
      <w:tr w:rsidR="00117D58" w14:paraId="5CE85209" w14:textId="77777777">
        <w:trPr>
          <w:trHeight w:val="412"/>
        </w:trPr>
        <w:tc>
          <w:tcPr>
            <w:tcW w:w="2406" w:type="dxa"/>
            <w:vMerge/>
            <w:tcBorders>
              <w:top w:val="nil"/>
            </w:tcBorders>
          </w:tcPr>
          <w:p w14:paraId="58092748" w14:textId="77777777" w:rsidR="00117D58" w:rsidRDefault="00117D58">
            <w:pPr>
              <w:rPr>
                <w:sz w:val="2"/>
                <w:szCs w:val="2"/>
              </w:rPr>
            </w:pPr>
          </w:p>
        </w:tc>
        <w:tc>
          <w:tcPr>
            <w:tcW w:w="1134" w:type="dxa"/>
          </w:tcPr>
          <w:p w14:paraId="7234D583" w14:textId="77777777" w:rsidR="00117D58" w:rsidRDefault="00F52091">
            <w:pPr>
              <w:pStyle w:val="TableParagraph"/>
              <w:ind w:left="15" w:right="3"/>
              <w:rPr>
                <w:sz w:val="24"/>
              </w:rPr>
            </w:pPr>
            <w:r>
              <w:rPr>
                <w:spacing w:val="-5"/>
                <w:sz w:val="24"/>
              </w:rPr>
              <w:t>X4</w:t>
            </w:r>
          </w:p>
        </w:tc>
        <w:tc>
          <w:tcPr>
            <w:tcW w:w="1119" w:type="dxa"/>
          </w:tcPr>
          <w:p w14:paraId="6FEFF30E" w14:textId="77777777" w:rsidR="00117D58" w:rsidRDefault="00F52091">
            <w:pPr>
              <w:pStyle w:val="TableParagraph"/>
              <w:ind w:left="7"/>
              <w:rPr>
                <w:sz w:val="24"/>
              </w:rPr>
            </w:pPr>
            <w:r>
              <w:rPr>
                <w:spacing w:val="-4"/>
                <w:sz w:val="24"/>
              </w:rPr>
              <w:t>0.693</w:t>
            </w:r>
          </w:p>
        </w:tc>
        <w:tc>
          <w:tcPr>
            <w:tcW w:w="1565" w:type="dxa"/>
          </w:tcPr>
          <w:p w14:paraId="634C52A6" w14:textId="77777777" w:rsidR="00117D58" w:rsidRDefault="00F52091">
            <w:pPr>
              <w:pStyle w:val="TableParagraph"/>
              <w:ind w:left="12" w:right="6"/>
              <w:rPr>
                <w:sz w:val="24"/>
              </w:rPr>
            </w:pPr>
            <w:r>
              <w:rPr>
                <w:sz w:val="24"/>
              </w:rPr>
              <w:t>&lt; 0.001</w:t>
            </w:r>
          </w:p>
        </w:tc>
        <w:tc>
          <w:tcPr>
            <w:tcW w:w="1205" w:type="dxa"/>
          </w:tcPr>
          <w:p w14:paraId="020BA02C" w14:textId="77777777" w:rsidR="00117D58" w:rsidRDefault="00F52091">
            <w:pPr>
              <w:pStyle w:val="TableParagraph"/>
              <w:ind w:left="17"/>
              <w:rPr>
                <w:sz w:val="24"/>
              </w:rPr>
            </w:pPr>
            <w:r>
              <w:rPr>
                <w:spacing w:val="-4"/>
                <w:sz w:val="24"/>
              </w:rPr>
              <w:t>0.195</w:t>
            </w:r>
          </w:p>
        </w:tc>
        <w:tc>
          <w:tcPr>
            <w:tcW w:w="1589" w:type="dxa"/>
          </w:tcPr>
          <w:p w14:paraId="130C60C0" w14:textId="77777777" w:rsidR="00117D58" w:rsidRDefault="00F52091">
            <w:pPr>
              <w:pStyle w:val="TableParagraph"/>
              <w:ind w:left="2" w:right="2"/>
              <w:rPr>
                <w:sz w:val="24"/>
              </w:rPr>
            </w:pPr>
            <w:r>
              <w:rPr>
                <w:spacing w:val="-2"/>
                <w:sz w:val="24"/>
              </w:rPr>
              <w:t>Valid</w:t>
            </w:r>
          </w:p>
        </w:tc>
      </w:tr>
      <w:tr w:rsidR="00117D58" w14:paraId="6416CFBE" w14:textId="77777777">
        <w:trPr>
          <w:trHeight w:val="417"/>
        </w:trPr>
        <w:tc>
          <w:tcPr>
            <w:tcW w:w="2406" w:type="dxa"/>
            <w:vMerge/>
            <w:tcBorders>
              <w:top w:val="nil"/>
            </w:tcBorders>
          </w:tcPr>
          <w:p w14:paraId="579FFB29" w14:textId="77777777" w:rsidR="00117D58" w:rsidRDefault="00117D58">
            <w:pPr>
              <w:rPr>
                <w:sz w:val="2"/>
                <w:szCs w:val="2"/>
              </w:rPr>
            </w:pPr>
          </w:p>
        </w:tc>
        <w:tc>
          <w:tcPr>
            <w:tcW w:w="1134" w:type="dxa"/>
          </w:tcPr>
          <w:p w14:paraId="2F733035" w14:textId="77777777" w:rsidR="00117D58" w:rsidRDefault="00F52091">
            <w:pPr>
              <w:pStyle w:val="TableParagraph"/>
              <w:ind w:left="15" w:right="3"/>
              <w:rPr>
                <w:sz w:val="24"/>
              </w:rPr>
            </w:pPr>
            <w:r>
              <w:rPr>
                <w:spacing w:val="-5"/>
                <w:sz w:val="24"/>
              </w:rPr>
              <w:t>X5</w:t>
            </w:r>
          </w:p>
        </w:tc>
        <w:tc>
          <w:tcPr>
            <w:tcW w:w="1119" w:type="dxa"/>
          </w:tcPr>
          <w:p w14:paraId="710D32B3" w14:textId="77777777" w:rsidR="00117D58" w:rsidRDefault="00F52091">
            <w:pPr>
              <w:pStyle w:val="TableParagraph"/>
              <w:ind w:left="7"/>
              <w:rPr>
                <w:sz w:val="24"/>
              </w:rPr>
            </w:pPr>
            <w:r>
              <w:rPr>
                <w:spacing w:val="-2"/>
                <w:sz w:val="24"/>
              </w:rPr>
              <w:t>0.711</w:t>
            </w:r>
          </w:p>
        </w:tc>
        <w:tc>
          <w:tcPr>
            <w:tcW w:w="1565" w:type="dxa"/>
          </w:tcPr>
          <w:p w14:paraId="225EE7E1" w14:textId="77777777" w:rsidR="00117D58" w:rsidRDefault="00F52091">
            <w:pPr>
              <w:pStyle w:val="TableParagraph"/>
              <w:ind w:left="12" w:right="6"/>
              <w:rPr>
                <w:sz w:val="24"/>
              </w:rPr>
            </w:pPr>
            <w:r>
              <w:rPr>
                <w:sz w:val="24"/>
              </w:rPr>
              <w:t>&lt; 0.001</w:t>
            </w:r>
          </w:p>
        </w:tc>
        <w:tc>
          <w:tcPr>
            <w:tcW w:w="1205" w:type="dxa"/>
          </w:tcPr>
          <w:p w14:paraId="2DF2571D" w14:textId="77777777" w:rsidR="00117D58" w:rsidRDefault="00F52091">
            <w:pPr>
              <w:pStyle w:val="TableParagraph"/>
              <w:ind w:left="17"/>
              <w:rPr>
                <w:sz w:val="24"/>
              </w:rPr>
            </w:pPr>
            <w:r>
              <w:rPr>
                <w:spacing w:val="-4"/>
                <w:sz w:val="24"/>
              </w:rPr>
              <w:t>0.195</w:t>
            </w:r>
          </w:p>
        </w:tc>
        <w:tc>
          <w:tcPr>
            <w:tcW w:w="1589" w:type="dxa"/>
          </w:tcPr>
          <w:p w14:paraId="4504CC1A" w14:textId="77777777" w:rsidR="00117D58" w:rsidRDefault="00F52091">
            <w:pPr>
              <w:pStyle w:val="TableParagraph"/>
              <w:ind w:left="2" w:right="2"/>
              <w:rPr>
                <w:sz w:val="24"/>
              </w:rPr>
            </w:pPr>
            <w:r>
              <w:rPr>
                <w:spacing w:val="-2"/>
                <w:sz w:val="24"/>
              </w:rPr>
              <w:t>Valid</w:t>
            </w:r>
          </w:p>
        </w:tc>
      </w:tr>
      <w:tr w:rsidR="00117D58" w14:paraId="522C0B62" w14:textId="77777777">
        <w:trPr>
          <w:trHeight w:val="412"/>
        </w:trPr>
        <w:tc>
          <w:tcPr>
            <w:tcW w:w="2406" w:type="dxa"/>
            <w:vMerge/>
            <w:tcBorders>
              <w:top w:val="nil"/>
            </w:tcBorders>
          </w:tcPr>
          <w:p w14:paraId="5A2CA51B" w14:textId="77777777" w:rsidR="00117D58" w:rsidRDefault="00117D58">
            <w:pPr>
              <w:rPr>
                <w:sz w:val="2"/>
                <w:szCs w:val="2"/>
              </w:rPr>
            </w:pPr>
          </w:p>
        </w:tc>
        <w:tc>
          <w:tcPr>
            <w:tcW w:w="1134" w:type="dxa"/>
          </w:tcPr>
          <w:p w14:paraId="7DC6EB06" w14:textId="77777777" w:rsidR="00117D58" w:rsidRDefault="00F52091">
            <w:pPr>
              <w:pStyle w:val="TableParagraph"/>
              <w:ind w:left="15" w:right="3"/>
              <w:rPr>
                <w:sz w:val="24"/>
              </w:rPr>
            </w:pPr>
            <w:r>
              <w:rPr>
                <w:spacing w:val="-5"/>
                <w:sz w:val="24"/>
              </w:rPr>
              <w:t>X6</w:t>
            </w:r>
          </w:p>
        </w:tc>
        <w:tc>
          <w:tcPr>
            <w:tcW w:w="1119" w:type="dxa"/>
          </w:tcPr>
          <w:p w14:paraId="53334CCD" w14:textId="77777777" w:rsidR="00117D58" w:rsidRDefault="00F52091">
            <w:pPr>
              <w:pStyle w:val="TableParagraph"/>
              <w:ind w:left="7"/>
              <w:rPr>
                <w:sz w:val="24"/>
              </w:rPr>
            </w:pPr>
            <w:r>
              <w:rPr>
                <w:spacing w:val="-4"/>
                <w:sz w:val="24"/>
              </w:rPr>
              <w:t>0.610</w:t>
            </w:r>
          </w:p>
        </w:tc>
        <w:tc>
          <w:tcPr>
            <w:tcW w:w="1565" w:type="dxa"/>
          </w:tcPr>
          <w:p w14:paraId="7216259E" w14:textId="77777777" w:rsidR="00117D58" w:rsidRDefault="00F52091">
            <w:pPr>
              <w:pStyle w:val="TableParagraph"/>
              <w:ind w:left="12" w:right="6"/>
              <w:rPr>
                <w:sz w:val="24"/>
              </w:rPr>
            </w:pPr>
            <w:r>
              <w:rPr>
                <w:sz w:val="24"/>
              </w:rPr>
              <w:t>&lt; 0.001</w:t>
            </w:r>
          </w:p>
        </w:tc>
        <w:tc>
          <w:tcPr>
            <w:tcW w:w="1205" w:type="dxa"/>
          </w:tcPr>
          <w:p w14:paraId="56AE13BC" w14:textId="77777777" w:rsidR="00117D58" w:rsidRDefault="00F52091">
            <w:pPr>
              <w:pStyle w:val="TableParagraph"/>
              <w:ind w:left="17"/>
              <w:rPr>
                <w:sz w:val="24"/>
              </w:rPr>
            </w:pPr>
            <w:r>
              <w:rPr>
                <w:spacing w:val="-4"/>
                <w:sz w:val="24"/>
              </w:rPr>
              <w:t>0.195</w:t>
            </w:r>
          </w:p>
        </w:tc>
        <w:tc>
          <w:tcPr>
            <w:tcW w:w="1589" w:type="dxa"/>
          </w:tcPr>
          <w:p w14:paraId="6F37FE84" w14:textId="77777777" w:rsidR="00117D58" w:rsidRDefault="00F52091">
            <w:pPr>
              <w:pStyle w:val="TableParagraph"/>
              <w:ind w:left="2" w:right="2"/>
              <w:rPr>
                <w:sz w:val="24"/>
              </w:rPr>
            </w:pPr>
            <w:r>
              <w:rPr>
                <w:spacing w:val="-2"/>
                <w:sz w:val="24"/>
              </w:rPr>
              <w:t>Valid</w:t>
            </w:r>
          </w:p>
        </w:tc>
      </w:tr>
      <w:tr w:rsidR="00117D58" w14:paraId="5612DF94" w14:textId="77777777">
        <w:trPr>
          <w:trHeight w:val="412"/>
        </w:trPr>
        <w:tc>
          <w:tcPr>
            <w:tcW w:w="2406" w:type="dxa"/>
            <w:vMerge/>
            <w:tcBorders>
              <w:top w:val="nil"/>
            </w:tcBorders>
          </w:tcPr>
          <w:p w14:paraId="7EBD8B22" w14:textId="77777777" w:rsidR="00117D58" w:rsidRDefault="00117D58">
            <w:pPr>
              <w:rPr>
                <w:sz w:val="2"/>
                <w:szCs w:val="2"/>
              </w:rPr>
            </w:pPr>
          </w:p>
        </w:tc>
        <w:tc>
          <w:tcPr>
            <w:tcW w:w="1134" w:type="dxa"/>
          </w:tcPr>
          <w:p w14:paraId="488FA411" w14:textId="77777777" w:rsidR="00117D58" w:rsidRDefault="00F52091">
            <w:pPr>
              <w:pStyle w:val="TableParagraph"/>
              <w:ind w:left="15" w:right="3"/>
              <w:rPr>
                <w:sz w:val="24"/>
              </w:rPr>
            </w:pPr>
            <w:r>
              <w:rPr>
                <w:spacing w:val="-5"/>
                <w:sz w:val="24"/>
              </w:rPr>
              <w:t>X7</w:t>
            </w:r>
          </w:p>
        </w:tc>
        <w:tc>
          <w:tcPr>
            <w:tcW w:w="1119" w:type="dxa"/>
          </w:tcPr>
          <w:p w14:paraId="4995FECF" w14:textId="77777777" w:rsidR="00117D58" w:rsidRDefault="00F52091">
            <w:pPr>
              <w:pStyle w:val="TableParagraph"/>
              <w:ind w:left="7"/>
              <w:rPr>
                <w:sz w:val="24"/>
              </w:rPr>
            </w:pPr>
            <w:r>
              <w:rPr>
                <w:spacing w:val="-4"/>
                <w:sz w:val="24"/>
              </w:rPr>
              <w:t>0.566</w:t>
            </w:r>
          </w:p>
        </w:tc>
        <w:tc>
          <w:tcPr>
            <w:tcW w:w="1565" w:type="dxa"/>
          </w:tcPr>
          <w:p w14:paraId="1A5D34DA" w14:textId="77777777" w:rsidR="00117D58" w:rsidRDefault="00F52091">
            <w:pPr>
              <w:pStyle w:val="TableParagraph"/>
              <w:ind w:left="12" w:right="6"/>
              <w:rPr>
                <w:sz w:val="24"/>
              </w:rPr>
            </w:pPr>
            <w:r>
              <w:rPr>
                <w:sz w:val="24"/>
              </w:rPr>
              <w:t>&lt; 0.001</w:t>
            </w:r>
          </w:p>
        </w:tc>
        <w:tc>
          <w:tcPr>
            <w:tcW w:w="1205" w:type="dxa"/>
          </w:tcPr>
          <w:p w14:paraId="04C14705" w14:textId="77777777" w:rsidR="00117D58" w:rsidRDefault="00F52091">
            <w:pPr>
              <w:pStyle w:val="TableParagraph"/>
              <w:ind w:left="17"/>
              <w:rPr>
                <w:sz w:val="24"/>
              </w:rPr>
            </w:pPr>
            <w:r>
              <w:rPr>
                <w:spacing w:val="-4"/>
                <w:sz w:val="24"/>
              </w:rPr>
              <w:t>0.195</w:t>
            </w:r>
          </w:p>
        </w:tc>
        <w:tc>
          <w:tcPr>
            <w:tcW w:w="1589" w:type="dxa"/>
          </w:tcPr>
          <w:p w14:paraId="05CE4AA9" w14:textId="77777777" w:rsidR="00117D58" w:rsidRDefault="00F52091">
            <w:pPr>
              <w:pStyle w:val="TableParagraph"/>
              <w:ind w:left="2" w:right="2"/>
              <w:rPr>
                <w:sz w:val="24"/>
              </w:rPr>
            </w:pPr>
            <w:r>
              <w:rPr>
                <w:spacing w:val="-2"/>
                <w:sz w:val="24"/>
              </w:rPr>
              <w:t>Valid</w:t>
            </w:r>
          </w:p>
        </w:tc>
      </w:tr>
      <w:tr w:rsidR="00117D58" w14:paraId="0A42563D" w14:textId="77777777">
        <w:trPr>
          <w:trHeight w:val="417"/>
        </w:trPr>
        <w:tc>
          <w:tcPr>
            <w:tcW w:w="2406" w:type="dxa"/>
            <w:vMerge/>
            <w:tcBorders>
              <w:top w:val="nil"/>
            </w:tcBorders>
          </w:tcPr>
          <w:p w14:paraId="2D1814B9" w14:textId="77777777" w:rsidR="00117D58" w:rsidRDefault="00117D58">
            <w:pPr>
              <w:rPr>
                <w:sz w:val="2"/>
                <w:szCs w:val="2"/>
              </w:rPr>
            </w:pPr>
          </w:p>
        </w:tc>
        <w:tc>
          <w:tcPr>
            <w:tcW w:w="1134" w:type="dxa"/>
          </w:tcPr>
          <w:p w14:paraId="0FDFBC86" w14:textId="77777777" w:rsidR="00117D58" w:rsidRDefault="00F52091">
            <w:pPr>
              <w:pStyle w:val="TableParagraph"/>
              <w:ind w:left="15" w:right="3"/>
              <w:rPr>
                <w:sz w:val="24"/>
              </w:rPr>
            </w:pPr>
            <w:r>
              <w:rPr>
                <w:spacing w:val="-5"/>
                <w:sz w:val="24"/>
              </w:rPr>
              <w:t>X8</w:t>
            </w:r>
          </w:p>
        </w:tc>
        <w:tc>
          <w:tcPr>
            <w:tcW w:w="1119" w:type="dxa"/>
          </w:tcPr>
          <w:p w14:paraId="155026D1" w14:textId="77777777" w:rsidR="00117D58" w:rsidRDefault="00F52091">
            <w:pPr>
              <w:pStyle w:val="TableParagraph"/>
              <w:ind w:left="7"/>
              <w:rPr>
                <w:sz w:val="24"/>
              </w:rPr>
            </w:pPr>
            <w:r>
              <w:rPr>
                <w:spacing w:val="-4"/>
                <w:sz w:val="24"/>
              </w:rPr>
              <w:t>0.565</w:t>
            </w:r>
          </w:p>
        </w:tc>
        <w:tc>
          <w:tcPr>
            <w:tcW w:w="1565" w:type="dxa"/>
          </w:tcPr>
          <w:p w14:paraId="3EEDD400" w14:textId="77777777" w:rsidR="00117D58" w:rsidRDefault="00F52091">
            <w:pPr>
              <w:pStyle w:val="TableParagraph"/>
              <w:ind w:left="12" w:right="6"/>
              <w:rPr>
                <w:sz w:val="24"/>
              </w:rPr>
            </w:pPr>
            <w:r>
              <w:rPr>
                <w:sz w:val="24"/>
              </w:rPr>
              <w:t>&lt; 0.001</w:t>
            </w:r>
          </w:p>
        </w:tc>
        <w:tc>
          <w:tcPr>
            <w:tcW w:w="1205" w:type="dxa"/>
          </w:tcPr>
          <w:p w14:paraId="44EAE70E" w14:textId="77777777" w:rsidR="00117D58" w:rsidRDefault="00F52091">
            <w:pPr>
              <w:pStyle w:val="TableParagraph"/>
              <w:ind w:left="17"/>
              <w:rPr>
                <w:sz w:val="24"/>
              </w:rPr>
            </w:pPr>
            <w:r>
              <w:rPr>
                <w:spacing w:val="-4"/>
                <w:sz w:val="24"/>
              </w:rPr>
              <w:t>0.195</w:t>
            </w:r>
          </w:p>
        </w:tc>
        <w:tc>
          <w:tcPr>
            <w:tcW w:w="1589" w:type="dxa"/>
          </w:tcPr>
          <w:p w14:paraId="02AEE2E0" w14:textId="77777777" w:rsidR="00117D58" w:rsidRDefault="00F52091">
            <w:pPr>
              <w:pStyle w:val="TableParagraph"/>
              <w:ind w:left="2" w:right="2"/>
              <w:rPr>
                <w:sz w:val="24"/>
              </w:rPr>
            </w:pPr>
            <w:r>
              <w:rPr>
                <w:spacing w:val="-2"/>
                <w:sz w:val="24"/>
              </w:rPr>
              <w:t>Valid</w:t>
            </w:r>
          </w:p>
        </w:tc>
      </w:tr>
    </w:tbl>
    <w:p w14:paraId="2DF311BE" w14:textId="77777777" w:rsidR="00117D58" w:rsidRDefault="00F52091">
      <w:pPr>
        <w:pStyle w:val="BodyText"/>
        <w:spacing w:before="22"/>
        <w:ind w:left="738" w:right="741"/>
        <w:jc w:val="center"/>
      </w:pPr>
      <w:r>
        <w:t>Table 2. Validity Test</w:t>
      </w:r>
    </w:p>
    <w:p w14:paraId="60FC7D9B" w14:textId="77777777" w:rsidR="00117D58" w:rsidRDefault="00117D58">
      <w:pPr>
        <w:pStyle w:val="BodyText"/>
        <w:spacing w:before="14"/>
        <w:ind w:left="0"/>
        <w:jc w:val="left"/>
      </w:pPr>
    </w:p>
    <w:p w14:paraId="516B7ADD" w14:textId="461879E3" w:rsidR="00117D58" w:rsidRDefault="00F52091">
      <w:pPr>
        <w:pStyle w:val="BodyText"/>
        <w:spacing w:line="362" w:lineRule="auto"/>
        <w:ind w:right="17" w:firstLine="720"/>
      </w:pPr>
      <w:r>
        <w:t xml:space="preserve">The results of the validity test in this study showed that all statement items in  the </w:t>
      </w:r>
      <w:r w:rsidR="006768C0" w:rsidRPr="006768C0">
        <w:rPr>
          <w:iCs/>
        </w:rPr>
        <w:t xml:space="preserve">Non-Cash </w:t>
      </w:r>
      <w:r>
        <w:t xml:space="preserve">Transaction (X) and </w:t>
      </w:r>
      <w:r>
        <w:rPr>
          <w:i/>
        </w:rPr>
        <w:t xml:space="preserve">Saving Behavior </w:t>
      </w:r>
      <w:r>
        <w:t>(Y) variables had a greater r calculation correlation coefficient value than the table r value of 0.195 for a sample of 100 respondents. In addition, the significance level of each statement item is below the limit of 0.05 so that it meets the validity criteria that have been set.</w:t>
      </w:r>
    </w:p>
    <w:p w14:paraId="23554076" w14:textId="77777777" w:rsidR="00117D58" w:rsidRDefault="00F52091">
      <w:pPr>
        <w:pStyle w:val="BodyText"/>
        <w:spacing w:before="149" w:line="360" w:lineRule="auto"/>
        <w:ind w:right="17" w:firstLine="720"/>
      </w:pPr>
      <w:r>
        <w:t>Based on these results, all statement items on both variables were declared valid and suitable for use as measurement instruments in this study and in further analysis.</w:t>
      </w:r>
    </w:p>
    <w:p w14:paraId="1896AFFC" w14:textId="77777777" w:rsidR="00117D58" w:rsidRDefault="00F52091">
      <w:pPr>
        <w:pStyle w:val="Heading2"/>
        <w:spacing w:before="170"/>
      </w:pPr>
      <w:r>
        <w:t>Reliability Test</w:t>
      </w:r>
    </w:p>
    <w:p w14:paraId="67EA041A" w14:textId="77777777" w:rsidR="00117D58" w:rsidRDefault="00117D58">
      <w:pPr>
        <w:pStyle w:val="BodyText"/>
        <w:spacing w:before="10"/>
        <w:ind w:left="0"/>
        <w:jc w:val="left"/>
        <w:rPr>
          <w:b/>
        </w:rPr>
      </w:pPr>
    </w:p>
    <w:p w14:paraId="17AC4412" w14:textId="77777777" w:rsidR="00117D58" w:rsidRDefault="00F52091">
      <w:pPr>
        <w:pStyle w:val="BodyText"/>
        <w:spacing w:line="362" w:lineRule="auto"/>
        <w:ind w:right="17" w:firstLine="720"/>
      </w:pPr>
      <w:r>
        <w:t>The reliability test was carried out to assess the level of internal consistency of the research instrument used. Creswell and Creswell (2024) state that an instrument can be said to be reliable if the value of Cronbach's Alpha coefficient reaches or exceeds 0.70. The value of the coefficient indicates that the statement item item in the instrument has an adequate level of consistency in measuring each variable stably and directionally.</w:t>
      </w:r>
    </w:p>
    <w:p w14:paraId="46BC2C39" w14:textId="77777777" w:rsidR="00117D58" w:rsidRDefault="00117D58">
      <w:pPr>
        <w:pStyle w:val="BodyText"/>
        <w:spacing w:before="7"/>
        <w:ind w:left="0"/>
        <w:jc w:val="left"/>
        <w:rPr>
          <w:sz w:val="13"/>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6"/>
        <w:gridCol w:w="1422"/>
        <w:gridCol w:w="1840"/>
        <w:gridCol w:w="1552"/>
        <w:gridCol w:w="1801"/>
      </w:tblGrid>
      <w:tr w:rsidR="00117D58" w14:paraId="7220F7FC" w14:textId="77777777">
        <w:trPr>
          <w:trHeight w:val="412"/>
        </w:trPr>
        <w:tc>
          <w:tcPr>
            <w:tcW w:w="2406" w:type="dxa"/>
          </w:tcPr>
          <w:p w14:paraId="3BF95DB3" w14:textId="77777777" w:rsidR="00117D58" w:rsidRDefault="00F52091">
            <w:pPr>
              <w:pStyle w:val="TableParagraph"/>
              <w:spacing w:line="273" w:lineRule="exact"/>
              <w:ind w:left="10" w:right="2"/>
              <w:rPr>
                <w:b/>
                <w:sz w:val="24"/>
              </w:rPr>
            </w:pPr>
            <w:r>
              <w:rPr>
                <w:b/>
                <w:spacing w:val="-2"/>
                <w:sz w:val="24"/>
              </w:rPr>
              <w:t>Variable</w:t>
            </w:r>
          </w:p>
        </w:tc>
        <w:tc>
          <w:tcPr>
            <w:tcW w:w="1422" w:type="dxa"/>
          </w:tcPr>
          <w:p w14:paraId="688C7172" w14:textId="77777777" w:rsidR="00117D58" w:rsidRDefault="00F52091">
            <w:pPr>
              <w:pStyle w:val="TableParagraph"/>
              <w:spacing w:line="273" w:lineRule="exact"/>
              <w:ind w:left="11" w:right="7"/>
              <w:rPr>
                <w:b/>
                <w:sz w:val="24"/>
              </w:rPr>
            </w:pPr>
            <w:r>
              <w:rPr>
                <w:b/>
                <w:sz w:val="24"/>
              </w:rPr>
              <w:t>N of Items</w:t>
            </w:r>
          </w:p>
        </w:tc>
        <w:tc>
          <w:tcPr>
            <w:tcW w:w="1840" w:type="dxa"/>
          </w:tcPr>
          <w:p w14:paraId="6EE8FEF3" w14:textId="77777777" w:rsidR="00117D58" w:rsidRDefault="00F52091">
            <w:pPr>
              <w:pStyle w:val="TableParagraph"/>
              <w:spacing w:line="273" w:lineRule="exact"/>
              <w:ind w:left="464"/>
              <w:jc w:val="left"/>
              <w:rPr>
                <w:b/>
                <w:sz w:val="24"/>
              </w:rPr>
            </w:pPr>
            <w:r>
              <w:rPr>
                <w:b/>
                <w:sz w:val="24"/>
              </w:rPr>
              <w:t>C. Alpha</w:t>
            </w:r>
          </w:p>
        </w:tc>
        <w:tc>
          <w:tcPr>
            <w:tcW w:w="1552" w:type="dxa"/>
          </w:tcPr>
          <w:p w14:paraId="7B8996A0" w14:textId="77777777" w:rsidR="00117D58" w:rsidRDefault="00F52091">
            <w:pPr>
              <w:pStyle w:val="TableParagraph"/>
              <w:spacing w:line="273" w:lineRule="exact"/>
              <w:ind w:left="146"/>
              <w:jc w:val="left"/>
              <w:rPr>
                <w:b/>
                <w:sz w:val="24"/>
              </w:rPr>
            </w:pPr>
            <w:r>
              <w:rPr>
                <w:b/>
                <w:sz w:val="24"/>
              </w:rPr>
              <w:t>R. Standard</w:t>
            </w:r>
          </w:p>
        </w:tc>
        <w:tc>
          <w:tcPr>
            <w:tcW w:w="1801" w:type="dxa"/>
          </w:tcPr>
          <w:p w14:paraId="68647D1F" w14:textId="77777777" w:rsidR="00117D58" w:rsidRDefault="00F52091">
            <w:pPr>
              <w:pStyle w:val="TableParagraph"/>
              <w:spacing w:line="273" w:lineRule="exact"/>
              <w:ind w:left="2" w:right="1"/>
              <w:rPr>
                <w:b/>
                <w:sz w:val="24"/>
              </w:rPr>
            </w:pPr>
            <w:r>
              <w:rPr>
                <w:b/>
                <w:spacing w:val="-2"/>
                <w:sz w:val="24"/>
              </w:rPr>
              <w:t>Remarks</w:t>
            </w:r>
          </w:p>
        </w:tc>
      </w:tr>
      <w:tr w:rsidR="00117D58" w14:paraId="58DDF278" w14:textId="77777777">
        <w:trPr>
          <w:trHeight w:val="417"/>
        </w:trPr>
        <w:tc>
          <w:tcPr>
            <w:tcW w:w="2406" w:type="dxa"/>
          </w:tcPr>
          <w:p w14:paraId="75D663B2" w14:textId="77777777" w:rsidR="00117D58" w:rsidRDefault="00F52091">
            <w:pPr>
              <w:pStyle w:val="TableParagraph"/>
              <w:ind w:left="10"/>
              <w:rPr>
                <w:sz w:val="24"/>
              </w:rPr>
            </w:pPr>
            <w:r>
              <w:rPr>
                <w:sz w:val="24"/>
              </w:rPr>
              <w:t>Saving Behaviour (Y)</w:t>
            </w:r>
          </w:p>
        </w:tc>
        <w:tc>
          <w:tcPr>
            <w:tcW w:w="1422" w:type="dxa"/>
          </w:tcPr>
          <w:p w14:paraId="3CBBAC42" w14:textId="77777777" w:rsidR="00117D58" w:rsidRDefault="00F52091">
            <w:pPr>
              <w:pStyle w:val="TableParagraph"/>
              <w:ind w:left="11"/>
              <w:rPr>
                <w:sz w:val="24"/>
              </w:rPr>
            </w:pPr>
            <w:r>
              <w:rPr>
                <w:sz w:val="24"/>
              </w:rPr>
              <w:t>8 items</w:t>
            </w:r>
          </w:p>
        </w:tc>
        <w:tc>
          <w:tcPr>
            <w:tcW w:w="1840" w:type="dxa"/>
          </w:tcPr>
          <w:p w14:paraId="06CC3EEA" w14:textId="77777777" w:rsidR="00117D58" w:rsidRDefault="00F52091">
            <w:pPr>
              <w:pStyle w:val="TableParagraph"/>
              <w:spacing w:line="273" w:lineRule="exact"/>
              <w:ind w:left="6"/>
              <w:rPr>
                <w:b/>
                <w:sz w:val="24"/>
              </w:rPr>
            </w:pPr>
            <w:r>
              <w:rPr>
                <w:b/>
                <w:spacing w:val="-4"/>
                <w:sz w:val="24"/>
              </w:rPr>
              <w:t>0.709</w:t>
            </w:r>
          </w:p>
        </w:tc>
        <w:tc>
          <w:tcPr>
            <w:tcW w:w="1552" w:type="dxa"/>
          </w:tcPr>
          <w:p w14:paraId="64964FCD" w14:textId="77777777" w:rsidR="00117D58" w:rsidRDefault="00F52091">
            <w:pPr>
              <w:pStyle w:val="TableParagraph"/>
              <w:ind w:left="9"/>
              <w:rPr>
                <w:sz w:val="24"/>
              </w:rPr>
            </w:pPr>
            <w:r>
              <w:rPr>
                <w:spacing w:val="-4"/>
                <w:sz w:val="24"/>
              </w:rPr>
              <w:t>0.70</w:t>
            </w:r>
          </w:p>
        </w:tc>
        <w:tc>
          <w:tcPr>
            <w:tcW w:w="1801" w:type="dxa"/>
          </w:tcPr>
          <w:p w14:paraId="75805F89" w14:textId="77777777" w:rsidR="00117D58" w:rsidRDefault="00F52091">
            <w:pPr>
              <w:pStyle w:val="TableParagraph"/>
              <w:ind w:left="2"/>
              <w:rPr>
                <w:sz w:val="24"/>
              </w:rPr>
            </w:pPr>
            <w:r>
              <w:rPr>
                <w:spacing w:val="-2"/>
                <w:sz w:val="24"/>
              </w:rPr>
              <w:t>Reliable</w:t>
            </w:r>
          </w:p>
        </w:tc>
      </w:tr>
      <w:tr w:rsidR="00117D58" w14:paraId="2A47F80E" w14:textId="77777777">
        <w:trPr>
          <w:trHeight w:val="412"/>
        </w:trPr>
        <w:tc>
          <w:tcPr>
            <w:tcW w:w="2406" w:type="dxa"/>
          </w:tcPr>
          <w:p w14:paraId="55ABCE6B" w14:textId="4F8E40CE" w:rsidR="00117D58" w:rsidRDefault="006768C0">
            <w:pPr>
              <w:pStyle w:val="TableParagraph"/>
              <w:ind w:left="10" w:right="5"/>
              <w:rPr>
                <w:sz w:val="24"/>
              </w:rPr>
            </w:pPr>
            <w:r>
              <w:rPr>
                <w:sz w:val="24"/>
              </w:rPr>
              <w:t>Non-Cash Transactions (X)</w:t>
            </w:r>
          </w:p>
        </w:tc>
        <w:tc>
          <w:tcPr>
            <w:tcW w:w="1422" w:type="dxa"/>
          </w:tcPr>
          <w:p w14:paraId="3B1ABD22" w14:textId="77777777" w:rsidR="00117D58" w:rsidRDefault="00F52091">
            <w:pPr>
              <w:pStyle w:val="TableParagraph"/>
              <w:ind w:left="11"/>
              <w:rPr>
                <w:sz w:val="24"/>
              </w:rPr>
            </w:pPr>
            <w:r>
              <w:rPr>
                <w:sz w:val="24"/>
              </w:rPr>
              <w:t>8 items</w:t>
            </w:r>
          </w:p>
        </w:tc>
        <w:tc>
          <w:tcPr>
            <w:tcW w:w="1840" w:type="dxa"/>
          </w:tcPr>
          <w:p w14:paraId="0BD6882A" w14:textId="77777777" w:rsidR="00117D58" w:rsidRDefault="00F52091">
            <w:pPr>
              <w:pStyle w:val="TableParagraph"/>
              <w:spacing w:line="273" w:lineRule="exact"/>
              <w:ind w:left="6"/>
              <w:rPr>
                <w:b/>
                <w:sz w:val="24"/>
              </w:rPr>
            </w:pPr>
            <w:r>
              <w:rPr>
                <w:b/>
                <w:spacing w:val="-4"/>
                <w:sz w:val="24"/>
              </w:rPr>
              <w:t>0.887</w:t>
            </w:r>
          </w:p>
        </w:tc>
        <w:tc>
          <w:tcPr>
            <w:tcW w:w="1552" w:type="dxa"/>
          </w:tcPr>
          <w:p w14:paraId="40325952" w14:textId="77777777" w:rsidR="00117D58" w:rsidRDefault="00F52091">
            <w:pPr>
              <w:pStyle w:val="TableParagraph"/>
              <w:ind w:left="9"/>
              <w:rPr>
                <w:sz w:val="24"/>
              </w:rPr>
            </w:pPr>
            <w:r>
              <w:rPr>
                <w:spacing w:val="-4"/>
                <w:sz w:val="24"/>
              </w:rPr>
              <w:t>0.70</w:t>
            </w:r>
          </w:p>
        </w:tc>
        <w:tc>
          <w:tcPr>
            <w:tcW w:w="1801" w:type="dxa"/>
          </w:tcPr>
          <w:p w14:paraId="6699831E" w14:textId="77777777" w:rsidR="00117D58" w:rsidRDefault="00F52091">
            <w:pPr>
              <w:pStyle w:val="TableParagraph"/>
              <w:ind w:left="2"/>
              <w:rPr>
                <w:sz w:val="24"/>
              </w:rPr>
            </w:pPr>
            <w:r>
              <w:rPr>
                <w:spacing w:val="-2"/>
                <w:sz w:val="24"/>
              </w:rPr>
              <w:t>Reliable</w:t>
            </w:r>
          </w:p>
        </w:tc>
      </w:tr>
    </w:tbl>
    <w:p w14:paraId="260408FB" w14:textId="77777777" w:rsidR="00117D58" w:rsidRDefault="00F52091">
      <w:pPr>
        <w:pStyle w:val="BodyText"/>
        <w:ind w:left="738" w:right="740"/>
        <w:jc w:val="center"/>
      </w:pPr>
      <w:r>
        <w:t>Table 3. Reliability Test</w:t>
      </w:r>
    </w:p>
    <w:p w14:paraId="03D93B23" w14:textId="77777777" w:rsidR="00117D58" w:rsidRDefault="00117D58">
      <w:pPr>
        <w:pStyle w:val="BodyText"/>
        <w:spacing w:before="16"/>
        <w:ind w:left="0"/>
        <w:jc w:val="left"/>
      </w:pPr>
    </w:p>
    <w:p w14:paraId="3FBE58CD" w14:textId="31DEA6D1" w:rsidR="00117D58" w:rsidRDefault="00F52091">
      <w:pPr>
        <w:pStyle w:val="BodyText"/>
        <w:spacing w:before="1" w:line="360" w:lineRule="auto"/>
        <w:ind w:right="14" w:firstLine="720"/>
      </w:pPr>
      <w:r>
        <w:t xml:space="preserve">Based on the results of the reliability test presented in Table X, the </w:t>
      </w:r>
      <w:r>
        <w:rPr>
          <w:i/>
        </w:rPr>
        <w:t xml:space="preserve">Saving Behavior </w:t>
      </w:r>
      <w:r>
        <w:t xml:space="preserve">(Y) variable has a Cronbach's Alpha value of 0.709. Meanwhile, the </w:t>
      </w:r>
      <w:r w:rsidR="006768C0" w:rsidRPr="006768C0">
        <w:rPr>
          <w:iCs/>
        </w:rPr>
        <w:t xml:space="preserve">Non-Cash Transaction </w:t>
      </w:r>
      <w:r>
        <w:t>(X) variable shows a Cronbach's Alpha value of 0.887. Both values are in</w:t>
      </w:r>
    </w:p>
    <w:p w14:paraId="046174F6" w14:textId="77777777" w:rsidR="00117D58" w:rsidRDefault="00117D58">
      <w:pPr>
        <w:pStyle w:val="BodyText"/>
        <w:spacing w:line="360" w:lineRule="auto"/>
        <w:sectPr w:rsidR="00117D58">
          <w:type w:val="continuous"/>
          <w:pgSz w:w="11910" w:h="16840"/>
          <w:pgMar w:top="1400" w:right="1417" w:bottom="280" w:left="1417" w:header="720" w:footer="720" w:gutter="0"/>
          <w:cols w:space="720"/>
        </w:sectPr>
      </w:pPr>
    </w:p>
    <w:p w14:paraId="29D0B598" w14:textId="77777777" w:rsidR="00117D58" w:rsidRDefault="00F52091">
      <w:pPr>
        <w:pStyle w:val="BodyText"/>
        <w:spacing w:before="74" w:line="362" w:lineRule="auto"/>
        <w:ind w:right="27"/>
      </w:pPr>
      <w:r>
        <w:lastRenderedPageBreak/>
        <w:t>above the minimum limit of 0.70 so that the research instrument used can be declared reliable.</w:t>
      </w:r>
    </w:p>
    <w:p w14:paraId="46D352D9" w14:textId="77777777" w:rsidR="00117D58" w:rsidRDefault="00F52091">
      <w:pPr>
        <w:pStyle w:val="BodyText"/>
        <w:spacing w:before="156" w:line="360" w:lineRule="auto"/>
        <w:ind w:right="19" w:firstLine="720"/>
      </w:pPr>
      <w:r>
        <w:t>Therefore, it can be concluded that all statement items in both variables have an adequate level of internal consistency and are suitable for use at the stage of data collection and subsequent analysis.</w:t>
      </w:r>
    </w:p>
    <w:p w14:paraId="341E2560" w14:textId="77777777" w:rsidR="00117D58" w:rsidRDefault="00F52091">
      <w:pPr>
        <w:pStyle w:val="Heading2"/>
      </w:pPr>
      <w:r>
        <w:t>Normality Test</w:t>
      </w:r>
    </w:p>
    <w:p w14:paraId="038CA5DA" w14:textId="77777777" w:rsidR="00117D58" w:rsidRDefault="00117D58">
      <w:pPr>
        <w:pStyle w:val="BodyText"/>
        <w:spacing w:before="10"/>
        <w:ind w:left="0"/>
        <w:jc w:val="left"/>
        <w:rPr>
          <w:b/>
        </w:rPr>
      </w:pPr>
    </w:p>
    <w:p w14:paraId="45C344BB" w14:textId="77777777" w:rsidR="00117D58" w:rsidRDefault="00F52091">
      <w:pPr>
        <w:pStyle w:val="BodyText"/>
        <w:spacing w:line="362" w:lineRule="auto"/>
        <w:ind w:right="17" w:firstLine="720"/>
      </w:pPr>
      <w:r>
        <w:t>Normality tests are performed to ascertain whether the distribution of residual data follows a normal distribution pattern. Creswell and Creswell (2024) explain that the data can be said to be normally distributed if the residual dots are spread around the diagonal line on the P-Plot graph. In addition, the normality of the data can also be seen from the significance value of the statistical test which is above the limit of 0.05.</w:t>
      </w:r>
    </w:p>
    <w:p w14:paraId="6F309E09" w14:textId="77777777" w:rsidR="00117D58" w:rsidRDefault="00F52091">
      <w:pPr>
        <w:pStyle w:val="BodyText"/>
        <w:spacing w:before="9"/>
        <w:ind w:left="0"/>
        <w:jc w:val="left"/>
        <w:rPr>
          <w:sz w:val="19"/>
        </w:rPr>
      </w:pPr>
      <w:r>
        <w:rPr>
          <w:noProof/>
          <w:sz w:val="19"/>
        </w:rPr>
        <w:drawing>
          <wp:anchor distT="0" distB="0" distL="0" distR="0" simplePos="0" relativeHeight="251660288" behindDoc="1" locked="0" layoutInCell="1" allowOverlap="1" wp14:anchorId="7A3AFB82" wp14:editId="43CFB179">
            <wp:simplePos x="0" y="0"/>
            <wp:positionH relativeFrom="page">
              <wp:posOffset>3222124</wp:posOffset>
            </wp:positionH>
            <wp:positionV relativeFrom="paragraph">
              <wp:posOffset>159855</wp:posOffset>
            </wp:positionV>
            <wp:extent cx="1622907" cy="177927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1622907" cy="1779270"/>
                    </a:xfrm>
                    <a:prstGeom prst="rect">
                      <a:avLst/>
                    </a:prstGeom>
                  </pic:spPr>
                </pic:pic>
              </a:graphicData>
            </a:graphic>
          </wp:anchor>
        </w:drawing>
      </w:r>
    </w:p>
    <w:p w14:paraId="372BB2E2" w14:textId="77777777" w:rsidR="00117D58" w:rsidRDefault="00117D58">
      <w:pPr>
        <w:pStyle w:val="BodyText"/>
        <w:spacing w:before="137"/>
        <w:ind w:left="0"/>
        <w:jc w:val="left"/>
      </w:pPr>
    </w:p>
    <w:p w14:paraId="227A6C6F" w14:textId="77777777" w:rsidR="00117D58" w:rsidRDefault="00F52091">
      <w:pPr>
        <w:pStyle w:val="BodyText"/>
        <w:ind w:left="738" w:right="738"/>
        <w:jc w:val="center"/>
      </w:pPr>
      <w:r>
        <w:t>Figure 1. P-Plot Normality Test</w:t>
      </w:r>
    </w:p>
    <w:p w14:paraId="4D9E9A1E" w14:textId="77777777" w:rsidR="00117D58" w:rsidRDefault="00117D58">
      <w:pPr>
        <w:pStyle w:val="BodyText"/>
        <w:spacing w:before="19"/>
        <w:ind w:left="0"/>
        <w:jc w:val="left"/>
      </w:pPr>
    </w:p>
    <w:p w14:paraId="588B48CA" w14:textId="77777777" w:rsidR="00117D58" w:rsidRDefault="00F52091">
      <w:pPr>
        <w:pStyle w:val="BodyText"/>
        <w:spacing w:line="364" w:lineRule="auto"/>
        <w:ind w:right="24" w:firstLine="720"/>
      </w:pPr>
      <w:r>
        <w:t>The output shows that the residual points are spread along the diagonal line and follow the direction of the line. This shows that the residual data is normally distributed.</w:t>
      </w:r>
    </w:p>
    <w:p w14:paraId="727449B1" w14:textId="77777777" w:rsidR="00117D58" w:rsidRDefault="00117D58">
      <w:pPr>
        <w:pStyle w:val="BodyText"/>
        <w:spacing w:before="42"/>
        <w:ind w:left="0"/>
        <w:jc w:val="left"/>
        <w:rPr>
          <w:sz w:val="13"/>
        </w:rPr>
      </w:pPr>
    </w:p>
    <w:p w14:paraId="723C031C" w14:textId="77777777" w:rsidR="00117D58" w:rsidRDefault="00F52091">
      <w:pPr>
        <w:ind w:left="738" w:right="738"/>
        <w:jc w:val="center"/>
        <w:rPr>
          <w:rFonts w:ascii="Arial"/>
          <w:b/>
          <w:sz w:val="13"/>
        </w:rPr>
      </w:pPr>
      <w:r>
        <w:rPr>
          <w:rFonts w:ascii="Arial"/>
          <w:b/>
          <w:color w:val="000104"/>
          <w:spacing w:val="-2"/>
          <w:sz w:val="13"/>
        </w:rPr>
        <w:t>One-Sample Kolmogorov-Smirnov Test</w:t>
      </w:r>
    </w:p>
    <w:p w14:paraId="03503419" w14:textId="77777777" w:rsidR="00117D58" w:rsidRDefault="00F52091">
      <w:pPr>
        <w:spacing w:before="71" w:line="393" w:lineRule="auto"/>
        <w:ind w:left="6128" w:right="2030" w:hanging="163"/>
        <w:rPr>
          <w:rFonts w:ascii="Arial MT"/>
          <w:sz w:val="10"/>
        </w:rPr>
      </w:pPr>
      <w:r>
        <w:rPr>
          <w:rFonts w:ascii="Arial MT"/>
          <w:noProof/>
          <w:sz w:val="10"/>
        </w:rPr>
        <mc:AlternateContent>
          <mc:Choice Requires="wps">
            <w:drawing>
              <wp:anchor distT="0" distB="0" distL="0" distR="0" simplePos="0" relativeHeight="251652096" behindDoc="0" locked="0" layoutInCell="1" allowOverlap="1" wp14:anchorId="11D8438E" wp14:editId="30A454D6">
                <wp:simplePos x="0" y="0"/>
                <wp:positionH relativeFrom="page">
                  <wp:posOffset>2328132</wp:posOffset>
                </wp:positionH>
                <wp:positionV relativeFrom="paragraph">
                  <wp:posOffset>239203</wp:posOffset>
                </wp:positionV>
                <wp:extent cx="2901950" cy="13652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1950" cy="13652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424"/>
                              <w:gridCol w:w="1352"/>
                              <w:gridCol w:w="819"/>
                              <w:gridCol w:w="855"/>
                            </w:tblGrid>
                            <w:tr w:rsidR="00117D58" w14:paraId="7E01D6DF" w14:textId="77777777">
                              <w:trPr>
                                <w:trHeight w:val="185"/>
                              </w:trPr>
                              <w:tc>
                                <w:tcPr>
                                  <w:tcW w:w="3595" w:type="dxa"/>
                                  <w:gridSpan w:val="3"/>
                                  <w:tcBorders>
                                    <w:top w:val="single" w:sz="6" w:space="0" w:color="152935"/>
                                    <w:bottom w:val="single" w:sz="6" w:space="0" w:color="ADADAD"/>
                                  </w:tcBorders>
                                  <w:shd w:val="clear" w:color="auto" w:fill="DFDFDF"/>
                                </w:tcPr>
                                <w:p w14:paraId="5F67595B" w14:textId="77777777" w:rsidR="00117D58" w:rsidRDefault="00F52091">
                                  <w:pPr>
                                    <w:pStyle w:val="TableParagraph"/>
                                    <w:spacing w:before="69" w:line="96" w:lineRule="exact"/>
                                    <w:ind w:left="34"/>
                                    <w:jc w:val="left"/>
                                    <w:rPr>
                                      <w:rFonts w:ascii="Arial MT"/>
                                      <w:sz w:val="10"/>
                                    </w:rPr>
                                  </w:pPr>
                                  <w:r>
                                    <w:rPr>
                                      <w:rFonts w:ascii="Arial MT"/>
                                      <w:color w:val="25495F"/>
                                      <w:spacing w:val="-10"/>
                                      <w:w w:val="105"/>
                                      <w:sz w:val="10"/>
                                    </w:rPr>
                                    <w:t>N</w:t>
                                  </w:r>
                                </w:p>
                              </w:tc>
                              <w:tc>
                                <w:tcPr>
                                  <w:tcW w:w="855" w:type="dxa"/>
                                  <w:tcBorders>
                                    <w:top w:val="single" w:sz="6" w:space="0" w:color="152935"/>
                                    <w:bottom w:val="single" w:sz="6" w:space="0" w:color="ADADAD"/>
                                  </w:tcBorders>
                                  <w:shd w:val="clear" w:color="auto" w:fill="F8F8FA"/>
                                </w:tcPr>
                                <w:p w14:paraId="1ADBD187" w14:textId="77777777" w:rsidR="00117D58" w:rsidRDefault="00F52091">
                                  <w:pPr>
                                    <w:pStyle w:val="TableParagraph"/>
                                    <w:spacing w:before="69" w:line="96" w:lineRule="exact"/>
                                    <w:ind w:right="32"/>
                                    <w:jc w:val="right"/>
                                    <w:rPr>
                                      <w:rFonts w:ascii="Arial MT"/>
                                      <w:sz w:val="10"/>
                                    </w:rPr>
                                  </w:pPr>
                                  <w:r>
                                    <w:rPr>
                                      <w:rFonts w:ascii="Arial MT"/>
                                      <w:color w:val="000104"/>
                                      <w:spacing w:val="-5"/>
                                      <w:w w:val="105"/>
                                      <w:sz w:val="10"/>
                                    </w:rPr>
                                    <w:t>100</w:t>
                                  </w:r>
                                </w:p>
                              </w:tc>
                            </w:tr>
                            <w:tr w:rsidR="00117D58" w14:paraId="4F56E067" w14:textId="77777777">
                              <w:trPr>
                                <w:trHeight w:val="183"/>
                              </w:trPr>
                              <w:tc>
                                <w:tcPr>
                                  <w:tcW w:w="1424" w:type="dxa"/>
                                  <w:vMerge w:val="restart"/>
                                  <w:tcBorders>
                                    <w:top w:val="single" w:sz="6" w:space="0" w:color="ADADAD"/>
                                    <w:bottom w:val="single" w:sz="6" w:space="0" w:color="ADADAD"/>
                                  </w:tcBorders>
                                  <w:shd w:val="clear" w:color="auto" w:fill="DFDFDF"/>
                                </w:tcPr>
                                <w:p w14:paraId="279D1702" w14:textId="77777777" w:rsidR="00117D58" w:rsidRDefault="00F52091">
                                  <w:pPr>
                                    <w:pStyle w:val="TableParagraph"/>
                                    <w:spacing w:before="57" w:line="240" w:lineRule="auto"/>
                                    <w:ind w:left="34"/>
                                    <w:jc w:val="left"/>
                                    <w:rPr>
                                      <w:rFonts w:ascii="Arial MT"/>
                                      <w:position w:val="4"/>
                                      <w:sz w:val="7"/>
                                    </w:rPr>
                                  </w:pPr>
                                  <w:r>
                                    <w:rPr>
                                      <w:rFonts w:ascii="Arial MT"/>
                                      <w:color w:val="25495F"/>
                                      <w:w w:val="105"/>
                                      <w:sz w:val="10"/>
                                    </w:rPr>
                                    <w:t>Normal Parameters, b</w:t>
                                  </w:r>
                                </w:p>
                              </w:tc>
                              <w:tc>
                                <w:tcPr>
                                  <w:tcW w:w="2171" w:type="dxa"/>
                                  <w:gridSpan w:val="2"/>
                                  <w:tcBorders>
                                    <w:top w:val="single" w:sz="6" w:space="0" w:color="ADADAD"/>
                                    <w:bottom w:val="single" w:sz="6" w:space="0" w:color="ADADAD"/>
                                  </w:tcBorders>
                                  <w:shd w:val="clear" w:color="auto" w:fill="DFDFDF"/>
                                </w:tcPr>
                                <w:p w14:paraId="50887414" w14:textId="77777777" w:rsidR="00117D58" w:rsidRDefault="00F52091">
                                  <w:pPr>
                                    <w:pStyle w:val="TableParagraph"/>
                                    <w:spacing w:before="69" w:line="94" w:lineRule="exact"/>
                                    <w:ind w:left="33"/>
                                    <w:jc w:val="left"/>
                                    <w:rPr>
                                      <w:rFonts w:ascii="Arial MT"/>
                                      <w:sz w:val="10"/>
                                    </w:rPr>
                                  </w:pPr>
                                  <w:r>
                                    <w:rPr>
                                      <w:rFonts w:ascii="Arial MT"/>
                                      <w:color w:val="25495F"/>
                                      <w:spacing w:val="-4"/>
                                      <w:w w:val="105"/>
                                      <w:sz w:val="10"/>
                                    </w:rPr>
                                    <w:t>Red</w:t>
                                  </w:r>
                                </w:p>
                              </w:tc>
                              <w:tc>
                                <w:tcPr>
                                  <w:tcW w:w="855" w:type="dxa"/>
                                  <w:tcBorders>
                                    <w:top w:val="single" w:sz="6" w:space="0" w:color="ADADAD"/>
                                    <w:bottom w:val="single" w:sz="6" w:space="0" w:color="ADADAD"/>
                                  </w:tcBorders>
                                  <w:shd w:val="clear" w:color="auto" w:fill="F8F8FA"/>
                                </w:tcPr>
                                <w:p w14:paraId="1DDA00A1" w14:textId="77777777" w:rsidR="00117D58" w:rsidRDefault="00F52091">
                                  <w:pPr>
                                    <w:pStyle w:val="TableParagraph"/>
                                    <w:spacing w:before="69" w:line="94" w:lineRule="exact"/>
                                    <w:ind w:right="32"/>
                                    <w:jc w:val="right"/>
                                    <w:rPr>
                                      <w:rFonts w:ascii="Arial MT"/>
                                      <w:sz w:val="10"/>
                                    </w:rPr>
                                  </w:pPr>
                                  <w:r>
                                    <w:rPr>
                                      <w:rFonts w:ascii="Arial MT"/>
                                      <w:color w:val="000104"/>
                                      <w:spacing w:val="-2"/>
                                      <w:w w:val="105"/>
                                      <w:sz w:val="10"/>
                                    </w:rPr>
                                    <w:t>.0000000</w:t>
                                  </w:r>
                                </w:p>
                              </w:tc>
                            </w:tr>
                            <w:tr w:rsidR="00117D58" w14:paraId="442B639A" w14:textId="77777777">
                              <w:trPr>
                                <w:trHeight w:val="185"/>
                              </w:trPr>
                              <w:tc>
                                <w:tcPr>
                                  <w:tcW w:w="1424" w:type="dxa"/>
                                  <w:vMerge/>
                                  <w:tcBorders>
                                    <w:top w:val="nil"/>
                                    <w:bottom w:val="single" w:sz="6" w:space="0" w:color="ADADAD"/>
                                  </w:tcBorders>
                                  <w:shd w:val="clear" w:color="auto" w:fill="DFDFDF"/>
                                </w:tcPr>
                                <w:p w14:paraId="52EBA6EF" w14:textId="77777777" w:rsidR="00117D58" w:rsidRDefault="00117D58">
                                  <w:pPr>
                                    <w:rPr>
                                      <w:sz w:val="2"/>
                                      <w:szCs w:val="2"/>
                                    </w:rPr>
                                  </w:pPr>
                                </w:p>
                              </w:tc>
                              <w:tc>
                                <w:tcPr>
                                  <w:tcW w:w="2171" w:type="dxa"/>
                                  <w:gridSpan w:val="2"/>
                                  <w:tcBorders>
                                    <w:top w:val="single" w:sz="6" w:space="0" w:color="ADADAD"/>
                                    <w:bottom w:val="single" w:sz="6" w:space="0" w:color="ADADAD"/>
                                  </w:tcBorders>
                                  <w:shd w:val="clear" w:color="auto" w:fill="DFDFDF"/>
                                </w:tcPr>
                                <w:p w14:paraId="356FFEA9" w14:textId="77777777" w:rsidR="00117D58" w:rsidRDefault="00F52091">
                                  <w:pPr>
                                    <w:pStyle w:val="TableParagraph"/>
                                    <w:spacing w:before="71" w:line="94" w:lineRule="exact"/>
                                    <w:ind w:left="33"/>
                                    <w:jc w:val="left"/>
                                    <w:rPr>
                                      <w:rFonts w:ascii="Arial MT"/>
                                      <w:sz w:val="10"/>
                                    </w:rPr>
                                  </w:pPr>
                                  <w:r>
                                    <w:rPr>
                                      <w:rFonts w:ascii="Arial MT"/>
                                      <w:color w:val="25495F"/>
                                      <w:w w:val="105"/>
                                      <w:sz w:val="10"/>
                                    </w:rPr>
                                    <w:t>Std. Deviation</w:t>
                                  </w:r>
                                </w:p>
                              </w:tc>
                              <w:tc>
                                <w:tcPr>
                                  <w:tcW w:w="855" w:type="dxa"/>
                                  <w:tcBorders>
                                    <w:top w:val="single" w:sz="6" w:space="0" w:color="ADADAD"/>
                                    <w:bottom w:val="single" w:sz="6" w:space="0" w:color="ADADAD"/>
                                  </w:tcBorders>
                                  <w:shd w:val="clear" w:color="auto" w:fill="F8F8FA"/>
                                </w:tcPr>
                                <w:p w14:paraId="24895916" w14:textId="77777777" w:rsidR="00117D58" w:rsidRDefault="00F52091">
                                  <w:pPr>
                                    <w:pStyle w:val="TableParagraph"/>
                                    <w:spacing w:before="71" w:line="94" w:lineRule="exact"/>
                                    <w:ind w:right="33"/>
                                    <w:jc w:val="right"/>
                                    <w:rPr>
                                      <w:rFonts w:ascii="Arial MT"/>
                                      <w:sz w:val="10"/>
                                    </w:rPr>
                                  </w:pPr>
                                  <w:r>
                                    <w:rPr>
                                      <w:rFonts w:ascii="Arial MT"/>
                                      <w:color w:val="000104"/>
                                      <w:spacing w:val="-2"/>
                                      <w:w w:val="105"/>
                                      <w:sz w:val="10"/>
                                    </w:rPr>
                                    <w:t>5.96435282</w:t>
                                  </w:r>
                                </w:p>
                              </w:tc>
                            </w:tr>
                            <w:tr w:rsidR="00117D58" w14:paraId="7C9A7D33" w14:textId="77777777">
                              <w:trPr>
                                <w:trHeight w:val="185"/>
                              </w:trPr>
                              <w:tc>
                                <w:tcPr>
                                  <w:tcW w:w="1424" w:type="dxa"/>
                                  <w:vMerge w:val="restart"/>
                                  <w:tcBorders>
                                    <w:top w:val="single" w:sz="6" w:space="0" w:color="ADADAD"/>
                                    <w:bottom w:val="single" w:sz="6" w:space="0" w:color="ADADAD"/>
                                  </w:tcBorders>
                                  <w:shd w:val="clear" w:color="auto" w:fill="DFDFDF"/>
                                </w:tcPr>
                                <w:p w14:paraId="4F98F724" w14:textId="77777777" w:rsidR="00117D58" w:rsidRDefault="00F52091">
                                  <w:pPr>
                                    <w:pStyle w:val="TableParagraph"/>
                                    <w:spacing w:before="69" w:line="240" w:lineRule="auto"/>
                                    <w:ind w:left="34"/>
                                    <w:jc w:val="left"/>
                                    <w:rPr>
                                      <w:rFonts w:ascii="Arial MT"/>
                                      <w:sz w:val="10"/>
                                    </w:rPr>
                                  </w:pPr>
                                  <w:r>
                                    <w:rPr>
                                      <w:rFonts w:ascii="Arial MT"/>
                                      <w:color w:val="25495F"/>
                                      <w:w w:val="105"/>
                                      <w:sz w:val="10"/>
                                    </w:rPr>
                                    <w:t>Most Extreme Differences</w:t>
                                  </w:r>
                                </w:p>
                              </w:tc>
                              <w:tc>
                                <w:tcPr>
                                  <w:tcW w:w="2171" w:type="dxa"/>
                                  <w:gridSpan w:val="2"/>
                                  <w:tcBorders>
                                    <w:top w:val="single" w:sz="6" w:space="0" w:color="ADADAD"/>
                                    <w:bottom w:val="single" w:sz="6" w:space="0" w:color="ADADAD"/>
                                  </w:tcBorders>
                                  <w:shd w:val="clear" w:color="auto" w:fill="DFDFDF"/>
                                </w:tcPr>
                                <w:p w14:paraId="3A4E0502" w14:textId="77777777" w:rsidR="00117D58" w:rsidRDefault="00F52091">
                                  <w:pPr>
                                    <w:pStyle w:val="TableParagraph"/>
                                    <w:spacing w:before="69" w:line="96" w:lineRule="exact"/>
                                    <w:ind w:left="33"/>
                                    <w:jc w:val="left"/>
                                    <w:rPr>
                                      <w:rFonts w:ascii="Arial MT"/>
                                      <w:sz w:val="10"/>
                                    </w:rPr>
                                  </w:pPr>
                                  <w:r>
                                    <w:rPr>
                                      <w:rFonts w:ascii="Arial MT"/>
                                      <w:color w:val="25495F"/>
                                      <w:spacing w:val="-2"/>
                                      <w:w w:val="105"/>
                                      <w:sz w:val="10"/>
                                    </w:rPr>
                                    <w:t>Absolute</w:t>
                                  </w:r>
                                </w:p>
                              </w:tc>
                              <w:tc>
                                <w:tcPr>
                                  <w:tcW w:w="855" w:type="dxa"/>
                                  <w:tcBorders>
                                    <w:top w:val="single" w:sz="6" w:space="0" w:color="ADADAD"/>
                                    <w:bottom w:val="single" w:sz="6" w:space="0" w:color="ADADAD"/>
                                  </w:tcBorders>
                                  <w:shd w:val="clear" w:color="auto" w:fill="F8F8FA"/>
                                </w:tcPr>
                                <w:p w14:paraId="5E22EAE7" w14:textId="77777777" w:rsidR="00117D58" w:rsidRDefault="00F52091">
                                  <w:pPr>
                                    <w:pStyle w:val="TableParagraph"/>
                                    <w:spacing w:before="69" w:line="96" w:lineRule="exact"/>
                                    <w:ind w:right="32"/>
                                    <w:jc w:val="right"/>
                                    <w:rPr>
                                      <w:rFonts w:ascii="Arial MT"/>
                                      <w:sz w:val="10"/>
                                    </w:rPr>
                                  </w:pPr>
                                  <w:r>
                                    <w:rPr>
                                      <w:rFonts w:ascii="Arial MT"/>
                                      <w:color w:val="000104"/>
                                      <w:spacing w:val="-4"/>
                                      <w:w w:val="105"/>
                                      <w:sz w:val="10"/>
                                    </w:rPr>
                                    <w:t>.081</w:t>
                                  </w:r>
                                </w:p>
                              </w:tc>
                            </w:tr>
                            <w:tr w:rsidR="00117D58" w14:paraId="7B95770D" w14:textId="77777777">
                              <w:trPr>
                                <w:trHeight w:val="184"/>
                              </w:trPr>
                              <w:tc>
                                <w:tcPr>
                                  <w:tcW w:w="1424" w:type="dxa"/>
                                  <w:vMerge/>
                                  <w:tcBorders>
                                    <w:top w:val="nil"/>
                                    <w:bottom w:val="single" w:sz="6" w:space="0" w:color="ADADAD"/>
                                  </w:tcBorders>
                                  <w:shd w:val="clear" w:color="auto" w:fill="DFDFDF"/>
                                </w:tcPr>
                                <w:p w14:paraId="4DC21333" w14:textId="77777777" w:rsidR="00117D58" w:rsidRDefault="00117D58">
                                  <w:pPr>
                                    <w:rPr>
                                      <w:sz w:val="2"/>
                                      <w:szCs w:val="2"/>
                                    </w:rPr>
                                  </w:pPr>
                                </w:p>
                              </w:tc>
                              <w:tc>
                                <w:tcPr>
                                  <w:tcW w:w="2171" w:type="dxa"/>
                                  <w:gridSpan w:val="2"/>
                                  <w:tcBorders>
                                    <w:top w:val="single" w:sz="6" w:space="0" w:color="ADADAD"/>
                                    <w:bottom w:val="single" w:sz="6" w:space="0" w:color="ADADAD"/>
                                  </w:tcBorders>
                                  <w:shd w:val="clear" w:color="auto" w:fill="DFDFDF"/>
                                </w:tcPr>
                                <w:p w14:paraId="2967672B" w14:textId="77777777" w:rsidR="00117D58" w:rsidRDefault="00F52091">
                                  <w:pPr>
                                    <w:pStyle w:val="TableParagraph"/>
                                    <w:spacing w:before="69" w:line="94" w:lineRule="exact"/>
                                    <w:ind w:left="33"/>
                                    <w:jc w:val="left"/>
                                    <w:rPr>
                                      <w:rFonts w:ascii="Arial MT"/>
                                      <w:sz w:val="10"/>
                                    </w:rPr>
                                  </w:pPr>
                                  <w:r>
                                    <w:rPr>
                                      <w:rFonts w:ascii="Arial MT"/>
                                      <w:color w:val="25495F"/>
                                      <w:spacing w:val="-2"/>
                                      <w:w w:val="105"/>
                                      <w:sz w:val="10"/>
                                    </w:rPr>
                                    <w:t>Positive</w:t>
                                  </w:r>
                                </w:p>
                              </w:tc>
                              <w:tc>
                                <w:tcPr>
                                  <w:tcW w:w="855" w:type="dxa"/>
                                  <w:tcBorders>
                                    <w:top w:val="single" w:sz="6" w:space="0" w:color="ADADAD"/>
                                    <w:bottom w:val="single" w:sz="6" w:space="0" w:color="ADADAD"/>
                                  </w:tcBorders>
                                  <w:shd w:val="clear" w:color="auto" w:fill="F8F8FA"/>
                                </w:tcPr>
                                <w:p w14:paraId="7EED95B7" w14:textId="77777777" w:rsidR="00117D58" w:rsidRDefault="00F52091">
                                  <w:pPr>
                                    <w:pStyle w:val="TableParagraph"/>
                                    <w:spacing w:before="69" w:line="94" w:lineRule="exact"/>
                                    <w:ind w:right="32"/>
                                    <w:jc w:val="right"/>
                                    <w:rPr>
                                      <w:rFonts w:ascii="Arial MT"/>
                                      <w:sz w:val="10"/>
                                    </w:rPr>
                                  </w:pPr>
                                  <w:r>
                                    <w:rPr>
                                      <w:rFonts w:ascii="Arial MT"/>
                                      <w:color w:val="000104"/>
                                      <w:spacing w:val="-4"/>
                                      <w:w w:val="105"/>
                                      <w:sz w:val="10"/>
                                    </w:rPr>
                                    <w:t>.041</w:t>
                                  </w:r>
                                </w:p>
                              </w:tc>
                            </w:tr>
                            <w:tr w:rsidR="00117D58" w14:paraId="46A30C3A" w14:textId="77777777">
                              <w:trPr>
                                <w:trHeight w:val="185"/>
                              </w:trPr>
                              <w:tc>
                                <w:tcPr>
                                  <w:tcW w:w="1424" w:type="dxa"/>
                                  <w:vMerge/>
                                  <w:tcBorders>
                                    <w:top w:val="nil"/>
                                    <w:bottom w:val="single" w:sz="6" w:space="0" w:color="ADADAD"/>
                                  </w:tcBorders>
                                  <w:shd w:val="clear" w:color="auto" w:fill="DFDFDF"/>
                                </w:tcPr>
                                <w:p w14:paraId="30052B61" w14:textId="77777777" w:rsidR="00117D58" w:rsidRDefault="00117D58">
                                  <w:pPr>
                                    <w:rPr>
                                      <w:sz w:val="2"/>
                                      <w:szCs w:val="2"/>
                                    </w:rPr>
                                  </w:pPr>
                                </w:p>
                              </w:tc>
                              <w:tc>
                                <w:tcPr>
                                  <w:tcW w:w="2171" w:type="dxa"/>
                                  <w:gridSpan w:val="2"/>
                                  <w:tcBorders>
                                    <w:top w:val="single" w:sz="6" w:space="0" w:color="ADADAD"/>
                                    <w:bottom w:val="single" w:sz="6" w:space="0" w:color="ADADAD"/>
                                  </w:tcBorders>
                                  <w:shd w:val="clear" w:color="auto" w:fill="DFDFDF"/>
                                </w:tcPr>
                                <w:p w14:paraId="515DF33E" w14:textId="77777777" w:rsidR="00117D58" w:rsidRDefault="00F52091">
                                  <w:pPr>
                                    <w:pStyle w:val="TableParagraph"/>
                                    <w:spacing w:before="70" w:line="94" w:lineRule="exact"/>
                                    <w:ind w:left="33"/>
                                    <w:jc w:val="left"/>
                                    <w:rPr>
                                      <w:rFonts w:ascii="Arial MT"/>
                                      <w:sz w:val="10"/>
                                    </w:rPr>
                                  </w:pPr>
                                  <w:r>
                                    <w:rPr>
                                      <w:rFonts w:ascii="Arial MT"/>
                                      <w:color w:val="25495F"/>
                                      <w:spacing w:val="-2"/>
                                      <w:w w:val="105"/>
                                      <w:sz w:val="10"/>
                                    </w:rPr>
                                    <w:t>Negative</w:t>
                                  </w:r>
                                </w:p>
                              </w:tc>
                              <w:tc>
                                <w:tcPr>
                                  <w:tcW w:w="855" w:type="dxa"/>
                                  <w:tcBorders>
                                    <w:top w:val="single" w:sz="6" w:space="0" w:color="ADADAD"/>
                                    <w:bottom w:val="single" w:sz="6" w:space="0" w:color="ADADAD"/>
                                  </w:tcBorders>
                                  <w:shd w:val="clear" w:color="auto" w:fill="F8F8FA"/>
                                </w:tcPr>
                                <w:p w14:paraId="1C49648C" w14:textId="77777777" w:rsidR="00117D58" w:rsidRDefault="00F52091">
                                  <w:pPr>
                                    <w:pStyle w:val="TableParagraph"/>
                                    <w:spacing w:before="70" w:line="94" w:lineRule="exact"/>
                                    <w:ind w:right="32"/>
                                    <w:jc w:val="right"/>
                                    <w:rPr>
                                      <w:rFonts w:ascii="Arial MT"/>
                                      <w:sz w:val="10"/>
                                    </w:rPr>
                                  </w:pPr>
                                  <w:r>
                                    <w:rPr>
                                      <w:rFonts w:ascii="Arial MT"/>
                                      <w:color w:val="000104"/>
                                      <w:sz w:val="10"/>
                                    </w:rPr>
                                    <w:t>-.081</w:t>
                                  </w:r>
                                </w:p>
                              </w:tc>
                            </w:tr>
                            <w:tr w:rsidR="00117D58" w14:paraId="396AD21F" w14:textId="77777777">
                              <w:trPr>
                                <w:trHeight w:val="185"/>
                              </w:trPr>
                              <w:tc>
                                <w:tcPr>
                                  <w:tcW w:w="3595" w:type="dxa"/>
                                  <w:gridSpan w:val="3"/>
                                  <w:tcBorders>
                                    <w:top w:val="single" w:sz="6" w:space="0" w:color="ADADAD"/>
                                    <w:bottom w:val="single" w:sz="6" w:space="0" w:color="ADADAD"/>
                                  </w:tcBorders>
                                  <w:shd w:val="clear" w:color="auto" w:fill="DFDFDF"/>
                                </w:tcPr>
                                <w:p w14:paraId="7818DDD7" w14:textId="77777777" w:rsidR="00117D58" w:rsidRDefault="00F52091">
                                  <w:pPr>
                                    <w:pStyle w:val="TableParagraph"/>
                                    <w:spacing w:before="69" w:line="96" w:lineRule="exact"/>
                                    <w:ind w:left="34"/>
                                    <w:jc w:val="left"/>
                                    <w:rPr>
                                      <w:rFonts w:ascii="Arial MT"/>
                                      <w:sz w:val="10"/>
                                    </w:rPr>
                                  </w:pPr>
                                  <w:r>
                                    <w:rPr>
                                      <w:rFonts w:ascii="Arial MT"/>
                                      <w:color w:val="25495F"/>
                                      <w:w w:val="105"/>
                                      <w:sz w:val="10"/>
                                    </w:rPr>
                                    <w:t>Test Statistic</w:t>
                                  </w:r>
                                </w:p>
                              </w:tc>
                              <w:tc>
                                <w:tcPr>
                                  <w:tcW w:w="855" w:type="dxa"/>
                                  <w:tcBorders>
                                    <w:top w:val="single" w:sz="6" w:space="0" w:color="ADADAD"/>
                                    <w:bottom w:val="single" w:sz="6" w:space="0" w:color="ADADAD"/>
                                  </w:tcBorders>
                                  <w:shd w:val="clear" w:color="auto" w:fill="F8F8FA"/>
                                </w:tcPr>
                                <w:p w14:paraId="6D0379F6" w14:textId="77777777" w:rsidR="00117D58" w:rsidRDefault="00F52091">
                                  <w:pPr>
                                    <w:pStyle w:val="TableParagraph"/>
                                    <w:spacing w:before="69" w:line="96" w:lineRule="exact"/>
                                    <w:ind w:right="32"/>
                                    <w:jc w:val="right"/>
                                    <w:rPr>
                                      <w:rFonts w:ascii="Arial MT"/>
                                      <w:sz w:val="10"/>
                                    </w:rPr>
                                  </w:pPr>
                                  <w:r>
                                    <w:rPr>
                                      <w:rFonts w:ascii="Arial MT"/>
                                      <w:color w:val="000104"/>
                                      <w:spacing w:val="-4"/>
                                      <w:w w:val="105"/>
                                      <w:sz w:val="10"/>
                                    </w:rPr>
                                    <w:t>.081</w:t>
                                  </w:r>
                                </w:p>
                              </w:tc>
                            </w:tr>
                            <w:tr w:rsidR="00117D58" w14:paraId="2A97F121" w14:textId="77777777">
                              <w:trPr>
                                <w:trHeight w:val="183"/>
                              </w:trPr>
                              <w:tc>
                                <w:tcPr>
                                  <w:tcW w:w="3595" w:type="dxa"/>
                                  <w:gridSpan w:val="3"/>
                                  <w:tcBorders>
                                    <w:top w:val="single" w:sz="6" w:space="0" w:color="ADADAD"/>
                                    <w:bottom w:val="single" w:sz="6" w:space="0" w:color="ADADAD"/>
                                  </w:tcBorders>
                                  <w:shd w:val="clear" w:color="auto" w:fill="DFDFDF"/>
                                </w:tcPr>
                                <w:p w14:paraId="520BBD90" w14:textId="77777777" w:rsidR="00117D58" w:rsidRDefault="00F52091">
                                  <w:pPr>
                                    <w:pStyle w:val="TableParagraph"/>
                                    <w:spacing w:before="57" w:line="106" w:lineRule="exact"/>
                                    <w:ind w:left="34"/>
                                    <w:jc w:val="left"/>
                                    <w:rPr>
                                      <w:rFonts w:ascii="Arial MT"/>
                                      <w:position w:val="4"/>
                                      <w:sz w:val="7"/>
                                    </w:rPr>
                                  </w:pPr>
                                  <w:r>
                                    <w:rPr>
                                      <w:rFonts w:ascii="Arial MT"/>
                                      <w:color w:val="25495F"/>
                                      <w:w w:val="105"/>
                                      <w:sz w:val="10"/>
                                    </w:rPr>
                                    <w:t>Asymp. Sig. (2-tailed)</w:t>
                                  </w:r>
                                  <w:r>
                                    <w:rPr>
                                      <w:rFonts w:ascii="Arial MT"/>
                                      <w:color w:val="25495F"/>
                                      <w:spacing w:val="-2"/>
                                      <w:w w:val="105"/>
                                      <w:position w:val="4"/>
                                      <w:sz w:val="7"/>
                                    </w:rPr>
                                    <w:t>c</w:t>
                                  </w:r>
                                </w:p>
                              </w:tc>
                              <w:tc>
                                <w:tcPr>
                                  <w:tcW w:w="855" w:type="dxa"/>
                                  <w:tcBorders>
                                    <w:top w:val="single" w:sz="6" w:space="0" w:color="ADADAD"/>
                                    <w:bottom w:val="single" w:sz="6" w:space="0" w:color="ADADAD"/>
                                  </w:tcBorders>
                                  <w:shd w:val="clear" w:color="auto" w:fill="F8F8FA"/>
                                </w:tcPr>
                                <w:p w14:paraId="27741009" w14:textId="77777777" w:rsidR="00117D58" w:rsidRDefault="00F52091">
                                  <w:pPr>
                                    <w:pStyle w:val="TableParagraph"/>
                                    <w:spacing w:before="69" w:line="94" w:lineRule="exact"/>
                                    <w:ind w:right="32"/>
                                    <w:jc w:val="right"/>
                                    <w:rPr>
                                      <w:rFonts w:ascii="Arial MT"/>
                                      <w:sz w:val="10"/>
                                    </w:rPr>
                                  </w:pPr>
                                  <w:r>
                                    <w:rPr>
                                      <w:rFonts w:ascii="Arial MT"/>
                                      <w:color w:val="000104"/>
                                      <w:spacing w:val="-4"/>
                                      <w:w w:val="105"/>
                                      <w:sz w:val="10"/>
                                    </w:rPr>
                                    <w:t>.101</w:t>
                                  </w:r>
                                </w:p>
                              </w:tc>
                            </w:tr>
                            <w:tr w:rsidR="00117D58" w14:paraId="6A6533FF" w14:textId="77777777">
                              <w:trPr>
                                <w:trHeight w:val="185"/>
                              </w:trPr>
                              <w:tc>
                                <w:tcPr>
                                  <w:tcW w:w="1424" w:type="dxa"/>
                                  <w:vMerge w:val="restart"/>
                                  <w:tcBorders>
                                    <w:top w:val="single" w:sz="6" w:space="0" w:color="ADADAD"/>
                                  </w:tcBorders>
                                  <w:shd w:val="clear" w:color="auto" w:fill="DFDFDF"/>
                                </w:tcPr>
                                <w:p w14:paraId="220A39E2" w14:textId="77777777" w:rsidR="00117D58" w:rsidRDefault="00F52091">
                                  <w:pPr>
                                    <w:pStyle w:val="TableParagraph"/>
                                    <w:spacing w:before="59" w:line="240" w:lineRule="auto"/>
                                    <w:ind w:left="34"/>
                                    <w:jc w:val="left"/>
                                    <w:rPr>
                                      <w:rFonts w:ascii="Arial MT"/>
                                      <w:position w:val="4"/>
                                      <w:sz w:val="7"/>
                                    </w:rPr>
                                  </w:pPr>
                                  <w:r>
                                    <w:rPr>
                                      <w:rFonts w:ascii="Arial MT"/>
                                      <w:color w:val="25495F"/>
                                      <w:w w:val="105"/>
                                      <w:sz w:val="10"/>
                                    </w:rPr>
                                    <w:t>Monte Carlo Sig. (2-tailed)</w:t>
                                  </w:r>
                                  <w:r>
                                    <w:rPr>
                                      <w:rFonts w:ascii="Arial MT"/>
                                      <w:color w:val="25495F"/>
                                      <w:spacing w:val="-2"/>
                                      <w:w w:val="105"/>
                                      <w:position w:val="4"/>
                                      <w:sz w:val="7"/>
                                    </w:rPr>
                                    <w:t>d</w:t>
                                  </w:r>
                                </w:p>
                              </w:tc>
                              <w:tc>
                                <w:tcPr>
                                  <w:tcW w:w="2171" w:type="dxa"/>
                                  <w:gridSpan w:val="2"/>
                                  <w:tcBorders>
                                    <w:top w:val="single" w:sz="6" w:space="0" w:color="ADADAD"/>
                                    <w:bottom w:val="single" w:sz="6" w:space="0" w:color="ADADAD"/>
                                  </w:tcBorders>
                                  <w:shd w:val="clear" w:color="auto" w:fill="DFDFDF"/>
                                </w:tcPr>
                                <w:p w14:paraId="7D5B6418" w14:textId="77777777" w:rsidR="00117D58" w:rsidRDefault="00F52091">
                                  <w:pPr>
                                    <w:pStyle w:val="TableParagraph"/>
                                    <w:spacing w:before="70" w:line="95" w:lineRule="exact"/>
                                    <w:ind w:left="33"/>
                                    <w:jc w:val="left"/>
                                    <w:rPr>
                                      <w:rFonts w:ascii="Arial MT"/>
                                      <w:sz w:val="10"/>
                                    </w:rPr>
                                  </w:pPr>
                                  <w:r>
                                    <w:rPr>
                                      <w:rFonts w:ascii="Arial MT"/>
                                      <w:color w:val="25495F"/>
                                      <w:spacing w:val="-4"/>
                                      <w:w w:val="105"/>
                                      <w:sz w:val="10"/>
                                    </w:rPr>
                                    <w:t>Sig.</w:t>
                                  </w:r>
                                </w:p>
                              </w:tc>
                              <w:tc>
                                <w:tcPr>
                                  <w:tcW w:w="855" w:type="dxa"/>
                                  <w:tcBorders>
                                    <w:top w:val="single" w:sz="6" w:space="0" w:color="ADADAD"/>
                                    <w:bottom w:val="single" w:sz="6" w:space="0" w:color="ADADAD"/>
                                  </w:tcBorders>
                                  <w:shd w:val="clear" w:color="auto" w:fill="F8F8FA"/>
                                </w:tcPr>
                                <w:p w14:paraId="361BFA7C" w14:textId="77777777" w:rsidR="00117D58" w:rsidRDefault="00F52091">
                                  <w:pPr>
                                    <w:pStyle w:val="TableParagraph"/>
                                    <w:spacing w:before="70" w:line="95" w:lineRule="exact"/>
                                    <w:ind w:right="32"/>
                                    <w:jc w:val="right"/>
                                    <w:rPr>
                                      <w:rFonts w:ascii="Arial MT"/>
                                      <w:sz w:val="10"/>
                                    </w:rPr>
                                  </w:pPr>
                                  <w:r>
                                    <w:rPr>
                                      <w:rFonts w:ascii="Arial MT"/>
                                      <w:color w:val="000104"/>
                                      <w:spacing w:val="-4"/>
                                      <w:w w:val="105"/>
                                      <w:sz w:val="10"/>
                                    </w:rPr>
                                    <w:t>.104</w:t>
                                  </w:r>
                                </w:p>
                              </w:tc>
                            </w:tr>
                            <w:tr w:rsidR="00117D58" w14:paraId="5154C753" w14:textId="77777777">
                              <w:trPr>
                                <w:trHeight w:val="185"/>
                              </w:trPr>
                              <w:tc>
                                <w:tcPr>
                                  <w:tcW w:w="1424" w:type="dxa"/>
                                  <w:vMerge/>
                                  <w:tcBorders>
                                    <w:top w:val="nil"/>
                                  </w:tcBorders>
                                  <w:shd w:val="clear" w:color="auto" w:fill="DFDFDF"/>
                                </w:tcPr>
                                <w:p w14:paraId="4788AC61" w14:textId="77777777" w:rsidR="00117D58" w:rsidRDefault="00117D58">
                                  <w:pPr>
                                    <w:rPr>
                                      <w:sz w:val="2"/>
                                      <w:szCs w:val="2"/>
                                    </w:rPr>
                                  </w:pPr>
                                </w:p>
                              </w:tc>
                              <w:tc>
                                <w:tcPr>
                                  <w:tcW w:w="1352" w:type="dxa"/>
                                  <w:vMerge w:val="restart"/>
                                  <w:tcBorders>
                                    <w:top w:val="single" w:sz="6" w:space="0" w:color="ADADAD"/>
                                  </w:tcBorders>
                                  <w:shd w:val="clear" w:color="auto" w:fill="DFDFDF"/>
                                </w:tcPr>
                                <w:p w14:paraId="6149F0E9" w14:textId="77777777" w:rsidR="00117D58" w:rsidRDefault="00F52091">
                                  <w:pPr>
                                    <w:pStyle w:val="TableParagraph"/>
                                    <w:spacing w:before="69" w:line="240" w:lineRule="auto"/>
                                    <w:ind w:left="33"/>
                                    <w:jc w:val="left"/>
                                    <w:rPr>
                                      <w:rFonts w:ascii="Arial MT"/>
                                      <w:sz w:val="10"/>
                                    </w:rPr>
                                  </w:pPr>
                                  <w:r>
                                    <w:rPr>
                                      <w:rFonts w:ascii="Arial MT"/>
                                      <w:color w:val="25495F"/>
                                      <w:w w:val="105"/>
                                      <w:sz w:val="10"/>
                                    </w:rPr>
                                    <w:t>99% Confidence Interval</w:t>
                                  </w:r>
                                </w:p>
                              </w:tc>
                              <w:tc>
                                <w:tcPr>
                                  <w:tcW w:w="819" w:type="dxa"/>
                                  <w:tcBorders>
                                    <w:top w:val="single" w:sz="6" w:space="0" w:color="ADADAD"/>
                                    <w:bottom w:val="single" w:sz="6" w:space="0" w:color="ADADAD"/>
                                  </w:tcBorders>
                                  <w:shd w:val="clear" w:color="auto" w:fill="DFDFDF"/>
                                </w:tcPr>
                                <w:p w14:paraId="6CABF528" w14:textId="77777777" w:rsidR="00117D58" w:rsidRDefault="00F52091">
                                  <w:pPr>
                                    <w:pStyle w:val="TableParagraph"/>
                                    <w:spacing w:before="69" w:line="96" w:lineRule="exact"/>
                                    <w:ind w:left="35"/>
                                    <w:jc w:val="left"/>
                                    <w:rPr>
                                      <w:rFonts w:ascii="Arial MT"/>
                                      <w:sz w:val="10"/>
                                    </w:rPr>
                                  </w:pPr>
                                  <w:r>
                                    <w:rPr>
                                      <w:rFonts w:ascii="Arial MT"/>
                                      <w:color w:val="25495F"/>
                                      <w:w w:val="105"/>
                                      <w:sz w:val="10"/>
                                    </w:rPr>
                                    <w:t>Lower Bound</w:t>
                                  </w:r>
                                </w:p>
                              </w:tc>
                              <w:tc>
                                <w:tcPr>
                                  <w:tcW w:w="855" w:type="dxa"/>
                                  <w:tcBorders>
                                    <w:top w:val="single" w:sz="6" w:space="0" w:color="ADADAD"/>
                                    <w:bottom w:val="single" w:sz="6" w:space="0" w:color="ADADAD"/>
                                  </w:tcBorders>
                                  <w:shd w:val="clear" w:color="auto" w:fill="F8F8FA"/>
                                </w:tcPr>
                                <w:p w14:paraId="1BE8E98F" w14:textId="77777777" w:rsidR="00117D58" w:rsidRDefault="00F52091">
                                  <w:pPr>
                                    <w:pStyle w:val="TableParagraph"/>
                                    <w:spacing w:before="69" w:line="96" w:lineRule="exact"/>
                                    <w:ind w:right="32"/>
                                    <w:jc w:val="right"/>
                                    <w:rPr>
                                      <w:rFonts w:ascii="Arial MT"/>
                                      <w:sz w:val="10"/>
                                    </w:rPr>
                                  </w:pPr>
                                  <w:r>
                                    <w:rPr>
                                      <w:rFonts w:ascii="Arial MT"/>
                                      <w:color w:val="000104"/>
                                      <w:spacing w:val="-4"/>
                                      <w:w w:val="105"/>
                                      <w:sz w:val="10"/>
                                    </w:rPr>
                                    <w:t>.096</w:t>
                                  </w:r>
                                </w:p>
                              </w:tc>
                            </w:tr>
                            <w:tr w:rsidR="00117D58" w14:paraId="5A70D6DE" w14:textId="77777777">
                              <w:trPr>
                                <w:trHeight w:val="140"/>
                              </w:trPr>
                              <w:tc>
                                <w:tcPr>
                                  <w:tcW w:w="1424" w:type="dxa"/>
                                  <w:vMerge/>
                                  <w:tcBorders>
                                    <w:top w:val="nil"/>
                                  </w:tcBorders>
                                  <w:shd w:val="clear" w:color="auto" w:fill="DFDFDF"/>
                                </w:tcPr>
                                <w:p w14:paraId="3C6F93B8" w14:textId="77777777" w:rsidR="00117D58" w:rsidRDefault="00117D58">
                                  <w:pPr>
                                    <w:rPr>
                                      <w:sz w:val="2"/>
                                      <w:szCs w:val="2"/>
                                    </w:rPr>
                                  </w:pPr>
                                </w:p>
                              </w:tc>
                              <w:tc>
                                <w:tcPr>
                                  <w:tcW w:w="1352" w:type="dxa"/>
                                  <w:vMerge/>
                                  <w:tcBorders>
                                    <w:top w:val="nil"/>
                                  </w:tcBorders>
                                  <w:shd w:val="clear" w:color="auto" w:fill="DFDFDF"/>
                                </w:tcPr>
                                <w:p w14:paraId="1F82C825" w14:textId="77777777" w:rsidR="00117D58" w:rsidRDefault="00117D58">
                                  <w:pPr>
                                    <w:rPr>
                                      <w:sz w:val="2"/>
                                      <w:szCs w:val="2"/>
                                    </w:rPr>
                                  </w:pPr>
                                </w:p>
                              </w:tc>
                              <w:tc>
                                <w:tcPr>
                                  <w:tcW w:w="819" w:type="dxa"/>
                                  <w:tcBorders>
                                    <w:top w:val="single" w:sz="6" w:space="0" w:color="ADADAD"/>
                                  </w:tcBorders>
                                  <w:shd w:val="clear" w:color="auto" w:fill="DFDFDF"/>
                                </w:tcPr>
                                <w:p w14:paraId="77450629" w14:textId="77777777" w:rsidR="00117D58" w:rsidRDefault="00F52091">
                                  <w:pPr>
                                    <w:pStyle w:val="TableParagraph"/>
                                    <w:spacing w:before="69" w:line="51" w:lineRule="exact"/>
                                    <w:ind w:left="35"/>
                                    <w:jc w:val="left"/>
                                    <w:rPr>
                                      <w:rFonts w:ascii="Arial MT"/>
                                      <w:sz w:val="10"/>
                                    </w:rPr>
                                  </w:pPr>
                                  <w:r>
                                    <w:rPr>
                                      <w:rFonts w:ascii="Arial MT"/>
                                      <w:color w:val="25495F"/>
                                      <w:w w:val="105"/>
                                      <w:sz w:val="10"/>
                                    </w:rPr>
                                    <w:t>Upper Bound</w:t>
                                  </w:r>
                                </w:p>
                              </w:tc>
                              <w:tc>
                                <w:tcPr>
                                  <w:tcW w:w="855" w:type="dxa"/>
                                  <w:tcBorders>
                                    <w:top w:val="single" w:sz="6" w:space="0" w:color="ADADAD"/>
                                  </w:tcBorders>
                                  <w:shd w:val="clear" w:color="auto" w:fill="F8F8FA"/>
                                </w:tcPr>
                                <w:p w14:paraId="2E0A411E" w14:textId="77777777" w:rsidR="00117D58" w:rsidRDefault="00F52091">
                                  <w:pPr>
                                    <w:pStyle w:val="TableParagraph"/>
                                    <w:spacing w:before="69" w:line="51" w:lineRule="exact"/>
                                    <w:ind w:right="32"/>
                                    <w:jc w:val="right"/>
                                    <w:rPr>
                                      <w:rFonts w:ascii="Arial MT"/>
                                      <w:sz w:val="10"/>
                                    </w:rPr>
                                  </w:pPr>
                                  <w:r>
                                    <w:rPr>
                                      <w:rFonts w:ascii="Arial MT"/>
                                      <w:color w:val="000104"/>
                                      <w:spacing w:val="-4"/>
                                      <w:w w:val="105"/>
                                      <w:sz w:val="10"/>
                                    </w:rPr>
                                    <w:t>.112</w:t>
                                  </w:r>
                                </w:p>
                              </w:tc>
                            </w:tr>
                          </w:tbl>
                          <w:p w14:paraId="35EFDA9D" w14:textId="77777777" w:rsidR="00117D58" w:rsidRDefault="00117D58">
                            <w:pPr>
                              <w:pStyle w:val="BodyText"/>
                              <w:ind w:left="0"/>
                              <w:jc w:val="left"/>
                            </w:pPr>
                          </w:p>
                        </w:txbxContent>
                      </wps:txbx>
                      <wps:bodyPr wrap="square" lIns="0" tIns="0" rIns="0" bIns="0" rtlCol="0">
                        <a:noAutofit/>
                      </wps:bodyPr>
                    </wps:wsp>
                  </a:graphicData>
                </a:graphic>
              </wp:anchor>
            </w:drawing>
          </mc:Choice>
          <mc:Fallback>
            <w:pict>
              <v:shapetype w14:anchorId="11D8438E" id="_x0000_t202" coordsize="21600,21600" o:spt="202" path="m,l,21600r21600,l21600,xe">
                <v:stroke joinstyle="miter"/>
                <v:path gradientshapeok="t" o:connecttype="rect"/>
              </v:shapetype>
              <v:shape id="Textbox 7" o:spid="_x0000_s1026" type="#_x0000_t202" style="position:absolute;left:0;text-align:left;margin-left:183.3pt;margin-top:18.85pt;width:228.5pt;height:107.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424"/>
                        <w:gridCol w:w="1352"/>
                        <w:gridCol w:w="819"/>
                        <w:gridCol w:w="855"/>
                      </w:tblGrid>
                      <w:tr w:rsidR="00117D58" w14:paraId="7E01D6DF" w14:textId="77777777">
                        <w:trPr>
                          <w:trHeight w:val="185"/>
                        </w:trPr>
                        <w:tc>
                          <w:tcPr>
                            <w:tcW w:w="3595" w:type="dxa"/>
                            <w:gridSpan w:val="3"/>
                            <w:tcBorders>
                              <w:top w:val="single" w:sz="6" w:space="0" w:color="152935"/>
                              <w:bottom w:val="single" w:sz="6" w:space="0" w:color="ADADAD"/>
                            </w:tcBorders>
                            <w:shd w:val="clear" w:color="auto" w:fill="DFDFDF"/>
                          </w:tcPr>
                          <w:p w14:paraId="5F67595B" w14:textId="77777777" w:rsidR="00117D58" w:rsidRDefault="00F52091">
                            <w:pPr>
                              <w:pStyle w:val="TableParagraph"/>
                              <w:spacing w:before="69" w:line="96" w:lineRule="exact"/>
                              <w:ind w:left="34"/>
                              <w:jc w:val="left"/>
                              <w:rPr>
                                <w:rFonts w:ascii="Arial MT"/>
                                <w:sz w:val="10"/>
                              </w:rPr>
                            </w:pPr>
                            <w:r>
                              <w:rPr>
                                <w:rFonts w:ascii="Arial MT"/>
                                <w:color w:val="25495F"/>
                                <w:spacing w:val="-10"/>
                                <w:w w:val="105"/>
                                <w:sz w:val="10"/>
                              </w:rPr>
                              <w:t>N</w:t>
                            </w:r>
                          </w:p>
                        </w:tc>
                        <w:tc>
                          <w:tcPr>
                            <w:tcW w:w="855" w:type="dxa"/>
                            <w:tcBorders>
                              <w:top w:val="single" w:sz="6" w:space="0" w:color="152935"/>
                              <w:bottom w:val="single" w:sz="6" w:space="0" w:color="ADADAD"/>
                            </w:tcBorders>
                            <w:shd w:val="clear" w:color="auto" w:fill="F8F8FA"/>
                          </w:tcPr>
                          <w:p w14:paraId="1ADBD187" w14:textId="77777777" w:rsidR="00117D58" w:rsidRDefault="00F52091">
                            <w:pPr>
                              <w:pStyle w:val="TableParagraph"/>
                              <w:spacing w:before="69" w:line="96" w:lineRule="exact"/>
                              <w:ind w:right="32"/>
                              <w:jc w:val="right"/>
                              <w:rPr>
                                <w:rFonts w:ascii="Arial MT"/>
                                <w:sz w:val="10"/>
                              </w:rPr>
                            </w:pPr>
                            <w:r>
                              <w:rPr>
                                <w:rFonts w:ascii="Arial MT"/>
                                <w:color w:val="000104"/>
                                <w:spacing w:val="-5"/>
                                <w:w w:val="105"/>
                                <w:sz w:val="10"/>
                              </w:rPr>
                              <w:t>100</w:t>
                            </w:r>
                          </w:p>
                        </w:tc>
                      </w:tr>
                      <w:tr w:rsidR="00117D58" w14:paraId="4F56E067" w14:textId="77777777">
                        <w:trPr>
                          <w:trHeight w:val="183"/>
                        </w:trPr>
                        <w:tc>
                          <w:tcPr>
                            <w:tcW w:w="1424" w:type="dxa"/>
                            <w:vMerge w:val="restart"/>
                            <w:tcBorders>
                              <w:top w:val="single" w:sz="6" w:space="0" w:color="ADADAD"/>
                              <w:bottom w:val="single" w:sz="6" w:space="0" w:color="ADADAD"/>
                            </w:tcBorders>
                            <w:shd w:val="clear" w:color="auto" w:fill="DFDFDF"/>
                          </w:tcPr>
                          <w:p w14:paraId="279D1702" w14:textId="77777777" w:rsidR="00117D58" w:rsidRDefault="00F52091">
                            <w:pPr>
                              <w:pStyle w:val="TableParagraph"/>
                              <w:spacing w:before="57" w:line="240" w:lineRule="auto"/>
                              <w:ind w:left="34"/>
                              <w:jc w:val="left"/>
                              <w:rPr>
                                <w:rFonts w:ascii="Arial MT"/>
                                <w:position w:val="4"/>
                                <w:sz w:val="7"/>
                              </w:rPr>
                            </w:pPr>
                            <w:r>
                              <w:rPr>
                                <w:rFonts w:ascii="Arial MT"/>
                                <w:color w:val="25495F"/>
                                <w:w w:val="105"/>
                                <w:sz w:val="10"/>
                              </w:rPr>
                              <w:t>Normal Parameters, b</w:t>
                            </w:r>
                          </w:p>
                        </w:tc>
                        <w:tc>
                          <w:tcPr>
                            <w:tcW w:w="2171" w:type="dxa"/>
                            <w:gridSpan w:val="2"/>
                            <w:tcBorders>
                              <w:top w:val="single" w:sz="6" w:space="0" w:color="ADADAD"/>
                              <w:bottom w:val="single" w:sz="6" w:space="0" w:color="ADADAD"/>
                            </w:tcBorders>
                            <w:shd w:val="clear" w:color="auto" w:fill="DFDFDF"/>
                          </w:tcPr>
                          <w:p w14:paraId="50887414" w14:textId="77777777" w:rsidR="00117D58" w:rsidRDefault="00F52091">
                            <w:pPr>
                              <w:pStyle w:val="TableParagraph"/>
                              <w:spacing w:before="69" w:line="94" w:lineRule="exact"/>
                              <w:ind w:left="33"/>
                              <w:jc w:val="left"/>
                              <w:rPr>
                                <w:rFonts w:ascii="Arial MT"/>
                                <w:sz w:val="10"/>
                              </w:rPr>
                            </w:pPr>
                            <w:r>
                              <w:rPr>
                                <w:rFonts w:ascii="Arial MT"/>
                                <w:color w:val="25495F"/>
                                <w:spacing w:val="-4"/>
                                <w:w w:val="105"/>
                                <w:sz w:val="10"/>
                              </w:rPr>
                              <w:t>Red</w:t>
                            </w:r>
                          </w:p>
                        </w:tc>
                        <w:tc>
                          <w:tcPr>
                            <w:tcW w:w="855" w:type="dxa"/>
                            <w:tcBorders>
                              <w:top w:val="single" w:sz="6" w:space="0" w:color="ADADAD"/>
                              <w:bottom w:val="single" w:sz="6" w:space="0" w:color="ADADAD"/>
                            </w:tcBorders>
                            <w:shd w:val="clear" w:color="auto" w:fill="F8F8FA"/>
                          </w:tcPr>
                          <w:p w14:paraId="1DDA00A1" w14:textId="77777777" w:rsidR="00117D58" w:rsidRDefault="00F52091">
                            <w:pPr>
                              <w:pStyle w:val="TableParagraph"/>
                              <w:spacing w:before="69" w:line="94" w:lineRule="exact"/>
                              <w:ind w:right="32"/>
                              <w:jc w:val="right"/>
                              <w:rPr>
                                <w:rFonts w:ascii="Arial MT"/>
                                <w:sz w:val="10"/>
                              </w:rPr>
                            </w:pPr>
                            <w:r>
                              <w:rPr>
                                <w:rFonts w:ascii="Arial MT"/>
                                <w:color w:val="000104"/>
                                <w:spacing w:val="-2"/>
                                <w:w w:val="105"/>
                                <w:sz w:val="10"/>
                              </w:rPr>
                              <w:t>.0000000</w:t>
                            </w:r>
                          </w:p>
                        </w:tc>
                      </w:tr>
                      <w:tr w:rsidR="00117D58" w14:paraId="442B639A" w14:textId="77777777">
                        <w:trPr>
                          <w:trHeight w:val="185"/>
                        </w:trPr>
                        <w:tc>
                          <w:tcPr>
                            <w:tcW w:w="1424" w:type="dxa"/>
                            <w:vMerge/>
                            <w:tcBorders>
                              <w:top w:val="nil"/>
                              <w:bottom w:val="single" w:sz="6" w:space="0" w:color="ADADAD"/>
                            </w:tcBorders>
                            <w:shd w:val="clear" w:color="auto" w:fill="DFDFDF"/>
                          </w:tcPr>
                          <w:p w14:paraId="52EBA6EF" w14:textId="77777777" w:rsidR="00117D58" w:rsidRDefault="00117D58">
                            <w:pPr>
                              <w:rPr>
                                <w:sz w:val="2"/>
                                <w:szCs w:val="2"/>
                              </w:rPr>
                            </w:pPr>
                          </w:p>
                        </w:tc>
                        <w:tc>
                          <w:tcPr>
                            <w:tcW w:w="2171" w:type="dxa"/>
                            <w:gridSpan w:val="2"/>
                            <w:tcBorders>
                              <w:top w:val="single" w:sz="6" w:space="0" w:color="ADADAD"/>
                              <w:bottom w:val="single" w:sz="6" w:space="0" w:color="ADADAD"/>
                            </w:tcBorders>
                            <w:shd w:val="clear" w:color="auto" w:fill="DFDFDF"/>
                          </w:tcPr>
                          <w:p w14:paraId="356FFEA9" w14:textId="77777777" w:rsidR="00117D58" w:rsidRDefault="00F52091">
                            <w:pPr>
                              <w:pStyle w:val="TableParagraph"/>
                              <w:spacing w:before="71" w:line="94" w:lineRule="exact"/>
                              <w:ind w:left="33"/>
                              <w:jc w:val="left"/>
                              <w:rPr>
                                <w:rFonts w:ascii="Arial MT"/>
                                <w:sz w:val="10"/>
                              </w:rPr>
                            </w:pPr>
                            <w:r>
                              <w:rPr>
                                <w:rFonts w:ascii="Arial MT"/>
                                <w:color w:val="25495F"/>
                                <w:w w:val="105"/>
                                <w:sz w:val="10"/>
                              </w:rPr>
                              <w:t>Std. Deviation</w:t>
                            </w:r>
                          </w:p>
                        </w:tc>
                        <w:tc>
                          <w:tcPr>
                            <w:tcW w:w="855" w:type="dxa"/>
                            <w:tcBorders>
                              <w:top w:val="single" w:sz="6" w:space="0" w:color="ADADAD"/>
                              <w:bottom w:val="single" w:sz="6" w:space="0" w:color="ADADAD"/>
                            </w:tcBorders>
                            <w:shd w:val="clear" w:color="auto" w:fill="F8F8FA"/>
                          </w:tcPr>
                          <w:p w14:paraId="24895916" w14:textId="77777777" w:rsidR="00117D58" w:rsidRDefault="00F52091">
                            <w:pPr>
                              <w:pStyle w:val="TableParagraph"/>
                              <w:spacing w:before="71" w:line="94" w:lineRule="exact"/>
                              <w:ind w:right="33"/>
                              <w:jc w:val="right"/>
                              <w:rPr>
                                <w:rFonts w:ascii="Arial MT"/>
                                <w:sz w:val="10"/>
                              </w:rPr>
                            </w:pPr>
                            <w:r>
                              <w:rPr>
                                <w:rFonts w:ascii="Arial MT"/>
                                <w:color w:val="000104"/>
                                <w:spacing w:val="-2"/>
                                <w:w w:val="105"/>
                                <w:sz w:val="10"/>
                              </w:rPr>
                              <w:t>5.96435282</w:t>
                            </w:r>
                          </w:p>
                        </w:tc>
                      </w:tr>
                      <w:tr w:rsidR="00117D58" w14:paraId="7C9A7D33" w14:textId="77777777">
                        <w:trPr>
                          <w:trHeight w:val="185"/>
                        </w:trPr>
                        <w:tc>
                          <w:tcPr>
                            <w:tcW w:w="1424" w:type="dxa"/>
                            <w:vMerge w:val="restart"/>
                            <w:tcBorders>
                              <w:top w:val="single" w:sz="6" w:space="0" w:color="ADADAD"/>
                              <w:bottom w:val="single" w:sz="6" w:space="0" w:color="ADADAD"/>
                            </w:tcBorders>
                            <w:shd w:val="clear" w:color="auto" w:fill="DFDFDF"/>
                          </w:tcPr>
                          <w:p w14:paraId="4F98F724" w14:textId="77777777" w:rsidR="00117D58" w:rsidRDefault="00F52091">
                            <w:pPr>
                              <w:pStyle w:val="TableParagraph"/>
                              <w:spacing w:before="69" w:line="240" w:lineRule="auto"/>
                              <w:ind w:left="34"/>
                              <w:jc w:val="left"/>
                              <w:rPr>
                                <w:rFonts w:ascii="Arial MT"/>
                                <w:sz w:val="10"/>
                              </w:rPr>
                            </w:pPr>
                            <w:r>
                              <w:rPr>
                                <w:rFonts w:ascii="Arial MT"/>
                                <w:color w:val="25495F"/>
                                <w:w w:val="105"/>
                                <w:sz w:val="10"/>
                              </w:rPr>
                              <w:t>Most Extreme Differences</w:t>
                            </w:r>
                          </w:p>
                        </w:tc>
                        <w:tc>
                          <w:tcPr>
                            <w:tcW w:w="2171" w:type="dxa"/>
                            <w:gridSpan w:val="2"/>
                            <w:tcBorders>
                              <w:top w:val="single" w:sz="6" w:space="0" w:color="ADADAD"/>
                              <w:bottom w:val="single" w:sz="6" w:space="0" w:color="ADADAD"/>
                            </w:tcBorders>
                            <w:shd w:val="clear" w:color="auto" w:fill="DFDFDF"/>
                          </w:tcPr>
                          <w:p w14:paraId="3A4E0502" w14:textId="77777777" w:rsidR="00117D58" w:rsidRDefault="00F52091">
                            <w:pPr>
                              <w:pStyle w:val="TableParagraph"/>
                              <w:spacing w:before="69" w:line="96" w:lineRule="exact"/>
                              <w:ind w:left="33"/>
                              <w:jc w:val="left"/>
                              <w:rPr>
                                <w:rFonts w:ascii="Arial MT"/>
                                <w:sz w:val="10"/>
                              </w:rPr>
                            </w:pPr>
                            <w:r>
                              <w:rPr>
                                <w:rFonts w:ascii="Arial MT"/>
                                <w:color w:val="25495F"/>
                                <w:spacing w:val="-2"/>
                                <w:w w:val="105"/>
                                <w:sz w:val="10"/>
                              </w:rPr>
                              <w:t>Absolute</w:t>
                            </w:r>
                          </w:p>
                        </w:tc>
                        <w:tc>
                          <w:tcPr>
                            <w:tcW w:w="855" w:type="dxa"/>
                            <w:tcBorders>
                              <w:top w:val="single" w:sz="6" w:space="0" w:color="ADADAD"/>
                              <w:bottom w:val="single" w:sz="6" w:space="0" w:color="ADADAD"/>
                            </w:tcBorders>
                            <w:shd w:val="clear" w:color="auto" w:fill="F8F8FA"/>
                          </w:tcPr>
                          <w:p w14:paraId="5E22EAE7" w14:textId="77777777" w:rsidR="00117D58" w:rsidRDefault="00F52091">
                            <w:pPr>
                              <w:pStyle w:val="TableParagraph"/>
                              <w:spacing w:before="69" w:line="96" w:lineRule="exact"/>
                              <w:ind w:right="32"/>
                              <w:jc w:val="right"/>
                              <w:rPr>
                                <w:rFonts w:ascii="Arial MT"/>
                                <w:sz w:val="10"/>
                              </w:rPr>
                            </w:pPr>
                            <w:r>
                              <w:rPr>
                                <w:rFonts w:ascii="Arial MT"/>
                                <w:color w:val="000104"/>
                                <w:spacing w:val="-4"/>
                                <w:w w:val="105"/>
                                <w:sz w:val="10"/>
                              </w:rPr>
                              <w:t>.081</w:t>
                            </w:r>
                          </w:p>
                        </w:tc>
                      </w:tr>
                      <w:tr w:rsidR="00117D58" w14:paraId="7B95770D" w14:textId="77777777">
                        <w:trPr>
                          <w:trHeight w:val="184"/>
                        </w:trPr>
                        <w:tc>
                          <w:tcPr>
                            <w:tcW w:w="1424" w:type="dxa"/>
                            <w:vMerge/>
                            <w:tcBorders>
                              <w:top w:val="nil"/>
                              <w:bottom w:val="single" w:sz="6" w:space="0" w:color="ADADAD"/>
                            </w:tcBorders>
                            <w:shd w:val="clear" w:color="auto" w:fill="DFDFDF"/>
                          </w:tcPr>
                          <w:p w14:paraId="4DC21333" w14:textId="77777777" w:rsidR="00117D58" w:rsidRDefault="00117D58">
                            <w:pPr>
                              <w:rPr>
                                <w:sz w:val="2"/>
                                <w:szCs w:val="2"/>
                              </w:rPr>
                            </w:pPr>
                          </w:p>
                        </w:tc>
                        <w:tc>
                          <w:tcPr>
                            <w:tcW w:w="2171" w:type="dxa"/>
                            <w:gridSpan w:val="2"/>
                            <w:tcBorders>
                              <w:top w:val="single" w:sz="6" w:space="0" w:color="ADADAD"/>
                              <w:bottom w:val="single" w:sz="6" w:space="0" w:color="ADADAD"/>
                            </w:tcBorders>
                            <w:shd w:val="clear" w:color="auto" w:fill="DFDFDF"/>
                          </w:tcPr>
                          <w:p w14:paraId="2967672B" w14:textId="77777777" w:rsidR="00117D58" w:rsidRDefault="00F52091">
                            <w:pPr>
                              <w:pStyle w:val="TableParagraph"/>
                              <w:spacing w:before="69" w:line="94" w:lineRule="exact"/>
                              <w:ind w:left="33"/>
                              <w:jc w:val="left"/>
                              <w:rPr>
                                <w:rFonts w:ascii="Arial MT"/>
                                <w:sz w:val="10"/>
                              </w:rPr>
                            </w:pPr>
                            <w:r>
                              <w:rPr>
                                <w:rFonts w:ascii="Arial MT"/>
                                <w:color w:val="25495F"/>
                                <w:spacing w:val="-2"/>
                                <w:w w:val="105"/>
                                <w:sz w:val="10"/>
                              </w:rPr>
                              <w:t>Positive</w:t>
                            </w:r>
                          </w:p>
                        </w:tc>
                        <w:tc>
                          <w:tcPr>
                            <w:tcW w:w="855" w:type="dxa"/>
                            <w:tcBorders>
                              <w:top w:val="single" w:sz="6" w:space="0" w:color="ADADAD"/>
                              <w:bottom w:val="single" w:sz="6" w:space="0" w:color="ADADAD"/>
                            </w:tcBorders>
                            <w:shd w:val="clear" w:color="auto" w:fill="F8F8FA"/>
                          </w:tcPr>
                          <w:p w14:paraId="7EED95B7" w14:textId="77777777" w:rsidR="00117D58" w:rsidRDefault="00F52091">
                            <w:pPr>
                              <w:pStyle w:val="TableParagraph"/>
                              <w:spacing w:before="69" w:line="94" w:lineRule="exact"/>
                              <w:ind w:right="32"/>
                              <w:jc w:val="right"/>
                              <w:rPr>
                                <w:rFonts w:ascii="Arial MT"/>
                                <w:sz w:val="10"/>
                              </w:rPr>
                            </w:pPr>
                            <w:r>
                              <w:rPr>
                                <w:rFonts w:ascii="Arial MT"/>
                                <w:color w:val="000104"/>
                                <w:spacing w:val="-4"/>
                                <w:w w:val="105"/>
                                <w:sz w:val="10"/>
                              </w:rPr>
                              <w:t>.041</w:t>
                            </w:r>
                          </w:p>
                        </w:tc>
                      </w:tr>
                      <w:tr w:rsidR="00117D58" w14:paraId="46A30C3A" w14:textId="77777777">
                        <w:trPr>
                          <w:trHeight w:val="185"/>
                        </w:trPr>
                        <w:tc>
                          <w:tcPr>
                            <w:tcW w:w="1424" w:type="dxa"/>
                            <w:vMerge/>
                            <w:tcBorders>
                              <w:top w:val="nil"/>
                              <w:bottom w:val="single" w:sz="6" w:space="0" w:color="ADADAD"/>
                            </w:tcBorders>
                            <w:shd w:val="clear" w:color="auto" w:fill="DFDFDF"/>
                          </w:tcPr>
                          <w:p w14:paraId="30052B61" w14:textId="77777777" w:rsidR="00117D58" w:rsidRDefault="00117D58">
                            <w:pPr>
                              <w:rPr>
                                <w:sz w:val="2"/>
                                <w:szCs w:val="2"/>
                              </w:rPr>
                            </w:pPr>
                          </w:p>
                        </w:tc>
                        <w:tc>
                          <w:tcPr>
                            <w:tcW w:w="2171" w:type="dxa"/>
                            <w:gridSpan w:val="2"/>
                            <w:tcBorders>
                              <w:top w:val="single" w:sz="6" w:space="0" w:color="ADADAD"/>
                              <w:bottom w:val="single" w:sz="6" w:space="0" w:color="ADADAD"/>
                            </w:tcBorders>
                            <w:shd w:val="clear" w:color="auto" w:fill="DFDFDF"/>
                          </w:tcPr>
                          <w:p w14:paraId="515DF33E" w14:textId="77777777" w:rsidR="00117D58" w:rsidRDefault="00F52091">
                            <w:pPr>
                              <w:pStyle w:val="TableParagraph"/>
                              <w:spacing w:before="70" w:line="94" w:lineRule="exact"/>
                              <w:ind w:left="33"/>
                              <w:jc w:val="left"/>
                              <w:rPr>
                                <w:rFonts w:ascii="Arial MT"/>
                                <w:sz w:val="10"/>
                              </w:rPr>
                            </w:pPr>
                            <w:r>
                              <w:rPr>
                                <w:rFonts w:ascii="Arial MT"/>
                                <w:color w:val="25495F"/>
                                <w:spacing w:val="-2"/>
                                <w:w w:val="105"/>
                                <w:sz w:val="10"/>
                              </w:rPr>
                              <w:t>Negative</w:t>
                            </w:r>
                          </w:p>
                        </w:tc>
                        <w:tc>
                          <w:tcPr>
                            <w:tcW w:w="855" w:type="dxa"/>
                            <w:tcBorders>
                              <w:top w:val="single" w:sz="6" w:space="0" w:color="ADADAD"/>
                              <w:bottom w:val="single" w:sz="6" w:space="0" w:color="ADADAD"/>
                            </w:tcBorders>
                            <w:shd w:val="clear" w:color="auto" w:fill="F8F8FA"/>
                          </w:tcPr>
                          <w:p w14:paraId="1C49648C" w14:textId="77777777" w:rsidR="00117D58" w:rsidRDefault="00F52091">
                            <w:pPr>
                              <w:pStyle w:val="TableParagraph"/>
                              <w:spacing w:before="70" w:line="94" w:lineRule="exact"/>
                              <w:ind w:right="32"/>
                              <w:jc w:val="right"/>
                              <w:rPr>
                                <w:rFonts w:ascii="Arial MT"/>
                                <w:sz w:val="10"/>
                              </w:rPr>
                            </w:pPr>
                            <w:r>
                              <w:rPr>
                                <w:rFonts w:ascii="Arial MT"/>
                                <w:color w:val="000104"/>
                                <w:sz w:val="10"/>
                              </w:rPr>
                              <w:t>-.081</w:t>
                            </w:r>
                          </w:p>
                        </w:tc>
                      </w:tr>
                      <w:tr w:rsidR="00117D58" w14:paraId="396AD21F" w14:textId="77777777">
                        <w:trPr>
                          <w:trHeight w:val="185"/>
                        </w:trPr>
                        <w:tc>
                          <w:tcPr>
                            <w:tcW w:w="3595" w:type="dxa"/>
                            <w:gridSpan w:val="3"/>
                            <w:tcBorders>
                              <w:top w:val="single" w:sz="6" w:space="0" w:color="ADADAD"/>
                              <w:bottom w:val="single" w:sz="6" w:space="0" w:color="ADADAD"/>
                            </w:tcBorders>
                            <w:shd w:val="clear" w:color="auto" w:fill="DFDFDF"/>
                          </w:tcPr>
                          <w:p w14:paraId="7818DDD7" w14:textId="77777777" w:rsidR="00117D58" w:rsidRDefault="00F52091">
                            <w:pPr>
                              <w:pStyle w:val="TableParagraph"/>
                              <w:spacing w:before="69" w:line="96" w:lineRule="exact"/>
                              <w:ind w:left="34"/>
                              <w:jc w:val="left"/>
                              <w:rPr>
                                <w:rFonts w:ascii="Arial MT"/>
                                <w:sz w:val="10"/>
                              </w:rPr>
                            </w:pPr>
                            <w:r>
                              <w:rPr>
                                <w:rFonts w:ascii="Arial MT"/>
                                <w:color w:val="25495F"/>
                                <w:w w:val="105"/>
                                <w:sz w:val="10"/>
                              </w:rPr>
                              <w:t>Test Statistic</w:t>
                            </w:r>
                          </w:p>
                        </w:tc>
                        <w:tc>
                          <w:tcPr>
                            <w:tcW w:w="855" w:type="dxa"/>
                            <w:tcBorders>
                              <w:top w:val="single" w:sz="6" w:space="0" w:color="ADADAD"/>
                              <w:bottom w:val="single" w:sz="6" w:space="0" w:color="ADADAD"/>
                            </w:tcBorders>
                            <w:shd w:val="clear" w:color="auto" w:fill="F8F8FA"/>
                          </w:tcPr>
                          <w:p w14:paraId="6D0379F6" w14:textId="77777777" w:rsidR="00117D58" w:rsidRDefault="00F52091">
                            <w:pPr>
                              <w:pStyle w:val="TableParagraph"/>
                              <w:spacing w:before="69" w:line="96" w:lineRule="exact"/>
                              <w:ind w:right="32"/>
                              <w:jc w:val="right"/>
                              <w:rPr>
                                <w:rFonts w:ascii="Arial MT"/>
                                <w:sz w:val="10"/>
                              </w:rPr>
                            </w:pPr>
                            <w:r>
                              <w:rPr>
                                <w:rFonts w:ascii="Arial MT"/>
                                <w:color w:val="000104"/>
                                <w:spacing w:val="-4"/>
                                <w:w w:val="105"/>
                                <w:sz w:val="10"/>
                              </w:rPr>
                              <w:t>.081</w:t>
                            </w:r>
                          </w:p>
                        </w:tc>
                      </w:tr>
                      <w:tr w:rsidR="00117D58" w14:paraId="2A97F121" w14:textId="77777777">
                        <w:trPr>
                          <w:trHeight w:val="183"/>
                        </w:trPr>
                        <w:tc>
                          <w:tcPr>
                            <w:tcW w:w="3595" w:type="dxa"/>
                            <w:gridSpan w:val="3"/>
                            <w:tcBorders>
                              <w:top w:val="single" w:sz="6" w:space="0" w:color="ADADAD"/>
                              <w:bottom w:val="single" w:sz="6" w:space="0" w:color="ADADAD"/>
                            </w:tcBorders>
                            <w:shd w:val="clear" w:color="auto" w:fill="DFDFDF"/>
                          </w:tcPr>
                          <w:p w14:paraId="520BBD90" w14:textId="77777777" w:rsidR="00117D58" w:rsidRDefault="00F52091">
                            <w:pPr>
                              <w:pStyle w:val="TableParagraph"/>
                              <w:spacing w:before="57" w:line="106" w:lineRule="exact"/>
                              <w:ind w:left="34"/>
                              <w:jc w:val="left"/>
                              <w:rPr>
                                <w:rFonts w:ascii="Arial MT"/>
                                <w:position w:val="4"/>
                                <w:sz w:val="7"/>
                              </w:rPr>
                            </w:pPr>
                            <w:r>
                              <w:rPr>
                                <w:rFonts w:ascii="Arial MT"/>
                                <w:color w:val="25495F"/>
                                <w:w w:val="105"/>
                                <w:sz w:val="10"/>
                              </w:rPr>
                              <w:t>Asymp. Sig. (2-tailed)</w:t>
                            </w:r>
                            <w:r>
                              <w:rPr>
                                <w:rFonts w:ascii="Arial MT"/>
                                <w:color w:val="25495F"/>
                                <w:spacing w:val="-2"/>
                                <w:w w:val="105"/>
                                <w:position w:val="4"/>
                                <w:sz w:val="7"/>
                              </w:rPr>
                              <w:t>c</w:t>
                            </w:r>
                          </w:p>
                        </w:tc>
                        <w:tc>
                          <w:tcPr>
                            <w:tcW w:w="855" w:type="dxa"/>
                            <w:tcBorders>
                              <w:top w:val="single" w:sz="6" w:space="0" w:color="ADADAD"/>
                              <w:bottom w:val="single" w:sz="6" w:space="0" w:color="ADADAD"/>
                            </w:tcBorders>
                            <w:shd w:val="clear" w:color="auto" w:fill="F8F8FA"/>
                          </w:tcPr>
                          <w:p w14:paraId="27741009" w14:textId="77777777" w:rsidR="00117D58" w:rsidRDefault="00F52091">
                            <w:pPr>
                              <w:pStyle w:val="TableParagraph"/>
                              <w:spacing w:before="69" w:line="94" w:lineRule="exact"/>
                              <w:ind w:right="32"/>
                              <w:jc w:val="right"/>
                              <w:rPr>
                                <w:rFonts w:ascii="Arial MT"/>
                                <w:sz w:val="10"/>
                              </w:rPr>
                            </w:pPr>
                            <w:r>
                              <w:rPr>
                                <w:rFonts w:ascii="Arial MT"/>
                                <w:color w:val="000104"/>
                                <w:spacing w:val="-4"/>
                                <w:w w:val="105"/>
                                <w:sz w:val="10"/>
                              </w:rPr>
                              <w:t>.101</w:t>
                            </w:r>
                          </w:p>
                        </w:tc>
                      </w:tr>
                      <w:tr w:rsidR="00117D58" w14:paraId="6A6533FF" w14:textId="77777777">
                        <w:trPr>
                          <w:trHeight w:val="185"/>
                        </w:trPr>
                        <w:tc>
                          <w:tcPr>
                            <w:tcW w:w="1424" w:type="dxa"/>
                            <w:vMerge w:val="restart"/>
                            <w:tcBorders>
                              <w:top w:val="single" w:sz="6" w:space="0" w:color="ADADAD"/>
                            </w:tcBorders>
                            <w:shd w:val="clear" w:color="auto" w:fill="DFDFDF"/>
                          </w:tcPr>
                          <w:p w14:paraId="220A39E2" w14:textId="77777777" w:rsidR="00117D58" w:rsidRDefault="00F52091">
                            <w:pPr>
                              <w:pStyle w:val="TableParagraph"/>
                              <w:spacing w:before="59" w:line="240" w:lineRule="auto"/>
                              <w:ind w:left="34"/>
                              <w:jc w:val="left"/>
                              <w:rPr>
                                <w:rFonts w:ascii="Arial MT"/>
                                <w:position w:val="4"/>
                                <w:sz w:val="7"/>
                              </w:rPr>
                            </w:pPr>
                            <w:r>
                              <w:rPr>
                                <w:rFonts w:ascii="Arial MT"/>
                                <w:color w:val="25495F"/>
                                <w:w w:val="105"/>
                                <w:sz w:val="10"/>
                              </w:rPr>
                              <w:t>Monte Carlo Sig. (2-tailed)</w:t>
                            </w:r>
                            <w:r>
                              <w:rPr>
                                <w:rFonts w:ascii="Arial MT"/>
                                <w:color w:val="25495F"/>
                                <w:spacing w:val="-2"/>
                                <w:w w:val="105"/>
                                <w:position w:val="4"/>
                                <w:sz w:val="7"/>
                              </w:rPr>
                              <w:t>d</w:t>
                            </w:r>
                          </w:p>
                        </w:tc>
                        <w:tc>
                          <w:tcPr>
                            <w:tcW w:w="2171" w:type="dxa"/>
                            <w:gridSpan w:val="2"/>
                            <w:tcBorders>
                              <w:top w:val="single" w:sz="6" w:space="0" w:color="ADADAD"/>
                              <w:bottom w:val="single" w:sz="6" w:space="0" w:color="ADADAD"/>
                            </w:tcBorders>
                            <w:shd w:val="clear" w:color="auto" w:fill="DFDFDF"/>
                          </w:tcPr>
                          <w:p w14:paraId="7D5B6418" w14:textId="77777777" w:rsidR="00117D58" w:rsidRDefault="00F52091">
                            <w:pPr>
                              <w:pStyle w:val="TableParagraph"/>
                              <w:spacing w:before="70" w:line="95" w:lineRule="exact"/>
                              <w:ind w:left="33"/>
                              <w:jc w:val="left"/>
                              <w:rPr>
                                <w:rFonts w:ascii="Arial MT"/>
                                <w:sz w:val="10"/>
                              </w:rPr>
                            </w:pPr>
                            <w:r>
                              <w:rPr>
                                <w:rFonts w:ascii="Arial MT"/>
                                <w:color w:val="25495F"/>
                                <w:spacing w:val="-4"/>
                                <w:w w:val="105"/>
                                <w:sz w:val="10"/>
                              </w:rPr>
                              <w:t>Sig.</w:t>
                            </w:r>
                          </w:p>
                        </w:tc>
                        <w:tc>
                          <w:tcPr>
                            <w:tcW w:w="855" w:type="dxa"/>
                            <w:tcBorders>
                              <w:top w:val="single" w:sz="6" w:space="0" w:color="ADADAD"/>
                              <w:bottom w:val="single" w:sz="6" w:space="0" w:color="ADADAD"/>
                            </w:tcBorders>
                            <w:shd w:val="clear" w:color="auto" w:fill="F8F8FA"/>
                          </w:tcPr>
                          <w:p w14:paraId="361BFA7C" w14:textId="77777777" w:rsidR="00117D58" w:rsidRDefault="00F52091">
                            <w:pPr>
                              <w:pStyle w:val="TableParagraph"/>
                              <w:spacing w:before="70" w:line="95" w:lineRule="exact"/>
                              <w:ind w:right="32"/>
                              <w:jc w:val="right"/>
                              <w:rPr>
                                <w:rFonts w:ascii="Arial MT"/>
                                <w:sz w:val="10"/>
                              </w:rPr>
                            </w:pPr>
                            <w:r>
                              <w:rPr>
                                <w:rFonts w:ascii="Arial MT"/>
                                <w:color w:val="000104"/>
                                <w:spacing w:val="-4"/>
                                <w:w w:val="105"/>
                                <w:sz w:val="10"/>
                              </w:rPr>
                              <w:t>.104</w:t>
                            </w:r>
                          </w:p>
                        </w:tc>
                      </w:tr>
                      <w:tr w:rsidR="00117D58" w14:paraId="5154C753" w14:textId="77777777">
                        <w:trPr>
                          <w:trHeight w:val="185"/>
                        </w:trPr>
                        <w:tc>
                          <w:tcPr>
                            <w:tcW w:w="1424" w:type="dxa"/>
                            <w:vMerge/>
                            <w:tcBorders>
                              <w:top w:val="nil"/>
                            </w:tcBorders>
                            <w:shd w:val="clear" w:color="auto" w:fill="DFDFDF"/>
                          </w:tcPr>
                          <w:p w14:paraId="4788AC61" w14:textId="77777777" w:rsidR="00117D58" w:rsidRDefault="00117D58">
                            <w:pPr>
                              <w:rPr>
                                <w:sz w:val="2"/>
                                <w:szCs w:val="2"/>
                              </w:rPr>
                            </w:pPr>
                          </w:p>
                        </w:tc>
                        <w:tc>
                          <w:tcPr>
                            <w:tcW w:w="1352" w:type="dxa"/>
                            <w:vMerge w:val="restart"/>
                            <w:tcBorders>
                              <w:top w:val="single" w:sz="6" w:space="0" w:color="ADADAD"/>
                            </w:tcBorders>
                            <w:shd w:val="clear" w:color="auto" w:fill="DFDFDF"/>
                          </w:tcPr>
                          <w:p w14:paraId="6149F0E9" w14:textId="77777777" w:rsidR="00117D58" w:rsidRDefault="00F52091">
                            <w:pPr>
                              <w:pStyle w:val="TableParagraph"/>
                              <w:spacing w:before="69" w:line="240" w:lineRule="auto"/>
                              <w:ind w:left="33"/>
                              <w:jc w:val="left"/>
                              <w:rPr>
                                <w:rFonts w:ascii="Arial MT"/>
                                <w:sz w:val="10"/>
                              </w:rPr>
                            </w:pPr>
                            <w:r>
                              <w:rPr>
                                <w:rFonts w:ascii="Arial MT"/>
                                <w:color w:val="25495F"/>
                                <w:w w:val="105"/>
                                <w:sz w:val="10"/>
                              </w:rPr>
                              <w:t>99% Confidence Interval</w:t>
                            </w:r>
                          </w:p>
                        </w:tc>
                        <w:tc>
                          <w:tcPr>
                            <w:tcW w:w="819" w:type="dxa"/>
                            <w:tcBorders>
                              <w:top w:val="single" w:sz="6" w:space="0" w:color="ADADAD"/>
                              <w:bottom w:val="single" w:sz="6" w:space="0" w:color="ADADAD"/>
                            </w:tcBorders>
                            <w:shd w:val="clear" w:color="auto" w:fill="DFDFDF"/>
                          </w:tcPr>
                          <w:p w14:paraId="6CABF528" w14:textId="77777777" w:rsidR="00117D58" w:rsidRDefault="00F52091">
                            <w:pPr>
                              <w:pStyle w:val="TableParagraph"/>
                              <w:spacing w:before="69" w:line="96" w:lineRule="exact"/>
                              <w:ind w:left="35"/>
                              <w:jc w:val="left"/>
                              <w:rPr>
                                <w:rFonts w:ascii="Arial MT"/>
                                <w:sz w:val="10"/>
                              </w:rPr>
                            </w:pPr>
                            <w:r>
                              <w:rPr>
                                <w:rFonts w:ascii="Arial MT"/>
                                <w:color w:val="25495F"/>
                                <w:w w:val="105"/>
                                <w:sz w:val="10"/>
                              </w:rPr>
                              <w:t>Lower Bound</w:t>
                            </w:r>
                          </w:p>
                        </w:tc>
                        <w:tc>
                          <w:tcPr>
                            <w:tcW w:w="855" w:type="dxa"/>
                            <w:tcBorders>
                              <w:top w:val="single" w:sz="6" w:space="0" w:color="ADADAD"/>
                              <w:bottom w:val="single" w:sz="6" w:space="0" w:color="ADADAD"/>
                            </w:tcBorders>
                            <w:shd w:val="clear" w:color="auto" w:fill="F8F8FA"/>
                          </w:tcPr>
                          <w:p w14:paraId="1BE8E98F" w14:textId="77777777" w:rsidR="00117D58" w:rsidRDefault="00F52091">
                            <w:pPr>
                              <w:pStyle w:val="TableParagraph"/>
                              <w:spacing w:before="69" w:line="96" w:lineRule="exact"/>
                              <w:ind w:right="32"/>
                              <w:jc w:val="right"/>
                              <w:rPr>
                                <w:rFonts w:ascii="Arial MT"/>
                                <w:sz w:val="10"/>
                              </w:rPr>
                            </w:pPr>
                            <w:r>
                              <w:rPr>
                                <w:rFonts w:ascii="Arial MT"/>
                                <w:color w:val="000104"/>
                                <w:spacing w:val="-4"/>
                                <w:w w:val="105"/>
                                <w:sz w:val="10"/>
                              </w:rPr>
                              <w:t>.096</w:t>
                            </w:r>
                          </w:p>
                        </w:tc>
                      </w:tr>
                      <w:tr w:rsidR="00117D58" w14:paraId="5A70D6DE" w14:textId="77777777">
                        <w:trPr>
                          <w:trHeight w:val="140"/>
                        </w:trPr>
                        <w:tc>
                          <w:tcPr>
                            <w:tcW w:w="1424" w:type="dxa"/>
                            <w:vMerge/>
                            <w:tcBorders>
                              <w:top w:val="nil"/>
                            </w:tcBorders>
                            <w:shd w:val="clear" w:color="auto" w:fill="DFDFDF"/>
                          </w:tcPr>
                          <w:p w14:paraId="3C6F93B8" w14:textId="77777777" w:rsidR="00117D58" w:rsidRDefault="00117D58">
                            <w:pPr>
                              <w:rPr>
                                <w:sz w:val="2"/>
                                <w:szCs w:val="2"/>
                              </w:rPr>
                            </w:pPr>
                          </w:p>
                        </w:tc>
                        <w:tc>
                          <w:tcPr>
                            <w:tcW w:w="1352" w:type="dxa"/>
                            <w:vMerge/>
                            <w:tcBorders>
                              <w:top w:val="nil"/>
                            </w:tcBorders>
                            <w:shd w:val="clear" w:color="auto" w:fill="DFDFDF"/>
                          </w:tcPr>
                          <w:p w14:paraId="1F82C825" w14:textId="77777777" w:rsidR="00117D58" w:rsidRDefault="00117D58">
                            <w:pPr>
                              <w:rPr>
                                <w:sz w:val="2"/>
                                <w:szCs w:val="2"/>
                              </w:rPr>
                            </w:pPr>
                          </w:p>
                        </w:tc>
                        <w:tc>
                          <w:tcPr>
                            <w:tcW w:w="819" w:type="dxa"/>
                            <w:tcBorders>
                              <w:top w:val="single" w:sz="6" w:space="0" w:color="ADADAD"/>
                            </w:tcBorders>
                            <w:shd w:val="clear" w:color="auto" w:fill="DFDFDF"/>
                          </w:tcPr>
                          <w:p w14:paraId="77450629" w14:textId="77777777" w:rsidR="00117D58" w:rsidRDefault="00F52091">
                            <w:pPr>
                              <w:pStyle w:val="TableParagraph"/>
                              <w:spacing w:before="69" w:line="51" w:lineRule="exact"/>
                              <w:ind w:left="35"/>
                              <w:jc w:val="left"/>
                              <w:rPr>
                                <w:rFonts w:ascii="Arial MT"/>
                                <w:sz w:val="10"/>
                              </w:rPr>
                            </w:pPr>
                            <w:r>
                              <w:rPr>
                                <w:rFonts w:ascii="Arial MT"/>
                                <w:color w:val="25495F"/>
                                <w:w w:val="105"/>
                                <w:sz w:val="10"/>
                              </w:rPr>
                              <w:t>Upper Bound</w:t>
                            </w:r>
                          </w:p>
                        </w:tc>
                        <w:tc>
                          <w:tcPr>
                            <w:tcW w:w="855" w:type="dxa"/>
                            <w:tcBorders>
                              <w:top w:val="single" w:sz="6" w:space="0" w:color="ADADAD"/>
                            </w:tcBorders>
                            <w:shd w:val="clear" w:color="auto" w:fill="F8F8FA"/>
                          </w:tcPr>
                          <w:p w14:paraId="2E0A411E" w14:textId="77777777" w:rsidR="00117D58" w:rsidRDefault="00F52091">
                            <w:pPr>
                              <w:pStyle w:val="TableParagraph"/>
                              <w:spacing w:before="69" w:line="51" w:lineRule="exact"/>
                              <w:ind w:right="32"/>
                              <w:jc w:val="right"/>
                              <w:rPr>
                                <w:rFonts w:ascii="Arial MT"/>
                                <w:sz w:val="10"/>
                              </w:rPr>
                            </w:pPr>
                            <w:r>
                              <w:rPr>
                                <w:rFonts w:ascii="Arial MT"/>
                                <w:color w:val="000104"/>
                                <w:spacing w:val="-4"/>
                                <w:w w:val="105"/>
                                <w:sz w:val="10"/>
                              </w:rPr>
                              <w:t>.112</w:t>
                            </w:r>
                          </w:p>
                        </w:tc>
                      </w:tr>
                    </w:tbl>
                    <w:p w14:paraId="35EFDA9D" w14:textId="77777777" w:rsidR="00117D58" w:rsidRDefault="00117D58">
                      <w:pPr>
                        <w:pStyle w:val="BodyText"/>
                        <w:ind w:left="0"/>
                        <w:jc w:val="left"/>
                      </w:pPr>
                    </w:p>
                  </w:txbxContent>
                </v:textbox>
                <w10:wrap anchorx="page"/>
              </v:shape>
            </w:pict>
          </mc:Fallback>
        </mc:AlternateContent>
      </w:r>
      <w:r>
        <w:rPr>
          <w:rFonts w:ascii="Arial MT"/>
          <w:color w:val="25495F"/>
          <w:spacing w:val="-2"/>
          <w:w w:val="105"/>
          <w:sz w:val="10"/>
        </w:rPr>
        <w:t>Unstandardized Residual</w:t>
      </w:r>
    </w:p>
    <w:p w14:paraId="36EB5E5A" w14:textId="77777777" w:rsidR="00117D58" w:rsidRDefault="00117D58">
      <w:pPr>
        <w:pStyle w:val="BodyText"/>
        <w:ind w:left="0"/>
        <w:jc w:val="left"/>
        <w:rPr>
          <w:rFonts w:ascii="Arial MT"/>
        </w:rPr>
      </w:pPr>
    </w:p>
    <w:p w14:paraId="7E8F702C" w14:textId="77777777" w:rsidR="00117D58" w:rsidRDefault="00117D58">
      <w:pPr>
        <w:pStyle w:val="BodyText"/>
        <w:ind w:left="0"/>
        <w:jc w:val="left"/>
        <w:rPr>
          <w:rFonts w:ascii="Arial MT"/>
        </w:rPr>
      </w:pPr>
    </w:p>
    <w:p w14:paraId="5FCF31C8" w14:textId="77777777" w:rsidR="00117D58" w:rsidRDefault="00117D58">
      <w:pPr>
        <w:pStyle w:val="BodyText"/>
        <w:ind w:left="0"/>
        <w:jc w:val="left"/>
        <w:rPr>
          <w:rFonts w:ascii="Arial MT"/>
        </w:rPr>
      </w:pPr>
    </w:p>
    <w:p w14:paraId="2AB5B1C8" w14:textId="77777777" w:rsidR="00117D58" w:rsidRDefault="00117D58">
      <w:pPr>
        <w:pStyle w:val="BodyText"/>
        <w:ind w:left="0"/>
        <w:jc w:val="left"/>
        <w:rPr>
          <w:rFonts w:ascii="Arial MT"/>
        </w:rPr>
      </w:pPr>
    </w:p>
    <w:p w14:paraId="1771FD41" w14:textId="77777777" w:rsidR="00117D58" w:rsidRDefault="00117D58">
      <w:pPr>
        <w:pStyle w:val="BodyText"/>
        <w:ind w:left="0"/>
        <w:jc w:val="left"/>
        <w:rPr>
          <w:rFonts w:ascii="Arial MT"/>
        </w:rPr>
      </w:pPr>
    </w:p>
    <w:p w14:paraId="0B0D77EA" w14:textId="77777777" w:rsidR="00117D58" w:rsidRDefault="00117D58">
      <w:pPr>
        <w:pStyle w:val="BodyText"/>
        <w:ind w:left="0"/>
        <w:jc w:val="left"/>
        <w:rPr>
          <w:rFonts w:ascii="Arial MT"/>
        </w:rPr>
      </w:pPr>
    </w:p>
    <w:p w14:paraId="1EBE028F" w14:textId="77777777" w:rsidR="00117D58" w:rsidRDefault="00117D58">
      <w:pPr>
        <w:pStyle w:val="BodyText"/>
        <w:ind w:left="0"/>
        <w:jc w:val="left"/>
        <w:rPr>
          <w:rFonts w:ascii="Arial MT"/>
        </w:rPr>
      </w:pPr>
    </w:p>
    <w:p w14:paraId="7A74E46A" w14:textId="77777777" w:rsidR="00117D58" w:rsidRDefault="00117D58">
      <w:pPr>
        <w:pStyle w:val="BodyText"/>
        <w:spacing w:before="183"/>
        <w:ind w:left="0"/>
        <w:jc w:val="left"/>
        <w:rPr>
          <w:rFonts w:ascii="Arial MT"/>
        </w:rPr>
      </w:pPr>
    </w:p>
    <w:p w14:paraId="716BA6BF" w14:textId="77777777" w:rsidR="00117D58" w:rsidRDefault="00F52091">
      <w:pPr>
        <w:pStyle w:val="BodyText"/>
        <w:ind w:left="738" w:right="741"/>
        <w:jc w:val="center"/>
      </w:pPr>
      <w:r>
        <w:t>Table 4. Normality Test</w:t>
      </w:r>
    </w:p>
    <w:p w14:paraId="49E8F17C" w14:textId="77777777" w:rsidR="00117D58" w:rsidRDefault="00117D58">
      <w:pPr>
        <w:pStyle w:val="BodyText"/>
        <w:jc w:val="center"/>
        <w:sectPr w:rsidR="00117D58">
          <w:pgSz w:w="11910" w:h="16840"/>
          <w:pgMar w:top="1340" w:right="1417" w:bottom="280" w:left="1417" w:header="720" w:footer="720" w:gutter="0"/>
          <w:cols w:space="720"/>
        </w:sectPr>
      </w:pPr>
    </w:p>
    <w:p w14:paraId="088504E2" w14:textId="77777777" w:rsidR="00117D58" w:rsidRDefault="00F52091">
      <w:pPr>
        <w:pStyle w:val="BodyText"/>
        <w:spacing w:before="74" w:line="362" w:lineRule="auto"/>
        <w:ind w:right="22" w:firstLine="720"/>
      </w:pPr>
      <w:r>
        <w:lastRenderedPageBreak/>
        <w:t>Based on the table above, the value of Asymp. The sig. is 0.101 &gt; 0.05, so that the residual in the regression model is declared to be normally distributed.</w:t>
      </w:r>
    </w:p>
    <w:p w14:paraId="7218F59D" w14:textId="77777777" w:rsidR="00117D58" w:rsidRDefault="00F52091">
      <w:pPr>
        <w:pStyle w:val="Heading2"/>
        <w:spacing w:before="165"/>
        <w:jc w:val="left"/>
      </w:pPr>
      <w:r>
        <w:t>Multicollinearity Test</w:t>
      </w:r>
    </w:p>
    <w:p w14:paraId="42938BFC" w14:textId="77777777" w:rsidR="00117D58" w:rsidRDefault="00117D58">
      <w:pPr>
        <w:pStyle w:val="BodyText"/>
        <w:spacing w:before="10"/>
        <w:ind w:left="0"/>
        <w:jc w:val="left"/>
        <w:rPr>
          <w:b/>
        </w:rPr>
      </w:pPr>
    </w:p>
    <w:p w14:paraId="316E1771" w14:textId="77777777" w:rsidR="00117D58" w:rsidRDefault="00F52091">
      <w:pPr>
        <w:pStyle w:val="BodyText"/>
        <w:spacing w:line="362" w:lineRule="auto"/>
        <w:ind w:right="17" w:firstLine="720"/>
      </w:pPr>
      <w:r>
        <w:t xml:space="preserve">The multicollinearity test was performed to ensure that there was no too strong relationship between independent variables in the regression model. A model is declared free of multicollinearity if the tolerance value is above 0.10 and  the </w:t>
      </w:r>
      <w:r>
        <w:rPr>
          <w:i/>
        </w:rPr>
        <w:t xml:space="preserve">Variance Inflation Factor </w:t>
      </w:r>
      <w:r>
        <w:t>(VIF) value is below 10.</w:t>
      </w:r>
    </w:p>
    <w:p w14:paraId="67861C2C" w14:textId="77777777" w:rsidR="00117D58" w:rsidRDefault="00117D58">
      <w:pPr>
        <w:pStyle w:val="BodyText"/>
        <w:spacing w:before="11"/>
        <w:ind w:left="0"/>
        <w:jc w:val="left"/>
        <w:rPr>
          <w:sz w:val="13"/>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7"/>
        <w:gridCol w:w="2252"/>
        <w:gridCol w:w="1157"/>
        <w:gridCol w:w="3351"/>
      </w:tblGrid>
      <w:tr w:rsidR="00117D58" w14:paraId="5EB9B3B8" w14:textId="77777777">
        <w:trPr>
          <w:trHeight w:val="412"/>
        </w:trPr>
        <w:tc>
          <w:tcPr>
            <w:tcW w:w="2257" w:type="dxa"/>
          </w:tcPr>
          <w:p w14:paraId="1EF3A0D3" w14:textId="77777777" w:rsidR="00117D58" w:rsidRDefault="00F52091">
            <w:pPr>
              <w:pStyle w:val="TableParagraph"/>
              <w:spacing w:line="273" w:lineRule="exact"/>
              <w:ind w:left="13"/>
              <w:rPr>
                <w:b/>
                <w:sz w:val="24"/>
              </w:rPr>
            </w:pPr>
            <w:r>
              <w:rPr>
                <w:b/>
                <w:spacing w:val="-2"/>
                <w:sz w:val="24"/>
              </w:rPr>
              <w:t>Variable</w:t>
            </w:r>
          </w:p>
        </w:tc>
        <w:tc>
          <w:tcPr>
            <w:tcW w:w="2252" w:type="dxa"/>
          </w:tcPr>
          <w:p w14:paraId="036D7428" w14:textId="77777777" w:rsidR="00117D58" w:rsidRDefault="00F52091">
            <w:pPr>
              <w:pStyle w:val="TableParagraph"/>
              <w:spacing w:line="273" w:lineRule="exact"/>
              <w:ind w:left="9" w:right="5"/>
              <w:rPr>
                <w:b/>
                <w:sz w:val="24"/>
              </w:rPr>
            </w:pPr>
            <w:r>
              <w:rPr>
                <w:b/>
                <w:spacing w:val="-2"/>
                <w:sz w:val="24"/>
              </w:rPr>
              <w:t>Tolerance</w:t>
            </w:r>
          </w:p>
        </w:tc>
        <w:tc>
          <w:tcPr>
            <w:tcW w:w="1157" w:type="dxa"/>
          </w:tcPr>
          <w:p w14:paraId="190DCA2C" w14:textId="77777777" w:rsidR="00117D58" w:rsidRDefault="00F52091">
            <w:pPr>
              <w:pStyle w:val="TableParagraph"/>
              <w:spacing w:line="273" w:lineRule="exact"/>
              <w:ind w:left="19" w:right="7"/>
              <w:rPr>
                <w:b/>
                <w:sz w:val="24"/>
              </w:rPr>
            </w:pPr>
            <w:r>
              <w:rPr>
                <w:b/>
                <w:spacing w:val="-5"/>
                <w:sz w:val="24"/>
              </w:rPr>
              <w:t>VIVID</w:t>
            </w:r>
          </w:p>
        </w:tc>
        <w:tc>
          <w:tcPr>
            <w:tcW w:w="3351" w:type="dxa"/>
          </w:tcPr>
          <w:p w14:paraId="4111B0D5" w14:textId="77777777" w:rsidR="00117D58" w:rsidRDefault="00F52091">
            <w:pPr>
              <w:pStyle w:val="TableParagraph"/>
              <w:spacing w:line="273" w:lineRule="exact"/>
              <w:ind w:left="13"/>
              <w:rPr>
                <w:b/>
                <w:sz w:val="24"/>
              </w:rPr>
            </w:pPr>
            <w:r>
              <w:rPr>
                <w:b/>
                <w:spacing w:val="-2"/>
                <w:sz w:val="24"/>
              </w:rPr>
              <w:t>Remarks</w:t>
            </w:r>
          </w:p>
        </w:tc>
      </w:tr>
      <w:tr w:rsidR="00117D58" w14:paraId="2C709FB9" w14:textId="77777777">
        <w:trPr>
          <w:trHeight w:val="412"/>
        </w:trPr>
        <w:tc>
          <w:tcPr>
            <w:tcW w:w="2257" w:type="dxa"/>
          </w:tcPr>
          <w:p w14:paraId="1530799B" w14:textId="77777777" w:rsidR="00117D58" w:rsidRDefault="00F52091">
            <w:pPr>
              <w:pStyle w:val="TableParagraph"/>
              <w:ind w:left="13" w:right="1"/>
              <w:rPr>
                <w:sz w:val="24"/>
              </w:rPr>
            </w:pPr>
            <w:r>
              <w:rPr>
                <w:sz w:val="24"/>
              </w:rPr>
              <w:t>Cashless (X)</w:t>
            </w:r>
          </w:p>
        </w:tc>
        <w:tc>
          <w:tcPr>
            <w:tcW w:w="2252" w:type="dxa"/>
          </w:tcPr>
          <w:p w14:paraId="7FB5E807" w14:textId="77777777" w:rsidR="00117D58" w:rsidRDefault="00F52091">
            <w:pPr>
              <w:pStyle w:val="TableParagraph"/>
              <w:ind w:left="9"/>
              <w:rPr>
                <w:sz w:val="24"/>
              </w:rPr>
            </w:pPr>
            <w:r>
              <w:rPr>
                <w:spacing w:val="-4"/>
                <w:sz w:val="24"/>
              </w:rPr>
              <w:t>1.000</w:t>
            </w:r>
          </w:p>
        </w:tc>
        <w:tc>
          <w:tcPr>
            <w:tcW w:w="1157" w:type="dxa"/>
          </w:tcPr>
          <w:p w14:paraId="009341A5" w14:textId="77777777" w:rsidR="00117D58" w:rsidRDefault="00F52091">
            <w:pPr>
              <w:pStyle w:val="TableParagraph"/>
              <w:ind w:left="19"/>
              <w:rPr>
                <w:sz w:val="24"/>
              </w:rPr>
            </w:pPr>
            <w:r>
              <w:rPr>
                <w:spacing w:val="-4"/>
                <w:sz w:val="24"/>
              </w:rPr>
              <w:t>1.000</w:t>
            </w:r>
          </w:p>
        </w:tc>
        <w:tc>
          <w:tcPr>
            <w:tcW w:w="3351" w:type="dxa"/>
          </w:tcPr>
          <w:p w14:paraId="2C49F60A" w14:textId="77777777" w:rsidR="00117D58" w:rsidRDefault="00F52091">
            <w:pPr>
              <w:pStyle w:val="TableParagraph"/>
              <w:ind w:left="13" w:right="7"/>
              <w:rPr>
                <w:sz w:val="24"/>
              </w:rPr>
            </w:pPr>
            <w:r>
              <w:rPr>
                <w:spacing w:val="-2"/>
                <w:sz w:val="24"/>
              </w:rPr>
              <w:t>No Multicollinearity Occurs</w:t>
            </w:r>
          </w:p>
        </w:tc>
      </w:tr>
    </w:tbl>
    <w:p w14:paraId="77AC4320" w14:textId="77777777" w:rsidR="00117D58" w:rsidRDefault="00F52091">
      <w:pPr>
        <w:pStyle w:val="BodyText"/>
        <w:ind w:left="738" w:right="738"/>
        <w:jc w:val="center"/>
      </w:pPr>
      <w:r>
        <w:t>Table 5. Multicollinearity Test</w:t>
      </w:r>
    </w:p>
    <w:p w14:paraId="26980CB0" w14:textId="77777777" w:rsidR="00117D58" w:rsidRDefault="00117D58">
      <w:pPr>
        <w:pStyle w:val="BodyText"/>
        <w:spacing w:before="16"/>
        <w:ind w:left="0"/>
        <w:jc w:val="left"/>
      </w:pPr>
    </w:p>
    <w:p w14:paraId="322B86F1" w14:textId="77777777" w:rsidR="00117D58" w:rsidRDefault="00F52091">
      <w:pPr>
        <w:pStyle w:val="BodyText"/>
        <w:spacing w:before="1" w:line="362" w:lineRule="auto"/>
        <w:ind w:right="22" w:firstLine="720"/>
      </w:pPr>
      <w:r>
        <w:t>The table shows a tolerance value of 1,000 (&gt;0.10) and a VIF value of 1,000 (&lt;10). Thus, the regression model is declared free of multicollinearity.</w:t>
      </w:r>
    </w:p>
    <w:p w14:paraId="4AE49E92" w14:textId="77777777" w:rsidR="00117D58" w:rsidRDefault="00F52091">
      <w:pPr>
        <w:pStyle w:val="Heading2"/>
        <w:spacing w:before="165"/>
        <w:jc w:val="left"/>
      </w:pPr>
      <w:r>
        <w:t>Heteroscedasticity Test</w:t>
      </w:r>
    </w:p>
    <w:p w14:paraId="3FA42AC5" w14:textId="77777777" w:rsidR="00117D58" w:rsidRDefault="00117D58">
      <w:pPr>
        <w:pStyle w:val="BodyText"/>
        <w:spacing w:before="9"/>
        <w:ind w:left="0"/>
        <w:jc w:val="left"/>
        <w:rPr>
          <w:b/>
        </w:rPr>
      </w:pPr>
    </w:p>
    <w:p w14:paraId="18099858" w14:textId="77777777" w:rsidR="00117D58" w:rsidRDefault="00F52091">
      <w:pPr>
        <w:pStyle w:val="BodyText"/>
        <w:spacing w:before="1" w:line="360" w:lineRule="auto"/>
        <w:ind w:right="17" w:firstLine="720"/>
      </w:pPr>
      <w:r>
        <w:t>The heteroscedasticity test was performed to determine whether there is residual variation in all predictor values in the regression model. This test was carried out using the scatterplot method. Creswell and Creswell (2024) explain that heteroscedasticity is stated to not occur if the dots on the scatterplot diagram are scattered randomly and do not form a specific pattern such as constricting or widening</w:t>
      </w:r>
    </w:p>
    <w:p w14:paraId="4326141A" w14:textId="77777777" w:rsidR="00117D58" w:rsidRDefault="00F52091">
      <w:pPr>
        <w:pStyle w:val="BodyText"/>
        <w:spacing w:before="1"/>
        <w:ind w:left="0"/>
        <w:jc w:val="left"/>
        <w:rPr>
          <w:sz w:val="20"/>
        </w:rPr>
      </w:pPr>
      <w:r>
        <w:rPr>
          <w:noProof/>
          <w:sz w:val="20"/>
        </w:rPr>
        <w:drawing>
          <wp:anchor distT="0" distB="0" distL="0" distR="0" simplePos="0" relativeHeight="251662336" behindDoc="1" locked="0" layoutInCell="1" allowOverlap="1" wp14:anchorId="2B575CB3" wp14:editId="518C1964">
            <wp:simplePos x="0" y="0"/>
            <wp:positionH relativeFrom="page">
              <wp:posOffset>2369640</wp:posOffset>
            </wp:positionH>
            <wp:positionV relativeFrom="paragraph">
              <wp:posOffset>162027</wp:posOffset>
            </wp:positionV>
            <wp:extent cx="2818650" cy="1611630"/>
            <wp:effectExtent l="0" t="0" r="0" b="0"/>
            <wp:wrapTopAndBottom/>
            <wp:docPr id="8" name="Image 8" descr="A graph of scatter plot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graph of scatter plot  AI-generated content may be incorrect."/>
                    <pic:cNvPicPr/>
                  </pic:nvPicPr>
                  <pic:blipFill>
                    <a:blip r:embed="rId7" cstate="print"/>
                    <a:stretch>
                      <a:fillRect/>
                    </a:stretch>
                  </pic:blipFill>
                  <pic:spPr>
                    <a:xfrm>
                      <a:off x="0" y="0"/>
                      <a:ext cx="2818650" cy="1611630"/>
                    </a:xfrm>
                    <a:prstGeom prst="rect">
                      <a:avLst/>
                    </a:prstGeom>
                  </pic:spPr>
                </pic:pic>
              </a:graphicData>
            </a:graphic>
          </wp:anchor>
        </w:drawing>
      </w:r>
    </w:p>
    <w:p w14:paraId="26DE02C3" w14:textId="77777777" w:rsidR="00117D58" w:rsidRDefault="00117D58">
      <w:pPr>
        <w:pStyle w:val="BodyText"/>
        <w:spacing w:before="128"/>
        <w:ind w:left="0"/>
        <w:jc w:val="left"/>
      </w:pPr>
    </w:p>
    <w:p w14:paraId="2E1CBA19" w14:textId="77777777" w:rsidR="00117D58" w:rsidRDefault="00F52091">
      <w:pPr>
        <w:pStyle w:val="BodyText"/>
        <w:ind w:left="716" w:right="722"/>
        <w:jc w:val="center"/>
      </w:pPr>
      <w:r>
        <w:t>Figure 2. Scatterplot Heteroscedasticity Test</w:t>
      </w:r>
    </w:p>
    <w:p w14:paraId="1F1C20F5" w14:textId="77777777" w:rsidR="00117D58" w:rsidRDefault="00117D58">
      <w:pPr>
        <w:pStyle w:val="BodyText"/>
        <w:spacing w:before="14"/>
        <w:ind w:left="0"/>
        <w:jc w:val="left"/>
      </w:pPr>
    </w:p>
    <w:p w14:paraId="1529229C" w14:textId="77777777" w:rsidR="00117D58" w:rsidRDefault="00F52091">
      <w:pPr>
        <w:pStyle w:val="BodyText"/>
        <w:spacing w:line="362" w:lineRule="auto"/>
        <w:ind w:right="16" w:firstLine="720"/>
      </w:pPr>
      <w:r>
        <w:t>The image shows that the dots are randomly scattered above and below the zero value, without any specific pattern. Therefore, it can be concluded that there is no heteroscedasticity in the regression model.</w:t>
      </w:r>
    </w:p>
    <w:p w14:paraId="662178B6" w14:textId="77777777" w:rsidR="00117D58" w:rsidRDefault="00117D58">
      <w:pPr>
        <w:pStyle w:val="BodyText"/>
        <w:spacing w:line="362" w:lineRule="auto"/>
        <w:sectPr w:rsidR="00117D58">
          <w:pgSz w:w="11910" w:h="16840"/>
          <w:pgMar w:top="1340" w:right="1417" w:bottom="280" w:left="1417" w:header="720" w:footer="720" w:gutter="0"/>
          <w:cols w:space="720"/>
        </w:sectPr>
      </w:pPr>
    </w:p>
    <w:p w14:paraId="2D20C73E" w14:textId="77777777" w:rsidR="00117D58" w:rsidRDefault="00F52091">
      <w:pPr>
        <w:pStyle w:val="Heading2"/>
        <w:spacing w:before="63"/>
        <w:jc w:val="left"/>
      </w:pPr>
      <w:r>
        <w:lastRenderedPageBreak/>
        <w:t>Simple Linear Analysis Test</w:t>
      </w:r>
    </w:p>
    <w:p w14:paraId="5D88694B" w14:textId="77777777" w:rsidR="00117D58" w:rsidRDefault="00117D58">
      <w:pPr>
        <w:pStyle w:val="BodyText"/>
        <w:spacing w:before="14"/>
        <w:ind w:left="0"/>
        <w:jc w:val="left"/>
        <w:rPr>
          <w:b/>
        </w:rPr>
      </w:pPr>
    </w:p>
    <w:p w14:paraId="553C3EEE" w14:textId="64FAEE71" w:rsidR="00117D58" w:rsidRDefault="00F52091">
      <w:pPr>
        <w:spacing w:before="1" w:line="364" w:lineRule="auto"/>
        <w:ind w:left="23" w:firstLine="720"/>
        <w:rPr>
          <w:sz w:val="24"/>
        </w:rPr>
      </w:pPr>
      <w:r>
        <w:rPr>
          <w:sz w:val="24"/>
        </w:rPr>
        <w:t xml:space="preserve">This analysis was used to determine the influence of the independent variable </w:t>
      </w:r>
      <w:r w:rsidR="006768C0">
        <w:rPr>
          <w:i/>
          <w:sz w:val="24"/>
        </w:rPr>
        <w:t xml:space="preserve">of Non-Cash Transactions </w:t>
      </w:r>
      <w:r>
        <w:rPr>
          <w:sz w:val="24"/>
        </w:rPr>
        <w:t xml:space="preserve">(X) on the dependent variable </w:t>
      </w:r>
      <w:r>
        <w:rPr>
          <w:i/>
          <w:sz w:val="24"/>
        </w:rPr>
        <w:t xml:space="preserve">of Saving Behavior </w:t>
      </w:r>
      <w:r>
        <w:rPr>
          <w:sz w:val="24"/>
        </w:rPr>
        <w:t>(Y).</w:t>
      </w:r>
    </w:p>
    <w:p w14:paraId="034724C1" w14:textId="77777777" w:rsidR="00117D58" w:rsidRDefault="00117D58">
      <w:pPr>
        <w:pStyle w:val="BodyText"/>
        <w:spacing w:before="36"/>
        <w:ind w:left="0"/>
        <w:jc w:val="left"/>
        <w:rPr>
          <w:sz w:val="15"/>
        </w:rPr>
      </w:pPr>
    </w:p>
    <w:p w14:paraId="5B59AFFE" w14:textId="77777777" w:rsidR="00117D58" w:rsidRDefault="00F52091">
      <w:pPr>
        <w:ind w:left="738" w:right="718"/>
        <w:jc w:val="center"/>
        <w:rPr>
          <w:rFonts w:ascii="Arial"/>
          <w:b/>
          <w:sz w:val="15"/>
        </w:rPr>
      </w:pPr>
      <w:r>
        <w:rPr>
          <w:rFonts w:ascii="Arial"/>
          <w:b/>
          <w:color w:val="000104"/>
          <w:spacing w:val="-2"/>
          <w:w w:val="105"/>
          <w:sz w:val="15"/>
        </w:rPr>
        <w:t>Coefficient</w:t>
      </w:r>
    </w:p>
    <w:tbl>
      <w:tblPr>
        <w:tblW w:w="0" w:type="auto"/>
        <w:tblInd w:w="1666" w:type="dxa"/>
        <w:tblBorders>
          <w:top w:val="single" w:sz="6" w:space="0" w:color="DFDFDF"/>
          <w:left w:val="single" w:sz="6" w:space="0" w:color="DFDFDF"/>
          <w:bottom w:val="single" w:sz="6" w:space="0" w:color="DFDFDF"/>
          <w:right w:val="single" w:sz="6" w:space="0" w:color="DFDFDF"/>
          <w:insideH w:val="single" w:sz="6" w:space="0" w:color="DFDFDF"/>
          <w:insideV w:val="single" w:sz="6" w:space="0" w:color="DFDFDF"/>
        </w:tblBorders>
        <w:tblLayout w:type="fixed"/>
        <w:tblCellMar>
          <w:left w:w="0" w:type="dxa"/>
          <w:right w:w="0" w:type="dxa"/>
        </w:tblCellMar>
        <w:tblLook w:val="01E0" w:firstRow="1" w:lastRow="1" w:firstColumn="1" w:lastColumn="1" w:noHBand="0" w:noVBand="0"/>
      </w:tblPr>
      <w:tblGrid>
        <w:gridCol w:w="523"/>
        <w:gridCol w:w="840"/>
        <w:gridCol w:w="950"/>
        <w:gridCol w:w="950"/>
        <w:gridCol w:w="1048"/>
        <w:gridCol w:w="732"/>
        <w:gridCol w:w="724"/>
      </w:tblGrid>
      <w:tr w:rsidR="00117D58" w14:paraId="44E3CF8E" w14:textId="77777777">
        <w:trPr>
          <w:trHeight w:val="448"/>
        </w:trPr>
        <w:tc>
          <w:tcPr>
            <w:tcW w:w="3263" w:type="dxa"/>
            <w:gridSpan w:val="4"/>
            <w:tcBorders>
              <w:top w:val="nil"/>
              <w:left w:val="nil"/>
              <w:bottom w:val="nil"/>
            </w:tcBorders>
          </w:tcPr>
          <w:p w14:paraId="1AC17FBD" w14:textId="77777777" w:rsidR="00117D58" w:rsidRDefault="00117D58">
            <w:pPr>
              <w:pStyle w:val="TableParagraph"/>
              <w:spacing w:line="240" w:lineRule="auto"/>
              <w:jc w:val="left"/>
              <w:rPr>
                <w:rFonts w:ascii="Arial"/>
                <w:b/>
                <w:sz w:val="12"/>
              </w:rPr>
            </w:pPr>
          </w:p>
          <w:p w14:paraId="0C4E45B0" w14:textId="77777777" w:rsidR="00117D58" w:rsidRDefault="00117D58">
            <w:pPr>
              <w:pStyle w:val="TableParagraph"/>
              <w:spacing w:before="37" w:line="240" w:lineRule="auto"/>
              <w:jc w:val="left"/>
              <w:rPr>
                <w:rFonts w:ascii="Arial"/>
                <w:b/>
                <w:sz w:val="12"/>
              </w:rPr>
            </w:pPr>
          </w:p>
          <w:p w14:paraId="31D4241D" w14:textId="77777777" w:rsidR="00117D58" w:rsidRDefault="00F52091">
            <w:pPr>
              <w:pStyle w:val="TableParagraph"/>
              <w:spacing w:line="115" w:lineRule="exact"/>
              <w:ind w:left="1506"/>
              <w:jc w:val="left"/>
              <w:rPr>
                <w:rFonts w:ascii="Arial MT"/>
                <w:sz w:val="12"/>
              </w:rPr>
            </w:pPr>
            <w:r>
              <w:rPr>
                <w:rFonts w:ascii="Arial MT"/>
                <w:color w:val="25495F"/>
                <w:w w:val="105"/>
                <w:sz w:val="12"/>
              </w:rPr>
              <w:t>Unstandardized Coefficients</w:t>
            </w:r>
          </w:p>
        </w:tc>
        <w:tc>
          <w:tcPr>
            <w:tcW w:w="1048" w:type="dxa"/>
            <w:vMerge w:val="restart"/>
            <w:tcBorders>
              <w:top w:val="nil"/>
              <w:bottom w:val="single" w:sz="6" w:space="0" w:color="152935"/>
            </w:tcBorders>
          </w:tcPr>
          <w:p w14:paraId="327A48B3" w14:textId="77777777" w:rsidR="00117D58" w:rsidRDefault="00F52091">
            <w:pPr>
              <w:pStyle w:val="TableParagraph"/>
              <w:spacing w:before="84" w:line="240" w:lineRule="auto"/>
              <w:ind w:left="179" w:hanging="43"/>
              <w:jc w:val="left"/>
              <w:rPr>
                <w:rFonts w:ascii="Arial MT"/>
                <w:sz w:val="12"/>
              </w:rPr>
            </w:pPr>
            <w:r>
              <w:rPr>
                <w:rFonts w:ascii="Arial MT"/>
                <w:color w:val="25495F"/>
                <w:spacing w:val="-2"/>
                <w:w w:val="105"/>
                <w:sz w:val="12"/>
              </w:rPr>
              <w:t>Standardized</w:t>
            </w:r>
          </w:p>
          <w:p w14:paraId="1843BE8A" w14:textId="77777777" w:rsidR="00117D58" w:rsidRDefault="00F52091">
            <w:pPr>
              <w:pStyle w:val="TableParagraph"/>
              <w:spacing w:line="220" w:lineRule="atLeast"/>
              <w:ind w:left="382" w:hanging="204"/>
              <w:jc w:val="left"/>
              <w:rPr>
                <w:rFonts w:ascii="Arial MT"/>
                <w:sz w:val="12"/>
              </w:rPr>
            </w:pPr>
            <w:r>
              <w:rPr>
                <w:rFonts w:ascii="Arial MT"/>
                <w:color w:val="25495F"/>
                <w:spacing w:val="-2"/>
                <w:w w:val="105"/>
                <w:sz w:val="12"/>
              </w:rPr>
              <w:t>Coefficients Beta</w:t>
            </w:r>
          </w:p>
        </w:tc>
        <w:tc>
          <w:tcPr>
            <w:tcW w:w="732" w:type="dxa"/>
            <w:vMerge w:val="restart"/>
            <w:tcBorders>
              <w:top w:val="nil"/>
              <w:bottom w:val="single" w:sz="6" w:space="0" w:color="152935"/>
            </w:tcBorders>
          </w:tcPr>
          <w:p w14:paraId="79F180DB" w14:textId="77777777" w:rsidR="00117D58" w:rsidRDefault="00117D58">
            <w:pPr>
              <w:pStyle w:val="TableParagraph"/>
              <w:spacing w:line="240" w:lineRule="auto"/>
              <w:jc w:val="left"/>
              <w:rPr>
                <w:rFonts w:ascii="Arial"/>
                <w:b/>
                <w:sz w:val="12"/>
              </w:rPr>
            </w:pPr>
          </w:p>
          <w:p w14:paraId="40E951C3" w14:textId="77777777" w:rsidR="00117D58" w:rsidRDefault="00117D58">
            <w:pPr>
              <w:pStyle w:val="TableParagraph"/>
              <w:spacing w:line="240" w:lineRule="auto"/>
              <w:jc w:val="left"/>
              <w:rPr>
                <w:rFonts w:ascii="Arial"/>
                <w:b/>
                <w:sz w:val="12"/>
              </w:rPr>
            </w:pPr>
          </w:p>
          <w:p w14:paraId="51F27796" w14:textId="77777777" w:rsidR="00117D58" w:rsidRDefault="00117D58">
            <w:pPr>
              <w:pStyle w:val="TableParagraph"/>
              <w:spacing w:before="126" w:line="240" w:lineRule="auto"/>
              <w:jc w:val="left"/>
              <w:rPr>
                <w:rFonts w:ascii="Arial"/>
                <w:b/>
                <w:sz w:val="12"/>
              </w:rPr>
            </w:pPr>
          </w:p>
          <w:p w14:paraId="5DE295D9" w14:textId="77777777" w:rsidR="00117D58" w:rsidRDefault="00F52091">
            <w:pPr>
              <w:pStyle w:val="TableParagraph"/>
              <w:spacing w:line="122" w:lineRule="exact"/>
              <w:ind w:right="4"/>
              <w:rPr>
                <w:rFonts w:ascii="Arial MT"/>
                <w:sz w:val="12"/>
              </w:rPr>
            </w:pPr>
            <w:r>
              <w:rPr>
                <w:rFonts w:ascii="Arial MT"/>
                <w:color w:val="25495F"/>
                <w:spacing w:val="-10"/>
                <w:w w:val="105"/>
                <w:sz w:val="12"/>
              </w:rPr>
              <w:t>t</w:t>
            </w:r>
          </w:p>
        </w:tc>
        <w:tc>
          <w:tcPr>
            <w:tcW w:w="724" w:type="dxa"/>
            <w:vMerge w:val="restart"/>
            <w:tcBorders>
              <w:top w:val="nil"/>
              <w:bottom w:val="single" w:sz="6" w:space="0" w:color="152935"/>
              <w:right w:val="nil"/>
            </w:tcBorders>
          </w:tcPr>
          <w:p w14:paraId="589B964C" w14:textId="77777777" w:rsidR="00117D58" w:rsidRDefault="00117D58">
            <w:pPr>
              <w:pStyle w:val="TableParagraph"/>
              <w:spacing w:line="240" w:lineRule="auto"/>
              <w:jc w:val="left"/>
              <w:rPr>
                <w:rFonts w:ascii="Arial"/>
                <w:b/>
                <w:sz w:val="12"/>
              </w:rPr>
            </w:pPr>
          </w:p>
          <w:p w14:paraId="63E1D419" w14:textId="77777777" w:rsidR="00117D58" w:rsidRDefault="00117D58">
            <w:pPr>
              <w:pStyle w:val="TableParagraph"/>
              <w:spacing w:line="240" w:lineRule="auto"/>
              <w:jc w:val="left"/>
              <w:rPr>
                <w:rFonts w:ascii="Arial"/>
                <w:b/>
                <w:sz w:val="12"/>
              </w:rPr>
            </w:pPr>
          </w:p>
          <w:p w14:paraId="6992B1E6" w14:textId="77777777" w:rsidR="00117D58" w:rsidRDefault="00117D58">
            <w:pPr>
              <w:pStyle w:val="TableParagraph"/>
              <w:spacing w:before="126" w:line="240" w:lineRule="auto"/>
              <w:jc w:val="left"/>
              <w:rPr>
                <w:rFonts w:ascii="Arial"/>
                <w:b/>
                <w:sz w:val="12"/>
              </w:rPr>
            </w:pPr>
          </w:p>
          <w:p w14:paraId="3BBFB732" w14:textId="77777777" w:rsidR="00117D58" w:rsidRDefault="00F52091">
            <w:pPr>
              <w:pStyle w:val="TableParagraph"/>
              <w:spacing w:line="122" w:lineRule="exact"/>
              <w:rPr>
                <w:rFonts w:ascii="Arial MT"/>
                <w:sz w:val="12"/>
              </w:rPr>
            </w:pPr>
            <w:r>
              <w:rPr>
                <w:rFonts w:ascii="Arial MT"/>
                <w:color w:val="25495F"/>
                <w:spacing w:val="-4"/>
                <w:w w:val="105"/>
                <w:sz w:val="12"/>
              </w:rPr>
              <w:t>Sig.</w:t>
            </w:r>
          </w:p>
        </w:tc>
      </w:tr>
      <w:tr w:rsidR="00117D58" w14:paraId="529A3C71" w14:textId="77777777">
        <w:trPr>
          <w:trHeight w:val="219"/>
        </w:trPr>
        <w:tc>
          <w:tcPr>
            <w:tcW w:w="2313" w:type="dxa"/>
            <w:gridSpan w:val="3"/>
            <w:tcBorders>
              <w:top w:val="nil"/>
              <w:left w:val="nil"/>
              <w:bottom w:val="single" w:sz="6" w:space="0" w:color="152935"/>
            </w:tcBorders>
          </w:tcPr>
          <w:p w14:paraId="729E64FB" w14:textId="77777777" w:rsidR="00117D58" w:rsidRDefault="00F52091">
            <w:pPr>
              <w:pStyle w:val="TableParagraph"/>
              <w:tabs>
                <w:tab w:val="left" w:pos="1791"/>
              </w:tabs>
              <w:spacing w:before="77" w:line="122" w:lineRule="exact"/>
              <w:ind w:left="42"/>
              <w:jc w:val="left"/>
              <w:rPr>
                <w:rFonts w:ascii="Arial MT"/>
                <w:sz w:val="12"/>
              </w:rPr>
            </w:pPr>
            <w:r>
              <w:rPr>
                <w:rFonts w:ascii="Arial MT"/>
                <w:color w:val="25495F"/>
                <w:spacing w:val="-2"/>
                <w:w w:val="105"/>
                <w:sz w:val="12"/>
              </w:rPr>
              <w:t>Models</w:t>
            </w:r>
            <w:r>
              <w:rPr>
                <w:rFonts w:ascii="Arial MT"/>
                <w:color w:val="25495F"/>
                <w:sz w:val="12"/>
              </w:rPr>
              <w:tab/>
            </w:r>
            <w:r>
              <w:rPr>
                <w:rFonts w:ascii="Arial MT"/>
                <w:color w:val="25495F"/>
                <w:spacing w:val="-10"/>
                <w:w w:val="105"/>
                <w:sz w:val="12"/>
              </w:rPr>
              <w:t>B</w:t>
            </w:r>
          </w:p>
        </w:tc>
        <w:tc>
          <w:tcPr>
            <w:tcW w:w="950" w:type="dxa"/>
            <w:tcBorders>
              <w:top w:val="nil"/>
              <w:bottom w:val="single" w:sz="6" w:space="0" w:color="152935"/>
            </w:tcBorders>
          </w:tcPr>
          <w:p w14:paraId="4194EEB0" w14:textId="77777777" w:rsidR="00117D58" w:rsidRDefault="00F52091">
            <w:pPr>
              <w:pStyle w:val="TableParagraph"/>
              <w:spacing w:before="77" w:line="122" w:lineRule="exact"/>
              <w:ind w:left="191"/>
              <w:jc w:val="left"/>
              <w:rPr>
                <w:rFonts w:ascii="Arial MT"/>
                <w:sz w:val="12"/>
              </w:rPr>
            </w:pPr>
            <w:r>
              <w:rPr>
                <w:rFonts w:ascii="Arial MT"/>
                <w:color w:val="25495F"/>
                <w:w w:val="105"/>
                <w:sz w:val="12"/>
              </w:rPr>
              <w:t>Std. Error</w:t>
            </w:r>
          </w:p>
        </w:tc>
        <w:tc>
          <w:tcPr>
            <w:tcW w:w="1048" w:type="dxa"/>
            <w:vMerge/>
            <w:tcBorders>
              <w:top w:val="nil"/>
              <w:bottom w:val="single" w:sz="6" w:space="0" w:color="152935"/>
            </w:tcBorders>
          </w:tcPr>
          <w:p w14:paraId="0995B95F" w14:textId="77777777" w:rsidR="00117D58" w:rsidRDefault="00117D58">
            <w:pPr>
              <w:rPr>
                <w:sz w:val="2"/>
                <w:szCs w:val="2"/>
              </w:rPr>
            </w:pPr>
          </w:p>
        </w:tc>
        <w:tc>
          <w:tcPr>
            <w:tcW w:w="732" w:type="dxa"/>
            <w:vMerge/>
            <w:tcBorders>
              <w:top w:val="nil"/>
              <w:bottom w:val="single" w:sz="6" w:space="0" w:color="152935"/>
            </w:tcBorders>
          </w:tcPr>
          <w:p w14:paraId="4FF52669" w14:textId="77777777" w:rsidR="00117D58" w:rsidRDefault="00117D58">
            <w:pPr>
              <w:rPr>
                <w:sz w:val="2"/>
                <w:szCs w:val="2"/>
              </w:rPr>
            </w:pPr>
          </w:p>
        </w:tc>
        <w:tc>
          <w:tcPr>
            <w:tcW w:w="724" w:type="dxa"/>
            <w:vMerge/>
            <w:tcBorders>
              <w:top w:val="nil"/>
              <w:bottom w:val="single" w:sz="6" w:space="0" w:color="152935"/>
              <w:right w:val="nil"/>
            </w:tcBorders>
          </w:tcPr>
          <w:p w14:paraId="0ACF6D21" w14:textId="77777777" w:rsidR="00117D58" w:rsidRDefault="00117D58">
            <w:pPr>
              <w:rPr>
                <w:sz w:val="2"/>
                <w:szCs w:val="2"/>
              </w:rPr>
            </w:pPr>
          </w:p>
        </w:tc>
      </w:tr>
      <w:tr w:rsidR="00117D58" w14:paraId="07357F02" w14:textId="77777777">
        <w:trPr>
          <w:trHeight w:val="227"/>
        </w:trPr>
        <w:tc>
          <w:tcPr>
            <w:tcW w:w="523" w:type="dxa"/>
            <w:vMerge w:val="restart"/>
            <w:tcBorders>
              <w:top w:val="single" w:sz="6" w:space="0" w:color="152935"/>
              <w:left w:val="nil"/>
              <w:bottom w:val="single" w:sz="4" w:space="0" w:color="152935"/>
              <w:right w:val="nil"/>
            </w:tcBorders>
            <w:shd w:val="clear" w:color="auto" w:fill="DFDFDF"/>
          </w:tcPr>
          <w:p w14:paraId="020D9066" w14:textId="77777777" w:rsidR="00117D58" w:rsidRDefault="00F52091">
            <w:pPr>
              <w:pStyle w:val="TableParagraph"/>
              <w:spacing w:before="85" w:line="240" w:lineRule="auto"/>
              <w:ind w:left="42"/>
              <w:jc w:val="left"/>
              <w:rPr>
                <w:rFonts w:ascii="Arial MT"/>
                <w:sz w:val="12"/>
              </w:rPr>
            </w:pPr>
            <w:r>
              <w:rPr>
                <w:rFonts w:ascii="Arial MT"/>
                <w:color w:val="25495F"/>
                <w:spacing w:val="-10"/>
                <w:w w:val="105"/>
                <w:sz w:val="12"/>
              </w:rPr>
              <w:t>1</w:t>
            </w:r>
          </w:p>
        </w:tc>
        <w:tc>
          <w:tcPr>
            <w:tcW w:w="840" w:type="dxa"/>
            <w:tcBorders>
              <w:top w:val="single" w:sz="6" w:space="0" w:color="152935"/>
              <w:left w:val="nil"/>
              <w:bottom w:val="single" w:sz="6" w:space="0" w:color="ADADAD"/>
              <w:right w:val="nil"/>
            </w:tcBorders>
            <w:shd w:val="clear" w:color="auto" w:fill="DFDFDF"/>
          </w:tcPr>
          <w:p w14:paraId="5D694842" w14:textId="77777777" w:rsidR="00117D58" w:rsidRDefault="00F52091">
            <w:pPr>
              <w:pStyle w:val="TableParagraph"/>
              <w:spacing w:before="85" w:line="122" w:lineRule="exact"/>
              <w:ind w:left="42"/>
              <w:jc w:val="left"/>
              <w:rPr>
                <w:rFonts w:ascii="Arial MT"/>
                <w:sz w:val="12"/>
              </w:rPr>
            </w:pPr>
            <w:r>
              <w:rPr>
                <w:rFonts w:ascii="Arial MT"/>
                <w:color w:val="25495F"/>
                <w:spacing w:val="-2"/>
                <w:w w:val="105"/>
                <w:sz w:val="12"/>
              </w:rPr>
              <w:t>(Constant)</w:t>
            </w:r>
          </w:p>
        </w:tc>
        <w:tc>
          <w:tcPr>
            <w:tcW w:w="950" w:type="dxa"/>
            <w:tcBorders>
              <w:top w:val="single" w:sz="6" w:space="0" w:color="152935"/>
              <w:left w:val="nil"/>
              <w:bottom w:val="single" w:sz="6" w:space="0" w:color="ADADAD"/>
            </w:tcBorders>
            <w:shd w:val="clear" w:color="auto" w:fill="F8F8FA"/>
          </w:tcPr>
          <w:p w14:paraId="2B05F674" w14:textId="77777777" w:rsidR="00117D58" w:rsidRDefault="00F52091">
            <w:pPr>
              <w:pStyle w:val="TableParagraph"/>
              <w:spacing w:before="85" w:line="122" w:lineRule="exact"/>
              <w:ind w:right="39"/>
              <w:jc w:val="right"/>
              <w:rPr>
                <w:rFonts w:ascii="Arial MT"/>
                <w:sz w:val="12"/>
              </w:rPr>
            </w:pPr>
            <w:r>
              <w:rPr>
                <w:rFonts w:ascii="Arial MT"/>
                <w:color w:val="000104"/>
                <w:spacing w:val="-2"/>
                <w:w w:val="105"/>
                <w:sz w:val="12"/>
              </w:rPr>
              <w:t>13.654</w:t>
            </w:r>
          </w:p>
        </w:tc>
        <w:tc>
          <w:tcPr>
            <w:tcW w:w="950" w:type="dxa"/>
            <w:tcBorders>
              <w:top w:val="single" w:sz="6" w:space="0" w:color="152935"/>
              <w:bottom w:val="single" w:sz="6" w:space="0" w:color="ADADAD"/>
            </w:tcBorders>
            <w:shd w:val="clear" w:color="auto" w:fill="F8F8FA"/>
          </w:tcPr>
          <w:p w14:paraId="1ECC8EE5" w14:textId="77777777" w:rsidR="00117D58" w:rsidRDefault="00F52091">
            <w:pPr>
              <w:pStyle w:val="TableParagraph"/>
              <w:spacing w:before="85" w:line="122" w:lineRule="exact"/>
              <w:ind w:right="42"/>
              <w:jc w:val="right"/>
              <w:rPr>
                <w:rFonts w:ascii="Arial MT"/>
                <w:sz w:val="12"/>
              </w:rPr>
            </w:pPr>
            <w:r>
              <w:rPr>
                <w:rFonts w:ascii="Arial MT"/>
                <w:color w:val="000104"/>
                <w:spacing w:val="-2"/>
                <w:w w:val="105"/>
                <w:sz w:val="12"/>
              </w:rPr>
              <w:t>4.348</w:t>
            </w:r>
          </w:p>
        </w:tc>
        <w:tc>
          <w:tcPr>
            <w:tcW w:w="1048" w:type="dxa"/>
            <w:tcBorders>
              <w:top w:val="single" w:sz="6" w:space="0" w:color="152935"/>
              <w:bottom w:val="single" w:sz="6" w:space="0" w:color="ADADAD"/>
            </w:tcBorders>
            <w:shd w:val="clear" w:color="auto" w:fill="F8F8FA"/>
          </w:tcPr>
          <w:p w14:paraId="289296FF" w14:textId="77777777" w:rsidR="00117D58" w:rsidRDefault="00117D58">
            <w:pPr>
              <w:pStyle w:val="TableParagraph"/>
              <w:spacing w:line="240" w:lineRule="auto"/>
              <w:jc w:val="left"/>
              <w:rPr>
                <w:sz w:val="16"/>
              </w:rPr>
            </w:pPr>
          </w:p>
        </w:tc>
        <w:tc>
          <w:tcPr>
            <w:tcW w:w="732" w:type="dxa"/>
            <w:tcBorders>
              <w:top w:val="single" w:sz="6" w:space="0" w:color="152935"/>
              <w:bottom w:val="single" w:sz="6" w:space="0" w:color="ADADAD"/>
            </w:tcBorders>
            <w:shd w:val="clear" w:color="auto" w:fill="F8F8FA"/>
          </w:tcPr>
          <w:p w14:paraId="1AB78A22" w14:textId="77777777" w:rsidR="00117D58" w:rsidRDefault="00F52091">
            <w:pPr>
              <w:pStyle w:val="TableParagraph"/>
              <w:spacing w:before="85" w:line="122" w:lineRule="exact"/>
              <w:ind w:right="42"/>
              <w:jc w:val="right"/>
              <w:rPr>
                <w:rFonts w:ascii="Arial MT"/>
                <w:sz w:val="12"/>
              </w:rPr>
            </w:pPr>
            <w:r>
              <w:rPr>
                <w:rFonts w:ascii="Arial MT"/>
                <w:color w:val="000104"/>
                <w:spacing w:val="-2"/>
                <w:w w:val="105"/>
                <w:sz w:val="12"/>
              </w:rPr>
              <w:t>3.140</w:t>
            </w:r>
          </w:p>
        </w:tc>
        <w:tc>
          <w:tcPr>
            <w:tcW w:w="724" w:type="dxa"/>
            <w:tcBorders>
              <w:top w:val="single" w:sz="6" w:space="0" w:color="152935"/>
              <w:bottom w:val="single" w:sz="6" w:space="0" w:color="ADADAD"/>
              <w:right w:val="nil"/>
            </w:tcBorders>
            <w:shd w:val="clear" w:color="auto" w:fill="F8F8FA"/>
          </w:tcPr>
          <w:p w14:paraId="0E3AF77F" w14:textId="77777777" w:rsidR="00117D58" w:rsidRDefault="00F52091">
            <w:pPr>
              <w:pStyle w:val="TableParagraph"/>
              <w:spacing w:before="85" w:line="122" w:lineRule="exact"/>
              <w:ind w:right="35"/>
              <w:jc w:val="right"/>
              <w:rPr>
                <w:rFonts w:ascii="Arial MT"/>
                <w:sz w:val="12"/>
              </w:rPr>
            </w:pPr>
            <w:r>
              <w:rPr>
                <w:rFonts w:ascii="Arial MT"/>
                <w:color w:val="000104"/>
                <w:spacing w:val="-4"/>
                <w:w w:val="105"/>
                <w:sz w:val="12"/>
              </w:rPr>
              <w:t>.002</w:t>
            </w:r>
          </w:p>
        </w:tc>
      </w:tr>
      <w:tr w:rsidR="00117D58" w14:paraId="7AFB3E63" w14:textId="77777777">
        <w:trPr>
          <w:trHeight w:val="226"/>
        </w:trPr>
        <w:tc>
          <w:tcPr>
            <w:tcW w:w="523" w:type="dxa"/>
            <w:vMerge/>
            <w:tcBorders>
              <w:top w:val="nil"/>
              <w:left w:val="nil"/>
              <w:bottom w:val="single" w:sz="4" w:space="0" w:color="152935"/>
              <w:right w:val="nil"/>
            </w:tcBorders>
            <w:shd w:val="clear" w:color="auto" w:fill="DFDFDF"/>
          </w:tcPr>
          <w:p w14:paraId="2A562839" w14:textId="77777777" w:rsidR="00117D58" w:rsidRDefault="00117D58">
            <w:pPr>
              <w:rPr>
                <w:sz w:val="2"/>
                <w:szCs w:val="2"/>
              </w:rPr>
            </w:pPr>
          </w:p>
        </w:tc>
        <w:tc>
          <w:tcPr>
            <w:tcW w:w="840" w:type="dxa"/>
            <w:tcBorders>
              <w:top w:val="single" w:sz="6" w:space="0" w:color="ADADAD"/>
              <w:left w:val="nil"/>
              <w:bottom w:val="single" w:sz="4" w:space="0" w:color="152935"/>
              <w:right w:val="nil"/>
            </w:tcBorders>
            <w:shd w:val="clear" w:color="auto" w:fill="DFDFDF"/>
          </w:tcPr>
          <w:p w14:paraId="4651EAE6" w14:textId="77777777" w:rsidR="00117D58" w:rsidRDefault="00F52091">
            <w:pPr>
              <w:pStyle w:val="TableParagraph"/>
              <w:spacing w:before="84" w:line="123" w:lineRule="exact"/>
              <w:ind w:left="42"/>
              <w:jc w:val="left"/>
              <w:rPr>
                <w:rFonts w:ascii="Arial MT"/>
                <w:sz w:val="12"/>
              </w:rPr>
            </w:pPr>
            <w:r>
              <w:rPr>
                <w:rFonts w:ascii="Arial MT"/>
                <w:color w:val="25495F"/>
                <w:spacing w:val="-2"/>
                <w:w w:val="105"/>
                <w:sz w:val="12"/>
              </w:rPr>
              <w:t>Cashless</w:t>
            </w:r>
          </w:p>
        </w:tc>
        <w:tc>
          <w:tcPr>
            <w:tcW w:w="950" w:type="dxa"/>
            <w:tcBorders>
              <w:top w:val="single" w:sz="6" w:space="0" w:color="ADADAD"/>
              <w:left w:val="nil"/>
              <w:bottom w:val="single" w:sz="4" w:space="0" w:color="152935"/>
            </w:tcBorders>
            <w:shd w:val="clear" w:color="auto" w:fill="F8F8FA"/>
          </w:tcPr>
          <w:p w14:paraId="4FAD4B60" w14:textId="77777777" w:rsidR="00117D58" w:rsidRDefault="00F52091">
            <w:pPr>
              <w:pStyle w:val="TableParagraph"/>
              <w:spacing w:before="84" w:line="123" w:lineRule="exact"/>
              <w:ind w:right="39"/>
              <w:jc w:val="right"/>
              <w:rPr>
                <w:rFonts w:ascii="Arial MT"/>
                <w:sz w:val="12"/>
              </w:rPr>
            </w:pPr>
            <w:r>
              <w:rPr>
                <w:rFonts w:ascii="Arial MT"/>
                <w:color w:val="000104"/>
                <w:spacing w:val="-4"/>
                <w:w w:val="105"/>
                <w:sz w:val="12"/>
              </w:rPr>
              <w:t>.554</w:t>
            </w:r>
          </w:p>
        </w:tc>
        <w:tc>
          <w:tcPr>
            <w:tcW w:w="950" w:type="dxa"/>
            <w:tcBorders>
              <w:top w:val="single" w:sz="6" w:space="0" w:color="ADADAD"/>
              <w:bottom w:val="single" w:sz="4" w:space="0" w:color="152935"/>
            </w:tcBorders>
            <w:shd w:val="clear" w:color="auto" w:fill="F8F8FA"/>
          </w:tcPr>
          <w:p w14:paraId="46318933" w14:textId="77777777" w:rsidR="00117D58" w:rsidRDefault="00F52091">
            <w:pPr>
              <w:pStyle w:val="TableParagraph"/>
              <w:spacing w:before="84" w:line="123" w:lineRule="exact"/>
              <w:ind w:right="41"/>
              <w:jc w:val="right"/>
              <w:rPr>
                <w:rFonts w:ascii="Arial MT"/>
                <w:sz w:val="12"/>
              </w:rPr>
            </w:pPr>
            <w:r>
              <w:rPr>
                <w:rFonts w:ascii="Arial MT"/>
                <w:color w:val="000104"/>
                <w:spacing w:val="-4"/>
                <w:w w:val="105"/>
                <w:sz w:val="12"/>
              </w:rPr>
              <w:t>.133</w:t>
            </w:r>
          </w:p>
        </w:tc>
        <w:tc>
          <w:tcPr>
            <w:tcW w:w="1048" w:type="dxa"/>
            <w:tcBorders>
              <w:top w:val="single" w:sz="6" w:space="0" w:color="ADADAD"/>
              <w:bottom w:val="single" w:sz="4" w:space="0" w:color="152935"/>
            </w:tcBorders>
            <w:shd w:val="clear" w:color="auto" w:fill="F8F8FA"/>
          </w:tcPr>
          <w:p w14:paraId="756955DF" w14:textId="77777777" w:rsidR="00117D58" w:rsidRDefault="00F52091">
            <w:pPr>
              <w:pStyle w:val="TableParagraph"/>
              <w:spacing w:before="84" w:line="123" w:lineRule="exact"/>
              <w:ind w:right="41"/>
              <w:jc w:val="right"/>
              <w:rPr>
                <w:rFonts w:ascii="Arial MT"/>
                <w:sz w:val="12"/>
              </w:rPr>
            </w:pPr>
            <w:r>
              <w:rPr>
                <w:rFonts w:ascii="Arial MT"/>
                <w:color w:val="000104"/>
                <w:spacing w:val="-4"/>
                <w:w w:val="105"/>
                <w:sz w:val="12"/>
              </w:rPr>
              <w:t>.387</w:t>
            </w:r>
          </w:p>
        </w:tc>
        <w:tc>
          <w:tcPr>
            <w:tcW w:w="732" w:type="dxa"/>
            <w:tcBorders>
              <w:top w:val="single" w:sz="6" w:space="0" w:color="ADADAD"/>
              <w:bottom w:val="single" w:sz="4" w:space="0" w:color="152935"/>
            </w:tcBorders>
            <w:shd w:val="clear" w:color="auto" w:fill="F8F8FA"/>
          </w:tcPr>
          <w:p w14:paraId="65103EE0" w14:textId="77777777" w:rsidR="00117D58" w:rsidRDefault="00F52091">
            <w:pPr>
              <w:pStyle w:val="TableParagraph"/>
              <w:spacing w:before="84" w:line="123" w:lineRule="exact"/>
              <w:ind w:right="42"/>
              <w:jc w:val="right"/>
              <w:rPr>
                <w:rFonts w:ascii="Arial MT"/>
                <w:sz w:val="12"/>
              </w:rPr>
            </w:pPr>
            <w:r>
              <w:rPr>
                <w:rFonts w:ascii="Arial MT"/>
                <w:color w:val="000104"/>
                <w:spacing w:val="-2"/>
                <w:w w:val="105"/>
                <w:sz w:val="12"/>
              </w:rPr>
              <w:t>4.151</w:t>
            </w:r>
          </w:p>
        </w:tc>
        <w:tc>
          <w:tcPr>
            <w:tcW w:w="724" w:type="dxa"/>
            <w:tcBorders>
              <w:top w:val="single" w:sz="6" w:space="0" w:color="ADADAD"/>
              <w:bottom w:val="single" w:sz="4" w:space="0" w:color="152935"/>
              <w:right w:val="nil"/>
            </w:tcBorders>
            <w:shd w:val="clear" w:color="auto" w:fill="F8F8FA"/>
          </w:tcPr>
          <w:p w14:paraId="3B4902BF" w14:textId="77777777" w:rsidR="00117D58" w:rsidRDefault="00F52091">
            <w:pPr>
              <w:pStyle w:val="TableParagraph"/>
              <w:spacing w:before="84" w:line="123" w:lineRule="exact"/>
              <w:ind w:right="35"/>
              <w:jc w:val="right"/>
              <w:rPr>
                <w:rFonts w:ascii="Arial MT"/>
                <w:sz w:val="12"/>
              </w:rPr>
            </w:pPr>
            <w:r>
              <w:rPr>
                <w:rFonts w:ascii="Arial MT"/>
                <w:color w:val="000104"/>
                <w:spacing w:val="-4"/>
                <w:w w:val="105"/>
                <w:sz w:val="12"/>
              </w:rPr>
              <w:t>.000</w:t>
            </w:r>
          </w:p>
        </w:tc>
      </w:tr>
    </w:tbl>
    <w:p w14:paraId="1395567A" w14:textId="77777777" w:rsidR="00117D58" w:rsidRDefault="00117D58">
      <w:pPr>
        <w:pStyle w:val="BodyText"/>
        <w:spacing w:before="131"/>
        <w:ind w:left="0"/>
        <w:jc w:val="left"/>
        <w:rPr>
          <w:rFonts w:ascii="Arial"/>
          <w:b/>
          <w:sz w:val="15"/>
        </w:rPr>
      </w:pPr>
    </w:p>
    <w:p w14:paraId="63233932" w14:textId="77777777" w:rsidR="00117D58" w:rsidRDefault="00F52091">
      <w:pPr>
        <w:pStyle w:val="BodyText"/>
        <w:ind w:left="738" w:right="740"/>
        <w:jc w:val="center"/>
      </w:pPr>
      <w:r>
        <w:t>Table 6. Simple Linear Analysis Test</w:t>
      </w:r>
    </w:p>
    <w:p w14:paraId="595619D1" w14:textId="77777777" w:rsidR="00117D58" w:rsidRDefault="00117D58">
      <w:pPr>
        <w:pStyle w:val="BodyText"/>
        <w:spacing w:before="19"/>
        <w:ind w:left="0"/>
        <w:jc w:val="left"/>
      </w:pPr>
    </w:p>
    <w:p w14:paraId="57293AEB" w14:textId="203D06DA" w:rsidR="00117D58" w:rsidRDefault="00F52091">
      <w:pPr>
        <w:pStyle w:val="BodyText"/>
        <w:spacing w:line="362" w:lineRule="auto"/>
        <w:ind w:right="19" w:firstLine="720"/>
      </w:pPr>
      <w:r>
        <w:t xml:space="preserve">The results of the regression analysis presented in the table show that  the </w:t>
      </w:r>
      <w:r w:rsidR="006768C0" w:rsidRPr="006768C0">
        <w:rPr>
          <w:iCs/>
        </w:rPr>
        <w:t xml:space="preserve">Non-Cash Transaction </w:t>
      </w:r>
      <w:r>
        <w:t xml:space="preserve"> variable has a regression coefficient of 0.554 with a significance value of 0.000. The significance value is below the limit of 0.05 so it can be concluded that </w:t>
      </w:r>
      <w:r w:rsidR="006768C0" w:rsidRPr="006768C0">
        <w:rPr>
          <w:iCs/>
        </w:rPr>
        <w:t xml:space="preserve">the Non-Cash Transaction </w:t>
      </w:r>
      <w:r>
        <w:t xml:space="preserve"> variable has a significant effect on the variable </w:t>
      </w:r>
      <w:r>
        <w:rPr>
          <w:i/>
        </w:rPr>
        <w:t>saving behavior</w:t>
      </w:r>
      <w:r>
        <w:t>.</w:t>
      </w:r>
    </w:p>
    <w:p w14:paraId="63C63AF6" w14:textId="786971AB" w:rsidR="00117D58" w:rsidRDefault="00F52091">
      <w:pPr>
        <w:pStyle w:val="BodyText"/>
        <w:spacing w:before="148" w:line="360" w:lineRule="auto"/>
        <w:ind w:right="17" w:firstLine="720"/>
      </w:pPr>
      <w:r>
        <w:t xml:space="preserve">Based on the results of the analysis, the regression equation Y = 13.654 + 0.554X was obtained. The constant value of 13.654 shows that when the </w:t>
      </w:r>
      <w:r w:rsidR="006768C0">
        <w:rPr>
          <w:i/>
        </w:rPr>
        <w:t xml:space="preserve">Non-Cash Transaction </w:t>
      </w:r>
      <w:r>
        <w:t xml:space="preserve"> variable is at zero, the respondent's </w:t>
      </w:r>
      <w:r>
        <w:rPr>
          <w:i/>
        </w:rPr>
        <w:t xml:space="preserve">saving behaviour </w:t>
      </w:r>
      <w:r>
        <w:t xml:space="preserve"> level is at 13.654. Meanwhile, the value of the regression coefficient of 0.554 shows that every one unit increase in  the </w:t>
      </w:r>
      <w:r w:rsidR="006768C0" w:rsidRPr="006768C0">
        <w:rPr>
          <w:iCs/>
        </w:rPr>
        <w:t xml:space="preserve">Non-Cash Transaction  variable </w:t>
      </w:r>
      <w:r>
        <w:t xml:space="preserve">will be followed by an increase </w:t>
      </w:r>
      <w:r>
        <w:rPr>
          <w:i/>
        </w:rPr>
        <w:t xml:space="preserve"> in saving behavior </w:t>
      </w:r>
      <w:r>
        <w:t>by 0.554 points. A positive coefficient value indicates a unidirectional relationship between the two variables. The results of this analysis show that the higher the level of non-cash transaction use, the more the tendency of individuals to save also increases.</w:t>
      </w:r>
    </w:p>
    <w:p w14:paraId="46D0D74B" w14:textId="77777777" w:rsidR="00117D58" w:rsidRDefault="00F52091">
      <w:pPr>
        <w:pStyle w:val="Heading2"/>
        <w:jc w:val="left"/>
      </w:pPr>
      <w:r>
        <w:t>Test F (ANOVA)</w:t>
      </w:r>
    </w:p>
    <w:p w14:paraId="54E02F9D" w14:textId="77777777" w:rsidR="00117D58" w:rsidRDefault="00117D58">
      <w:pPr>
        <w:pStyle w:val="BodyText"/>
        <w:spacing w:before="15"/>
        <w:ind w:left="0"/>
        <w:jc w:val="left"/>
        <w:rPr>
          <w:b/>
        </w:rPr>
      </w:pPr>
    </w:p>
    <w:p w14:paraId="378F6BEF" w14:textId="625DC5D5" w:rsidR="00117D58" w:rsidRDefault="00F52091">
      <w:pPr>
        <w:pStyle w:val="BodyText"/>
        <w:spacing w:line="362" w:lineRule="auto"/>
        <w:ind w:right="20" w:firstLine="720"/>
      </w:pPr>
      <w:r>
        <w:t xml:space="preserve">Simultaneous testing or F test (ANOVA) is used to find out whether independent variables together have a significant influence on dependent variables. In this study, the F test was carried out to test whether  the </w:t>
      </w:r>
      <w:r w:rsidR="006768C0">
        <w:rPr>
          <w:i/>
        </w:rPr>
        <w:t xml:space="preserve">Non-Cash Transaction </w:t>
      </w:r>
      <w:r>
        <w:t xml:space="preserve">(X) variable simultaneously affected </w:t>
      </w:r>
      <w:r>
        <w:rPr>
          <w:i/>
        </w:rPr>
        <w:t xml:space="preserve">Saving Behavior </w:t>
      </w:r>
      <w:r>
        <w:t>(Y).</w:t>
      </w:r>
    </w:p>
    <w:p w14:paraId="142C77C2" w14:textId="77777777" w:rsidR="00117D58" w:rsidRDefault="00117D58">
      <w:pPr>
        <w:pStyle w:val="BodyText"/>
        <w:spacing w:before="20"/>
        <w:ind w:left="0"/>
        <w:jc w:val="left"/>
        <w:rPr>
          <w:sz w:val="16"/>
        </w:rPr>
      </w:pPr>
    </w:p>
    <w:p w14:paraId="08FB0F58" w14:textId="77777777" w:rsidR="00117D58" w:rsidRDefault="00F52091">
      <w:pPr>
        <w:ind w:left="716" w:right="610"/>
        <w:jc w:val="center"/>
        <w:rPr>
          <w:rFonts w:ascii="Arial"/>
          <w:b/>
          <w:sz w:val="16"/>
        </w:rPr>
      </w:pPr>
      <w:r>
        <w:rPr>
          <w:rFonts w:ascii="Arial"/>
          <w:b/>
          <w:color w:val="000104"/>
          <w:spacing w:val="-2"/>
          <w:sz w:val="16"/>
        </w:rPr>
        <w:t>NEW ERA</w:t>
      </w:r>
    </w:p>
    <w:tbl>
      <w:tblPr>
        <w:tblW w:w="0" w:type="auto"/>
        <w:tblInd w:w="1674" w:type="dxa"/>
        <w:tblBorders>
          <w:top w:val="single" w:sz="6" w:space="0" w:color="152935"/>
          <w:left w:val="single" w:sz="6" w:space="0" w:color="152935"/>
          <w:bottom w:val="single" w:sz="6" w:space="0" w:color="152935"/>
          <w:right w:val="single" w:sz="6" w:space="0" w:color="152935"/>
          <w:insideH w:val="single" w:sz="6" w:space="0" w:color="152935"/>
          <w:insideV w:val="single" w:sz="6" w:space="0" w:color="152935"/>
        </w:tblBorders>
        <w:tblLayout w:type="fixed"/>
        <w:tblCellMar>
          <w:left w:w="0" w:type="dxa"/>
          <w:right w:w="0" w:type="dxa"/>
        </w:tblCellMar>
        <w:tblLook w:val="01E0" w:firstRow="1" w:lastRow="1" w:firstColumn="1" w:lastColumn="1" w:noHBand="0" w:noVBand="0"/>
      </w:tblPr>
      <w:tblGrid>
        <w:gridCol w:w="539"/>
        <w:gridCol w:w="943"/>
        <w:gridCol w:w="1078"/>
        <w:gridCol w:w="750"/>
        <w:gridCol w:w="1033"/>
        <w:gridCol w:w="752"/>
        <w:gridCol w:w="655"/>
      </w:tblGrid>
      <w:tr w:rsidR="00117D58" w14:paraId="3B707DBB" w14:textId="77777777">
        <w:trPr>
          <w:trHeight w:val="234"/>
        </w:trPr>
        <w:tc>
          <w:tcPr>
            <w:tcW w:w="2560" w:type="dxa"/>
            <w:gridSpan w:val="3"/>
            <w:tcBorders>
              <w:top w:val="nil"/>
              <w:left w:val="nil"/>
              <w:right w:val="single" w:sz="6" w:space="0" w:color="DFDFDF"/>
            </w:tcBorders>
          </w:tcPr>
          <w:p w14:paraId="2288497C" w14:textId="77777777" w:rsidR="00117D58" w:rsidRDefault="00F52091">
            <w:pPr>
              <w:pStyle w:val="TableParagraph"/>
              <w:tabs>
                <w:tab w:val="left" w:pos="1543"/>
              </w:tabs>
              <w:spacing w:before="83" w:line="131" w:lineRule="exact"/>
              <w:ind w:left="43"/>
              <w:jc w:val="left"/>
              <w:rPr>
                <w:rFonts w:ascii="Arial MT"/>
                <w:sz w:val="13"/>
              </w:rPr>
            </w:pPr>
            <w:r>
              <w:rPr>
                <w:rFonts w:ascii="Arial MT"/>
                <w:color w:val="25495F"/>
                <w:spacing w:val="-2"/>
                <w:sz w:val="13"/>
              </w:rPr>
              <w:t>Models</w:t>
            </w:r>
            <w:r>
              <w:rPr>
                <w:rFonts w:ascii="Arial MT"/>
                <w:color w:val="25495F"/>
                <w:sz w:val="13"/>
              </w:rPr>
              <w:tab/>
              <w:t>Sum of Squares</w:t>
            </w:r>
          </w:p>
        </w:tc>
        <w:tc>
          <w:tcPr>
            <w:tcW w:w="750" w:type="dxa"/>
            <w:tcBorders>
              <w:top w:val="nil"/>
              <w:left w:val="single" w:sz="6" w:space="0" w:color="DFDFDF"/>
              <w:right w:val="single" w:sz="6" w:space="0" w:color="DFDFDF"/>
            </w:tcBorders>
          </w:tcPr>
          <w:p w14:paraId="6177DB75" w14:textId="77777777" w:rsidR="00117D58" w:rsidRDefault="00F52091">
            <w:pPr>
              <w:pStyle w:val="TableParagraph"/>
              <w:spacing w:before="83" w:line="131" w:lineRule="exact"/>
              <w:rPr>
                <w:rFonts w:ascii="Arial MT"/>
                <w:sz w:val="13"/>
              </w:rPr>
            </w:pPr>
            <w:r>
              <w:rPr>
                <w:rFonts w:ascii="Arial MT"/>
                <w:color w:val="25495F"/>
                <w:spacing w:val="-5"/>
                <w:sz w:val="13"/>
              </w:rPr>
              <w:t>df</w:t>
            </w:r>
          </w:p>
        </w:tc>
        <w:tc>
          <w:tcPr>
            <w:tcW w:w="1033" w:type="dxa"/>
            <w:tcBorders>
              <w:top w:val="nil"/>
              <w:left w:val="single" w:sz="6" w:space="0" w:color="DFDFDF"/>
              <w:right w:val="single" w:sz="6" w:space="0" w:color="DFDFDF"/>
            </w:tcBorders>
          </w:tcPr>
          <w:p w14:paraId="4E2B074C" w14:textId="77777777" w:rsidR="00117D58" w:rsidRDefault="00F52091">
            <w:pPr>
              <w:pStyle w:val="TableParagraph"/>
              <w:spacing w:before="83" w:line="131" w:lineRule="exact"/>
              <w:ind w:left="112"/>
              <w:jc w:val="left"/>
              <w:rPr>
                <w:rFonts w:ascii="Arial MT"/>
                <w:sz w:val="13"/>
              </w:rPr>
            </w:pPr>
            <w:r>
              <w:rPr>
                <w:rFonts w:ascii="Arial MT"/>
                <w:color w:val="25495F"/>
                <w:sz w:val="13"/>
              </w:rPr>
              <w:t>Mean Square</w:t>
            </w:r>
          </w:p>
        </w:tc>
        <w:tc>
          <w:tcPr>
            <w:tcW w:w="752" w:type="dxa"/>
            <w:tcBorders>
              <w:top w:val="nil"/>
              <w:left w:val="single" w:sz="6" w:space="0" w:color="DFDFDF"/>
              <w:right w:val="single" w:sz="6" w:space="0" w:color="DFDFDF"/>
            </w:tcBorders>
          </w:tcPr>
          <w:p w14:paraId="63C3C8BF" w14:textId="77777777" w:rsidR="00117D58" w:rsidRDefault="00F52091">
            <w:pPr>
              <w:pStyle w:val="TableParagraph"/>
              <w:spacing w:before="83" w:line="131" w:lineRule="exact"/>
              <w:ind w:left="326"/>
              <w:jc w:val="left"/>
              <w:rPr>
                <w:rFonts w:ascii="Arial MT"/>
                <w:sz w:val="13"/>
              </w:rPr>
            </w:pPr>
            <w:r>
              <w:rPr>
                <w:rFonts w:ascii="Arial MT"/>
                <w:color w:val="25495F"/>
                <w:spacing w:val="-10"/>
                <w:sz w:val="13"/>
              </w:rPr>
              <w:t>F</w:t>
            </w:r>
          </w:p>
        </w:tc>
        <w:tc>
          <w:tcPr>
            <w:tcW w:w="655" w:type="dxa"/>
            <w:tcBorders>
              <w:top w:val="nil"/>
              <w:left w:val="single" w:sz="6" w:space="0" w:color="DFDFDF"/>
              <w:right w:val="nil"/>
            </w:tcBorders>
          </w:tcPr>
          <w:p w14:paraId="68F934EE" w14:textId="77777777" w:rsidR="00117D58" w:rsidRDefault="00F52091">
            <w:pPr>
              <w:pStyle w:val="TableParagraph"/>
              <w:spacing w:before="83" w:line="131" w:lineRule="exact"/>
              <w:ind w:left="255"/>
              <w:jc w:val="left"/>
              <w:rPr>
                <w:rFonts w:ascii="Arial MT"/>
                <w:sz w:val="13"/>
              </w:rPr>
            </w:pPr>
            <w:r>
              <w:rPr>
                <w:rFonts w:ascii="Arial MT"/>
                <w:color w:val="25495F"/>
                <w:spacing w:val="-4"/>
                <w:sz w:val="13"/>
              </w:rPr>
              <w:t>Sig.</w:t>
            </w:r>
          </w:p>
        </w:tc>
      </w:tr>
      <w:tr w:rsidR="00117D58" w14:paraId="69CF3D47" w14:textId="77777777">
        <w:trPr>
          <w:trHeight w:val="232"/>
        </w:trPr>
        <w:tc>
          <w:tcPr>
            <w:tcW w:w="539" w:type="dxa"/>
            <w:vMerge w:val="restart"/>
            <w:tcBorders>
              <w:left w:val="nil"/>
              <w:bottom w:val="nil"/>
              <w:right w:val="nil"/>
            </w:tcBorders>
            <w:shd w:val="clear" w:color="auto" w:fill="DFDFDF"/>
          </w:tcPr>
          <w:p w14:paraId="65943EA8" w14:textId="77777777" w:rsidR="00117D58" w:rsidRDefault="00F52091">
            <w:pPr>
              <w:pStyle w:val="TableParagraph"/>
              <w:spacing w:before="83" w:line="240" w:lineRule="auto"/>
              <w:ind w:left="43"/>
              <w:jc w:val="left"/>
              <w:rPr>
                <w:rFonts w:ascii="Arial MT"/>
                <w:sz w:val="13"/>
              </w:rPr>
            </w:pPr>
            <w:r>
              <w:rPr>
                <w:rFonts w:ascii="Arial MT"/>
                <w:color w:val="25495F"/>
                <w:spacing w:val="-10"/>
                <w:sz w:val="13"/>
              </w:rPr>
              <w:t>1</w:t>
            </w:r>
          </w:p>
        </w:tc>
        <w:tc>
          <w:tcPr>
            <w:tcW w:w="943" w:type="dxa"/>
            <w:tcBorders>
              <w:left w:val="nil"/>
              <w:bottom w:val="single" w:sz="6" w:space="0" w:color="ADADAD"/>
              <w:right w:val="nil"/>
            </w:tcBorders>
            <w:shd w:val="clear" w:color="auto" w:fill="DFDFDF"/>
          </w:tcPr>
          <w:p w14:paraId="03349711" w14:textId="77777777" w:rsidR="00117D58" w:rsidRDefault="00F52091">
            <w:pPr>
              <w:pStyle w:val="TableParagraph"/>
              <w:spacing w:before="83" w:line="130" w:lineRule="exact"/>
              <w:ind w:left="43"/>
              <w:jc w:val="left"/>
              <w:rPr>
                <w:rFonts w:ascii="Arial MT"/>
                <w:sz w:val="13"/>
              </w:rPr>
            </w:pPr>
            <w:r>
              <w:rPr>
                <w:rFonts w:ascii="Arial MT"/>
                <w:color w:val="25495F"/>
                <w:spacing w:val="-2"/>
                <w:sz w:val="13"/>
              </w:rPr>
              <w:t>Regression</w:t>
            </w:r>
          </w:p>
        </w:tc>
        <w:tc>
          <w:tcPr>
            <w:tcW w:w="1078" w:type="dxa"/>
            <w:tcBorders>
              <w:left w:val="nil"/>
              <w:bottom w:val="single" w:sz="6" w:space="0" w:color="ADADAD"/>
              <w:right w:val="single" w:sz="6" w:space="0" w:color="DFDFDF"/>
            </w:tcBorders>
            <w:shd w:val="clear" w:color="auto" w:fill="F8F8FA"/>
          </w:tcPr>
          <w:p w14:paraId="13940719" w14:textId="77777777" w:rsidR="00117D58" w:rsidRDefault="00F52091">
            <w:pPr>
              <w:pStyle w:val="TableParagraph"/>
              <w:spacing w:before="83" w:line="130" w:lineRule="exact"/>
              <w:ind w:right="42"/>
              <w:jc w:val="right"/>
              <w:rPr>
                <w:rFonts w:ascii="Arial MT"/>
                <w:sz w:val="13"/>
              </w:rPr>
            </w:pPr>
            <w:r>
              <w:rPr>
                <w:rFonts w:ascii="Arial MT"/>
                <w:color w:val="000104"/>
                <w:spacing w:val="-2"/>
                <w:sz w:val="13"/>
              </w:rPr>
              <w:t>619.133</w:t>
            </w:r>
          </w:p>
        </w:tc>
        <w:tc>
          <w:tcPr>
            <w:tcW w:w="750" w:type="dxa"/>
            <w:tcBorders>
              <w:left w:val="single" w:sz="6" w:space="0" w:color="DFDFDF"/>
              <w:bottom w:val="single" w:sz="6" w:space="0" w:color="ADADAD"/>
              <w:right w:val="single" w:sz="6" w:space="0" w:color="DFDFDF"/>
            </w:tcBorders>
            <w:shd w:val="clear" w:color="auto" w:fill="F8F8FA"/>
          </w:tcPr>
          <w:p w14:paraId="30E10C19" w14:textId="77777777" w:rsidR="00117D58" w:rsidRDefault="00F52091">
            <w:pPr>
              <w:pStyle w:val="TableParagraph"/>
              <w:spacing w:before="83" w:line="130" w:lineRule="exact"/>
              <w:ind w:right="40"/>
              <w:jc w:val="right"/>
              <w:rPr>
                <w:rFonts w:ascii="Arial MT"/>
                <w:sz w:val="13"/>
              </w:rPr>
            </w:pPr>
            <w:r>
              <w:rPr>
                <w:rFonts w:ascii="Arial MT"/>
                <w:color w:val="000104"/>
                <w:spacing w:val="-10"/>
                <w:sz w:val="13"/>
              </w:rPr>
              <w:t>1</w:t>
            </w:r>
          </w:p>
        </w:tc>
        <w:tc>
          <w:tcPr>
            <w:tcW w:w="1033" w:type="dxa"/>
            <w:tcBorders>
              <w:left w:val="single" w:sz="6" w:space="0" w:color="DFDFDF"/>
              <w:bottom w:val="single" w:sz="6" w:space="0" w:color="ADADAD"/>
              <w:right w:val="single" w:sz="6" w:space="0" w:color="DFDFDF"/>
            </w:tcBorders>
            <w:shd w:val="clear" w:color="auto" w:fill="F8F8FA"/>
          </w:tcPr>
          <w:p w14:paraId="4499E689" w14:textId="77777777" w:rsidR="00117D58" w:rsidRDefault="00F52091">
            <w:pPr>
              <w:pStyle w:val="TableParagraph"/>
              <w:spacing w:before="83" w:line="130" w:lineRule="exact"/>
              <w:ind w:right="42"/>
              <w:jc w:val="right"/>
              <w:rPr>
                <w:rFonts w:ascii="Arial MT"/>
                <w:sz w:val="13"/>
              </w:rPr>
            </w:pPr>
            <w:r>
              <w:rPr>
                <w:rFonts w:ascii="Arial MT"/>
                <w:color w:val="000104"/>
                <w:spacing w:val="-2"/>
                <w:sz w:val="13"/>
              </w:rPr>
              <w:t>619.133</w:t>
            </w:r>
          </w:p>
        </w:tc>
        <w:tc>
          <w:tcPr>
            <w:tcW w:w="752" w:type="dxa"/>
            <w:tcBorders>
              <w:left w:val="single" w:sz="6" w:space="0" w:color="DFDFDF"/>
              <w:bottom w:val="single" w:sz="6" w:space="0" w:color="ADADAD"/>
              <w:right w:val="single" w:sz="6" w:space="0" w:color="DFDFDF"/>
            </w:tcBorders>
            <w:shd w:val="clear" w:color="auto" w:fill="F8F8FA"/>
          </w:tcPr>
          <w:p w14:paraId="5F2DEC3C" w14:textId="77777777" w:rsidR="00117D58" w:rsidRDefault="00F52091">
            <w:pPr>
              <w:pStyle w:val="TableParagraph"/>
              <w:spacing w:before="83" w:line="130" w:lineRule="exact"/>
              <w:ind w:left="289"/>
              <w:jc w:val="left"/>
              <w:rPr>
                <w:rFonts w:ascii="Arial MT"/>
                <w:sz w:val="13"/>
              </w:rPr>
            </w:pPr>
            <w:r>
              <w:rPr>
                <w:rFonts w:ascii="Arial MT"/>
                <w:color w:val="000104"/>
                <w:spacing w:val="-2"/>
                <w:sz w:val="13"/>
              </w:rPr>
              <w:t>17.229</w:t>
            </w:r>
          </w:p>
        </w:tc>
        <w:tc>
          <w:tcPr>
            <w:tcW w:w="655" w:type="dxa"/>
            <w:tcBorders>
              <w:left w:val="single" w:sz="6" w:space="0" w:color="DFDFDF"/>
              <w:bottom w:val="single" w:sz="6" w:space="0" w:color="ADADAD"/>
              <w:right w:val="nil"/>
            </w:tcBorders>
            <w:shd w:val="clear" w:color="auto" w:fill="F8F8FA"/>
          </w:tcPr>
          <w:p w14:paraId="7FCCAB29" w14:textId="77777777" w:rsidR="00117D58" w:rsidRDefault="00F52091">
            <w:pPr>
              <w:pStyle w:val="TableParagraph"/>
              <w:spacing w:before="83" w:line="130" w:lineRule="exact"/>
              <w:ind w:left="392" w:right="-15"/>
              <w:jc w:val="left"/>
              <w:rPr>
                <w:rFonts w:ascii="Arial MT"/>
                <w:sz w:val="13"/>
              </w:rPr>
            </w:pPr>
            <w:r>
              <w:rPr>
                <w:rFonts w:ascii="Arial MT"/>
                <w:color w:val="000104"/>
                <w:spacing w:val="-4"/>
                <w:sz w:val="13"/>
              </w:rPr>
              <w:t>.000</w:t>
            </w:r>
          </w:p>
        </w:tc>
      </w:tr>
      <w:tr w:rsidR="00117D58" w14:paraId="53CE4A61" w14:textId="77777777">
        <w:trPr>
          <w:trHeight w:val="234"/>
        </w:trPr>
        <w:tc>
          <w:tcPr>
            <w:tcW w:w="539" w:type="dxa"/>
            <w:vMerge/>
            <w:tcBorders>
              <w:top w:val="nil"/>
              <w:left w:val="nil"/>
              <w:bottom w:val="nil"/>
              <w:right w:val="nil"/>
            </w:tcBorders>
            <w:shd w:val="clear" w:color="auto" w:fill="DFDFDF"/>
          </w:tcPr>
          <w:p w14:paraId="4E6EB086" w14:textId="77777777" w:rsidR="00117D58" w:rsidRDefault="00117D58">
            <w:pPr>
              <w:rPr>
                <w:sz w:val="2"/>
                <w:szCs w:val="2"/>
              </w:rPr>
            </w:pPr>
          </w:p>
        </w:tc>
        <w:tc>
          <w:tcPr>
            <w:tcW w:w="943" w:type="dxa"/>
            <w:tcBorders>
              <w:top w:val="single" w:sz="6" w:space="0" w:color="ADADAD"/>
              <w:left w:val="nil"/>
              <w:bottom w:val="single" w:sz="6" w:space="0" w:color="ADADAD"/>
              <w:right w:val="nil"/>
            </w:tcBorders>
            <w:shd w:val="clear" w:color="auto" w:fill="DFDFDF"/>
          </w:tcPr>
          <w:p w14:paraId="0776D575" w14:textId="77777777" w:rsidR="00117D58" w:rsidRDefault="00F52091">
            <w:pPr>
              <w:pStyle w:val="TableParagraph"/>
              <w:spacing w:before="84" w:line="130" w:lineRule="exact"/>
              <w:ind w:left="43"/>
              <w:jc w:val="left"/>
              <w:rPr>
                <w:rFonts w:ascii="Arial MT"/>
                <w:sz w:val="13"/>
              </w:rPr>
            </w:pPr>
            <w:r>
              <w:rPr>
                <w:rFonts w:ascii="Arial MT"/>
                <w:color w:val="25495F"/>
                <w:spacing w:val="-2"/>
                <w:sz w:val="13"/>
              </w:rPr>
              <w:t>Residual</w:t>
            </w:r>
          </w:p>
        </w:tc>
        <w:tc>
          <w:tcPr>
            <w:tcW w:w="1078" w:type="dxa"/>
            <w:tcBorders>
              <w:top w:val="single" w:sz="6" w:space="0" w:color="ADADAD"/>
              <w:left w:val="nil"/>
              <w:bottom w:val="single" w:sz="6" w:space="0" w:color="ADADAD"/>
              <w:right w:val="single" w:sz="6" w:space="0" w:color="DFDFDF"/>
            </w:tcBorders>
            <w:shd w:val="clear" w:color="auto" w:fill="F8F8FA"/>
          </w:tcPr>
          <w:p w14:paraId="74E795A2" w14:textId="77777777" w:rsidR="00117D58" w:rsidRDefault="00F52091">
            <w:pPr>
              <w:pStyle w:val="TableParagraph"/>
              <w:spacing w:before="84" w:line="130" w:lineRule="exact"/>
              <w:ind w:right="42"/>
              <w:jc w:val="right"/>
              <w:rPr>
                <w:rFonts w:ascii="Arial MT"/>
                <w:sz w:val="13"/>
              </w:rPr>
            </w:pPr>
            <w:r>
              <w:rPr>
                <w:rFonts w:ascii="Arial MT"/>
                <w:color w:val="000104"/>
                <w:spacing w:val="-2"/>
                <w:sz w:val="13"/>
              </w:rPr>
              <w:t>3521.777</w:t>
            </w:r>
          </w:p>
        </w:tc>
        <w:tc>
          <w:tcPr>
            <w:tcW w:w="750" w:type="dxa"/>
            <w:tcBorders>
              <w:top w:val="single" w:sz="6" w:space="0" w:color="ADADAD"/>
              <w:left w:val="single" w:sz="6" w:space="0" w:color="DFDFDF"/>
              <w:bottom w:val="single" w:sz="6" w:space="0" w:color="ADADAD"/>
              <w:right w:val="single" w:sz="6" w:space="0" w:color="DFDFDF"/>
            </w:tcBorders>
            <w:shd w:val="clear" w:color="auto" w:fill="F8F8FA"/>
          </w:tcPr>
          <w:p w14:paraId="73646787" w14:textId="77777777" w:rsidR="00117D58" w:rsidRDefault="00F52091">
            <w:pPr>
              <w:pStyle w:val="TableParagraph"/>
              <w:spacing w:before="84" w:line="130" w:lineRule="exact"/>
              <w:ind w:right="38"/>
              <w:jc w:val="right"/>
              <w:rPr>
                <w:rFonts w:ascii="Arial MT"/>
                <w:sz w:val="13"/>
              </w:rPr>
            </w:pPr>
            <w:r>
              <w:rPr>
                <w:rFonts w:ascii="Arial MT"/>
                <w:color w:val="000104"/>
                <w:spacing w:val="-5"/>
                <w:sz w:val="13"/>
              </w:rPr>
              <w:t>98</w:t>
            </w:r>
          </w:p>
        </w:tc>
        <w:tc>
          <w:tcPr>
            <w:tcW w:w="1033" w:type="dxa"/>
            <w:tcBorders>
              <w:top w:val="single" w:sz="6" w:space="0" w:color="ADADAD"/>
              <w:left w:val="single" w:sz="6" w:space="0" w:color="DFDFDF"/>
              <w:bottom w:val="single" w:sz="6" w:space="0" w:color="ADADAD"/>
              <w:right w:val="single" w:sz="6" w:space="0" w:color="DFDFDF"/>
            </w:tcBorders>
            <w:shd w:val="clear" w:color="auto" w:fill="F8F8FA"/>
          </w:tcPr>
          <w:p w14:paraId="6DE493A9" w14:textId="77777777" w:rsidR="00117D58" w:rsidRDefault="00F52091">
            <w:pPr>
              <w:pStyle w:val="TableParagraph"/>
              <w:spacing w:before="84" w:line="130" w:lineRule="exact"/>
              <w:ind w:right="41"/>
              <w:jc w:val="right"/>
              <w:rPr>
                <w:rFonts w:ascii="Arial MT"/>
                <w:sz w:val="13"/>
              </w:rPr>
            </w:pPr>
            <w:r>
              <w:rPr>
                <w:rFonts w:ascii="Arial MT"/>
                <w:color w:val="000104"/>
                <w:spacing w:val="-2"/>
                <w:sz w:val="13"/>
              </w:rPr>
              <w:t>35.936</w:t>
            </w:r>
          </w:p>
        </w:tc>
        <w:tc>
          <w:tcPr>
            <w:tcW w:w="752" w:type="dxa"/>
            <w:tcBorders>
              <w:top w:val="single" w:sz="6" w:space="0" w:color="ADADAD"/>
              <w:left w:val="single" w:sz="6" w:space="0" w:color="DFDFDF"/>
              <w:bottom w:val="single" w:sz="6" w:space="0" w:color="ADADAD"/>
              <w:right w:val="single" w:sz="6" w:space="0" w:color="DFDFDF"/>
            </w:tcBorders>
            <w:shd w:val="clear" w:color="auto" w:fill="F8F8FA"/>
          </w:tcPr>
          <w:p w14:paraId="7501B0B4" w14:textId="77777777" w:rsidR="00117D58" w:rsidRDefault="00117D58">
            <w:pPr>
              <w:pStyle w:val="TableParagraph"/>
              <w:spacing w:line="240" w:lineRule="auto"/>
              <w:jc w:val="left"/>
              <w:rPr>
                <w:sz w:val="16"/>
              </w:rPr>
            </w:pPr>
          </w:p>
        </w:tc>
        <w:tc>
          <w:tcPr>
            <w:tcW w:w="655" w:type="dxa"/>
            <w:tcBorders>
              <w:top w:val="single" w:sz="6" w:space="0" w:color="ADADAD"/>
              <w:left w:val="single" w:sz="6" w:space="0" w:color="DFDFDF"/>
              <w:bottom w:val="single" w:sz="6" w:space="0" w:color="ADADAD"/>
              <w:right w:val="nil"/>
            </w:tcBorders>
            <w:shd w:val="clear" w:color="auto" w:fill="F8F8FA"/>
          </w:tcPr>
          <w:p w14:paraId="5CE4E266" w14:textId="77777777" w:rsidR="00117D58" w:rsidRDefault="00117D58">
            <w:pPr>
              <w:pStyle w:val="TableParagraph"/>
              <w:spacing w:line="240" w:lineRule="auto"/>
              <w:jc w:val="left"/>
              <w:rPr>
                <w:sz w:val="16"/>
              </w:rPr>
            </w:pPr>
          </w:p>
        </w:tc>
      </w:tr>
      <w:tr w:rsidR="00117D58" w14:paraId="2E0EDC0E" w14:textId="77777777">
        <w:trPr>
          <w:trHeight w:val="234"/>
        </w:trPr>
        <w:tc>
          <w:tcPr>
            <w:tcW w:w="539" w:type="dxa"/>
            <w:vMerge/>
            <w:tcBorders>
              <w:top w:val="nil"/>
              <w:left w:val="nil"/>
              <w:bottom w:val="nil"/>
              <w:right w:val="nil"/>
            </w:tcBorders>
            <w:shd w:val="clear" w:color="auto" w:fill="DFDFDF"/>
          </w:tcPr>
          <w:p w14:paraId="2C085796" w14:textId="77777777" w:rsidR="00117D58" w:rsidRDefault="00117D58">
            <w:pPr>
              <w:rPr>
                <w:sz w:val="2"/>
                <w:szCs w:val="2"/>
              </w:rPr>
            </w:pPr>
          </w:p>
        </w:tc>
        <w:tc>
          <w:tcPr>
            <w:tcW w:w="943" w:type="dxa"/>
            <w:tcBorders>
              <w:top w:val="single" w:sz="6" w:space="0" w:color="ADADAD"/>
              <w:left w:val="nil"/>
              <w:bottom w:val="nil"/>
              <w:right w:val="nil"/>
            </w:tcBorders>
            <w:shd w:val="clear" w:color="auto" w:fill="DFDFDF"/>
          </w:tcPr>
          <w:p w14:paraId="5714E1FE" w14:textId="77777777" w:rsidR="00117D58" w:rsidRDefault="00F52091">
            <w:pPr>
              <w:pStyle w:val="TableParagraph"/>
              <w:spacing w:before="82" w:line="132" w:lineRule="exact"/>
              <w:ind w:left="43"/>
              <w:jc w:val="left"/>
              <w:rPr>
                <w:rFonts w:ascii="Arial MT"/>
                <w:sz w:val="13"/>
              </w:rPr>
            </w:pPr>
            <w:r>
              <w:rPr>
                <w:rFonts w:ascii="Arial MT"/>
                <w:color w:val="25495F"/>
                <w:spacing w:val="-2"/>
                <w:sz w:val="13"/>
              </w:rPr>
              <w:t>Total</w:t>
            </w:r>
          </w:p>
        </w:tc>
        <w:tc>
          <w:tcPr>
            <w:tcW w:w="1078" w:type="dxa"/>
            <w:tcBorders>
              <w:top w:val="single" w:sz="6" w:space="0" w:color="ADADAD"/>
              <w:left w:val="nil"/>
              <w:bottom w:val="nil"/>
              <w:right w:val="single" w:sz="6" w:space="0" w:color="DFDFDF"/>
            </w:tcBorders>
            <w:shd w:val="clear" w:color="auto" w:fill="F8F8FA"/>
          </w:tcPr>
          <w:p w14:paraId="572EB892" w14:textId="77777777" w:rsidR="00117D58" w:rsidRDefault="00F52091">
            <w:pPr>
              <w:pStyle w:val="TableParagraph"/>
              <w:spacing w:before="82" w:line="132" w:lineRule="exact"/>
              <w:ind w:right="42"/>
              <w:jc w:val="right"/>
              <w:rPr>
                <w:rFonts w:ascii="Arial MT"/>
                <w:sz w:val="13"/>
              </w:rPr>
            </w:pPr>
            <w:r>
              <w:rPr>
                <w:rFonts w:ascii="Arial MT"/>
                <w:color w:val="000104"/>
                <w:spacing w:val="-2"/>
                <w:sz w:val="13"/>
              </w:rPr>
              <w:t>4140.910</w:t>
            </w:r>
          </w:p>
        </w:tc>
        <w:tc>
          <w:tcPr>
            <w:tcW w:w="750" w:type="dxa"/>
            <w:tcBorders>
              <w:top w:val="single" w:sz="6" w:space="0" w:color="ADADAD"/>
              <w:left w:val="single" w:sz="6" w:space="0" w:color="DFDFDF"/>
              <w:bottom w:val="nil"/>
              <w:right w:val="single" w:sz="6" w:space="0" w:color="DFDFDF"/>
            </w:tcBorders>
            <w:shd w:val="clear" w:color="auto" w:fill="F8F8FA"/>
          </w:tcPr>
          <w:p w14:paraId="366B9713" w14:textId="77777777" w:rsidR="00117D58" w:rsidRDefault="00F52091">
            <w:pPr>
              <w:pStyle w:val="TableParagraph"/>
              <w:spacing w:before="82" w:line="132" w:lineRule="exact"/>
              <w:ind w:right="38"/>
              <w:jc w:val="right"/>
              <w:rPr>
                <w:rFonts w:ascii="Arial MT"/>
                <w:sz w:val="13"/>
              </w:rPr>
            </w:pPr>
            <w:r>
              <w:rPr>
                <w:rFonts w:ascii="Arial MT"/>
                <w:color w:val="000104"/>
                <w:spacing w:val="-5"/>
                <w:sz w:val="13"/>
              </w:rPr>
              <w:t>99</w:t>
            </w:r>
          </w:p>
        </w:tc>
        <w:tc>
          <w:tcPr>
            <w:tcW w:w="1033" w:type="dxa"/>
            <w:tcBorders>
              <w:top w:val="single" w:sz="6" w:space="0" w:color="ADADAD"/>
              <w:left w:val="single" w:sz="6" w:space="0" w:color="DFDFDF"/>
              <w:bottom w:val="nil"/>
              <w:right w:val="single" w:sz="6" w:space="0" w:color="DFDFDF"/>
            </w:tcBorders>
            <w:shd w:val="clear" w:color="auto" w:fill="F8F8FA"/>
          </w:tcPr>
          <w:p w14:paraId="588F8C2B" w14:textId="77777777" w:rsidR="00117D58" w:rsidRDefault="00117D58">
            <w:pPr>
              <w:pStyle w:val="TableParagraph"/>
              <w:spacing w:line="240" w:lineRule="auto"/>
              <w:jc w:val="left"/>
              <w:rPr>
                <w:sz w:val="16"/>
              </w:rPr>
            </w:pPr>
          </w:p>
        </w:tc>
        <w:tc>
          <w:tcPr>
            <w:tcW w:w="752" w:type="dxa"/>
            <w:tcBorders>
              <w:top w:val="single" w:sz="6" w:space="0" w:color="ADADAD"/>
              <w:left w:val="single" w:sz="6" w:space="0" w:color="DFDFDF"/>
              <w:bottom w:val="nil"/>
              <w:right w:val="single" w:sz="6" w:space="0" w:color="DFDFDF"/>
            </w:tcBorders>
            <w:shd w:val="clear" w:color="auto" w:fill="F8F8FA"/>
          </w:tcPr>
          <w:p w14:paraId="1601266A" w14:textId="77777777" w:rsidR="00117D58" w:rsidRDefault="00117D58">
            <w:pPr>
              <w:pStyle w:val="TableParagraph"/>
              <w:spacing w:line="240" w:lineRule="auto"/>
              <w:jc w:val="left"/>
              <w:rPr>
                <w:sz w:val="16"/>
              </w:rPr>
            </w:pPr>
          </w:p>
        </w:tc>
        <w:tc>
          <w:tcPr>
            <w:tcW w:w="655" w:type="dxa"/>
            <w:tcBorders>
              <w:top w:val="single" w:sz="6" w:space="0" w:color="ADADAD"/>
              <w:left w:val="single" w:sz="6" w:space="0" w:color="DFDFDF"/>
              <w:bottom w:val="nil"/>
              <w:right w:val="nil"/>
            </w:tcBorders>
            <w:shd w:val="clear" w:color="auto" w:fill="F8F8FA"/>
          </w:tcPr>
          <w:p w14:paraId="452B6D59" w14:textId="77777777" w:rsidR="00117D58" w:rsidRDefault="00117D58">
            <w:pPr>
              <w:pStyle w:val="TableParagraph"/>
              <w:spacing w:line="240" w:lineRule="auto"/>
              <w:jc w:val="left"/>
              <w:rPr>
                <w:sz w:val="16"/>
              </w:rPr>
            </w:pPr>
          </w:p>
        </w:tc>
      </w:tr>
    </w:tbl>
    <w:p w14:paraId="0B1CCE12" w14:textId="77777777" w:rsidR="00117D58" w:rsidRDefault="00117D58">
      <w:pPr>
        <w:pStyle w:val="BodyText"/>
        <w:spacing w:before="114"/>
        <w:ind w:left="0"/>
        <w:jc w:val="left"/>
        <w:rPr>
          <w:rFonts w:ascii="Arial"/>
          <w:b/>
          <w:sz w:val="16"/>
        </w:rPr>
      </w:pPr>
    </w:p>
    <w:p w14:paraId="6B1A38DE" w14:textId="77777777" w:rsidR="00117D58" w:rsidRDefault="00F52091">
      <w:pPr>
        <w:pStyle w:val="BodyText"/>
        <w:spacing w:before="1"/>
        <w:ind w:left="738" w:right="745"/>
        <w:jc w:val="center"/>
      </w:pPr>
      <w:r>
        <w:t>Table 7. Test F (ANOVA)</w:t>
      </w:r>
    </w:p>
    <w:p w14:paraId="68047C8E" w14:textId="77777777" w:rsidR="00117D58" w:rsidRDefault="00117D58">
      <w:pPr>
        <w:pStyle w:val="BodyText"/>
        <w:jc w:val="center"/>
        <w:sectPr w:rsidR="00117D58">
          <w:pgSz w:w="11910" w:h="16840"/>
          <w:pgMar w:top="1360" w:right="1417" w:bottom="280" w:left="1417" w:header="720" w:footer="720" w:gutter="0"/>
          <w:cols w:space="720"/>
        </w:sectPr>
      </w:pPr>
    </w:p>
    <w:p w14:paraId="0F2B409C" w14:textId="77777777" w:rsidR="00117D58" w:rsidRDefault="00F52091">
      <w:pPr>
        <w:pStyle w:val="BodyText"/>
        <w:spacing w:before="74" w:line="360" w:lineRule="auto"/>
        <w:ind w:right="13" w:firstLine="720"/>
      </w:pPr>
      <w:r>
        <w:lastRenderedPageBreak/>
        <w:t>The results of ANOVA's analysis showed that the calculated F value of 17.229 was greater than the table F value of 3.94 at degrees of freedom (df) 1 and 98. In addition, a significance value of 0.000 which is smaller than 0.05 indicates that the regression model used is significant. Thus, it can be concluded that the regression model developed is feasible and is able to explain the relationship between independent variables and dependent variables statistically.</w:t>
      </w:r>
    </w:p>
    <w:p w14:paraId="095A5F2A" w14:textId="77777777" w:rsidR="00117D58" w:rsidRDefault="00F52091">
      <w:pPr>
        <w:pStyle w:val="Heading2"/>
        <w:spacing w:before="171"/>
      </w:pPr>
      <w:r>
        <w:t>Partial Test (T Test)</w:t>
      </w:r>
    </w:p>
    <w:p w14:paraId="6B019477" w14:textId="77777777" w:rsidR="00117D58" w:rsidRDefault="00117D58">
      <w:pPr>
        <w:pStyle w:val="BodyText"/>
        <w:spacing w:before="10"/>
        <w:ind w:left="0"/>
        <w:jc w:val="left"/>
        <w:rPr>
          <w:b/>
        </w:rPr>
      </w:pPr>
    </w:p>
    <w:p w14:paraId="36A97AA3" w14:textId="1572EB2F" w:rsidR="00117D58" w:rsidRDefault="00F52091">
      <w:pPr>
        <w:pStyle w:val="BodyText"/>
        <w:spacing w:line="362" w:lineRule="auto"/>
        <w:ind w:right="20" w:firstLine="720"/>
      </w:pPr>
      <w:r>
        <w:t xml:space="preserve">The t-test is used to measure the partial effect of independent variables on dependent variables. In this study, the analysis was focused on determining whether </w:t>
      </w:r>
      <w:r w:rsidR="006768C0">
        <w:rPr>
          <w:i/>
        </w:rPr>
        <w:t xml:space="preserve">the Non-Cash Transaction </w:t>
      </w:r>
      <w:r>
        <w:t xml:space="preserve"> variable has a significant impact on </w:t>
      </w:r>
      <w:r>
        <w:rPr>
          <w:i/>
        </w:rPr>
        <w:t>Saving Behaviour</w:t>
      </w:r>
      <w:r>
        <w:t>.</w:t>
      </w:r>
    </w:p>
    <w:p w14:paraId="1ED29E27" w14:textId="77777777" w:rsidR="00117D58" w:rsidRDefault="00117D58">
      <w:pPr>
        <w:pStyle w:val="BodyText"/>
        <w:spacing w:before="35"/>
        <w:ind w:left="0"/>
        <w:jc w:val="left"/>
        <w:rPr>
          <w:sz w:val="15"/>
        </w:rPr>
      </w:pPr>
    </w:p>
    <w:p w14:paraId="1109F6F8" w14:textId="77777777" w:rsidR="00117D58" w:rsidRDefault="00F52091">
      <w:pPr>
        <w:spacing w:before="1"/>
        <w:ind w:left="738"/>
        <w:jc w:val="center"/>
        <w:rPr>
          <w:rFonts w:ascii="Arial"/>
          <w:b/>
          <w:sz w:val="15"/>
        </w:rPr>
      </w:pPr>
      <w:r>
        <w:rPr>
          <w:rFonts w:ascii="Arial"/>
          <w:b/>
          <w:color w:val="000104"/>
          <w:spacing w:val="-2"/>
          <w:sz w:val="15"/>
        </w:rPr>
        <w:t>Coefficient</w:t>
      </w:r>
    </w:p>
    <w:tbl>
      <w:tblPr>
        <w:tblW w:w="0" w:type="auto"/>
        <w:tblInd w:w="2115" w:type="dxa"/>
        <w:tblBorders>
          <w:top w:val="single" w:sz="6" w:space="0" w:color="DFDFDF"/>
          <w:left w:val="single" w:sz="6" w:space="0" w:color="DFDFDF"/>
          <w:bottom w:val="single" w:sz="6" w:space="0" w:color="DFDFDF"/>
          <w:right w:val="single" w:sz="6" w:space="0" w:color="DFDFDF"/>
          <w:insideH w:val="single" w:sz="6" w:space="0" w:color="DFDFDF"/>
          <w:insideV w:val="single" w:sz="6" w:space="0" w:color="DFDFDF"/>
        </w:tblBorders>
        <w:tblLayout w:type="fixed"/>
        <w:tblCellMar>
          <w:left w:w="0" w:type="dxa"/>
          <w:right w:w="0" w:type="dxa"/>
        </w:tblCellMar>
        <w:tblLook w:val="01E0" w:firstRow="1" w:lastRow="1" w:firstColumn="1" w:lastColumn="1" w:noHBand="0" w:noVBand="0"/>
      </w:tblPr>
      <w:tblGrid>
        <w:gridCol w:w="506"/>
        <w:gridCol w:w="813"/>
        <w:gridCol w:w="919"/>
        <w:gridCol w:w="919"/>
        <w:gridCol w:w="1014"/>
        <w:gridCol w:w="708"/>
        <w:gridCol w:w="700"/>
      </w:tblGrid>
      <w:tr w:rsidR="00117D58" w14:paraId="2824AE8E" w14:textId="77777777">
        <w:trPr>
          <w:trHeight w:val="434"/>
        </w:trPr>
        <w:tc>
          <w:tcPr>
            <w:tcW w:w="3157" w:type="dxa"/>
            <w:gridSpan w:val="4"/>
            <w:tcBorders>
              <w:top w:val="nil"/>
              <w:left w:val="nil"/>
              <w:bottom w:val="nil"/>
            </w:tcBorders>
          </w:tcPr>
          <w:p w14:paraId="46542F6E" w14:textId="77777777" w:rsidR="00117D58" w:rsidRDefault="00117D58">
            <w:pPr>
              <w:pStyle w:val="TableParagraph"/>
              <w:spacing w:line="240" w:lineRule="auto"/>
              <w:jc w:val="left"/>
              <w:rPr>
                <w:rFonts w:ascii="Arial"/>
                <w:b/>
                <w:sz w:val="12"/>
              </w:rPr>
            </w:pPr>
          </w:p>
          <w:p w14:paraId="26AC76AA" w14:textId="77777777" w:rsidR="00117D58" w:rsidRDefault="00117D58">
            <w:pPr>
              <w:pStyle w:val="TableParagraph"/>
              <w:spacing w:before="22" w:line="240" w:lineRule="auto"/>
              <w:jc w:val="left"/>
              <w:rPr>
                <w:rFonts w:ascii="Arial"/>
                <w:b/>
                <w:sz w:val="12"/>
              </w:rPr>
            </w:pPr>
          </w:p>
          <w:p w14:paraId="41511A38" w14:textId="77777777" w:rsidR="00117D58" w:rsidRDefault="00F52091">
            <w:pPr>
              <w:pStyle w:val="TableParagraph"/>
              <w:spacing w:line="116" w:lineRule="exact"/>
              <w:ind w:left="1459"/>
              <w:jc w:val="left"/>
              <w:rPr>
                <w:rFonts w:ascii="Arial MT"/>
                <w:sz w:val="12"/>
              </w:rPr>
            </w:pPr>
            <w:r>
              <w:rPr>
                <w:rFonts w:ascii="Arial MT"/>
                <w:color w:val="25495F"/>
                <w:sz w:val="12"/>
              </w:rPr>
              <w:t>Unstandardized Coefficients</w:t>
            </w:r>
          </w:p>
        </w:tc>
        <w:tc>
          <w:tcPr>
            <w:tcW w:w="1014" w:type="dxa"/>
            <w:vMerge w:val="restart"/>
            <w:tcBorders>
              <w:top w:val="nil"/>
              <w:bottom w:val="single" w:sz="6" w:space="0" w:color="152935"/>
            </w:tcBorders>
          </w:tcPr>
          <w:p w14:paraId="5F67B49A" w14:textId="77777777" w:rsidR="00117D58" w:rsidRDefault="00F52091">
            <w:pPr>
              <w:pStyle w:val="TableParagraph"/>
              <w:spacing w:before="76" w:line="240" w:lineRule="auto"/>
              <w:ind w:left="177" w:hanging="42"/>
              <w:jc w:val="left"/>
              <w:rPr>
                <w:rFonts w:ascii="Arial MT"/>
                <w:sz w:val="12"/>
              </w:rPr>
            </w:pPr>
            <w:r>
              <w:rPr>
                <w:rFonts w:ascii="Arial MT"/>
                <w:color w:val="25495F"/>
                <w:spacing w:val="-2"/>
                <w:w w:val="105"/>
                <w:sz w:val="12"/>
              </w:rPr>
              <w:t>Standardized</w:t>
            </w:r>
          </w:p>
          <w:p w14:paraId="2888651E" w14:textId="77777777" w:rsidR="00117D58" w:rsidRDefault="00F52091">
            <w:pPr>
              <w:pStyle w:val="TableParagraph"/>
              <w:spacing w:line="220" w:lineRule="atLeast"/>
              <w:ind w:left="374" w:hanging="197"/>
              <w:jc w:val="left"/>
              <w:rPr>
                <w:rFonts w:ascii="Arial MT"/>
                <w:sz w:val="12"/>
              </w:rPr>
            </w:pPr>
            <w:r>
              <w:rPr>
                <w:rFonts w:ascii="Arial MT"/>
                <w:color w:val="25495F"/>
                <w:spacing w:val="-2"/>
                <w:sz w:val="12"/>
              </w:rPr>
              <w:t xml:space="preserve">Beta coefficients </w:t>
            </w:r>
          </w:p>
        </w:tc>
        <w:tc>
          <w:tcPr>
            <w:tcW w:w="708" w:type="dxa"/>
            <w:vMerge w:val="restart"/>
            <w:tcBorders>
              <w:top w:val="nil"/>
              <w:bottom w:val="single" w:sz="6" w:space="0" w:color="152935"/>
            </w:tcBorders>
          </w:tcPr>
          <w:p w14:paraId="139BFC54" w14:textId="77777777" w:rsidR="00117D58" w:rsidRDefault="00117D58">
            <w:pPr>
              <w:pStyle w:val="TableParagraph"/>
              <w:spacing w:line="240" w:lineRule="auto"/>
              <w:jc w:val="left"/>
              <w:rPr>
                <w:rFonts w:ascii="Arial"/>
                <w:b/>
                <w:sz w:val="12"/>
              </w:rPr>
            </w:pPr>
          </w:p>
          <w:p w14:paraId="622BE07B" w14:textId="77777777" w:rsidR="00117D58" w:rsidRDefault="00117D58">
            <w:pPr>
              <w:pStyle w:val="TableParagraph"/>
              <w:spacing w:line="240" w:lineRule="auto"/>
              <w:jc w:val="left"/>
              <w:rPr>
                <w:rFonts w:ascii="Arial"/>
                <w:b/>
                <w:sz w:val="12"/>
              </w:rPr>
            </w:pPr>
          </w:p>
          <w:p w14:paraId="484FB0D7" w14:textId="77777777" w:rsidR="00117D58" w:rsidRDefault="00117D58">
            <w:pPr>
              <w:pStyle w:val="TableParagraph"/>
              <w:spacing w:before="104" w:line="240" w:lineRule="auto"/>
              <w:jc w:val="left"/>
              <w:rPr>
                <w:rFonts w:ascii="Arial"/>
                <w:b/>
                <w:sz w:val="12"/>
              </w:rPr>
            </w:pPr>
          </w:p>
          <w:p w14:paraId="343FFFFF" w14:textId="77777777" w:rsidR="00117D58" w:rsidRDefault="00F52091">
            <w:pPr>
              <w:pStyle w:val="TableParagraph"/>
              <w:spacing w:line="122" w:lineRule="exact"/>
              <w:ind w:left="3"/>
              <w:rPr>
                <w:rFonts w:ascii="Arial MT"/>
                <w:sz w:val="12"/>
              </w:rPr>
            </w:pPr>
            <w:r>
              <w:rPr>
                <w:rFonts w:ascii="Arial MT"/>
                <w:color w:val="25495F"/>
                <w:spacing w:val="-10"/>
                <w:w w:val="105"/>
                <w:sz w:val="12"/>
              </w:rPr>
              <w:t>t</w:t>
            </w:r>
          </w:p>
        </w:tc>
        <w:tc>
          <w:tcPr>
            <w:tcW w:w="700" w:type="dxa"/>
            <w:vMerge w:val="restart"/>
            <w:tcBorders>
              <w:top w:val="nil"/>
              <w:bottom w:val="single" w:sz="6" w:space="0" w:color="152935"/>
              <w:right w:val="nil"/>
            </w:tcBorders>
          </w:tcPr>
          <w:p w14:paraId="164CB5F4" w14:textId="77777777" w:rsidR="00117D58" w:rsidRDefault="00117D58">
            <w:pPr>
              <w:pStyle w:val="TableParagraph"/>
              <w:spacing w:line="240" w:lineRule="auto"/>
              <w:jc w:val="left"/>
              <w:rPr>
                <w:rFonts w:ascii="Arial"/>
                <w:b/>
                <w:sz w:val="12"/>
              </w:rPr>
            </w:pPr>
          </w:p>
          <w:p w14:paraId="17ECFCBA" w14:textId="77777777" w:rsidR="00117D58" w:rsidRDefault="00117D58">
            <w:pPr>
              <w:pStyle w:val="TableParagraph"/>
              <w:spacing w:line="240" w:lineRule="auto"/>
              <w:jc w:val="left"/>
              <w:rPr>
                <w:rFonts w:ascii="Arial"/>
                <w:b/>
                <w:sz w:val="12"/>
              </w:rPr>
            </w:pPr>
          </w:p>
          <w:p w14:paraId="79A8300D" w14:textId="77777777" w:rsidR="00117D58" w:rsidRDefault="00117D58">
            <w:pPr>
              <w:pStyle w:val="TableParagraph"/>
              <w:spacing w:before="104" w:line="240" w:lineRule="auto"/>
              <w:jc w:val="left"/>
              <w:rPr>
                <w:rFonts w:ascii="Arial"/>
                <w:b/>
                <w:sz w:val="12"/>
              </w:rPr>
            </w:pPr>
          </w:p>
          <w:p w14:paraId="444863AD" w14:textId="77777777" w:rsidR="00117D58" w:rsidRDefault="00F52091">
            <w:pPr>
              <w:pStyle w:val="TableParagraph"/>
              <w:spacing w:line="122" w:lineRule="exact"/>
              <w:ind w:left="12"/>
              <w:rPr>
                <w:rFonts w:ascii="Arial MT"/>
                <w:sz w:val="12"/>
              </w:rPr>
            </w:pPr>
            <w:r>
              <w:rPr>
                <w:rFonts w:ascii="Arial MT"/>
                <w:color w:val="25495F"/>
                <w:spacing w:val="-4"/>
                <w:w w:val="105"/>
                <w:sz w:val="12"/>
              </w:rPr>
              <w:t>Sig.</w:t>
            </w:r>
          </w:p>
        </w:tc>
      </w:tr>
      <w:tr w:rsidR="00117D58" w14:paraId="7C25C303" w14:textId="77777777">
        <w:trPr>
          <w:trHeight w:val="211"/>
        </w:trPr>
        <w:tc>
          <w:tcPr>
            <w:tcW w:w="2238" w:type="dxa"/>
            <w:gridSpan w:val="3"/>
            <w:tcBorders>
              <w:top w:val="nil"/>
              <w:left w:val="nil"/>
              <w:bottom w:val="single" w:sz="6" w:space="0" w:color="152935"/>
            </w:tcBorders>
          </w:tcPr>
          <w:p w14:paraId="224934BC" w14:textId="77777777" w:rsidR="00117D58" w:rsidRDefault="00F52091">
            <w:pPr>
              <w:pStyle w:val="TableParagraph"/>
              <w:tabs>
                <w:tab w:val="left" w:pos="1735"/>
              </w:tabs>
              <w:spacing w:before="69" w:line="122" w:lineRule="exact"/>
              <w:ind w:left="41"/>
              <w:jc w:val="left"/>
              <w:rPr>
                <w:rFonts w:ascii="Arial MT"/>
                <w:sz w:val="12"/>
              </w:rPr>
            </w:pPr>
            <w:r>
              <w:rPr>
                <w:rFonts w:ascii="Arial MT"/>
                <w:color w:val="25495F"/>
                <w:spacing w:val="-2"/>
                <w:w w:val="105"/>
                <w:sz w:val="12"/>
              </w:rPr>
              <w:t>Models</w:t>
            </w:r>
            <w:r>
              <w:rPr>
                <w:rFonts w:ascii="Arial MT"/>
                <w:color w:val="25495F"/>
                <w:sz w:val="12"/>
              </w:rPr>
              <w:tab/>
            </w:r>
            <w:r>
              <w:rPr>
                <w:rFonts w:ascii="Arial MT"/>
                <w:color w:val="25495F"/>
                <w:spacing w:val="-10"/>
                <w:w w:val="105"/>
                <w:sz w:val="12"/>
              </w:rPr>
              <w:t>B</w:t>
            </w:r>
          </w:p>
        </w:tc>
        <w:tc>
          <w:tcPr>
            <w:tcW w:w="919" w:type="dxa"/>
            <w:tcBorders>
              <w:top w:val="nil"/>
              <w:bottom w:val="single" w:sz="6" w:space="0" w:color="152935"/>
            </w:tcBorders>
          </w:tcPr>
          <w:p w14:paraId="6D78DE25" w14:textId="77777777" w:rsidR="00117D58" w:rsidRDefault="00F52091">
            <w:pPr>
              <w:pStyle w:val="TableParagraph"/>
              <w:spacing w:before="69" w:line="122" w:lineRule="exact"/>
              <w:ind w:left="188"/>
              <w:jc w:val="left"/>
              <w:rPr>
                <w:rFonts w:ascii="Arial MT"/>
                <w:sz w:val="12"/>
              </w:rPr>
            </w:pPr>
            <w:r>
              <w:rPr>
                <w:rFonts w:ascii="Arial MT"/>
                <w:color w:val="25495F"/>
                <w:w w:val="105"/>
                <w:sz w:val="12"/>
              </w:rPr>
              <w:t>Std. Error</w:t>
            </w:r>
          </w:p>
        </w:tc>
        <w:tc>
          <w:tcPr>
            <w:tcW w:w="1014" w:type="dxa"/>
            <w:vMerge/>
            <w:tcBorders>
              <w:top w:val="nil"/>
              <w:bottom w:val="single" w:sz="6" w:space="0" w:color="152935"/>
            </w:tcBorders>
          </w:tcPr>
          <w:p w14:paraId="50EF2714" w14:textId="77777777" w:rsidR="00117D58" w:rsidRDefault="00117D58">
            <w:pPr>
              <w:rPr>
                <w:sz w:val="2"/>
                <w:szCs w:val="2"/>
              </w:rPr>
            </w:pPr>
          </w:p>
        </w:tc>
        <w:tc>
          <w:tcPr>
            <w:tcW w:w="708" w:type="dxa"/>
            <w:vMerge/>
            <w:tcBorders>
              <w:top w:val="nil"/>
              <w:bottom w:val="single" w:sz="6" w:space="0" w:color="152935"/>
            </w:tcBorders>
          </w:tcPr>
          <w:p w14:paraId="01BB0B01" w14:textId="77777777" w:rsidR="00117D58" w:rsidRDefault="00117D58">
            <w:pPr>
              <w:rPr>
                <w:sz w:val="2"/>
                <w:szCs w:val="2"/>
              </w:rPr>
            </w:pPr>
          </w:p>
        </w:tc>
        <w:tc>
          <w:tcPr>
            <w:tcW w:w="700" w:type="dxa"/>
            <w:vMerge/>
            <w:tcBorders>
              <w:top w:val="nil"/>
              <w:bottom w:val="single" w:sz="6" w:space="0" w:color="152935"/>
              <w:right w:val="nil"/>
            </w:tcBorders>
          </w:tcPr>
          <w:p w14:paraId="7FA1C594" w14:textId="77777777" w:rsidR="00117D58" w:rsidRDefault="00117D58">
            <w:pPr>
              <w:rPr>
                <w:sz w:val="2"/>
                <w:szCs w:val="2"/>
              </w:rPr>
            </w:pPr>
          </w:p>
        </w:tc>
      </w:tr>
      <w:tr w:rsidR="00117D58" w14:paraId="699AB705" w14:textId="77777777">
        <w:trPr>
          <w:trHeight w:val="220"/>
        </w:trPr>
        <w:tc>
          <w:tcPr>
            <w:tcW w:w="506" w:type="dxa"/>
            <w:vMerge w:val="restart"/>
            <w:tcBorders>
              <w:top w:val="single" w:sz="6" w:space="0" w:color="152935"/>
              <w:left w:val="nil"/>
              <w:bottom w:val="single" w:sz="4" w:space="0" w:color="152935"/>
              <w:right w:val="nil"/>
            </w:tcBorders>
            <w:shd w:val="clear" w:color="auto" w:fill="DFDFDF"/>
          </w:tcPr>
          <w:p w14:paraId="4FB751C9" w14:textId="77777777" w:rsidR="00117D58" w:rsidRDefault="00F52091">
            <w:pPr>
              <w:pStyle w:val="TableParagraph"/>
              <w:spacing w:before="78" w:line="240" w:lineRule="auto"/>
              <w:ind w:left="41"/>
              <w:jc w:val="left"/>
              <w:rPr>
                <w:rFonts w:ascii="Arial MT"/>
                <w:sz w:val="12"/>
              </w:rPr>
            </w:pPr>
            <w:r>
              <w:rPr>
                <w:rFonts w:ascii="Arial MT"/>
                <w:color w:val="25495F"/>
                <w:spacing w:val="-10"/>
                <w:w w:val="105"/>
                <w:sz w:val="12"/>
              </w:rPr>
              <w:t>1</w:t>
            </w:r>
          </w:p>
        </w:tc>
        <w:tc>
          <w:tcPr>
            <w:tcW w:w="813" w:type="dxa"/>
            <w:tcBorders>
              <w:top w:val="single" w:sz="6" w:space="0" w:color="152935"/>
              <w:left w:val="nil"/>
              <w:bottom w:val="single" w:sz="6" w:space="0" w:color="ADADAD"/>
              <w:right w:val="nil"/>
            </w:tcBorders>
            <w:shd w:val="clear" w:color="auto" w:fill="DFDFDF"/>
          </w:tcPr>
          <w:p w14:paraId="46C9640F" w14:textId="77777777" w:rsidR="00117D58" w:rsidRDefault="00F52091">
            <w:pPr>
              <w:pStyle w:val="TableParagraph"/>
              <w:spacing w:before="78" w:line="122" w:lineRule="exact"/>
              <w:ind w:left="41"/>
              <w:jc w:val="left"/>
              <w:rPr>
                <w:rFonts w:ascii="Arial MT"/>
                <w:sz w:val="12"/>
              </w:rPr>
            </w:pPr>
            <w:r>
              <w:rPr>
                <w:rFonts w:ascii="Arial MT"/>
                <w:color w:val="25495F"/>
                <w:spacing w:val="-2"/>
                <w:w w:val="105"/>
                <w:sz w:val="12"/>
              </w:rPr>
              <w:t>(Constant)</w:t>
            </w:r>
          </w:p>
        </w:tc>
        <w:tc>
          <w:tcPr>
            <w:tcW w:w="919" w:type="dxa"/>
            <w:tcBorders>
              <w:top w:val="single" w:sz="6" w:space="0" w:color="152935"/>
              <w:left w:val="nil"/>
              <w:bottom w:val="single" w:sz="6" w:space="0" w:color="ADADAD"/>
            </w:tcBorders>
            <w:shd w:val="clear" w:color="auto" w:fill="F8F8FA"/>
          </w:tcPr>
          <w:p w14:paraId="37107DB3" w14:textId="77777777" w:rsidR="00117D58" w:rsidRDefault="00F52091">
            <w:pPr>
              <w:pStyle w:val="TableParagraph"/>
              <w:spacing w:before="78" w:line="122" w:lineRule="exact"/>
              <w:ind w:right="35"/>
              <w:jc w:val="right"/>
              <w:rPr>
                <w:rFonts w:ascii="Arial MT"/>
                <w:sz w:val="12"/>
              </w:rPr>
            </w:pPr>
            <w:r>
              <w:rPr>
                <w:rFonts w:ascii="Arial MT"/>
                <w:color w:val="000104"/>
                <w:spacing w:val="-2"/>
                <w:w w:val="105"/>
                <w:sz w:val="12"/>
              </w:rPr>
              <w:t>13.654</w:t>
            </w:r>
          </w:p>
        </w:tc>
        <w:tc>
          <w:tcPr>
            <w:tcW w:w="919" w:type="dxa"/>
            <w:tcBorders>
              <w:top w:val="single" w:sz="6" w:space="0" w:color="152935"/>
              <w:bottom w:val="single" w:sz="6" w:space="0" w:color="ADADAD"/>
            </w:tcBorders>
            <w:shd w:val="clear" w:color="auto" w:fill="F8F8FA"/>
          </w:tcPr>
          <w:p w14:paraId="0EB3053C" w14:textId="77777777" w:rsidR="00117D58" w:rsidRDefault="00F52091">
            <w:pPr>
              <w:pStyle w:val="TableParagraph"/>
              <w:spacing w:before="78" w:line="122" w:lineRule="exact"/>
              <w:ind w:right="36"/>
              <w:jc w:val="right"/>
              <w:rPr>
                <w:rFonts w:ascii="Arial MT"/>
                <w:sz w:val="12"/>
              </w:rPr>
            </w:pPr>
            <w:r>
              <w:rPr>
                <w:rFonts w:ascii="Arial MT"/>
                <w:color w:val="000104"/>
                <w:spacing w:val="-2"/>
                <w:w w:val="105"/>
                <w:sz w:val="12"/>
              </w:rPr>
              <w:t>4.348</w:t>
            </w:r>
          </w:p>
        </w:tc>
        <w:tc>
          <w:tcPr>
            <w:tcW w:w="1014" w:type="dxa"/>
            <w:tcBorders>
              <w:top w:val="single" w:sz="6" w:space="0" w:color="152935"/>
              <w:bottom w:val="single" w:sz="6" w:space="0" w:color="ADADAD"/>
            </w:tcBorders>
            <w:shd w:val="clear" w:color="auto" w:fill="F8F8FA"/>
          </w:tcPr>
          <w:p w14:paraId="04DC9409" w14:textId="77777777" w:rsidR="00117D58" w:rsidRDefault="00117D58">
            <w:pPr>
              <w:pStyle w:val="TableParagraph"/>
              <w:spacing w:line="240" w:lineRule="auto"/>
              <w:jc w:val="left"/>
              <w:rPr>
                <w:sz w:val="14"/>
              </w:rPr>
            </w:pPr>
          </w:p>
        </w:tc>
        <w:tc>
          <w:tcPr>
            <w:tcW w:w="708" w:type="dxa"/>
            <w:tcBorders>
              <w:top w:val="single" w:sz="6" w:space="0" w:color="152935"/>
              <w:bottom w:val="single" w:sz="6" w:space="0" w:color="ADADAD"/>
            </w:tcBorders>
            <w:shd w:val="clear" w:color="auto" w:fill="F8F8FA"/>
          </w:tcPr>
          <w:p w14:paraId="1D27CA74" w14:textId="77777777" w:rsidR="00117D58" w:rsidRDefault="00F52091">
            <w:pPr>
              <w:pStyle w:val="TableParagraph"/>
              <w:spacing w:before="78" w:line="122" w:lineRule="exact"/>
              <w:ind w:right="34"/>
              <w:jc w:val="right"/>
              <w:rPr>
                <w:rFonts w:ascii="Arial MT"/>
                <w:sz w:val="12"/>
              </w:rPr>
            </w:pPr>
            <w:r>
              <w:rPr>
                <w:rFonts w:ascii="Arial MT"/>
                <w:color w:val="000104"/>
                <w:spacing w:val="-2"/>
                <w:w w:val="105"/>
                <w:sz w:val="12"/>
              </w:rPr>
              <w:t>3.140</w:t>
            </w:r>
          </w:p>
        </w:tc>
        <w:tc>
          <w:tcPr>
            <w:tcW w:w="700" w:type="dxa"/>
            <w:tcBorders>
              <w:top w:val="single" w:sz="6" w:space="0" w:color="152935"/>
              <w:bottom w:val="single" w:sz="6" w:space="0" w:color="ADADAD"/>
              <w:right w:val="nil"/>
            </w:tcBorders>
            <w:shd w:val="clear" w:color="auto" w:fill="F8F8FA"/>
          </w:tcPr>
          <w:p w14:paraId="1A8E8BED" w14:textId="77777777" w:rsidR="00117D58" w:rsidRDefault="00F52091">
            <w:pPr>
              <w:pStyle w:val="TableParagraph"/>
              <w:spacing w:before="78" w:line="122" w:lineRule="exact"/>
              <w:ind w:right="27"/>
              <w:jc w:val="right"/>
              <w:rPr>
                <w:rFonts w:ascii="Arial MT"/>
                <w:sz w:val="12"/>
              </w:rPr>
            </w:pPr>
            <w:r>
              <w:rPr>
                <w:rFonts w:ascii="Arial MT"/>
                <w:color w:val="000104"/>
                <w:spacing w:val="-4"/>
                <w:w w:val="105"/>
                <w:sz w:val="12"/>
              </w:rPr>
              <w:t>.002</w:t>
            </w:r>
          </w:p>
        </w:tc>
      </w:tr>
      <w:tr w:rsidR="00117D58" w14:paraId="03124492" w14:textId="77777777">
        <w:trPr>
          <w:trHeight w:val="219"/>
        </w:trPr>
        <w:tc>
          <w:tcPr>
            <w:tcW w:w="506" w:type="dxa"/>
            <w:vMerge/>
            <w:tcBorders>
              <w:top w:val="nil"/>
              <w:left w:val="nil"/>
              <w:bottom w:val="single" w:sz="4" w:space="0" w:color="152935"/>
              <w:right w:val="nil"/>
            </w:tcBorders>
            <w:shd w:val="clear" w:color="auto" w:fill="DFDFDF"/>
          </w:tcPr>
          <w:p w14:paraId="6F6C364C" w14:textId="77777777" w:rsidR="00117D58" w:rsidRDefault="00117D58">
            <w:pPr>
              <w:rPr>
                <w:sz w:val="2"/>
                <w:szCs w:val="2"/>
              </w:rPr>
            </w:pPr>
          </w:p>
        </w:tc>
        <w:tc>
          <w:tcPr>
            <w:tcW w:w="813" w:type="dxa"/>
            <w:tcBorders>
              <w:top w:val="single" w:sz="6" w:space="0" w:color="ADADAD"/>
              <w:left w:val="nil"/>
              <w:bottom w:val="single" w:sz="4" w:space="0" w:color="152935"/>
              <w:right w:val="nil"/>
            </w:tcBorders>
            <w:shd w:val="clear" w:color="auto" w:fill="DFDFDF"/>
          </w:tcPr>
          <w:p w14:paraId="256BE8A3" w14:textId="77777777" w:rsidR="00117D58" w:rsidRDefault="00F52091">
            <w:pPr>
              <w:pStyle w:val="TableParagraph"/>
              <w:spacing w:before="76" w:line="123" w:lineRule="exact"/>
              <w:ind w:left="41"/>
              <w:jc w:val="left"/>
              <w:rPr>
                <w:rFonts w:ascii="Arial MT"/>
                <w:sz w:val="12"/>
              </w:rPr>
            </w:pPr>
            <w:r>
              <w:rPr>
                <w:rFonts w:ascii="Arial MT"/>
                <w:color w:val="25495F"/>
                <w:spacing w:val="-2"/>
                <w:w w:val="105"/>
                <w:sz w:val="12"/>
              </w:rPr>
              <w:t>Cashless</w:t>
            </w:r>
          </w:p>
        </w:tc>
        <w:tc>
          <w:tcPr>
            <w:tcW w:w="919" w:type="dxa"/>
            <w:tcBorders>
              <w:top w:val="single" w:sz="6" w:space="0" w:color="ADADAD"/>
              <w:left w:val="nil"/>
              <w:bottom w:val="single" w:sz="4" w:space="0" w:color="152935"/>
            </w:tcBorders>
            <w:shd w:val="clear" w:color="auto" w:fill="F8F8FA"/>
          </w:tcPr>
          <w:p w14:paraId="37C885C3" w14:textId="77777777" w:rsidR="00117D58" w:rsidRDefault="00F52091">
            <w:pPr>
              <w:pStyle w:val="TableParagraph"/>
              <w:spacing w:before="76" w:line="123" w:lineRule="exact"/>
              <w:ind w:right="35"/>
              <w:jc w:val="right"/>
              <w:rPr>
                <w:rFonts w:ascii="Arial MT"/>
                <w:sz w:val="12"/>
              </w:rPr>
            </w:pPr>
            <w:r>
              <w:rPr>
                <w:rFonts w:ascii="Arial MT"/>
                <w:color w:val="000104"/>
                <w:spacing w:val="-4"/>
                <w:w w:val="105"/>
                <w:sz w:val="12"/>
              </w:rPr>
              <w:t>.554</w:t>
            </w:r>
          </w:p>
        </w:tc>
        <w:tc>
          <w:tcPr>
            <w:tcW w:w="919" w:type="dxa"/>
            <w:tcBorders>
              <w:top w:val="single" w:sz="6" w:space="0" w:color="ADADAD"/>
              <w:bottom w:val="single" w:sz="4" w:space="0" w:color="152935"/>
            </w:tcBorders>
            <w:shd w:val="clear" w:color="auto" w:fill="F8F8FA"/>
          </w:tcPr>
          <w:p w14:paraId="22C06DCC" w14:textId="77777777" w:rsidR="00117D58" w:rsidRDefault="00F52091">
            <w:pPr>
              <w:pStyle w:val="TableParagraph"/>
              <w:spacing w:before="76" w:line="123" w:lineRule="exact"/>
              <w:ind w:right="36"/>
              <w:jc w:val="right"/>
              <w:rPr>
                <w:rFonts w:ascii="Arial MT"/>
                <w:sz w:val="12"/>
              </w:rPr>
            </w:pPr>
            <w:r>
              <w:rPr>
                <w:rFonts w:ascii="Arial MT"/>
                <w:color w:val="000104"/>
                <w:spacing w:val="-4"/>
                <w:w w:val="105"/>
                <w:sz w:val="12"/>
              </w:rPr>
              <w:t>.133</w:t>
            </w:r>
          </w:p>
        </w:tc>
        <w:tc>
          <w:tcPr>
            <w:tcW w:w="1014" w:type="dxa"/>
            <w:tcBorders>
              <w:top w:val="single" w:sz="6" w:space="0" w:color="ADADAD"/>
              <w:bottom w:val="single" w:sz="4" w:space="0" w:color="152935"/>
            </w:tcBorders>
            <w:shd w:val="clear" w:color="auto" w:fill="F8F8FA"/>
          </w:tcPr>
          <w:p w14:paraId="4B40EA6C" w14:textId="77777777" w:rsidR="00117D58" w:rsidRDefault="00F52091">
            <w:pPr>
              <w:pStyle w:val="TableParagraph"/>
              <w:spacing w:before="76" w:line="123" w:lineRule="exact"/>
              <w:ind w:right="34"/>
              <w:jc w:val="right"/>
              <w:rPr>
                <w:rFonts w:ascii="Arial MT"/>
                <w:sz w:val="12"/>
              </w:rPr>
            </w:pPr>
            <w:r>
              <w:rPr>
                <w:rFonts w:ascii="Arial MT"/>
                <w:color w:val="000104"/>
                <w:spacing w:val="-4"/>
                <w:w w:val="105"/>
                <w:sz w:val="12"/>
              </w:rPr>
              <w:t>.387</w:t>
            </w:r>
          </w:p>
        </w:tc>
        <w:tc>
          <w:tcPr>
            <w:tcW w:w="708" w:type="dxa"/>
            <w:tcBorders>
              <w:top w:val="single" w:sz="6" w:space="0" w:color="ADADAD"/>
              <w:bottom w:val="single" w:sz="4" w:space="0" w:color="152935"/>
            </w:tcBorders>
            <w:shd w:val="clear" w:color="auto" w:fill="F8F8FA"/>
          </w:tcPr>
          <w:p w14:paraId="146E1DBC" w14:textId="77777777" w:rsidR="00117D58" w:rsidRDefault="00F52091">
            <w:pPr>
              <w:pStyle w:val="TableParagraph"/>
              <w:spacing w:before="76" w:line="123" w:lineRule="exact"/>
              <w:ind w:right="34"/>
              <w:jc w:val="right"/>
              <w:rPr>
                <w:rFonts w:ascii="Arial MT"/>
                <w:sz w:val="12"/>
              </w:rPr>
            </w:pPr>
            <w:r>
              <w:rPr>
                <w:rFonts w:ascii="Arial MT"/>
                <w:color w:val="000104"/>
                <w:spacing w:val="-2"/>
                <w:w w:val="105"/>
                <w:sz w:val="12"/>
              </w:rPr>
              <w:t>4.151</w:t>
            </w:r>
          </w:p>
        </w:tc>
        <w:tc>
          <w:tcPr>
            <w:tcW w:w="700" w:type="dxa"/>
            <w:tcBorders>
              <w:top w:val="single" w:sz="6" w:space="0" w:color="ADADAD"/>
              <w:bottom w:val="single" w:sz="4" w:space="0" w:color="152935"/>
              <w:right w:val="nil"/>
            </w:tcBorders>
            <w:shd w:val="clear" w:color="auto" w:fill="F8F8FA"/>
          </w:tcPr>
          <w:p w14:paraId="5F77695F" w14:textId="77777777" w:rsidR="00117D58" w:rsidRDefault="00F52091">
            <w:pPr>
              <w:pStyle w:val="TableParagraph"/>
              <w:spacing w:before="76" w:line="123" w:lineRule="exact"/>
              <w:ind w:right="27"/>
              <w:jc w:val="right"/>
              <w:rPr>
                <w:rFonts w:ascii="Arial MT"/>
                <w:sz w:val="12"/>
              </w:rPr>
            </w:pPr>
            <w:r>
              <w:rPr>
                <w:rFonts w:ascii="Arial MT"/>
                <w:color w:val="000104"/>
                <w:spacing w:val="-4"/>
                <w:w w:val="105"/>
                <w:sz w:val="12"/>
              </w:rPr>
              <w:t>.000</w:t>
            </w:r>
          </w:p>
        </w:tc>
      </w:tr>
    </w:tbl>
    <w:p w14:paraId="6EDD4D75" w14:textId="77777777" w:rsidR="00117D58" w:rsidRDefault="00117D58">
      <w:pPr>
        <w:pStyle w:val="BodyText"/>
        <w:spacing w:before="125"/>
        <w:ind w:left="0"/>
        <w:jc w:val="left"/>
        <w:rPr>
          <w:rFonts w:ascii="Arial"/>
          <w:b/>
          <w:sz w:val="15"/>
        </w:rPr>
      </w:pPr>
    </w:p>
    <w:p w14:paraId="3AF17918" w14:textId="77777777" w:rsidR="00117D58" w:rsidRDefault="00F52091">
      <w:pPr>
        <w:pStyle w:val="BodyText"/>
        <w:ind w:left="722" w:right="6"/>
        <w:jc w:val="center"/>
      </w:pPr>
      <w:r>
        <w:t>Table 8. T Test (Partial Test)</w:t>
      </w:r>
    </w:p>
    <w:p w14:paraId="5CBF5460" w14:textId="77777777" w:rsidR="00117D58" w:rsidRDefault="00117D58">
      <w:pPr>
        <w:pStyle w:val="BodyText"/>
        <w:spacing w:before="15"/>
        <w:ind w:left="0"/>
        <w:jc w:val="left"/>
      </w:pPr>
    </w:p>
    <w:p w14:paraId="3314CBBB" w14:textId="0A21E69F" w:rsidR="00117D58" w:rsidRDefault="00F52091">
      <w:pPr>
        <w:pStyle w:val="BodyText"/>
        <w:spacing w:line="360" w:lineRule="auto"/>
        <w:ind w:right="17" w:firstLine="720"/>
      </w:pPr>
      <w:r>
        <w:t xml:space="preserve">The </w:t>
      </w:r>
      <w:r w:rsidR="006768C0" w:rsidRPr="006768C0">
        <w:rPr>
          <w:iCs/>
        </w:rPr>
        <w:t xml:space="preserve">Non-Cash Transaction </w:t>
      </w:r>
      <w:r>
        <w:t xml:space="preserve"> variable shows a calculated t-value of 4.151, which is greater than the table t-value of 1.984 at the degree of freedom 98 with a significance level of α = 0.05. In addition, the significance value of 0.000 is smaller than 0.05. The test showed the result that the null hypothesis (H₀) was rejected and the alternative hypothesis (H₁) was accepted. It can be concluded that the </w:t>
      </w:r>
      <w:r w:rsidR="006768C0" w:rsidRPr="006768C0">
        <w:rPr>
          <w:iCs/>
        </w:rPr>
        <w:t xml:space="preserve">Non-Cash Transaction </w:t>
      </w:r>
      <w:r>
        <w:t xml:space="preserve"> variable has a significant effect on the variable </w:t>
      </w:r>
      <w:r>
        <w:rPr>
          <w:i/>
        </w:rPr>
        <w:t xml:space="preserve">saving behavior </w:t>
      </w:r>
      <w:r>
        <w:t>of students. This means that the higher the level of use of non-cash transactions, such as digital wallets, QRIS, and mobile banking services, the better the student's saving behavior.</w:t>
      </w:r>
    </w:p>
    <w:p w14:paraId="3FD88B24" w14:textId="77777777" w:rsidR="00117D58" w:rsidRDefault="00F52091">
      <w:pPr>
        <w:pStyle w:val="Heading2"/>
      </w:pPr>
      <w:r>
        <w:t>Determination Coefficient Test (Adjusted R2)</w:t>
      </w:r>
    </w:p>
    <w:p w14:paraId="715EC57B" w14:textId="77777777" w:rsidR="00117D58" w:rsidRDefault="00117D58">
      <w:pPr>
        <w:pStyle w:val="BodyText"/>
        <w:spacing w:before="14"/>
        <w:ind w:left="0"/>
        <w:jc w:val="left"/>
        <w:rPr>
          <w:b/>
        </w:rPr>
      </w:pPr>
    </w:p>
    <w:p w14:paraId="5BCB04FB" w14:textId="77AB6405" w:rsidR="00117D58" w:rsidRDefault="00F52091">
      <w:pPr>
        <w:pStyle w:val="BodyText"/>
        <w:spacing w:before="1" w:line="360" w:lineRule="auto"/>
        <w:ind w:right="15" w:firstLine="720"/>
      </w:pPr>
      <w:r>
        <w:t xml:space="preserve">The measurement of the determination coefficient in this study was carried out using the Adjusted R² value to determine the ability of the independent variable, namely </w:t>
      </w:r>
      <w:r w:rsidR="006768C0" w:rsidRPr="00877B83">
        <w:rPr>
          <w:iCs/>
        </w:rPr>
        <w:t xml:space="preserve">Non-Cash </w:t>
      </w:r>
      <w:r>
        <w:t xml:space="preserve">Transactions (X), in explaining variations in the dependent variable, namely </w:t>
      </w:r>
      <w:r>
        <w:rPr>
          <w:i/>
        </w:rPr>
        <w:t xml:space="preserve">saving behavior </w:t>
      </w:r>
      <w:r>
        <w:t>(Y). The use of Adjusted R² was chosen because this measure is considered more representative in assessing the accuracy of the regression model. Ghozali (2021) states that the Adjusted R² value is compiled by considering the number of independent variables used in the model, so that</w:t>
      </w:r>
    </w:p>
    <w:p w14:paraId="168AF06C" w14:textId="77777777" w:rsidR="00117D58" w:rsidRDefault="00117D58">
      <w:pPr>
        <w:pStyle w:val="BodyText"/>
        <w:spacing w:line="360" w:lineRule="auto"/>
        <w:sectPr w:rsidR="00117D58">
          <w:pgSz w:w="11910" w:h="16840"/>
          <w:pgMar w:top="1340" w:right="1417" w:bottom="280" w:left="1417" w:header="720" w:footer="720" w:gutter="0"/>
          <w:cols w:space="720"/>
        </w:sectPr>
      </w:pPr>
    </w:p>
    <w:p w14:paraId="6B360D8A" w14:textId="77777777" w:rsidR="00117D58" w:rsidRDefault="00F52091">
      <w:pPr>
        <w:pStyle w:val="BodyText"/>
        <w:spacing w:before="74" w:line="362" w:lineRule="auto"/>
        <w:ind w:right="18"/>
      </w:pPr>
      <w:r>
        <w:lastRenderedPageBreak/>
        <w:t>This measure is considered to be more able to represent the ability of the research model to explain the variation of dependent variables more accurately.</w:t>
      </w:r>
    </w:p>
    <w:p w14:paraId="13B24AB7" w14:textId="77777777" w:rsidR="00117D58" w:rsidRDefault="00F52091">
      <w:pPr>
        <w:pStyle w:val="BodyText"/>
        <w:spacing w:before="156" w:line="360" w:lineRule="auto"/>
        <w:ind w:right="15" w:firstLine="720"/>
      </w:pPr>
      <w:r>
        <w:t xml:space="preserve">Although this study only involved one independent variable, the Adjusted R² value is still used because it can provide a more stable and conservative estimate than the usual determination coefficient. Thus, the use of Adjusted R² in this study aims to ensure that the assessment of the ability of regression models in explaining  students' </w:t>
      </w:r>
      <w:r>
        <w:rPr>
          <w:i/>
        </w:rPr>
        <w:t xml:space="preserve">saving behavior </w:t>
      </w:r>
      <w:r>
        <w:t>is carried out in a more objective and methodological manner.</w:t>
      </w:r>
    </w:p>
    <w:p w14:paraId="39E91164" w14:textId="77777777" w:rsidR="00117D58" w:rsidRDefault="00117D58">
      <w:pPr>
        <w:pStyle w:val="BodyText"/>
        <w:spacing w:before="22"/>
        <w:ind w:left="0"/>
        <w:jc w:val="left"/>
        <w:rPr>
          <w:sz w:val="17"/>
        </w:rPr>
      </w:pPr>
    </w:p>
    <w:p w14:paraId="3D4D0B09" w14:textId="77777777" w:rsidR="00117D58" w:rsidRDefault="00F52091">
      <w:pPr>
        <w:ind w:left="738" w:right="350"/>
        <w:jc w:val="center"/>
        <w:rPr>
          <w:rFonts w:ascii="Arial"/>
          <w:b/>
          <w:sz w:val="17"/>
        </w:rPr>
      </w:pPr>
      <w:r>
        <w:rPr>
          <w:rFonts w:ascii="Arial"/>
          <w:b/>
          <w:color w:val="000104"/>
          <w:sz w:val="17"/>
        </w:rPr>
        <w:t>Model Summaryb</w:t>
      </w:r>
    </w:p>
    <w:tbl>
      <w:tblPr>
        <w:tblW w:w="0" w:type="auto"/>
        <w:tblInd w:w="1908" w:type="dxa"/>
        <w:tblBorders>
          <w:top w:val="single" w:sz="6" w:space="0" w:color="152935"/>
          <w:left w:val="single" w:sz="6" w:space="0" w:color="152935"/>
          <w:bottom w:val="single" w:sz="6" w:space="0" w:color="152935"/>
          <w:right w:val="single" w:sz="6" w:space="0" w:color="152935"/>
          <w:insideH w:val="single" w:sz="6" w:space="0" w:color="152935"/>
          <w:insideV w:val="single" w:sz="6" w:space="0" w:color="152935"/>
        </w:tblBorders>
        <w:tblLayout w:type="fixed"/>
        <w:tblCellMar>
          <w:left w:w="0" w:type="dxa"/>
          <w:right w:w="0" w:type="dxa"/>
        </w:tblCellMar>
        <w:tblLook w:val="01E0" w:firstRow="1" w:lastRow="1" w:firstColumn="1" w:lastColumn="1" w:noHBand="0" w:noVBand="0"/>
      </w:tblPr>
      <w:tblGrid>
        <w:gridCol w:w="615"/>
        <w:gridCol w:w="794"/>
        <w:gridCol w:w="841"/>
        <w:gridCol w:w="1137"/>
        <w:gridCol w:w="1137"/>
        <w:gridCol w:w="1120"/>
      </w:tblGrid>
      <w:tr w:rsidR="00117D58" w14:paraId="7D0D0C5D" w14:textId="77777777">
        <w:trPr>
          <w:trHeight w:val="494"/>
        </w:trPr>
        <w:tc>
          <w:tcPr>
            <w:tcW w:w="1409" w:type="dxa"/>
            <w:gridSpan w:val="2"/>
            <w:tcBorders>
              <w:top w:val="nil"/>
              <w:left w:val="nil"/>
              <w:right w:val="single" w:sz="6" w:space="0" w:color="DFDFDF"/>
            </w:tcBorders>
          </w:tcPr>
          <w:p w14:paraId="4FAD2CB7" w14:textId="77777777" w:rsidR="00117D58" w:rsidRDefault="00117D58">
            <w:pPr>
              <w:pStyle w:val="TableParagraph"/>
              <w:spacing w:line="240" w:lineRule="auto"/>
              <w:jc w:val="left"/>
              <w:rPr>
                <w:rFonts w:ascii="Arial"/>
                <w:b/>
                <w:sz w:val="14"/>
              </w:rPr>
            </w:pPr>
          </w:p>
          <w:p w14:paraId="41993728" w14:textId="77777777" w:rsidR="00117D58" w:rsidRDefault="00117D58">
            <w:pPr>
              <w:pStyle w:val="TableParagraph"/>
              <w:spacing w:before="11" w:line="240" w:lineRule="auto"/>
              <w:jc w:val="left"/>
              <w:rPr>
                <w:rFonts w:ascii="Arial"/>
                <w:b/>
                <w:sz w:val="14"/>
              </w:rPr>
            </w:pPr>
          </w:p>
          <w:p w14:paraId="2DE5C8BB" w14:textId="77777777" w:rsidR="00117D58" w:rsidRDefault="00F52091">
            <w:pPr>
              <w:pStyle w:val="TableParagraph"/>
              <w:tabs>
                <w:tab w:val="left" w:pos="956"/>
              </w:tabs>
              <w:spacing w:line="141" w:lineRule="exact"/>
              <w:ind w:left="46"/>
              <w:jc w:val="left"/>
              <w:rPr>
                <w:rFonts w:ascii="Arial MT"/>
                <w:sz w:val="14"/>
              </w:rPr>
            </w:pPr>
            <w:r>
              <w:rPr>
                <w:rFonts w:ascii="Arial MT"/>
                <w:color w:val="25495F"/>
                <w:spacing w:val="-2"/>
                <w:sz w:val="14"/>
              </w:rPr>
              <w:t>Models</w:t>
            </w:r>
            <w:r>
              <w:rPr>
                <w:rFonts w:ascii="Arial MT"/>
                <w:color w:val="25495F"/>
                <w:sz w:val="14"/>
              </w:rPr>
              <w:tab/>
            </w:r>
            <w:r>
              <w:rPr>
                <w:rFonts w:ascii="Arial MT"/>
                <w:color w:val="25495F"/>
                <w:spacing w:val="-10"/>
                <w:sz w:val="14"/>
              </w:rPr>
              <w:t>R</w:t>
            </w:r>
          </w:p>
        </w:tc>
        <w:tc>
          <w:tcPr>
            <w:tcW w:w="841" w:type="dxa"/>
            <w:tcBorders>
              <w:top w:val="nil"/>
              <w:left w:val="single" w:sz="6" w:space="0" w:color="DFDFDF"/>
              <w:right w:val="single" w:sz="6" w:space="0" w:color="DFDFDF"/>
            </w:tcBorders>
          </w:tcPr>
          <w:p w14:paraId="6352878C" w14:textId="77777777" w:rsidR="00117D58" w:rsidRDefault="00117D58">
            <w:pPr>
              <w:pStyle w:val="TableParagraph"/>
              <w:spacing w:line="240" w:lineRule="auto"/>
              <w:jc w:val="left"/>
              <w:rPr>
                <w:rFonts w:ascii="Arial"/>
                <w:b/>
                <w:sz w:val="14"/>
              </w:rPr>
            </w:pPr>
          </w:p>
          <w:p w14:paraId="7026E8FD" w14:textId="77777777" w:rsidR="00117D58" w:rsidRDefault="00117D58">
            <w:pPr>
              <w:pStyle w:val="TableParagraph"/>
              <w:spacing w:before="11" w:line="240" w:lineRule="auto"/>
              <w:jc w:val="left"/>
              <w:rPr>
                <w:rFonts w:ascii="Arial"/>
                <w:b/>
                <w:sz w:val="14"/>
              </w:rPr>
            </w:pPr>
          </w:p>
          <w:p w14:paraId="1FC517AA" w14:textId="77777777" w:rsidR="00117D58" w:rsidRDefault="00F52091">
            <w:pPr>
              <w:pStyle w:val="TableParagraph"/>
              <w:spacing w:line="141" w:lineRule="exact"/>
              <w:ind w:right="118"/>
              <w:jc w:val="right"/>
              <w:rPr>
                <w:rFonts w:ascii="Arial MT"/>
                <w:sz w:val="14"/>
              </w:rPr>
            </w:pPr>
            <w:r>
              <w:rPr>
                <w:rFonts w:ascii="Arial MT"/>
                <w:color w:val="25495F"/>
                <w:sz w:val="14"/>
              </w:rPr>
              <w:t>R Square</w:t>
            </w:r>
          </w:p>
        </w:tc>
        <w:tc>
          <w:tcPr>
            <w:tcW w:w="1137" w:type="dxa"/>
            <w:tcBorders>
              <w:top w:val="nil"/>
              <w:left w:val="single" w:sz="6" w:space="0" w:color="DFDFDF"/>
              <w:right w:val="single" w:sz="6" w:space="0" w:color="DFDFDF"/>
            </w:tcBorders>
          </w:tcPr>
          <w:p w14:paraId="6729A202" w14:textId="77777777" w:rsidR="00117D58" w:rsidRDefault="00F52091">
            <w:pPr>
              <w:pStyle w:val="TableParagraph"/>
              <w:spacing w:line="248" w:lineRule="exact"/>
              <w:ind w:left="335" w:hanging="117"/>
              <w:jc w:val="left"/>
              <w:rPr>
                <w:rFonts w:ascii="Arial MT"/>
                <w:sz w:val="14"/>
              </w:rPr>
            </w:pPr>
            <w:r>
              <w:rPr>
                <w:rFonts w:ascii="Arial MT"/>
                <w:color w:val="25495F"/>
                <w:spacing w:val="-2"/>
                <w:sz w:val="14"/>
              </w:rPr>
              <w:t>Adjusted R Square</w:t>
            </w:r>
          </w:p>
        </w:tc>
        <w:tc>
          <w:tcPr>
            <w:tcW w:w="1137" w:type="dxa"/>
            <w:tcBorders>
              <w:top w:val="nil"/>
              <w:left w:val="single" w:sz="6" w:space="0" w:color="DFDFDF"/>
              <w:right w:val="single" w:sz="6" w:space="0" w:color="DFDFDF"/>
            </w:tcBorders>
          </w:tcPr>
          <w:p w14:paraId="43390AFB" w14:textId="77777777" w:rsidR="00117D58" w:rsidRDefault="00F52091">
            <w:pPr>
              <w:pStyle w:val="TableParagraph"/>
              <w:spacing w:line="248" w:lineRule="exact"/>
              <w:ind w:left="288" w:hanging="221"/>
              <w:jc w:val="left"/>
              <w:rPr>
                <w:rFonts w:ascii="Arial MT"/>
                <w:sz w:val="14"/>
              </w:rPr>
            </w:pPr>
            <w:r>
              <w:rPr>
                <w:rFonts w:ascii="Arial MT"/>
                <w:color w:val="25495F"/>
                <w:sz w:val="14"/>
              </w:rPr>
              <w:t>Std. Error of the Estimate</w:t>
            </w:r>
          </w:p>
        </w:tc>
        <w:tc>
          <w:tcPr>
            <w:tcW w:w="1120" w:type="dxa"/>
            <w:tcBorders>
              <w:top w:val="nil"/>
              <w:left w:val="single" w:sz="6" w:space="0" w:color="DFDFDF"/>
              <w:right w:val="nil"/>
            </w:tcBorders>
          </w:tcPr>
          <w:p w14:paraId="7E671A5E" w14:textId="77777777" w:rsidR="00117D58" w:rsidRDefault="00117D58">
            <w:pPr>
              <w:pStyle w:val="TableParagraph"/>
              <w:spacing w:line="240" w:lineRule="auto"/>
              <w:jc w:val="left"/>
              <w:rPr>
                <w:rFonts w:ascii="Arial"/>
                <w:b/>
                <w:sz w:val="14"/>
              </w:rPr>
            </w:pPr>
          </w:p>
          <w:p w14:paraId="546B8A86" w14:textId="77777777" w:rsidR="00117D58" w:rsidRDefault="00117D58">
            <w:pPr>
              <w:pStyle w:val="TableParagraph"/>
              <w:spacing w:before="11" w:line="240" w:lineRule="auto"/>
              <w:jc w:val="left"/>
              <w:rPr>
                <w:rFonts w:ascii="Arial"/>
                <w:b/>
                <w:sz w:val="14"/>
              </w:rPr>
            </w:pPr>
          </w:p>
          <w:p w14:paraId="3CAE129E" w14:textId="77777777" w:rsidR="00117D58" w:rsidRDefault="00F52091">
            <w:pPr>
              <w:pStyle w:val="TableParagraph"/>
              <w:spacing w:line="141" w:lineRule="exact"/>
              <w:ind w:left="98"/>
              <w:jc w:val="left"/>
              <w:rPr>
                <w:rFonts w:ascii="Arial MT"/>
                <w:sz w:val="14"/>
              </w:rPr>
            </w:pPr>
            <w:r>
              <w:rPr>
                <w:rFonts w:ascii="Arial MT"/>
                <w:color w:val="25495F"/>
                <w:spacing w:val="-2"/>
                <w:sz w:val="14"/>
              </w:rPr>
              <w:t>Durbin-Watson</w:t>
            </w:r>
          </w:p>
        </w:tc>
      </w:tr>
      <w:tr w:rsidR="00117D58" w14:paraId="47E09CD5" w14:textId="77777777">
        <w:trPr>
          <w:trHeight w:val="217"/>
        </w:trPr>
        <w:tc>
          <w:tcPr>
            <w:tcW w:w="615" w:type="dxa"/>
            <w:tcBorders>
              <w:left w:val="nil"/>
              <w:bottom w:val="nil"/>
              <w:right w:val="nil"/>
            </w:tcBorders>
            <w:shd w:val="clear" w:color="auto" w:fill="DFDFDF"/>
          </w:tcPr>
          <w:p w14:paraId="78A04B3C" w14:textId="77777777" w:rsidR="00117D58" w:rsidRDefault="00F52091">
            <w:pPr>
              <w:pStyle w:val="TableParagraph"/>
              <w:spacing w:before="83" w:line="115" w:lineRule="exact"/>
              <w:ind w:left="46"/>
              <w:jc w:val="left"/>
              <w:rPr>
                <w:rFonts w:ascii="Arial MT"/>
                <w:sz w:val="14"/>
              </w:rPr>
            </w:pPr>
            <w:r>
              <w:rPr>
                <w:rFonts w:ascii="Arial MT"/>
                <w:color w:val="25495F"/>
                <w:spacing w:val="-10"/>
                <w:sz w:val="14"/>
              </w:rPr>
              <w:t>1</w:t>
            </w:r>
          </w:p>
        </w:tc>
        <w:tc>
          <w:tcPr>
            <w:tcW w:w="794" w:type="dxa"/>
            <w:tcBorders>
              <w:left w:val="nil"/>
              <w:bottom w:val="nil"/>
              <w:right w:val="single" w:sz="6" w:space="0" w:color="DFDFDF"/>
            </w:tcBorders>
            <w:shd w:val="clear" w:color="auto" w:fill="F8F8FA"/>
          </w:tcPr>
          <w:p w14:paraId="38733BF3" w14:textId="77777777" w:rsidR="00117D58" w:rsidRDefault="00F52091">
            <w:pPr>
              <w:pStyle w:val="TableParagraph"/>
              <w:spacing w:before="80" w:line="118" w:lineRule="exact"/>
              <w:ind w:left="417"/>
              <w:jc w:val="left"/>
              <w:rPr>
                <w:rFonts w:ascii="Arial MT"/>
                <w:position w:val="5"/>
                <w:sz w:val="9"/>
              </w:rPr>
            </w:pPr>
            <w:r>
              <w:rPr>
                <w:rFonts w:ascii="Arial MT"/>
                <w:color w:val="000104"/>
                <w:spacing w:val="-2"/>
                <w:sz w:val="14"/>
              </w:rPr>
              <w:t>.387a</w:t>
            </w:r>
          </w:p>
        </w:tc>
        <w:tc>
          <w:tcPr>
            <w:tcW w:w="841" w:type="dxa"/>
            <w:tcBorders>
              <w:left w:val="single" w:sz="6" w:space="0" w:color="DFDFDF"/>
              <w:bottom w:val="nil"/>
              <w:right w:val="single" w:sz="6" w:space="0" w:color="DFDFDF"/>
            </w:tcBorders>
            <w:shd w:val="clear" w:color="auto" w:fill="F8F8FA"/>
          </w:tcPr>
          <w:p w14:paraId="37CFBC8F" w14:textId="77777777" w:rsidR="00117D58" w:rsidRDefault="00F52091">
            <w:pPr>
              <w:pStyle w:val="TableParagraph"/>
              <w:spacing w:before="83" w:line="115" w:lineRule="exact"/>
              <w:ind w:right="44"/>
              <w:jc w:val="right"/>
              <w:rPr>
                <w:rFonts w:ascii="Arial MT"/>
                <w:sz w:val="14"/>
              </w:rPr>
            </w:pPr>
            <w:r>
              <w:rPr>
                <w:rFonts w:ascii="Arial MT"/>
                <w:color w:val="000104"/>
                <w:spacing w:val="-4"/>
                <w:sz w:val="14"/>
              </w:rPr>
              <w:t>.150</w:t>
            </w:r>
          </w:p>
        </w:tc>
        <w:tc>
          <w:tcPr>
            <w:tcW w:w="1137" w:type="dxa"/>
            <w:tcBorders>
              <w:left w:val="single" w:sz="6" w:space="0" w:color="DFDFDF"/>
              <w:bottom w:val="nil"/>
              <w:right w:val="single" w:sz="6" w:space="0" w:color="DFDFDF"/>
            </w:tcBorders>
            <w:shd w:val="clear" w:color="auto" w:fill="F8F8FA"/>
          </w:tcPr>
          <w:p w14:paraId="37818747" w14:textId="77777777" w:rsidR="00117D58" w:rsidRDefault="00F52091">
            <w:pPr>
              <w:pStyle w:val="TableParagraph"/>
              <w:spacing w:before="83" w:line="115" w:lineRule="exact"/>
              <w:ind w:right="45"/>
              <w:jc w:val="right"/>
              <w:rPr>
                <w:rFonts w:ascii="Arial MT"/>
                <w:sz w:val="14"/>
              </w:rPr>
            </w:pPr>
            <w:r>
              <w:rPr>
                <w:rFonts w:ascii="Arial MT"/>
                <w:color w:val="000104"/>
                <w:spacing w:val="-4"/>
                <w:sz w:val="14"/>
              </w:rPr>
              <w:t>.141</w:t>
            </w:r>
          </w:p>
        </w:tc>
        <w:tc>
          <w:tcPr>
            <w:tcW w:w="1137" w:type="dxa"/>
            <w:tcBorders>
              <w:left w:val="single" w:sz="6" w:space="0" w:color="DFDFDF"/>
              <w:bottom w:val="nil"/>
              <w:right w:val="single" w:sz="6" w:space="0" w:color="DFDFDF"/>
            </w:tcBorders>
            <w:shd w:val="clear" w:color="auto" w:fill="F8F8FA"/>
          </w:tcPr>
          <w:p w14:paraId="7F2F73A6" w14:textId="77777777" w:rsidR="00117D58" w:rsidRDefault="00F52091">
            <w:pPr>
              <w:pStyle w:val="TableParagraph"/>
              <w:spacing w:before="83" w:line="115" w:lineRule="exact"/>
              <w:ind w:left="725"/>
              <w:jc w:val="left"/>
              <w:rPr>
                <w:rFonts w:ascii="Arial MT"/>
                <w:sz w:val="14"/>
              </w:rPr>
            </w:pPr>
            <w:r>
              <w:rPr>
                <w:rFonts w:ascii="Arial MT"/>
                <w:color w:val="000104"/>
                <w:spacing w:val="-2"/>
                <w:sz w:val="14"/>
              </w:rPr>
              <w:t>5.995</w:t>
            </w:r>
          </w:p>
        </w:tc>
        <w:tc>
          <w:tcPr>
            <w:tcW w:w="1120" w:type="dxa"/>
            <w:tcBorders>
              <w:left w:val="single" w:sz="6" w:space="0" w:color="DFDFDF"/>
              <w:bottom w:val="nil"/>
              <w:right w:val="nil"/>
            </w:tcBorders>
            <w:shd w:val="clear" w:color="auto" w:fill="F8F8FA"/>
          </w:tcPr>
          <w:p w14:paraId="5A74A4BC" w14:textId="77777777" w:rsidR="00117D58" w:rsidRDefault="00F52091">
            <w:pPr>
              <w:pStyle w:val="TableParagraph"/>
              <w:spacing w:before="83" w:line="115" w:lineRule="exact"/>
              <w:ind w:left="732"/>
              <w:jc w:val="left"/>
              <w:rPr>
                <w:rFonts w:ascii="Arial MT"/>
                <w:sz w:val="14"/>
              </w:rPr>
            </w:pPr>
            <w:r>
              <w:rPr>
                <w:rFonts w:ascii="Arial MT"/>
                <w:color w:val="000104"/>
                <w:spacing w:val="-2"/>
                <w:sz w:val="14"/>
              </w:rPr>
              <w:t>1.984</w:t>
            </w:r>
          </w:p>
        </w:tc>
      </w:tr>
    </w:tbl>
    <w:p w14:paraId="0EED7DBC" w14:textId="77777777" w:rsidR="00117D58" w:rsidRDefault="00117D58">
      <w:pPr>
        <w:pStyle w:val="BodyText"/>
        <w:spacing w:before="102"/>
        <w:ind w:left="0"/>
        <w:jc w:val="left"/>
        <w:rPr>
          <w:rFonts w:ascii="Arial"/>
          <w:b/>
          <w:sz w:val="17"/>
        </w:rPr>
      </w:pPr>
    </w:p>
    <w:p w14:paraId="47FD4D6B" w14:textId="77777777" w:rsidR="00117D58" w:rsidRDefault="00F52091">
      <w:pPr>
        <w:pStyle w:val="BodyText"/>
        <w:ind w:left="716" w:right="359"/>
        <w:jc w:val="center"/>
      </w:pPr>
      <w:r>
        <w:t>Table 8. Coefficient of Determination Test (R2)</w:t>
      </w:r>
    </w:p>
    <w:p w14:paraId="5B8FDD95" w14:textId="77777777" w:rsidR="00117D58" w:rsidRDefault="00117D58">
      <w:pPr>
        <w:pStyle w:val="BodyText"/>
        <w:spacing w:before="14"/>
        <w:ind w:left="0"/>
        <w:jc w:val="left"/>
      </w:pPr>
    </w:p>
    <w:p w14:paraId="3934838E" w14:textId="7B32DA9A" w:rsidR="00117D58" w:rsidRDefault="00F52091">
      <w:pPr>
        <w:pStyle w:val="BodyText"/>
        <w:spacing w:line="360" w:lineRule="auto"/>
        <w:ind w:right="21" w:firstLine="720"/>
      </w:pPr>
      <w:r>
        <w:t xml:space="preserve">The </w:t>
      </w:r>
      <w:r w:rsidR="006768C0" w:rsidRPr="00877B83">
        <w:rPr>
          <w:iCs/>
        </w:rPr>
        <w:t xml:space="preserve">Non-Cash Transaction </w:t>
      </w:r>
      <w:r>
        <w:t xml:space="preserve"> variable in this study showed a relatively limited contribution to the </w:t>
      </w:r>
      <w:r>
        <w:rPr>
          <w:i/>
        </w:rPr>
        <w:t xml:space="preserve">saving behavior </w:t>
      </w:r>
      <w:r w:rsidR="006768C0">
        <w:t>of Majene Open University students. Based on the results of the analysis, 14.1% of the variation in saving behavior can be explained by the use of non-cash transactions, while the rest, which is 85.9%, is influenced by other factors that are outside the regression model used.</w:t>
      </w:r>
    </w:p>
    <w:p w14:paraId="2EA7C40A" w14:textId="77777777" w:rsidR="00117D58" w:rsidRDefault="00F52091">
      <w:pPr>
        <w:pStyle w:val="BodyText"/>
        <w:spacing w:before="163" w:line="362" w:lineRule="auto"/>
        <w:ind w:right="17" w:firstLine="720"/>
      </w:pPr>
      <w:r>
        <w:t xml:space="preserve">The findings indicate that the increase in the intensity of the use of non-cash payment systems has not fully played a role as the main determinant in shaping students' </w:t>
      </w:r>
      <w:r>
        <w:rPr>
          <w:i/>
        </w:rPr>
        <w:t xml:space="preserve">saving behavior </w:t>
      </w:r>
      <w:r>
        <w:t>. Thus, saving behavior tends to be more influenced by other factors that are more complex, such as psychological, social, and individual characteristics in managing finances.</w:t>
      </w:r>
    </w:p>
    <w:p w14:paraId="75188B39" w14:textId="77777777" w:rsidR="00117D58" w:rsidRDefault="00F52091">
      <w:pPr>
        <w:pStyle w:val="Heading2"/>
        <w:spacing w:before="154"/>
        <w:jc w:val="left"/>
      </w:pPr>
      <w:r>
        <w:rPr>
          <w:spacing w:val="-2"/>
        </w:rPr>
        <w:t>Discussion</w:t>
      </w:r>
    </w:p>
    <w:p w14:paraId="49A1F082" w14:textId="77777777" w:rsidR="00117D58" w:rsidRDefault="00117D58">
      <w:pPr>
        <w:pStyle w:val="BodyText"/>
        <w:spacing w:before="14"/>
        <w:ind w:left="0"/>
        <w:jc w:val="left"/>
        <w:rPr>
          <w:b/>
        </w:rPr>
      </w:pPr>
    </w:p>
    <w:p w14:paraId="64948D28" w14:textId="7871A9EF" w:rsidR="00117D58" w:rsidRDefault="00F52091">
      <w:pPr>
        <w:pStyle w:val="BodyText"/>
        <w:spacing w:before="1" w:line="362" w:lineRule="auto"/>
        <w:ind w:right="13" w:firstLine="720"/>
      </w:pPr>
      <w:r>
        <w:t xml:space="preserve">Based on simple linear regression analysis, </w:t>
      </w:r>
      <w:r w:rsidR="00877B83" w:rsidRPr="00877B83">
        <w:rPr>
          <w:iCs/>
        </w:rPr>
        <w:t xml:space="preserve">the Non-Cash Transaction </w:t>
      </w:r>
      <w:r>
        <w:t xml:space="preserve"> variable was proven to have a significant influence on </w:t>
      </w:r>
      <w:r>
        <w:rPr>
          <w:i/>
        </w:rPr>
        <w:t xml:space="preserve"> the saving behavior </w:t>
      </w:r>
      <w:r w:rsidR="006768C0">
        <w:t xml:space="preserve">of students at Majene Open University. This is reflected in the significance value of 0.000 (which is smaller than 0.05) and the t-value of 4.151, which exceeds the table tvalue of 1.984, so that the null hypothesis (H₀) is rejected and the alternative hypothesis (H₁) is accepted. These findings show that the increased use of non-cash transactions, such as digital wallets and </w:t>
      </w:r>
      <w:r>
        <w:rPr>
          <w:i/>
        </w:rPr>
        <w:t>mobile banking</w:t>
      </w:r>
      <w:r>
        <w:t>, is positively correlated with the tendency of students to increase their saving activities.</w:t>
      </w:r>
    </w:p>
    <w:p w14:paraId="31F820E2" w14:textId="77777777" w:rsidR="00117D58" w:rsidRDefault="00117D58">
      <w:pPr>
        <w:pStyle w:val="BodyText"/>
        <w:spacing w:line="362" w:lineRule="auto"/>
        <w:sectPr w:rsidR="00117D58">
          <w:pgSz w:w="11910" w:h="16840"/>
          <w:pgMar w:top="1340" w:right="1417" w:bottom="280" w:left="1417" w:header="720" w:footer="720" w:gutter="0"/>
          <w:cols w:space="720"/>
        </w:sectPr>
      </w:pPr>
    </w:p>
    <w:p w14:paraId="1712406A" w14:textId="77777777" w:rsidR="00117D58" w:rsidRDefault="00F52091">
      <w:pPr>
        <w:pStyle w:val="BodyText"/>
        <w:spacing w:before="74" w:line="360" w:lineRule="auto"/>
        <w:ind w:right="18" w:firstLine="720"/>
      </w:pPr>
      <w:r>
        <w:lastRenderedPageBreak/>
        <w:t xml:space="preserve">The results of this study are in line with the </w:t>
      </w:r>
      <w:r>
        <w:rPr>
          <w:i/>
        </w:rPr>
        <w:t xml:space="preserve">Theory of Planned Behavior </w:t>
      </w:r>
      <w:r>
        <w:t>put forward by Ajzen (1991). The theory explains that individual behavior is influenced by the level of perceived behavioral control and the perception of ease in performing an action. These findings reinforce the suspicion that digital payment systems provide convenience for students to monitor expenses and manage cash flow. This condition encourages the formation of more structured and planned saving behavior. These findings also reinforce the results of previous research that showed that the adoption of financial technology has the potential to improve individuals' financial habits.</w:t>
      </w:r>
    </w:p>
    <w:p w14:paraId="323DF2D5" w14:textId="36EBFB0A" w:rsidR="00117D58" w:rsidRDefault="00F52091">
      <w:pPr>
        <w:pStyle w:val="BodyText"/>
        <w:spacing w:before="159" w:line="360" w:lineRule="auto"/>
        <w:ind w:right="13" w:firstLine="720"/>
      </w:pPr>
      <w:r>
        <w:t xml:space="preserve">However, the Adjusted R² value of 0.141 shows that  the </w:t>
      </w:r>
      <w:r w:rsidR="00877B83" w:rsidRPr="00877B83">
        <w:rPr>
          <w:iCs/>
        </w:rPr>
        <w:t xml:space="preserve">Non-Cash Transaction </w:t>
      </w:r>
      <w:r>
        <w:t xml:space="preserve"> variable is only able to explain 14.1 percent of the variation in </w:t>
      </w:r>
      <w:r>
        <w:rPr>
          <w:i/>
        </w:rPr>
        <w:t>saving behavior</w:t>
      </w:r>
      <w:r>
        <w:t xml:space="preserve">. Most variations in saving behavior are influenced by other factors that are not included in this study model. Therefore, although </w:t>
      </w:r>
      <w:r w:rsidR="00877B83" w:rsidRPr="00877B83">
        <w:rPr>
          <w:iCs/>
        </w:rPr>
        <w:t xml:space="preserve">Non-Cash Transactions </w:t>
      </w:r>
      <w:r>
        <w:t xml:space="preserve">have been proven to have a significant influence, their contribution to the formation of </w:t>
      </w:r>
      <w:r>
        <w:rPr>
          <w:i/>
        </w:rPr>
        <w:t xml:space="preserve">saving behaviour </w:t>
      </w:r>
      <w:r>
        <w:t>has not been dominant. These findings confirm that financial technology can function as a supporting means in shaping saving behavior. However, the success of its use still depends on the level of discipline and financial understanding possessed by the user.</w:t>
      </w:r>
    </w:p>
    <w:p w14:paraId="0D99A46F" w14:textId="77777777" w:rsidR="00117D58" w:rsidRDefault="00F52091">
      <w:pPr>
        <w:pStyle w:val="Heading1"/>
        <w:spacing w:before="168"/>
      </w:pPr>
      <w:r>
        <w:rPr>
          <w:spacing w:val="-2"/>
        </w:rPr>
        <w:t>CONCLUSION</w:t>
      </w:r>
    </w:p>
    <w:p w14:paraId="5A45DBA3" w14:textId="2B39B19E" w:rsidR="00117D58" w:rsidRDefault="00F52091">
      <w:pPr>
        <w:pStyle w:val="BodyText"/>
        <w:spacing w:before="176" w:line="360" w:lineRule="auto"/>
        <w:ind w:right="13" w:firstLine="720"/>
      </w:pPr>
      <w:r>
        <w:t xml:space="preserve">Based on the results of data analysis and discussions that have been carried out, it can be concluded that the use of non-cash transaction services or Non-Cash </w:t>
      </w:r>
      <w:r w:rsidR="00877B83" w:rsidRPr="00877B83">
        <w:rPr>
          <w:iCs/>
        </w:rPr>
        <w:t xml:space="preserve">Transactions </w:t>
      </w:r>
      <w:r>
        <w:t xml:space="preserve">has a positive and significant influence on  the </w:t>
      </w:r>
      <w:r>
        <w:rPr>
          <w:i/>
        </w:rPr>
        <w:t xml:space="preserve">saving behavior </w:t>
      </w:r>
      <w:r w:rsidR="006768C0">
        <w:t xml:space="preserve"> of Majene Open University students. These findings show that students' saving behavior tends to increase in line with the increasingly intensive use of non-cash transactions in daily financial activities.</w:t>
      </w:r>
    </w:p>
    <w:p w14:paraId="4507E796" w14:textId="77777777" w:rsidR="00117D58" w:rsidRDefault="00F52091">
      <w:pPr>
        <w:pStyle w:val="BodyText"/>
        <w:spacing w:before="162" w:line="360" w:lineRule="auto"/>
        <w:ind w:right="21" w:firstLine="720"/>
      </w:pPr>
      <w:r>
        <w:t>These results show that the digitalization of the payment system does not necessarily correlate with an increase in consumptive behavior. Digital payment systems actually have the potential to form more planned financial behavior if used appropriately. Students who actively use non-cash transaction services have the convenience of monitoring cash flow, recording expenses, and controlling the use of funds more systematically. The transaction history and expense transparency features available in digital financial services play a role in helping students evaluate spending patterns while setting aside some funds to save.</w:t>
      </w:r>
    </w:p>
    <w:p w14:paraId="5B4C4A7F" w14:textId="77777777" w:rsidR="00117D58" w:rsidRDefault="00117D58">
      <w:pPr>
        <w:pStyle w:val="BodyText"/>
        <w:spacing w:line="360" w:lineRule="auto"/>
        <w:sectPr w:rsidR="00117D58">
          <w:pgSz w:w="11910" w:h="16840"/>
          <w:pgMar w:top="1340" w:right="1417" w:bottom="280" w:left="1417" w:header="720" w:footer="720" w:gutter="0"/>
          <w:cols w:space="720"/>
        </w:sectPr>
      </w:pPr>
    </w:p>
    <w:p w14:paraId="18D2BE49" w14:textId="77777777" w:rsidR="00117D58" w:rsidRDefault="00F52091">
      <w:pPr>
        <w:pStyle w:val="BodyText"/>
        <w:spacing w:before="74" w:line="360" w:lineRule="auto"/>
        <w:ind w:right="18" w:firstLine="720"/>
      </w:pPr>
      <w:r>
        <w:lastRenderedPageBreak/>
        <w:t xml:space="preserve">The findings of this study are in line with the results of previous research which stated that the use of </w:t>
      </w:r>
      <w:r>
        <w:rPr>
          <w:i/>
        </w:rPr>
        <w:t xml:space="preserve">e-wallets </w:t>
      </w:r>
      <w:r>
        <w:t xml:space="preserve">and non-cash payment systems has a positive effect on students' interest and saving behavior. Research conducted by Julia Anrepa (2021) shows that the use of </w:t>
      </w:r>
      <w:r>
        <w:rPr>
          <w:i/>
        </w:rPr>
        <w:t xml:space="preserve">e-wallets </w:t>
      </w:r>
      <w:r>
        <w:t xml:space="preserve">has a positive influence on students' interest in saving. This emphasizes that digital payment technology can function as a supporting means in increasing savings awareness if used wisely. Similar results are also shown by other studies that emphasize that the ease of efficiency and security of non-cash transactions can encourage </w:t>
      </w:r>
      <w:r>
        <w:rPr>
          <w:i/>
        </w:rPr>
        <w:t xml:space="preserve">more controlled </w:t>
      </w:r>
      <w:r>
        <w:t>saving behavior.</w:t>
      </w:r>
    </w:p>
    <w:p w14:paraId="67DAA952" w14:textId="77777777" w:rsidR="00117D58" w:rsidRDefault="00F52091">
      <w:pPr>
        <w:pStyle w:val="BodyText"/>
        <w:spacing w:before="163" w:line="360" w:lineRule="auto"/>
        <w:ind w:right="17" w:firstLine="720"/>
      </w:pPr>
      <w:r>
        <w:t>Theoretically, the results of this study support the framework used in previous research research, especially which explains that individual financial behavior is influenced by the perception of convenience and the ability to control finances. Easy access to digital financial services provides a better perception of control in fund management. This condition encourages students to form more consistent saving habits. However, the effectiveness of the use of financial technology is greatly influenced by the level of financial literacy and the ability of students to understand and use digital financial features optimally.</w:t>
      </w:r>
    </w:p>
    <w:p w14:paraId="4A9E8E79" w14:textId="77777777" w:rsidR="00117D58" w:rsidRDefault="00F52091">
      <w:pPr>
        <w:pStyle w:val="BodyText"/>
        <w:spacing w:before="159" w:line="360" w:lineRule="auto"/>
        <w:ind w:right="21" w:firstLine="720"/>
      </w:pPr>
      <w:r>
        <w:t xml:space="preserve">In addition, the results of this study also corroborate the findings of previous studies which confirm that financial technology is not the only factor that affects students' </w:t>
      </w:r>
      <w:r>
        <w:rPr>
          <w:i/>
        </w:rPr>
        <w:t xml:space="preserve">saving behavior </w:t>
      </w:r>
      <w:r>
        <w:t>. Maharani and Widajantie (2025) through a systematic literature review showed that financial literacy and self-control remain important factors in shaping saving behavior in users of financial technology services. Without an adequate financial understanding, the ease of non-cash transactions has the potential to encourage impulsive spending which can ultimately weaken saving habits.</w:t>
      </w:r>
    </w:p>
    <w:p w14:paraId="3FCC9013" w14:textId="760E2B7D" w:rsidR="00117D58" w:rsidRDefault="00F52091">
      <w:pPr>
        <w:pStyle w:val="BodyText"/>
        <w:spacing w:before="160" w:line="362" w:lineRule="auto"/>
        <w:ind w:right="18" w:firstLine="720"/>
      </w:pPr>
      <w:r>
        <w:t xml:space="preserve">It can be concluded that </w:t>
      </w:r>
      <w:r w:rsidR="00877B83" w:rsidRPr="00877B83">
        <w:rPr>
          <w:iCs/>
        </w:rPr>
        <w:t xml:space="preserve">Non-Cash Transactions </w:t>
      </w:r>
      <w:r>
        <w:t xml:space="preserve">play an effective instrument in shaping  more disciplined student </w:t>
      </w:r>
      <w:r>
        <w:rPr>
          <w:i/>
        </w:rPr>
        <w:t xml:space="preserve">saving behavior </w:t>
      </w:r>
      <w:r>
        <w:t>when balanced with personal financial management skills and good financial literacy. This study provides empirical evidence that the use of non-cash transactions not only has an impact on consumption patterns but also has the potential to improve student saving behavior if used in a planned and responsible manner.</w:t>
      </w:r>
    </w:p>
    <w:p w14:paraId="25BFF3C2" w14:textId="77777777" w:rsidR="00117D58" w:rsidRDefault="00117D58">
      <w:pPr>
        <w:pStyle w:val="BodyText"/>
        <w:spacing w:line="362" w:lineRule="auto"/>
        <w:sectPr w:rsidR="00117D58">
          <w:pgSz w:w="11910" w:h="16840"/>
          <w:pgMar w:top="1340" w:right="1417" w:bottom="280" w:left="1417" w:header="720" w:footer="720" w:gutter="0"/>
          <w:cols w:space="720"/>
        </w:sectPr>
      </w:pPr>
    </w:p>
    <w:p w14:paraId="4FF71E8F" w14:textId="77777777" w:rsidR="00117D58" w:rsidRDefault="00F52091">
      <w:pPr>
        <w:pStyle w:val="Heading1"/>
      </w:pPr>
      <w:r>
        <w:rPr>
          <w:spacing w:val="-2"/>
        </w:rPr>
        <w:lastRenderedPageBreak/>
        <w:t>ADVICE</w:t>
      </w:r>
    </w:p>
    <w:p w14:paraId="565C3FEB" w14:textId="77777777" w:rsidR="00117D58" w:rsidRDefault="00117D58">
      <w:pPr>
        <w:pStyle w:val="BodyText"/>
        <w:spacing w:before="14"/>
        <w:ind w:left="0"/>
        <w:jc w:val="left"/>
        <w:rPr>
          <w:b/>
        </w:rPr>
      </w:pPr>
    </w:p>
    <w:p w14:paraId="2C0D10C2" w14:textId="68AABB01" w:rsidR="00117D58" w:rsidRDefault="00F52091">
      <w:pPr>
        <w:pStyle w:val="BodyText"/>
        <w:spacing w:before="1" w:line="362" w:lineRule="auto"/>
        <w:ind w:right="20" w:firstLine="720"/>
      </w:pPr>
      <w:r>
        <w:t xml:space="preserve">Based on the findings and conclusions of the study that show that </w:t>
      </w:r>
      <w:r w:rsidR="00877B83" w:rsidRPr="00877B83">
        <w:rPr>
          <w:iCs/>
        </w:rPr>
        <w:t xml:space="preserve">Non-Cash Transactions </w:t>
      </w:r>
      <w:r>
        <w:t xml:space="preserve">have a positive and significant effect on  students' </w:t>
      </w:r>
      <w:r>
        <w:rPr>
          <w:i/>
        </w:rPr>
        <w:t>saving behavior</w:t>
      </w:r>
      <w:r>
        <w:t>, the recommendations that can be submitted are as follows:</w:t>
      </w:r>
    </w:p>
    <w:p w14:paraId="0C48BC05" w14:textId="1C484B4C" w:rsidR="00117D58" w:rsidRDefault="00F52091">
      <w:pPr>
        <w:pStyle w:val="BodyText"/>
        <w:spacing w:before="152" w:line="360" w:lineRule="auto"/>
        <w:ind w:right="19" w:firstLine="720"/>
      </w:pPr>
      <w:r>
        <w:t xml:space="preserve">The implementation </w:t>
      </w:r>
      <w:r w:rsidR="00877B83" w:rsidRPr="00877B83">
        <w:rPr>
          <w:iCs/>
        </w:rPr>
        <w:t xml:space="preserve"> of Non-Cash Transactions </w:t>
      </w:r>
      <w:r>
        <w:t xml:space="preserve">needs to be directed as a means of supporting the formation of </w:t>
      </w:r>
      <w:r>
        <w:rPr>
          <w:i/>
        </w:rPr>
        <w:t xml:space="preserve"> student saving behavior</w:t>
      </w:r>
      <w:r>
        <w:t>, not just as a tool for facilitating transactions. The results of the study show that the intensity of using non-cash transactions can help students in monitoring cash flow and controlling expenses. Therefore, the use of non-cash payment systems needs to be optimized through the use of transaction recording features and financial statements available on digital financial services so that students can manage expenses in a more structured manner.</w:t>
      </w:r>
    </w:p>
    <w:p w14:paraId="5D61C19D" w14:textId="11EBBE2E" w:rsidR="00117D58" w:rsidRDefault="00F52091">
      <w:pPr>
        <w:pStyle w:val="BodyText"/>
        <w:spacing w:before="161" w:line="360" w:lineRule="auto"/>
        <w:ind w:right="20" w:firstLine="720"/>
      </w:pPr>
      <w:r>
        <w:t xml:space="preserve">Strengthening </w:t>
      </w:r>
      <w:r>
        <w:rPr>
          <w:i/>
        </w:rPr>
        <w:t xml:space="preserve"> student saving behavior </w:t>
      </w:r>
      <w:r>
        <w:t xml:space="preserve">needs to be done by taking advantage of the convenience offered by the non-cash payment system. Based on the results of the research, </w:t>
      </w:r>
      <w:r w:rsidR="00877B83" w:rsidRPr="00877B83">
        <w:rPr>
          <w:iCs/>
        </w:rPr>
        <w:t xml:space="preserve">Non-Cash Transactions </w:t>
      </w:r>
      <w:r>
        <w:t xml:space="preserve">can encourage </w:t>
      </w:r>
      <w:r>
        <w:rPr>
          <w:i/>
        </w:rPr>
        <w:t xml:space="preserve">saving behavior </w:t>
      </w:r>
      <w:r>
        <w:t>if students are able to use digital transactions as a financial management tool. Students are advised to consistently evaluate expenses through digital transaction history and make the convenience of non-cash transactions as a support in establishing and maintaining saving habits.</w:t>
      </w:r>
    </w:p>
    <w:p w14:paraId="0A4D8DEA" w14:textId="5CA4660A" w:rsidR="00117D58" w:rsidRDefault="00F52091">
      <w:pPr>
        <w:pStyle w:val="BodyText"/>
        <w:spacing w:before="160" w:line="360" w:lineRule="auto"/>
        <w:ind w:right="17" w:firstLine="720"/>
      </w:pPr>
      <w:r>
        <w:t xml:space="preserve">The effectiveness </w:t>
      </w:r>
      <w:r w:rsidR="00877B83" w:rsidRPr="00877B83">
        <w:rPr>
          <w:iCs/>
        </w:rPr>
        <w:t xml:space="preserve"> of Non-Cash Transactions </w:t>
      </w:r>
      <w:r>
        <w:t xml:space="preserve">in improving </w:t>
      </w:r>
      <w:r>
        <w:rPr>
          <w:i/>
        </w:rPr>
        <w:t xml:space="preserve">saving behavior </w:t>
      </w:r>
      <w:r>
        <w:t xml:space="preserve">is highly dependent on students' ability to manage personal finances. In line with the conclusion of the research, efforts are needed to increase students' understanding of financial management so that the use of non-cash transactions really has a positive impact on saving behavior. Thus, the use of </w:t>
      </w:r>
      <w:r w:rsidR="00877B83" w:rsidRPr="00877B83">
        <w:rPr>
          <w:iCs/>
        </w:rPr>
        <w:t xml:space="preserve">Non-Cash Transactions </w:t>
      </w:r>
      <w:r>
        <w:t>can contribute optimally to forming more disciplined and long-term oriented student financial behavior.</w:t>
      </w:r>
    </w:p>
    <w:p w14:paraId="5C49F05F" w14:textId="48BF09AE" w:rsidR="00117D58" w:rsidRDefault="00F52091">
      <w:pPr>
        <w:pStyle w:val="BodyText"/>
        <w:spacing w:before="161" w:line="360" w:lineRule="auto"/>
        <w:ind w:right="17" w:firstLine="720"/>
      </w:pPr>
      <w:r>
        <w:t xml:space="preserve">For further research, it is recommended to develop a study by adding other supporting variables related to  student </w:t>
      </w:r>
      <w:r>
        <w:rPr>
          <w:i/>
        </w:rPr>
        <w:t>saving behavior</w:t>
      </w:r>
      <w:r>
        <w:t xml:space="preserve">, such as financial literacy or self-control, in order to strengthen the explanation of the mechanism of influence </w:t>
      </w:r>
      <w:r w:rsidR="00877B83" w:rsidRPr="00877B83">
        <w:rPr>
          <w:iCs/>
        </w:rPr>
        <w:t xml:space="preserve">of Non-Cash Transactions </w:t>
      </w:r>
      <w:r>
        <w:t xml:space="preserve">on </w:t>
      </w:r>
      <w:r>
        <w:rPr>
          <w:i/>
        </w:rPr>
        <w:t>saving behavior</w:t>
      </w:r>
      <w:r>
        <w:t>. In addition, further research can expand the research object and use different analytical approaches so that the research results can be compared and generalized more broadly.</w:t>
      </w:r>
    </w:p>
    <w:p w14:paraId="1B97465A" w14:textId="77777777" w:rsidR="00117D58" w:rsidRDefault="00117D58">
      <w:pPr>
        <w:pStyle w:val="BodyText"/>
        <w:spacing w:line="360" w:lineRule="auto"/>
        <w:sectPr w:rsidR="00117D58">
          <w:pgSz w:w="11910" w:h="16840"/>
          <w:pgMar w:top="1360" w:right="1417" w:bottom="280" w:left="1417" w:header="720" w:footer="720" w:gutter="0"/>
          <w:cols w:space="720"/>
        </w:sectPr>
      </w:pPr>
    </w:p>
    <w:p w14:paraId="1572BC5F" w14:textId="77777777" w:rsidR="00117D58" w:rsidRDefault="00F52091">
      <w:pPr>
        <w:pStyle w:val="Heading1"/>
        <w:ind w:left="738" w:right="734"/>
        <w:jc w:val="center"/>
      </w:pPr>
      <w:r>
        <w:rPr>
          <w:spacing w:val="-2"/>
        </w:rPr>
        <w:lastRenderedPageBreak/>
        <w:t>BIBLIOGRAPHY</w:t>
      </w:r>
    </w:p>
    <w:p w14:paraId="6DB13B89" w14:textId="77777777" w:rsidR="00117D58" w:rsidRDefault="00117D58">
      <w:pPr>
        <w:pStyle w:val="BodyText"/>
        <w:spacing w:before="14"/>
        <w:ind w:left="0"/>
        <w:jc w:val="left"/>
        <w:rPr>
          <w:b/>
        </w:rPr>
      </w:pPr>
    </w:p>
    <w:p w14:paraId="4345EB5C" w14:textId="77777777" w:rsidR="00117D58" w:rsidRDefault="00F52091">
      <w:pPr>
        <w:spacing w:before="1" w:line="362" w:lineRule="auto"/>
        <w:ind w:left="503" w:right="13" w:hanging="481"/>
        <w:jc w:val="both"/>
        <w:rPr>
          <w:sz w:val="24"/>
        </w:rPr>
      </w:pPr>
      <w:r>
        <w:rPr>
          <w:sz w:val="24"/>
        </w:rPr>
        <w:t xml:space="preserve">Agus, M. (2022). The Influence of Financial Factors of Madiun Students on Saving Decisions During the Pandemic. </w:t>
      </w:r>
      <w:r>
        <w:rPr>
          <w:i/>
          <w:sz w:val="24"/>
        </w:rPr>
        <w:t>SINOMIKA Journal: Scientific Publications in the Field of Economics and Accounting</w:t>
      </w:r>
      <w:r>
        <w:rPr>
          <w:sz w:val="24"/>
        </w:rPr>
        <w:t xml:space="preserve">, </w:t>
      </w:r>
      <w:r>
        <w:rPr>
          <w:i/>
          <w:sz w:val="24"/>
        </w:rPr>
        <w:t>1</w:t>
      </w:r>
      <w:r>
        <w:rPr>
          <w:sz w:val="24"/>
        </w:rPr>
        <w:t xml:space="preserve">(4), 709–726. </w:t>
      </w:r>
      <w:hyperlink r:id="rId8">
        <w:r w:rsidR="00117D58">
          <w:rPr>
            <w:sz w:val="24"/>
          </w:rPr>
          <w:t>https://doi.org/10.54443/sinomika.v1i4.373</w:t>
        </w:r>
      </w:hyperlink>
    </w:p>
    <w:p w14:paraId="6C62F42C" w14:textId="77777777" w:rsidR="00117D58" w:rsidRDefault="00F52091">
      <w:pPr>
        <w:spacing w:before="152" w:line="362" w:lineRule="auto"/>
        <w:ind w:left="503" w:right="15" w:hanging="481"/>
        <w:jc w:val="both"/>
        <w:rPr>
          <w:sz w:val="24"/>
        </w:rPr>
      </w:pPr>
      <w:r>
        <w:rPr>
          <w:sz w:val="24"/>
        </w:rPr>
        <w:t xml:space="preserve">Ajzen, I. (1991). The theory of planned behavior. </w:t>
      </w:r>
      <w:r>
        <w:rPr>
          <w:i/>
          <w:sz w:val="24"/>
        </w:rPr>
        <w:t>Organizational Behavior and Human Decision Processes</w:t>
      </w:r>
      <w:r>
        <w:rPr>
          <w:sz w:val="24"/>
        </w:rPr>
        <w:t xml:space="preserve">, </w:t>
      </w:r>
      <w:r>
        <w:rPr>
          <w:i/>
          <w:sz w:val="24"/>
        </w:rPr>
        <w:t>50</w:t>
      </w:r>
      <w:r>
        <w:rPr>
          <w:sz w:val="24"/>
        </w:rPr>
        <w:t xml:space="preserve">(2), 179–211. </w:t>
      </w:r>
      <w:hyperlink r:id="rId9">
        <w:r w:rsidR="00117D58">
          <w:rPr>
            <w:sz w:val="24"/>
          </w:rPr>
          <w:t>https://doi.org/10.1016/0749-5978(91)90020-T</w:t>
        </w:r>
      </w:hyperlink>
    </w:p>
    <w:p w14:paraId="2B3E2E54" w14:textId="77777777" w:rsidR="00117D58" w:rsidRDefault="00F52091">
      <w:pPr>
        <w:pStyle w:val="BodyText"/>
        <w:spacing w:before="151" w:line="362" w:lineRule="auto"/>
        <w:ind w:left="503" w:right="14" w:hanging="481"/>
      </w:pPr>
      <w:r>
        <w:t xml:space="preserve">Angelista, F. D., Anggraini, L. D., &amp; Putri, A. U. (2024). The Influence of Financial Literacy, Lifestyle and Financial Attitudes on the Financial Behavior of Shopee Paylater Users. </w:t>
      </w:r>
      <w:r>
        <w:rPr>
          <w:i/>
        </w:rPr>
        <w:t>Journal of Trends Economics and Accounting Research</w:t>
      </w:r>
      <w:r>
        <w:t xml:space="preserve">, </w:t>
      </w:r>
      <w:r>
        <w:rPr>
          <w:i/>
        </w:rPr>
        <w:t>4</w:t>
      </w:r>
      <w:r>
        <w:t xml:space="preserve">(3), 696–705. </w:t>
      </w:r>
      <w:hyperlink r:id="rId10">
        <w:r w:rsidR="00117D58">
          <w:rPr>
            <w:spacing w:val="-2"/>
          </w:rPr>
          <w:t>https://doi.org/10.47065/jtear.v4i3.1197</w:t>
        </w:r>
      </w:hyperlink>
    </w:p>
    <w:p w14:paraId="0B840730" w14:textId="77777777" w:rsidR="00117D58" w:rsidRDefault="00F52091">
      <w:pPr>
        <w:spacing w:before="153" w:line="362" w:lineRule="auto"/>
        <w:ind w:left="503" w:right="17" w:hanging="481"/>
        <w:jc w:val="both"/>
        <w:rPr>
          <w:sz w:val="24"/>
        </w:rPr>
      </w:pPr>
      <w:r>
        <w:rPr>
          <w:sz w:val="24"/>
        </w:rPr>
        <w:t xml:space="preserve">Apriliani, R. (2024). </w:t>
      </w:r>
      <w:r>
        <w:rPr>
          <w:i/>
          <w:sz w:val="24"/>
        </w:rPr>
        <w:t>Digital Technology-Based Financial Literacy: Theory and Implementation</w:t>
      </w:r>
      <w:r>
        <w:rPr>
          <w:sz w:val="24"/>
        </w:rPr>
        <w:t>. National Literacy.</w:t>
      </w:r>
    </w:p>
    <w:p w14:paraId="63147887" w14:textId="77777777" w:rsidR="00117D58" w:rsidRDefault="00F52091">
      <w:pPr>
        <w:tabs>
          <w:tab w:val="left" w:pos="3614"/>
        </w:tabs>
        <w:spacing w:before="155" w:line="362" w:lineRule="auto"/>
        <w:ind w:left="503" w:right="21" w:hanging="481"/>
        <w:jc w:val="both"/>
        <w:rPr>
          <w:sz w:val="24"/>
        </w:rPr>
      </w:pPr>
      <w:r>
        <w:rPr>
          <w:sz w:val="24"/>
        </w:rPr>
        <w:t xml:space="preserve">Bank Indonesia. (2024). </w:t>
      </w:r>
      <w:r>
        <w:rPr>
          <w:i/>
          <w:sz w:val="24"/>
        </w:rPr>
        <w:t>Payment System and Financial Market Infrastructure (SPIP) Statistics</w:t>
      </w:r>
      <w:r>
        <w:rPr>
          <w:spacing w:val="-2"/>
          <w:sz w:val="24"/>
        </w:rPr>
        <w:t>.</w:t>
      </w:r>
      <w:r>
        <w:rPr>
          <w:sz w:val="24"/>
        </w:rPr>
        <w:tab/>
      </w:r>
      <w:r>
        <w:rPr>
          <w:spacing w:val="-2"/>
          <w:sz w:val="24"/>
        </w:rPr>
        <w:t>https://doi.org/</w:t>
      </w:r>
      <w:hyperlink r:id="rId11">
        <w:r w:rsidR="00117D58">
          <w:rPr>
            <w:spacing w:val="-2"/>
            <w:sz w:val="24"/>
          </w:rPr>
          <w:t>https://www.bi.go.id/id/statistik/ekonomi-keuangan/seki/Default.aspx</w:t>
        </w:r>
      </w:hyperlink>
    </w:p>
    <w:p w14:paraId="2360C6CF" w14:textId="77777777" w:rsidR="00117D58" w:rsidRDefault="00F52091">
      <w:pPr>
        <w:spacing w:before="152" w:line="362" w:lineRule="auto"/>
        <w:ind w:left="503" w:right="17" w:hanging="481"/>
        <w:jc w:val="both"/>
        <w:rPr>
          <w:sz w:val="24"/>
        </w:rPr>
      </w:pPr>
      <w:r>
        <w:rPr>
          <w:sz w:val="24"/>
        </w:rPr>
        <w:t xml:space="preserve">Creswell, J. W., &amp; Creswell, J. D. (2024). </w:t>
      </w:r>
      <w:r>
        <w:rPr>
          <w:i/>
          <w:sz w:val="24"/>
        </w:rPr>
        <w:t>Research Design Qualitative, Quantitative, and Mixed Methods Approaches</w:t>
      </w:r>
      <w:r>
        <w:rPr>
          <w:sz w:val="24"/>
        </w:rPr>
        <w:t xml:space="preserve">. </w:t>
      </w:r>
      <w:hyperlink r:id="rId12">
        <w:r w:rsidR="00117D58">
          <w:rPr>
            <w:sz w:val="24"/>
          </w:rPr>
          <w:t>https://archive.org/details/researchdesignO000unse</w:t>
        </w:r>
      </w:hyperlink>
    </w:p>
    <w:p w14:paraId="52B7BF07" w14:textId="77777777" w:rsidR="00117D58" w:rsidRDefault="00F52091">
      <w:pPr>
        <w:spacing w:before="155"/>
        <w:ind w:left="23"/>
        <w:rPr>
          <w:sz w:val="24"/>
        </w:rPr>
      </w:pPr>
      <w:r>
        <w:rPr>
          <w:sz w:val="24"/>
        </w:rPr>
        <w:t xml:space="preserve">Darsery, N. (2021). </w:t>
      </w:r>
      <w:r>
        <w:rPr>
          <w:i/>
          <w:sz w:val="24"/>
        </w:rPr>
        <w:t>THE ROLE OF CONSUMER BEHAVIOR IN MEDIATING INFLUENCE</w:t>
      </w:r>
      <w:r>
        <w:rPr>
          <w:spacing w:val="-2"/>
          <w:sz w:val="24"/>
        </w:rPr>
        <w:t>.</w:t>
      </w:r>
    </w:p>
    <w:p w14:paraId="6E28427C" w14:textId="77777777" w:rsidR="00117D58" w:rsidRDefault="00117D58">
      <w:pPr>
        <w:pStyle w:val="BodyText"/>
        <w:spacing w:before="20"/>
        <w:ind w:left="0"/>
        <w:jc w:val="left"/>
      </w:pPr>
    </w:p>
    <w:p w14:paraId="198B922D" w14:textId="77777777" w:rsidR="00117D58" w:rsidRDefault="00F52091">
      <w:pPr>
        <w:pStyle w:val="BodyText"/>
        <w:tabs>
          <w:tab w:val="left" w:pos="2038"/>
          <w:tab w:val="left" w:pos="3496"/>
          <w:tab w:val="left" w:pos="5161"/>
          <w:tab w:val="left" w:pos="6854"/>
          <w:tab w:val="left" w:pos="7790"/>
        </w:tabs>
        <w:spacing w:line="360" w:lineRule="auto"/>
        <w:ind w:left="503" w:right="7" w:hanging="481"/>
        <w:jc w:val="left"/>
      </w:pPr>
      <w:r>
        <w:t>Dewi, L. G. K., Herawati, N. T., &amp; Adiputra, I. M. P. (2021). USE OF E-MONEY AGAINST</w:t>
      </w:r>
      <w:r>
        <w:tab/>
      </w:r>
      <w:r>
        <w:rPr>
          <w:spacing w:val="-2"/>
        </w:rPr>
        <w:t>BEHAVIOR</w:t>
      </w:r>
      <w:r>
        <w:tab/>
      </w:r>
      <w:r>
        <w:rPr>
          <w:spacing w:val="-2"/>
        </w:rPr>
        <w:t>CONSUMPTIVE</w:t>
      </w:r>
      <w:r>
        <w:tab/>
      </w:r>
      <w:r>
        <w:rPr>
          <w:spacing w:val="-2"/>
        </w:rPr>
        <w:t>STUDENTS</w:t>
      </w:r>
      <w:r>
        <w:tab/>
      </w:r>
      <w:r>
        <w:rPr>
          <w:spacing w:val="-4"/>
        </w:rPr>
        <w:t>THE</w:t>
      </w:r>
      <w:r>
        <w:tab/>
      </w:r>
      <w:r>
        <w:rPr>
          <w:spacing w:val="-2"/>
        </w:rPr>
        <w:t>MEDIATED</w:t>
      </w:r>
    </w:p>
    <w:p w14:paraId="1A737708" w14:textId="77777777" w:rsidR="00117D58" w:rsidRDefault="00F52091">
      <w:pPr>
        <w:tabs>
          <w:tab w:val="left" w:pos="1866"/>
          <w:tab w:val="left" w:pos="2649"/>
          <w:tab w:val="left" w:pos="3820"/>
          <w:tab w:val="left" w:pos="4751"/>
          <w:tab w:val="left" w:pos="5830"/>
          <w:tab w:val="left" w:pos="6473"/>
          <w:tab w:val="left" w:pos="7826"/>
          <w:tab w:val="left" w:pos="8512"/>
        </w:tabs>
        <w:spacing w:before="3" w:line="362" w:lineRule="auto"/>
        <w:ind w:left="503" w:right="14"/>
        <w:rPr>
          <w:sz w:val="24"/>
        </w:rPr>
      </w:pPr>
      <w:r>
        <w:rPr>
          <w:spacing w:val="-2"/>
          <w:sz w:val="24"/>
        </w:rPr>
        <w:t>CONTROLS</w:t>
      </w:r>
      <w:r>
        <w:rPr>
          <w:sz w:val="24"/>
        </w:rPr>
        <w:tab/>
      </w:r>
      <w:r>
        <w:rPr>
          <w:spacing w:val="-4"/>
          <w:sz w:val="24"/>
        </w:rPr>
        <w:t>SELF.</w:t>
      </w:r>
      <w:r>
        <w:rPr>
          <w:sz w:val="24"/>
        </w:rPr>
        <w:tab/>
      </w:r>
      <w:r>
        <w:rPr>
          <w:i/>
          <w:spacing w:val="-2"/>
          <w:sz w:val="24"/>
        </w:rPr>
        <w:t>EQUITY</w:t>
      </w:r>
      <w:r>
        <w:rPr>
          <w:i/>
          <w:sz w:val="24"/>
        </w:rPr>
        <w:tab/>
      </w:r>
      <w:r>
        <w:rPr>
          <w:i/>
          <w:spacing w:val="-2"/>
          <w:sz w:val="24"/>
        </w:rPr>
        <w:t>(Journal</w:t>
      </w:r>
      <w:r>
        <w:rPr>
          <w:i/>
          <w:sz w:val="24"/>
        </w:rPr>
        <w:tab/>
      </w:r>
      <w:r>
        <w:rPr>
          <w:i/>
          <w:spacing w:val="-2"/>
          <w:sz w:val="24"/>
        </w:rPr>
        <w:t>Economy</w:t>
      </w:r>
      <w:r>
        <w:rPr>
          <w:i/>
          <w:sz w:val="24"/>
        </w:rPr>
        <w:tab/>
      </w:r>
      <w:r>
        <w:rPr>
          <w:i/>
          <w:spacing w:val="-4"/>
          <w:sz w:val="24"/>
        </w:rPr>
        <w:t>and</w:t>
      </w:r>
      <w:r>
        <w:rPr>
          <w:i/>
          <w:sz w:val="24"/>
        </w:rPr>
        <w:tab/>
      </w:r>
      <w:r>
        <w:rPr>
          <w:i/>
          <w:spacing w:val="-2"/>
          <w:sz w:val="24"/>
        </w:rPr>
        <w:t>Finance)</w:t>
      </w:r>
      <w:r>
        <w:rPr>
          <w:spacing w:val="-2"/>
          <w:sz w:val="24"/>
        </w:rPr>
        <w:t>,</w:t>
      </w:r>
      <w:r>
        <w:rPr>
          <w:sz w:val="24"/>
        </w:rPr>
        <w:tab/>
      </w:r>
      <w:r>
        <w:rPr>
          <w:i/>
          <w:spacing w:val="-2"/>
          <w:sz w:val="24"/>
        </w:rPr>
        <w:t>5</w:t>
      </w:r>
      <w:r>
        <w:rPr>
          <w:spacing w:val="-2"/>
          <w:sz w:val="24"/>
        </w:rPr>
        <w:t>(1),</w:t>
      </w:r>
      <w:r>
        <w:rPr>
          <w:sz w:val="24"/>
        </w:rPr>
        <w:tab/>
      </w:r>
      <w:r>
        <w:rPr>
          <w:spacing w:val="-2"/>
          <w:sz w:val="24"/>
        </w:rPr>
        <w:t xml:space="preserve">1–19. </w:t>
      </w:r>
      <w:hyperlink r:id="rId13">
        <w:r w:rsidR="00117D58">
          <w:rPr>
            <w:spacing w:val="-2"/>
            <w:sz w:val="24"/>
          </w:rPr>
          <w:t>https://doi.org/10.24034/j25485024.y2021.v5.i1.4669</w:t>
        </w:r>
      </w:hyperlink>
    </w:p>
    <w:p w14:paraId="5AAA279A" w14:textId="77777777" w:rsidR="00117D58" w:rsidRDefault="00F52091">
      <w:pPr>
        <w:spacing w:before="155"/>
        <w:ind w:left="23"/>
        <w:rPr>
          <w:sz w:val="24"/>
        </w:rPr>
      </w:pPr>
      <w:r>
        <w:rPr>
          <w:sz w:val="24"/>
        </w:rPr>
        <w:t xml:space="preserve">Ghozali, I. (2021). </w:t>
      </w:r>
      <w:r>
        <w:rPr>
          <w:i/>
          <w:sz w:val="24"/>
        </w:rPr>
        <w:t>Multivariate Analysis Application</w:t>
      </w:r>
      <w:r>
        <w:rPr>
          <w:spacing w:val="-2"/>
          <w:sz w:val="24"/>
        </w:rPr>
        <w:t>.</w:t>
      </w:r>
    </w:p>
    <w:p w14:paraId="4CBE138A" w14:textId="77777777" w:rsidR="00117D58" w:rsidRDefault="00117D58">
      <w:pPr>
        <w:pStyle w:val="BodyText"/>
        <w:spacing w:before="20"/>
        <w:ind w:left="0"/>
        <w:jc w:val="left"/>
      </w:pPr>
    </w:p>
    <w:p w14:paraId="330071BF" w14:textId="77777777" w:rsidR="00117D58" w:rsidRDefault="00F52091">
      <w:pPr>
        <w:spacing w:line="360" w:lineRule="auto"/>
        <w:ind w:left="503" w:hanging="481"/>
        <w:rPr>
          <w:i/>
          <w:sz w:val="24"/>
        </w:rPr>
      </w:pPr>
      <w:r>
        <w:rPr>
          <w:sz w:val="24"/>
        </w:rPr>
        <w:t xml:space="preserve">Handayani, D., Solihat, A. N., &amp; Sartika, H. (2024). </w:t>
      </w:r>
      <w:r>
        <w:rPr>
          <w:i/>
          <w:sz w:val="24"/>
        </w:rPr>
        <w:t>THE INFLUENCE OF FINANCIAL LITERACY AND SOCIAL INFLUENCE ON STUDENTS' SAVING BEHAVIOR</w:t>
      </w:r>
    </w:p>
    <w:p w14:paraId="33187358" w14:textId="77777777" w:rsidR="00117D58" w:rsidRDefault="00F52091">
      <w:pPr>
        <w:spacing w:line="367" w:lineRule="auto"/>
        <w:ind w:left="503"/>
        <w:rPr>
          <w:sz w:val="24"/>
        </w:rPr>
      </w:pPr>
      <w:r>
        <w:rPr>
          <w:i/>
          <w:sz w:val="24"/>
        </w:rPr>
        <w:t xml:space="preserve">RANTAU (Survey on Siliwangi University Students from Jabodetabek) </w:t>
      </w:r>
      <w:r>
        <w:rPr>
          <w:sz w:val="24"/>
        </w:rPr>
        <w:t>(Vol. 2, Issue 1). Electronics.</w:t>
      </w:r>
    </w:p>
    <w:p w14:paraId="4C0DD155" w14:textId="77777777" w:rsidR="00117D58" w:rsidRDefault="00F52091">
      <w:pPr>
        <w:spacing w:before="147"/>
        <w:ind w:left="23"/>
        <w:rPr>
          <w:sz w:val="24"/>
        </w:rPr>
      </w:pPr>
      <w:r>
        <w:rPr>
          <w:sz w:val="24"/>
        </w:rPr>
        <w:t xml:space="preserve">Harmadi, S. H. B. (2022). </w:t>
      </w:r>
      <w:r>
        <w:rPr>
          <w:i/>
          <w:sz w:val="24"/>
        </w:rPr>
        <w:t>Introduction to Macroeconomics</w:t>
      </w:r>
      <w:r>
        <w:rPr>
          <w:sz w:val="24"/>
        </w:rPr>
        <w:t>. Open University.</w:t>
      </w:r>
    </w:p>
    <w:p w14:paraId="492485F7" w14:textId="77777777" w:rsidR="00117D58" w:rsidRDefault="00117D58">
      <w:pPr>
        <w:rPr>
          <w:sz w:val="24"/>
        </w:rPr>
        <w:sectPr w:rsidR="00117D58">
          <w:pgSz w:w="11910" w:h="16840"/>
          <w:pgMar w:top="1360" w:right="1417" w:bottom="280" w:left="1417" w:header="720" w:footer="720" w:gutter="0"/>
          <w:cols w:space="720"/>
        </w:sectPr>
      </w:pPr>
    </w:p>
    <w:p w14:paraId="193437A3" w14:textId="77777777" w:rsidR="00117D58" w:rsidRDefault="00F52091">
      <w:pPr>
        <w:spacing w:before="74" w:line="362" w:lineRule="auto"/>
        <w:ind w:left="503" w:right="17" w:hanging="481"/>
        <w:jc w:val="both"/>
        <w:rPr>
          <w:sz w:val="24"/>
        </w:rPr>
      </w:pPr>
      <w:r>
        <w:rPr>
          <w:sz w:val="24"/>
        </w:rPr>
        <w:lastRenderedPageBreak/>
        <w:t xml:space="preserve">Julia Anrepa, S. (2021). </w:t>
      </w:r>
      <w:r>
        <w:rPr>
          <w:i/>
          <w:sz w:val="24"/>
        </w:rPr>
        <w:t>The Impact Of Using E-Wallet On The Interest Of Saving In Sharia Banking Towards Students In Yogyakarta</w:t>
      </w:r>
      <w:r>
        <w:rPr>
          <w:sz w:val="24"/>
        </w:rPr>
        <w:t>.</w:t>
      </w:r>
    </w:p>
    <w:p w14:paraId="03473911" w14:textId="77777777" w:rsidR="00117D58" w:rsidRDefault="00F52091">
      <w:pPr>
        <w:spacing w:before="156" w:line="360" w:lineRule="auto"/>
        <w:ind w:left="503" w:right="18" w:hanging="481"/>
        <w:jc w:val="both"/>
        <w:rPr>
          <w:sz w:val="24"/>
        </w:rPr>
      </w:pPr>
      <w:r>
        <w:rPr>
          <w:sz w:val="24"/>
        </w:rPr>
        <w:t xml:space="preserve">Kaniska, A. K. J. (2023). </w:t>
      </w:r>
      <w:r>
        <w:rPr>
          <w:i/>
          <w:sz w:val="24"/>
        </w:rPr>
        <w:t>THE EFFECT OF THE USE OF CASHLESS TRANSACTIONS, THE PERCEPTION OF THE EASE OF ONLINE SHOPPING APPLICATIONS, AND LIFESTYLE ON CONSUMPTIVE BEHAVIOR IN THE MILLENNIAL GENERATION</w:t>
      </w:r>
      <w:r>
        <w:rPr>
          <w:sz w:val="24"/>
        </w:rPr>
        <w:t>.</w:t>
      </w:r>
    </w:p>
    <w:p w14:paraId="5E64F446" w14:textId="77777777" w:rsidR="00117D58" w:rsidRDefault="00F52091">
      <w:pPr>
        <w:spacing w:before="159" w:line="362" w:lineRule="auto"/>
        <w:ind w:left="503" w:right="20" w:hanging="481"/>
        <w:jc w:val="both"/>
        <w:rPr>
          <w:sz w:val="24"/>
        </w:rPr>
      </w:pPr>
      <w:r>
        <w:rPr>
          <w:sz w:val="24"/>
        </w:rPr>
        <w:t xml:space="preserve">Maharani, I. D., &amp; Widajantie, T. D. (2025). </w:t>
      </w:r>
      <w:r>
        <w:rPr>
          <w:i/>
          <w:sz w:val="24"/>
        </w:rPr>
        <w:t>A Study of Saving Behavior of Financial Technology Service Users: Systematic Literature Review</w:t>
      </w:r>
      <w:r>
        <w:rPr>
          <w:sz w:val="24"/>
        </w:rPr>
        <w:t>.</w:t>
      </w:r>
    </w:p>
    <w:p w14:paraId="61FC1CFD" w14:textId="77777777" w:rsidR="00117D58" w:rsidRDefault="00F52091">
      <w:pPr>
        <w:pStyle w:val="BodyText"/>
        <w:spacing w:before="156" w:line="360" w:lineRule="auto"/>
        <w:ind w:left="503" w:right="6" w:hanging="481"/>
      </w:pPr>
      <w:r>
        <w:t>Mardiana, V., &amp; Rochmawati. (2020). SELF-CONTROL AS MODERATION BETWEEN FINANCIAL KNOWLEDGE, FINANCIAL ATTITUDE, AND POCKET MONEY</w:t>
      </w:r>
    </w:p>
    <w:p w14:paraId="1FF0F48C" w14:textId="77777777" w:rsidR="00117D58" w:rsidRDefault="00F52091">
      <w:pPr>
        <w:spacing w:before="3"/>
        <w:ind w:left="503"/>
        <w:jc w:val="both"/>
        <w:rPr>
          <w:sz w:val="24"/>
        </w:rPr>
      </w:pPr>
      <w:r>
        <w:rPr>
          <w:sz w:val="24"/>
        </w:rPr>
        <w:t xml:space="preserve">AGAINST SAVING BEHAVIOR. </w:t>
      </w:r>
      <w:r>
        <w:rPr>
          <w:i/>
          <w:sz w:val="24"/>
        </w:rPr>
        <w:t>Journal of Social Science Education</w:t>
      </w:r>
      <w:r>
        <w:rPr>
          <w:sz w:val="24"/>
        </w:rPr>
        <w:t xml:space="preserve">, </w:t>
      </w:r>
      <w:r>
        <w:rPr>
          <w:i/>
          <w:spacing w:val="-2"/>
          <w:sz w:val="24"/>
        </w:rPr>
        <w:t>30</w:t>
      </w:r>
      <w:r>
        <w:rPr>
          <w:spacing w:val="-2"/>
          <w:sz w:val="24"/>
        </w:rPr>
        <w:t>(2).</w:t>
      </w:r>
    </w:p>
    <w:p w14:paraId="79E26224" w14:textId="77777777" w:rsidR="00117D58" w:rsidRDefault="00117D58">
      <w:pPr>
        <w:pStyle w:val="BodyText"/>
        <w:spacing w:before="24"/>
        <w:ind w:left="0"/>
        <w:jc w:val="left"/>
      </w:pPr>
    </w:p>
    <w:p w14:paraId="7CDC039F" w14:textId="77777777" w:rsidR="00117D58" w:rsidRDefault="00F52091">
      <w:pPr>
        <w:ind w:left="23"/>
        <w:rPr>
          <w:sz w:val="24"/>
        </w:rPr>
      </w:pPr>
      <w:r>
        <w:rPr>
          <w:sz w:val="24"/>
        </w:rPr>
        <w:t xml:space="preserve">Financial Services Authority. (2024). </w:t>
      </w:r>
      <w:r>
        <w:rPr>
          <w:i/>
          <w:sz w:val="24"/>
        </w:rPr>
        <w:t>Optimistic Looking at the Indonesian Economy in 2024</w:t>
      </w:r>
      <w:r>
        <w:rPr>
          <w:spacing w:val="-2"/>
          <w:sz w:val="24"/>
        </w:rPr>
        <w:t>.</w:t>
      </w:r>
    </w:p>
    <w:p w14:paraId="1F83F768" w14:textId="77777777" w:rsidR="00117D58" w:rsidRDefault="00117D58">
      <w:pPr>
        <w:pStyle w:val="BodyText"/>
        <w:spacing w:before="14"/>
        <w:ind w:left="0"/>
        <w:jc w:val="left"/>
      </w:pPr>
    </w:p>
    <w:p w14:paraId="24B70203" w14:textId="73AE3A13" w:rsidR="00117D58" w:rsidRDefault="006768C0">
      <w:pPr>
        <w:pStyle w:val="BodyText"/>
        <w:spacing w:before="1" w:line="362" w:lineRule="auto"/>
        <w:ind w:left="503" w:right="14" w:hanging="481"/>
      </w:pPr>
      <w:r>
        <w:t xml:space="preserve">Rahmatika, Ariani, F., &amp; Susanti, R. (2024). The Effect of Non-Cash Transactions and Financial Literacy on Gen Z's Consumptive Behavior in Padang City. </w:t>
      </w:r>
      <w:r w:rsidR="00F52091">
        <w:rPr>
          <w:i/>
        </w:rPr>
        <w:t>Shar-E: Journal of the Economic Study of Sharia Law</w:t>
      </w:r>
      <w:r w:rsidR="00F52091">
        <w:t xml:space="preserve">, </w:t>
      </w:r>
      <w:r w:rsidR="00F52091">
        <w:rPr>
          <w:i/>
        </w:rPr>
        <w:t>10</w:t>
      </w:r>
      <w:r w:rsidR="00F52091">
        <w:t xml:space="preserve">(2), 172–185. </w:t>
      </w:r>
      <w:hyperlink r:id="rId14">
        <w:r w:rsidR="00117D58">
          <w:t>https://doi.org/10.37567/shar-e.v10i2.3116</w:t>
        </w:r>
      </w:hyperlink>
    </w:p>
    <w:p w14:paraId="1BD4ED88" w14:textId="03E15575" w:rsidR="00117D58" w:rsidRDefault="00F52091">
      <w:pPr>
        <w:pStyle w:val="BodyText"/>
        <w:spacing w:before="151" w:line="362" w:lineRule="auto"/>
        <w:ind w:left="503" w:right="23" w:hanging="481"/>
      </w:pPr>
      <w:r>
        <w:t>Ramadanti, H. R. A. S., Nawir, J., &amp; Marlina. (2021). ANALYSIS OF FINANCIAL BEHAVIOR OF GENERATION Z IN NON-CASH TRANSACTIONS ANALYSIS OF FINANCIAL BEHAVIOR</w:t>
      </w:r>
    </w:p>
    <w:p w14:paraId="52A935F9" w14:textId="426EF3F2" w:rsidR="00117D58" w:rsidRDefault="00F52091">
      <w:pPr>
        <w:spacing w:before="3"/>
        <w:ind w:left="503"/>
        <w:jc w:val="both"/>
        <w:rPr>
          <w:sz w:val="24"/>
        </w:rPr>
      </w:pPr>
      <w:r>
        <w:rPr>
          <w:sz w:val="24"/>
        </w:rPr>
        <w:t xml:space="preserve">OF GENERATION Z ON NON-CASH TRANSACTIONS. In </w:t>
      </w:r>
      <w:r>
        <w:rPr>
          <w:i/>
          <w:sz w:val="24"/>
        </w:rPr>
        <w:t xml:space="preserve">Journal of Visionida </w:t>
      </w:r>
      <w:r>
        <w:rPr>
          <w:sz w:val="24"/>
        </w:rPr>
        <w:t>(Vol. 7, Issue 2).</w:t>
      </w:r>
    </w:p>
    <w:p w14:paraId="40887ACE" w14:textId="77777777" w:rsidR="00117D58" w:rsidRDefault="00117D58">
      <w:pPr>
        <w:pStyle w:val="BodyText"/>
        <w:spacing w:before="14"/>
        <w:ind w:left="0"/>
        <w:jc w:val="left"/>
      </w:pPr>
    </w:p>
    <w:p w14:paraId="4EDC1983" w14:textId="77777777" w:rsidR="00117D58" w:rsidRDefault="00F52091">
      <w:pPr>
        <w:pStyle w:val="BodyText"/>
        <w:spacing w:line="362" w:lineRule="auto"/>
        <w:ind w:left="503" w:right="25" w:hanging="481"/>
      </w:pPr>
      <w:r>
        <w:t xml:space="preserve">Riana, D. (2022). Factors Affecting Saving Behavior (Case Study of Regular Class B Students, Faculty of Economics, Tridinanti University Palembang). </w:t>
      </w:r>
      <w:r>
        <w:rPr>
          <w:i/>
        </w:rPr>
        <w:t>Journal Ekombis Review</w:t>
      </w:r>
      <w:r>
        <w:t xml:space="preserve">, </w:t>
      </w:r>
      <w:r>
        <w:rPr>
          <w:i/>
        </w:rPr>
        <w:t>10</w:t>
      </w:r>
      <w:r>
        <w:t xml:space="preserve">(1), 263–278. </w:t>
      </w:r>
      <w:hyperlink r:id="rId15">
        <w:r w:rsidR="00117D58">
          <w:t>https://doi.org/10.37676/ekombis.v10i1</w:t>
        </w:r>
      </w:hyperlink>
    </w:p>
    <w:p w14:paraId="6CCB86E9" w14:textId="77777777" w:rsidR="00117D58" w:rsidRDefault="00F52091">
      <w:pPr>
        <w:pStyle w:val="BodyText"/>
        <w:spacing w:before="157" w:line="360" w:lineRule="auto"/>
        <w:ind w:left="503" w:right="26" w:hanging="481"/>
      </w:pPr>
      <w:r>
        <w:t>Samadiyah, N. R. F., Nersiwad, &amp; Verlandes, Y. (2024). The Influence of Financial Knowledge, Financial Attitude and Self Control on the Saving Behavior of Grade XI High School Students</w:t>
      </w:r>
    </w:p>
    <w:p w14:paraId="57038E0E" w14:textId="77777777" w:rsidR="00117D58" w:rsidRDefault="00F52091">
      <w:pPr>
        <w:spacing w:line="362" w:lineRule="auto"/>
        <w:ind w:left="503" w:right="10"/>
        <w:jc w:val="both"/>
        <w:rPr>
          <w:sz w:val="24"/>
        </w:rPr>
      </w:pPr>
      <w:r>
        <w:rPr>
          <w:sz w:val="24"/>
        </w:rPr>
        <w:t xml:space="preserve">1 Stir-fry. </w:t>
      </w:r>
      <w:r>
        <w:rPr>
          <w:i/>
          <w:sz w:val="24"/>
        </w:rPr>
        <w:t>MASMAN: Master of Management</w:t>
      </w:r>
      <w:r>
        <w:rPr>
          <w:sz w:val="24"/>
        </w:rPr>
        <w:t xml:space="preserve">, </w:t>
      </w:r>
      <w:r>
        <w:rPr>
          <w:i/>
          <w:sz w:val="24"/>
        </w:rPr>
        <w:t>2</w:t>
      </w:r>
      <w:r>
        <w:rPr>
          <w:sz w:val="24"/>
        </w:rPr>
        <w:t xml:space="preserve">(3), 150–163. </w:t>
      </w:r>
      <w:hyperlink r:id="rId16">
        <w:r w:rsidR="00117D58">
          <w:rPr>
            <w:spacing w:val="-2"/>
            <w:sz w:val="24"/>
          </w:rPr>
          <w:t>https://doi.org/10.59603/masman.v2i3.469</w:t>
        </w:r>
      </w:hyperlink>
    </w:p>
    <w:p w14:paraId="3E6DA134" w14:textId="77777777" w:rsidR="00117D58" w:rsidRDefault="00F52091">
      <w:pPr>
        <w:pStyle w:val="BodyText"/>
        <w:spacing w:before="153" w:line="360" w:lineRule="auto"/>
        <w:ind w:left="503" w:right="25" w:hanging="481"/>
      </w:pPr>
      <w:r>
        <w:t>Sampoerno, A. E., &amp; Asandimitra, N. (2021). THE EFFECT OF FINANCIAL LITERACY, INCOME, HEDONISM LIFESTYLE, SELF-CONTROL, AND RISK TOLERANCE ON FINANCIAL MANAGEMENT BEHAVIOR IN THE GENERATION</w:t>
      </w:r>
    </w:p>
    <w:p w14:paraId="0ECE13DF" w14:textId="77777777" w:rsidR="00117D58" w:rsidRDefault="00F52091">
      <w:pPr>
        <w:spacing w:before="7"/>
        <w:ind w:left="503"/>
        <w:jc w:val="both"/>
        <w:rPr>
          <w:sz w:val="24"/>
        </w:rPr>
      </w:pPr>
      <w:r>
        <w:rPr>
          <w:sz w:val="24"/>
        </w:rPr>
        <w:t xml:space="preserve">MILLENNIALS. In </w:t>
      </w:r>
      <w:r>
        <w:rPr>
          <w:i/>
          <w:sz w:val="24"/>
        </w:rPr>
        <w:t xml:space="preserve">Journal of Management Science </w:t>
      </w:r>
      <w:r>
        <w:rPr>
          <w:sz w:val="24"/>
        </w:rPr>
        <w:t>(Vol. 9).</w:t>
      </w:r>
    </w:p>
    <w:p w14:paraId="12DD0C89" w14:textId="77777777" w:rsidR="00117D58" w:rsidRDefault="00117D58">
      <w:pPr>
        <w:pStyle w:val="BodyText"/>
        <w:spacing w:before="14"/>
        <w:ind w:left="0"/>
        <w:jc w:val="left"/>
      </w:pPr>
    </w:p>
    <w:p w14:paraId="453691ED" w14:textId="24D61D2B" w:rsidR="00117D58" w:rsidRDefault="006768C0">
      <w:pPr>
        <w:pStyle w:val="BodyText"/>
        <w:spacing w:line="360" w:lineRule="auto"/>
        <w:ind w:left="503" w:right="20" w:hanging="481"/>
      </w:pPr>
      <w:r>
        <w:t xml:space="preserve">Sintiani, P. Della, Astarini, D. A. O., Cahyani, A., Septian, D., &amp; Khairunnisa. (2025). A </w:t>
      </w:r>
      <w:r>
        <w:lastRenderedPageBreak/>
        <w:t>Quantitative Study of the Influence of Financial Literacy, Lifestyle and Non-Cash Transactions on</w:t>
      </w:r>
    </w:p>
    <w:p w14:paraId="598906BD" w14:textId="77777777" w:rsidR="00117D58" w:rsidRDefault="00117D58">
      <w:pPr>
        <w:pStyle w:val="BodyText"/>
        <w:spacing w:line="360" w:lineRule="auto"/>
        <w:sectPr w:rsidR="00117D58">
          <w:pgSz w:w="11910" w:h="16840"/>
          <w:pgMar w:top="1340" w:right="1417" w:bottom="280" w:left="1417" w:header="720" w:footer="720" w:gutter="0"/>
          <w:cols w:space="720"/>
        </w:sectPr>
      </w:pPr>
    </w:p>
    <w:p w14:paraId="78D47219" w14:textId="77777777" w:rsidR="00117D58" w:rsidRDefault="00F52091">
      <w:pPr>
        <w:spacing w:before="74" w:line="362" w:lineRule="auto"/>
        <w:ind w:left="503" w:right="10"/>
        <w:jc w:val="both"/>
        <w:rPr>
          <w:sz w:val="24"/>
        </w:rPr>
      </w:pPr>
      <w:r>
        <w:rPr>
          <w:sz w:val="24"/>
        </w:rPr>
        <w:lastRenderedPageBreak/>
        <w:t xml:space="preserve">Student Financial Behavior. </w:t>
      </w:r>
      <w:r>
        <w:rPr>
          <w:i/>
          <w:sz w:val="24"/>
        </w:rPr>
        <w:t>Associate (Economic Research, Accounting, and Taxation),</w:t>
      </w:r>
      <w:r>
        <w:rPr>
          <w:sz w:val="24"/>
        </w:rPr>
        <w:t xml:space="preserve"> </w:t>
      </w:r>
      <w:r>
        <w:rPr>
          <w:i/>
          <w:sz w:val="24"/>
        </w:rPr>
        <w:t>6</w:t>
      </w:r>
      <w:r>
        <w:rPr>
          <w:sz w:val="24"/>
        </w:rPr>
        <w:t xml:space="preserve">(1), 2721–4109. </w:t>
      </w:r>
      <w:hyperlink r:id="rId17">
        <w:r w:rsidR="00117D58">
          <w:rPr>
            <w:sz w:val="24"/>
          </w:rPr>
          <w:t>https://doi.org/10.30812/rekan.v6i1.5001</w:t>
        </w:r>
      </w:hyperlink>
    </w:p>
    <w:p w14:paraId="092A2970" w14:textId="77777777" w:rsidR="00117D58" w:rsidRDefault="00F52091">
      <w:pPr>
        <w:pStyle w:val="BodyText"/>
        <w:spacing w:before="156" w:line="360" w:lineRule="auto"/>
        <w:ind w:left="503" w:right="21" w:hanging="481"/>
      </w:pPr>
      <w:r>
        <w:t xml:space="preserve">Suryani, I., &amp; Hambali, D. (2025). Analysis of the Influence of Frequency of Use and Ease of Access to Digital Wallets on People's Personal Financial Management in Moyo Hulu District. </w:t>
      </w:r>
      <w:r>
        <w:rPr>
          <w:i/>
        </w:rPr>
        <w:t>Scientific Journal of Basic Education</w:t>
      </w:r>
      <w:r>
        <w:t>.</w:t>
      </w:r>
    </w:p>
    <w:p w14:paraId="31846702" w14:textId="77777777" w:rsidR="00117D58" w:rsidRDefault="00F52091">
      <w:pPr>
        <w:pStyle w:val="BodyText"/>
        <w:spacing w:before="159" w:line="360" w:lineRule="auto"/>
        <w:ind w:left="503" w:right="18" w:hanging="481"/>
        <w:rPr>
          <w:i/>
        </w:rPr>
      </w:pPr>
      <w:r>
        <w:t xml:space="preserve">Suryanti, R., Setyawan, W., &amp; Nopiana, D. U. (2021). FACTORS THAT AFFECT THE SAVING BEHAVIOR OF THE MILLENNIAL GENERATION. </w:t>
      </w:r>
      <w:r>
        <w:rPr>
          <w:i/>
          <w:spacing w:val="-2"/>
        </w:rPr>
        <w:t>Accounting Journal</w:t>
      </w:r>
    </w:p>
    <w:p w14:paraId="3F708FD8" w14:textId="77777777" w:rsidR="00117D58" w:rsidRDefault="00F52091">
      <w:pPr>
        <w:spacing w:before="3"/>
        <w:ind w:left="503"/>
        <w:jc w:val="both"/>
        <w:rPr>
          <w:sz w:val="24"/>
        </w:rPr>
      </w:pPr>
      <w:r>
        <w:rPr>
          <w:i/>
          <w:sz w:val="24"/>
        </w:rPr>
        <w:t>and Pelita Bangsa Business</w:t>
      </w:r>
      <w:r>
        <w:rPr>
          <w:spacing w:val="-2"/>
          <w:sz w:val="24"/>
        </w:rPr>
        <w:t>.</w:t>
      </w:r>
    </w:p>
    <w:p w14:paraId="5C4B1C52" w14:textId="77777777" w:rsidR="00117D58" w:rsidRDefault="00117D58">
      <w:pPr>
        <w:pStyle w:val="BodyText"/>
        <w:spacing w:before="19"/>
        <w:ind w:left="0"/>
        <w:jc w:val="left"/>
      </w:pPr>
    </w:p>
    <w:p w14:paraId="488A613C" w14:textId="77777777" w:rsidR="00117D58" w:rsidRDefault="00F52091">
      <w:pPr>
        <w:pStyle w:val="BodyText"/>
        <w:spacing w:line="364" w:lineRule="auto"/>
        <w:ind w:left="503" w:right="21" w:hanging="481"/>
      </w:pPr>
      <w:r>
        <w:t xml:space="preserve">Open University. (2025). </w:t>
      </w:r>
      <w:r>
        <w:rPr>
          <w:i/>
        </w:rPr>
        <w:t>UT in Numbers</w:t>
      </w:r>
      <w:r>
        <w:t xml:space="preserve">. Open University. https://doi.org/ </w:t>
      </w:r>
      <w:hyperlink r:id="rId18">
        <w:r w:rsidR="00117D58">
          <w:rPr>
            <w:spacing w:val="-2"/>
          </w:rPr>
          <w:t>https://www.ut.ac.id/ut-dalam-angka/</w:t>
        </w:r>
      </w:hyperlink>
    </w:p>
    <w:p w14:paraId="7FC126C4" w14:textId="6D926986" w:rsidR="00117D58" w:rsidRDefault="006768C0">
      <w:pPr>
        <w:pStyle w:val="BodyText"/>
        <w:spacing w:before="151" w:line="360" w:lineRule="auto"/>
        <w:ind w:left="503" w:right="15" w:hanging="481"/>
      </w:pPr>
      <w:r>
        <w:t xml:space="preserve">Vitalia, T. T., &amp; Noviarty, H. (2024). Moderating Effect of E-Money Usage on Generation Z Financial Management in a Non-Cash Transaction. </w:t>
      </w:r>
      <w:r w:rsidR="00F52091">
        <w:rPr>
          <w:i/>
        </w:rPr>
        <w:t>Scientific Journal of Unit Management</w:t>
      </w:r>
      <w:r w:rsidR="00F52091">
        <w:t xml:space="preserve">, </w:t>
      </w:r>
      <w:r w:rsidR="00F52091">
        <w:rPr>
          <w:i/>
        </w:rPr>
        <w:t>12</w:t>
      </w:r>
      <w:r w:rsidR="00F52091">
        <w:t xml:space="preserve">(5), 1849–1856. </w:t>
      </w:r>
      <w:hyperlink r:id="rId19">
        <w:r w:rsidR="00117D58">
          <w:t>https://doi.org/10.37641/jimkes.v12i5.2532</w:t>
        </w:r>
      </w:hyperlink>
    </w:p>
    <w:p w14:paraId="2FF92397" w14:textId="77777777" w:rsidR="00117D58" w:rsidRDefault="00F52091">
      <w:pPr>
        <w:spacing w:before="160" w:line="362" w:lineRule="auto"/>
        <w:ind w:left="503" w:right="22" w:hanging="481"/>
        <w:jc w:val="both"/>
        <w:rPr>
          <w:sz w:val="24"/>
        </w:rPr>
      </w:pPr>
      <w:r>
        <w:rPr>
          <w:sz w:val="24"/>
        </w:rPr>
        <w:t xml:space="preserve">Widhiastuti, S. (2024). </w:t>
      </w:r>
      <w:r>
        <w:rPr>
          <w:i/>
          <w:sz w:val="24"/>
        </w:rPr>
        <w:t>Financial Planning Management: Smart and Effective Strategies to Change Finances nda</w:t>
      </w:r>
      <w:r>
        <w:rPr>
          <w:sz w:val="24"/>
        </w:rPr>
        <w:t>. Mega Press.</w:t>
      </w:r>
    </w:p>
    <w:p w14:paraId="03D73166" w14:textId="77777777" w:rsidR="00117D58" w:rsidRDefault="00F52091">
      <w:pPr>
        <w:spacing w:before="160"/>
        <w:ind w:left="23"/>
        <w:jc w:val="both"/>
        <w:rPr>
          <w:sz w:val="24"/>
        </w:rPr>
      </w:pPr>
      <w:r>
        <w:rPr>
          <w:sz w:val="24"/>
        </w:rPr>
        <w:t xml:space="preserve">Widnyana, I. W., &amp; Marsudi, A. S. (2025). </w:t>
      </w:r>
      <w:r>
        <w:rPr>
          <w:i/>
          <w:sz w:val="24"/>
        </w:rPr>
        <w:t>Finncial Technology (FinTech).</w:t>
      </w:r>
      <w:r>
        <w:rPr>
          <w:sz w:val="24"/>
        </w:rPr>
        <w:t xml:space="preserve"> Mega Press.</w:t>
      </w:r>
    </w:p>
    <w:p w14:paraId="718ECBDA" w14:textId="77777777" w:rsidR="00117D58" w:rsidRDefault="00117D58">
      <w:pPr>
        <w:pStyle w:val="BodyText"/>
        <w:spacing w:before="15"/>
        <w:ind w:left="0"/>
        <w:jc w:val="left"/>
      </w:pPr>
    </w:p>
    <w:p w14:paraId="0E2F5413" w14:textId="538EC608" w:rsidR="00117D58" w:rsidRDefault="00F52091">
      <w:pPr>
        <w:spacing w:line="362" w:lineRule="auto"/>
        <w:ind w:left="503" w:right="14" w:hanging="481"/>
        <w:jc w:val="both"/>
        <w:rPr>
          <w:sz w:val="24"/>
        </w:rPr>
      </w:pPr>
      <w:r>
        <w:rPr>
          <w:sz w:val="24"/>
        </w:rPr>
        <w:t xml:space="preserve">Wiyanto, H., Aurellia, A., &amp; Patricia, J. C. (2022). </w:t>
      </w:r>
      <w:r>
        <w:rPr>
          <w:i/>
          <w:sz w:val="24"/>
        </w:rPr>
        <w:t>EDUCATION ON FINANCIAL BEHAVIOR OF GENERATION Z ON NON-CASH TRANSACTIONS AT SMK BHINNEKA TUNGGAL IKA</w:t>
      </w:r>
      <w:r>
        <w:rPr>
          <w:sz w:val="24"/>
        </w:rPr>
        <w:t>.</w:t>
      </w:r>
    </w:p>
    <w:sectPr w:rsidR="00117D58">
      <w:pgSz w:w="11910" w:h="1684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58"/>
    <w:rsid w:val="00117D58"/>
    <w:rsid w:val="006768C0"/>
    <w:rsid w:val="00877B83"/>
    <w:rsid w:val="00893EBE"/>
    <w:rsid w:val="00900F70"/>
    <w:rsid w:val="00BC0BEA"/>
    <w:rsid w:val="00D62051"/>
    <w:rsid w:val="00F520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8939A"/>
  <w15:docId w15:val="{FC15830F-18E1-44A5-8647-2532E4AC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63"/>
      <w:ind w:left="23"/>
      <w:outlineLvl w:val="0"/>
    </w:pPr>
    <w:rPr>
      <w:b/>
      <w:bCs/>
      <w:sz w:val="24"/>
      <w:szCs w:val="24"/>
    </w:rPr>
  </w:style>
  <w:style w:type="paragraph" w:styleId="Heading2">
    <w:name w:val="heading 2"/>
    <w:basedOn w:val="Normal"/>
    <w:uiPriority w:val="9"/>
    <w:unhideWhenUsed/>
    <w:qFormat/>
    <w:pPr>
      <w:spacing w:before="169"/>
      <w:ind w:left="23"/>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Title">
    <w:name w:val="Title"/>
    <w:basedOn w:val="Normal"/>
    <w:uiPriority w:val="10"/>
    <w:qFormat/>
    <w:pPr>
      <w:spacing w:before="59"/>
      <w:ind w:left="738" w:right="741"/>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8" w:lineRule="exact"/>
      <w:jc w:val="center"/>
    </w:pPr>
  </w:style>
  <w:style w:type="character" w:styleId="Hyperlink">
    <w:name w:val="Hyperlink"/>
    <w:basedOn w:val="DefaultParagraphFont"/>
    <w:uiPriority w:val="99"/>
    <w:unhideWhenUsed/>
    <w:rsid w:val="006768C0"/>
    <w:rPr>
      <w:color w:val="0000FF" w:themeColor="hyperlink"/>
      <w:u w:val="single"/>
    </w:rPr>
  </w:style>
  <w:style w:type="character" w:styleId="UnresolvedMention">
    <w:name w:val="Unresolved Mention"/>
    <w:basedOn w:val="DefaultParagraphFont"/>
    <w:uiPriority w:val="99"/>
    <w:semiHidden/>
    <w:unhideWhenUsed/>
    <w:rsid w:val="006768C0"/>
    <w:rPr>
      <w:color w:val="605E5C"/>
      <w:shd w:val="clear" w:color="auto" w:fill="E1DFDD"/>
    </w:rPr>
  </w:style>
  <w:style w:type="character" w:styleId="PlaceholderText">
    <w:name w:val="Placeholder Text"/>
    <w:basedOn w:val="DefaultParagraphFont"/>
    <w:uiPriority w:val="99"/>
    <w:semiHidden/>
    <w:rsid w:val="00BC0B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54443/sinomika.v1i4.373" TargetMode="External"/><Relationship Id="rId13" Type="http://schemas.openxmlformats.org/officeDocument/2006/relationships/hyperlink" Target="https://doi.org/10.24034/j25485024.y2021.v5.i1.4669" TargetMode="External"/><Relationship Id="rId18" Type="http://schemas.openxmlformats.org/officeDocument/2006/relationships/hyperlink" Target="https://www.ut.ac.id/ut-dalam-angka/"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archive.org/details/researchdesignO000unse" TargetMode="External"/><Relationship Id="rId17" Type="http://schemas.openxmlformats.org/officeDocument/2006/relationships/hyperlink" Target="https://doi.org/10.30812/rekan.v6i1.5001" TargetMode="External"/><Relationship Id="rId2" Type="http://schemas.openxmlformats.org/officeDocument/2006/relationships/settings" Target="settings.xml"/><Relationship Id="rId16" Type="http://schemas.openxmlformats.org/officeDocument/2006/relationships/hyperlink" Target="https://doi.org/10.59603/masman.v2i3.469"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bi.go.id/id/statistik/ekonomi-keuangan/seki/Default.aspx" TargetMode="External"/><Relationship Id="rId5" Type="http://schemas.openxmlformats.org/officeDocument/2006/relationships/hyperlink" Target="mailto:syahrinullah@ecampus.ut.ac.id" TargetMode="External"/><Relationship Id="rId15" Type="http://schemas.openxmlformats.org/officeDocument/2006/relationships/hyperlink" Target="https://doi.org/10.37676/ekombis.v10i1" TargetMode="External"/><Relationship Id="rId10" Type="http://schemas.openxmlformats.org/officeDocument/2006/relationships/hyperlink" Target="https://doi.org/10.47065/jtear.v4i3.1197" TargetMode="External"/><Relationship Id="rId19" Type="http://schemas.openxmlformats.org/officeDocument/2006/relationships/hyperlink" Target="https://doi.org/10.37641/jimkes.v12i5.2532" TargetMode="External"/><Relationship Id="rId4" Type="http://schemas.openxmlformats.org/officeDocument/2006/relationships/hyperlink" Target="mailto:akbar@ecampus.ut.ac.id" TargetMode="External"/><Relationship Id="rId9" Type="http://schemas.openxmlformats.org/officeDocument/2006/relationships/hyperlink" Target="https://doi.org/10.1016/0749-5978(91)90020-T" TargetMode="External"/><Relationship Id="rId14" Type="http://schemas.openxmlformats.org/officeDocument/2006/relationships/hyperlink" Target="https://doi.org/10.37567/shar-e.v10i2.3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26</Pages>
  <Words>8076</Words>
  <Characters>46037</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reza</dc:creator>
  <cp:lastModifiedBy>Syahrinullah Saggaaf</cp:lastModifiedBy>
  <cp:revision>2</cp:revision>
  <dcterms:created xsi:type="dcterms:W3CDTF">2026-06-10T15:40:00Z</dcterms:created>
  <dcterms:modified xsi:type="dcterms:W3CDTF">2026-06-10T16:01:00Z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2025-12-18T00:00:00Z</vt:filetime>
  </property>
  <property fmtid="{D5CDD505-2E9C-101B-9397-08002B2CF9AE}" pid="4" name="Creator">
    <vt:lpwstr>Microsoft® Word 2016</vt:lpwstr>
  </property>
  <property fmtid="{D5CDD505-2E9C-101B-9397-08002B2CF9AE}" pid="5" name="LastSaved">
    <vt:filetime>2026-06-10T00:00:00Z</vt:filetime>
  </property>
  <property fmtid="{D5CDD505-2E9C-101B-9397-08002B2CF9AE}" pid="6" name="Producer">
    <vt:lpwstr>www.ilovepdf.com</vt:lpwstr>
  </property>
</Properties>
</file>