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455A" w14:textId="77777777" w:rsidR="00F72120" w:rsidRPr="000C07B5" w:rsidRDefault="00B71FEE" w:rsidP="006514B8">
      <w:pPr>
        <w:spacing w:after="0"/>
        <w:rPr>
          <w:b/>
          <w:szCs w:val="24"/>
        </w:rPr>
      </w:pPr>
      <w:r w:rsidRPr="000C07B5">
        <w:rPr>
          <w:b/>
          <w:szCs w:val="24"/>
        </w:rPr>
        <w:t>Original</w:t>
      </w:r>
      <w:r w:rsidR="008510DD" w:rsidRPr="000C07B5">
        <w:rPr>
          <w:b/>
          <w:szCs w:val="24"/>
        </w:rPr>
        <w:t xml:space="preserve"> Research Article</w:t>
      </w:r>
    </w:p>
    <w:p w14:paraId="23767686" w14:textId="77777777" w:rsidR="00F72120" w:rsidRPr="000C07B5" w:rsidRDefault="00F72120" w:rsidP="006514B8">
      <w:pPr>
        <w:spacing w:after="0"/>
        <w:rPr>
          <w:szCs w:val="24"/>
        </w:rPr>
      </w:pPr>
    </w:p>
    <w:p w14:paraId="12ADAAA7" w14:textId="5D130069" w:rsidR="00B71FEE" w:rsidRPr="00215CD5" w:rsidRDefault="00215CD5" w:rsidP="006514B8">
      <w:pPr>
        <w:spacing w:after="0"/>
        <w:rPr>
          <w:b/>
          <w:bCs/>
          <w:sz w:val="32"/>
          <w:szCs w:val="32"/>
        </w:rPr>
      </w:pPr>
      <w:r w:rsidRPr="00215CD5">
        <w:rPr>
          <w:b/>
          <w:bCs/>
          <w:sz w:val="32"/>
          <w:szCs w:val="32"/>
        </w:rPr>
        <w:t xml:space="preserve">Cadaveric Dissection Model Usage </w:t>
      </w:r>
      <w:proofErr w:type="gramStart"/>
      <w:r w:rsidRPr="00215CD5">
        <w:rPr>
          <w:b/>
          <w:bCs/>
          <w:sz w:val="32"/>
          <w:szCs w:val="32"/>
        </w:rPr>
        <w:t>In</w:t>
      </w:r>
      <w:proofErr w:type="gramEnd"/>
      <w:r w:rsidRPr="00215CD5">
        <w:rPr>
          <w:b/>
          <w:bCs/>
          <w:sz w:val="32"/>
          <w:szCs w:val="32"/>
        </w:rPr>
        <w:t xml:space="preserve"> Teaching Anatomy Among Clinical Medicine Students At Kenya Medical Training College</w:t>
      </w:r>
    </w:p>
    <w:p w14:paraId="49CCCE45" w14:textId="77777777" w:rsidR="00215CD5" w:rsidRPr="006F1287" w:rsidRDefault="00215CD5" w:rsidP="006514B8">
      <w:pPr>
        <w:spacing w:after="0"/>
        <w:rPr>
          <w:b/>
          <w:bCs/>
          <w:sz w:val="32"/>
          <w:szCs w:val="32"/>
          <w:highlight w:val="yellow"/>
        </w:rPr>
      </w:pPr>
    </w:p>
    <w:p w14:paraId="4C305BB8" w14:textId="069E69C5" w:rsidR="00F72120" w:rsidRPr="00155B13" w:rsidRDefault="00C91549" w:rsidP="00741455">
      <w:pPr>
        <w:autoSpaceDE w:val="0"/>
        <w:autoSpaceDN w:val="0"/>
        <w:adjustRightInd w:val="0"/>
        <w:spacing w:after="0"/>
        <w:jc w:val="center"/>
        <w:rPr>
          <w:b/>
          <w:color w:val="000000"/>
          <w:szCs w:val="24"/>
          <w:lang w:val="en-US"/>
        </w:rPr>
      </w:pPr>
      <w:r w:rsidRPr="00633D08">
        <w:rPr>
          <w:b/>
          <w:szCs w:val="24"/>
        </w:rPr>
        <w:t xml:space="preserve">Felistus </w:t>
      </w:r>
      <w:proofErr w:type="spellStart"/>
      <w:r w:rsidRPr="00633D08">
        <w:rPr>
          <w:b/>
          <w:szCs w:val="24"/>
        </w:rPr>
        <w:t>Nthambi</w:t>
      </w:r>
      <w:proofErr w:type="spellEnd"/>
      <w:r w:rsidRPr="00633D08">
        <w:rPr>
          <w:b/>
          <w:szCs w:val="24"/>
        </w:rPr>
        <w:t xml:space="preserve"> Muinde</w:t>
      </w:r>
      <w:r w:rsidR="008D5D24" w:rsidRPr="00633D08">
        <w:rPr>
          <w:b/>
          <w:szCs w:val="24"/>
          <w:vertAlign w:val="superscript"/>
          <w:lang w:val="en-US"/>
        </w:rPr>
        <w:t>1</w:t>
      </w:r>
      <w:r w:rsidR="008D5D24" w:rsidRPr="00633D08">
        <w:rPr>
          <w:b/>
          <w:szCs w:val="24"/>
          <w:lang w:val="en-US"/>
        </w:rPr>
        <w:t>,</w:t>
      </w:r>
      <w:r w:rsidR="0054424E" w:rsidRPr="00633D08">
        <w:rPr>
          <w:b/>
          <w:szCs w:val="24"/>
          <w:lang w:val="en-US"/>
        </w:rPr>
        <w:t xml:space="preserve"> </w:t>
      </w:r>
      <w:r w:rsidR="00633D08" w:rsidRPr="00633D08">
        <w:rPr>
          <w:b/>
        </w:rPr>
        <w:t>Anastasiah Kimeu</w:t>
      </w:r>
      <w:r w:rsidR="00155B13">
        <w:rPr>
          <w:b/>
          <w:vertAlign w:val="superscript"/>
        </w:rPr>
        <w:t>2</w:t>
      </w:r>
      <w:r w:rsidR="00155B13">
        <w:rPr>
          <w:b/>
        </w:rPr>
        <w:t xml:space="preserve">, </w:t>
      </w:r>
      <w:r w:rsidR="00155B13" w:rsidRPr="00633D08">
        <w:rPr>
          <w:b/>
        </w:rPr>
        <w:t>Ronald Obwoge</w:t>
      </w:r>
      <w:r w:rsidR="00155B13">
        <w:rPr>
          <w:b/>
          <w:szCs w:val="24"/>
          <w:vertAlign w:val="superscript"/>
        </w:rPr>
        <w:t>3</w:t>
      </w:r>
    </w:p>
    <w:p w14:paraId="763B868B" w14:textId="77777777" w:rsidR="00B71FEE" w:rsidRPr="00D30ECC" w:rsidRDefault="00B71FEE" w:rsidP="006514B8">
      <w:pPr>
        <w:autoSpaceDE w:val="0"/>
        <w:autoSpaceDN w:val="0"/>
        <w:adjustRightInd w:val="0"/>
        <w:spacing w:after="0"/>
        <w:rPr>
          <w:szCs w:val="24"/>
          <w:lang w:val="en-US"/>
        </w:rPr>
      </w:pPr>
    </w:p>
    <w:p w14:paraId="64A5877E" w14:textId="5CB647AB" w:rsidR="008D5D24" w:rsidRPr="009B1438" w:rsidRDefault="00EB360E" w:rsidP="006514B8">
      <w:pPr>
        <w:autoSpaceDE w:val="0"/>
        <w:autoSpaceDN w:val="0"/>
        <w:adjustRightInd w:val="0"/>
        <w:spacing w:after="0"/>
        <w:rPr>
          <w:sz w:val="20"/>
          <w:szCs w:val="20"/>
        </w:rPr>
      </w:pPr>
      <w:r w:rsidRPr="000C07B5">
        <w:rPr>
          <w:sz w:val="20"/>
          <w:szCs w:val="20"/>
          <w:vertAlign w:val="superscript"/>
        </w:rPr>
        <w:t>1</w:t>
      </w:r>
      <w:r w:rsidR="00802B43">
        <w:rPr>
          <w:sz w:val="20"/>
          <w:szCs w:val="20"/>
          <w:lang w:val="en-US"/>
        </w:rPr>
        <w:t>Kenya Medical Training College-Machakos Campus</w:t>
      </w:r>
      <w:r w:rsidRPr="000C07B5">
        <w:rPr>
          <w:sz w:val="20"/>
          <w:szCs w:val="20"/>
          <w:lang w:val="en-US"/>
        </w:rPr>
        <w:t xml:space="preserve">, </w:t>
      </w:r>
      <w:r w:rsidR="00721926">
        <w:rPr>
          <w:sz w:val="20"/>
          <w:szCs w:val="20"/>
          <w:lang w:val="en-US"/>
        </w:rPr>
        <w:t>M</w:t>
      </w:r>
      <w:r w:rsidR="009F0886">
        <w:rPr>
          <w:sz w:val="20"/>
          <w:szCs w:val="20"/>
          <w:lang w:val="en-US"/>
        </w:rPr>
        <w:t>achakos</w:t>
      </w:r>
      <w:r w:rsidR="00721926">
        <w:rPr>
          <w:sz w:val="20"/>
          <w:szCs w:val="20"/>
          <w:lang w:val="en-US"/>
        </w:rPr>
        <w:t xml:space="preserve"> County</w:t>
      </w:r>
      <w:r w:rsidRPr="000C07B5">
        <w:rPr>
          <w:sz w:val="20"/>
          <w:szCs w:val="20"/>
          <w:lang w:val="en-US"/>
        </w:rPr>
        <w:t>, Kenya</w:t>
      </w:r>
      <w:r w:rsidR="00B71FEE" w:rsidRPr="00494FA4">
        <w:rPr>
          <w:sz w:val="20"/>
          <w:szCs w:val="20"/>
          <w:lang w:val="en-US"/>
        </w:rPr>
        <w:t xml:space="preserve">, </w:t>
      </w:r>
      <w:r w:rsidR="00872C96" w:rsidRPr="000C07B5">
        <w:rPr>
          <w:sz w:val="20"/>
          <w:szCs w:val="20"/>
          <w:vertAlign w:val="superscript"/>
          <w:lang w:val="en-US"/>
        </w:rPr>
        <w:t>2</w:t>
      </w:r>
      <w:r w:rsidR="009974EA" w:rsidRPr="009974EA">
        <w:rPr>
          <w:sz w:val="20"/>
          <w:szCs w:val="20"/>
        </w:rPr>
        <w:t>Department of Health System Management and Development</w:t>
      </w:r>
      <w:r w:rsidR="00F50A9C">
        <w:rPr>
          <w:sz w:val="20"/>
          <w:szCs w:val="20"/>
          <w:lang w:val="en-US"/>
        </w:rPr>
        <w:t xml:space="preserve">, </w:t>
      </w:r>
      <w:proofErr w:type="spellStart"/>
      <w:r w:rsidR="00F50A9C" w:rsidRPr="00F50A9C">
        <w:rPr>
          <w:sz w:val="20"/>
          <w:szCs w:val="20"/>
        </w:rPr>
        <w:t>Amref</w:t>
      </w:r>
      <w:proofErr w:type="spellEnd"/>
      <w:r w:rsidR="00F50A9C" w:rsidRPr="00F50A9C">
        <w:rPr>
          <w:sz w:val="20"/>
          <w:szCs w:val="20"/>
        </w:rPr>
        <w:t xml:space="preserve"> International University (AMIU)</w:t>
      </w:r>
      <w:r w:rsidR="00F50A9C">
        <w:rPr>
          <w:sz w:val="20"/>
          <w:szCs w:val="20"/>
        </w:rPr>
        <w:t>, Nairobi County, Kenya</w:t>
      </w:r>
      <w:r w:rsidR="00155B13">
        <w:rPr>
          <w:sz w:val="20"/>
          <w:szCs w:val="20"/>
        </w:rPr>
        <w:t xml:space="preserve">, </w:t>
      </w:r>
      <w:r w:rsidR="00FA4C7C">
        <w:rPr>
          <w:sz w:val="20"/>
          <w:szCs w:val="20"/>
          <w:vertAlign w:val="superscript"/>
          <w:lang w:val="en-US"/>
        </w:rPr>
        <w:t>3</w:t>
      </w:r>
      <w:r w:rsidR="00FA4C7C" w:rsidRPr="009974EA">
        <w:rPr>
          <w:sz w:val="20"/>
          <w:szCs w:val="20"/>
        </w:rPr>
        <w:t xml:space="preserve">Department of </w:t>
      </w:r>
      <w:r w:rsidR="00FA4C7C">
        <w:rPr>
          <w:sz w:val="20"/>
          <w:szCs w:val="20"/>
        </w:rPr>
        <w:t>Community Health</w:t>
      </w:r>
      <w:r w:rsidR="00FA4C7C">
        <w:rPr>
          <w:sz w:val="20"/>
          <w:szCs w:val="20"/>
          <w:lang w:val="en-US"/>
        </w:rPr>
        <w:t xml:space="preserve">, </w:t>
      </w:r>
      <w:r w:rsidR="00FA4C7C">
        <w:rPr>
          <w:sz w:val="20"/>
          <w:szCs w:val="20"/>
        </w:rPr>
        <w:t>Egerton</w:t>
      </w:r>
      <w:r w:rsidR="00FA4C7C" w:rsidRPr="00F50A9C">
        <w:rPr>
          <w:sz w:val="20"/>
          <w:szCs w:val="20"/>
        </w:rPr>
        <w:t xml:space="preserve"> University (AMIU)</w:t>
      </w:r>
      <w:r w:rsidR="00FA4C7C">
        <w:rPr>
          <w:sz w:val="20"/>
          <w:szCs w:val="20"/>
        </w:rPr>
        <w:t>, Nakuru County, Kenya</w:t>
      </w:r>
    </w:p>
    <w:p w14:paraId="3D4BD67F" w14:textId="77777777" w:rsidR="008D5D24" w:rsidRPr="000C07B5" w:rsidRDefault="008D5D24" w:rsidP="006514B8">
      <w:pPr>
        <w:spacing w:after="0"/>
        <w:rPr>
          <w:szCs w:val="24"/>
        </w:rPr>
      </w:pPr>
    </w:p>
    <w:p w14:paraId="0357463D" w14:textId="77777777" w:rsidR="004266C3" w:rsidRPr="00882403" w:rsidRDefault="004266C3" w:rsidP="006514B8">
      <w:pPr>
        <w:spacing w:after="0"/>
        <w:rPr>
          <w:b/>
          <w:szCs w:val="24"/>
        </w:rPr>
      </w:pPr>
      <w:r w:rsidRPr="00882403">
        <w:rPr>
          <w:b/>
          <w:szCs w:val="24"/>
        </w:rPr>
        <w:t>ABSTRACT</w:t>
      </w:r>
    </w:p>
    <w:p w14:paraId="462E3C45" w14:textId="62E0C52D" w:rsidR="004266C3" w:rsidRPr="004F6490" w:rsidRDefault="004F6490" w:rsidP="006514B8">
      <w:pPr>
        <w:spacing w:after="0"/>
        <w:rPr>
          <w:b/>
          <w:szCs w:val="24"/>
          <w:lang w:val="en-US"/>
        </w:rPr>
      </w:pPr>
      <w:r w:rsidRPr="004F6490">
        <w:rPr>
          <w:b/>
          <w:szCs w:val="24"/>
          <w:lang w:val="en-US"/>
        </w:rPr>
        <w:t>Background</w:t>
      </w:r>
      <w:r w:rsidR="004266C3" w:rsidRPr="00882403">
        <w:rPr>
          <w:b/>
          <w:szCs w:val="24"/>
        </w:rPr>
        <w:t>:</w:t>
      </w:r>
      <w:r w:rsidR="00B76D44" w:rsidRPr="00882403">
        <w:rPr>
          <w:b/>
          <w:szCs w:val="24"/>
        </w:rPr>
        <w:t xml:space="preserve"> </w:t>
      </w:r>
      <w:r w:rsidR="003066BE" w:rsidRPr="003066BE">
        <w:rPr>
          <w:bCs/>
          <w:szCs w:val="24"/>
        </w:rPr>
        <w:t>Cadaveric dissection remains central to anatomy education, offering tactile and spatial understanding that builds student confidence. While widely used globally, access varies by resources and culture. In Africa, support is strong despite constraints. Emerging tools like VR and 3D models increasingly complement dissection, creating a balanced, hybrid approach to effective training</w:t>
      </w:r>
      <w:r w:rsidR="00F42A57" w:rsidRPr="00882403">
        <w:t>.</w:t>
      </w:r>
    </w:p>
    <w:p w14:paraId="76CB000D" w14:textId="7062CBDD" w:rsidR="004266C3" w:rsidRPr="00882403" w:rsidRDefault="004266C3" w:rsidP="006514B8">
      <w:pPr>
        <w:spacing w:after="0"/>
        <w:rPr>
          <w:szCs w:val="24"/>
        </w:rPr>
      </w:pPr>
      <w:r w:rsidRPr="00882403">
        <w:rPr>
          <w:b/>
          <w:szCs w:val="24"/>
        </w:rPr>
        <w:t>Methods:</w:t>
      </w:r>
      <w:r w:rsidR="00B76D44" w:rsidRPr="00882403">
        <w:rPr>
          <w:b/>
          <w:szCs w:val="24"/>
        </w:rPr>
        <w:t xml:space="preserve"> </w:t>
      </w:r>
      <w:r w:rsidR="008A4139" w:rsidRPr="00882403">
        <w:rPr>
          <w:szCs w:val="24"/>
        </w:rPr>
        <w:t xml:space="preserve">A mixed-methods cross-sectional study was conducted among 260 students and 13 lecturers across multiple campuses. Quantitative data were collected using structured questionnaires and </w:t>
      </w:r>
      <w:proofErr w:type="spellStart"/>
      <w:r w:rsidR="008A4139" w:rsidRPr="00882403">
        <w:rPr>
          <w:szCs w:val="24"/>
        </w:rPr>
        <w:t>analyzed</w:t>
      </w:r>
      <w:proofErr w:type="spellEnd"/>
      <w:r w:rsidR="008A4139" w:rsidRPr="00882403">
        <w:rPr>
          <w:szCs w:val="24"/>
        </w:rPr>
        <w:t xml:space="preserve"> using descriptive statistics and regression analysis. Qualitative data were obtained through key informant interviews and </w:t>
      </w:r>
      <w:proofErr w:type="spellStart"/>
      <w:r w:rsidR="008A4139" w:rsidRPr="00882403">
        <w:rPr>
          <w:szCs w:val="24"/>
        </w:rPr>
        <w:t>analyzed</w:t>
      </w:r>
      <w:proofErr w:type="spellEnd"/>
      <w:r w:rsidR="008A4139" w:rsidRPr="00882403">
        <w:rPr>
          <w:szCs w:val="24"/>
        </w:rPr>
        <w:t xml:space="preserve"> thematically</w:t>
      </w:r>
      <w:r w:rsidR="00DA4C12" w:rsidRPr="00882403">
        <w:rPr>
          <w:szCs w:val="24"/>
        </w:rPr>
        <w:t>.</w:t>
      </w:r>
    </w:p>
    <w:p w14:paraId="64CDDC85" w14:textId="290513AF" w:rsidR="004266C3" w:rsidRPr="00882403" w:rsidRDefault="00917B12" w:rsidP="006514B8">
      <w:pPr>
        <w:spacing w:after="0"/>
        <w:rPr>
          <w:szCs w:val="24"/>
        </w:rPr>
      </w:pPr>
      <w:r w:rsidRPr="00882403">
        <w:rPr>
          <w:b/>
          <w:szCs w:val="24"/>
        </w:rPr>
        <w:t>Results:</w:t>
      </w:r>
      <w:r w:rsidRPr="00882403">
        <w:t xml:space="preserve"> </w:t>
      </w:r>
      <w:r w:rsidR="008A4139" w:rsidRPr="00882403">
        <w:t>Most students (51.2%) reported participating in cadaveric dissection once per semester, although overall use was perceived as infrequent (78.1%). The majority (83.1%) considered cadaveric dissection very important for learning anatomy, citing benefits such as hands-on understanding, improved critical thinking, and enhanced knowledge retention. While awareness of alternative teaching methods was moderate, 53.8% of respondents preferred cadaveric dissection over these methods. Lecturers similarly reported limited but essential use of cadaveric dissection. Regression analysis showed a weak and non-significant relationship between study variables and participation in dissection (R²=0.048, p=0.084)</w:t>
      </w:r>
      <w:r w:rsidR="00AB564E" w:rsidRPr="00882403">
        <w:t>.</w:t>
      </w:r>
      <w:r w:rsidR="00A50419" w:rsidRPr="00882403">
        <w:t xml:space="preserve"> </w:t>
      </w:r>
    </w:p>
    <w:p w14:paraId="4891C670" w14:textId="263712EE" w:rsidR="004266C3" w:rsidRPr="00882403" w:rsidRDefault="00917B12" w:rsidP="006514B8">
      <w:pPr>
        <w:spacing w:after="0"/>
        <w:rPr>
          <w:szCs w:val="24"/>
        </w:rPr>
      </w:pPr>
      <w:r w:rsidRPr="00882403">
        <w:rPr>
          <w:b/>
          <w:szCs w:val="24"/>
        </w:rPr>
        <w:t>Conclusions:</w:t>
      </w:r>
      <w:r w:rsidRPr="00882403">
        <w:rPr>
          <w:szCs w:val="24"/>
        </w:rPr>
        <w:t xml:space="preserve"> </w:t>
      </w:r>
      <w:r w:rsidR="0050096D" w:rsidRPr="00882403">
        <w:t>Cadaveric dissection is underutilized but remains a critical and preferred method for teaching anatomy. Expanding its use, improving infrastructure, and integrating complementary teaching methods may enhance the quality and effectiveness of anatomy education</w:t>
      </w:r>
      <w:r w:rsidR="008E4CB6" w:rsidRPr="00882403">
        <w:t>.</w:t>
      </w:r>
    </w:p>
    <w:p w14:paraId="1B7694A6" w14:textId="77777777" w:rsidR="004266C3" w:rsidRPr="00882403" w:rsidRDefault="004266C3" w:rsidP="006514B8">
      <w:pPr>
        <w:spacing w:after="0"/>
        <w:rPr>
          <w:szCs w:val="24"/>
        </w:rPr>
      </w:pPr>
    </w:p>
    <w:p w14:paraId="2F31759A" w14:textId="3FF63688" w:rsidR="00092AA2" w:rsidRPr="000C07B5" w:rsidRDefault="004266C3" w:rsidP="00A50419">
      <w:pPr>
        <w:spacing w:after="0"/>
        <w:rPr>
          <w:b/>
          <w:szCs w:val="24"/>
        </w:rPr>
      </w:pPr>
      <w:r w:rsidRPr="00882403">
        <w:rPr>
          <w:b/>
          <w:szCs w:val="24"/>
        </w:rPr>
        <w:t xml:space="preserve">Keywords: </w:t>
      </w:r>
      <w:r w:rsidR="00882403" w:rsidRPr="00882403">
        <w:rPr>
          <w:szCs w:val="24"/>
        </w:rPr>
        <w:t>cadaveric dissection; anatomy education; teaching methods; blended learning; alternative anatomy teaching methods;</w:t>
      </w:r>
      <w:r w:rsidR="00092AA2" w:rsidRPr="000C07B5">
        <w:rPr>
          <w:b/>
          <w:szCs w:val="24"/>
        </w:rPr>
        <w:br w:type="page"/>
      </w:r>
    </w:p>
    <w:p w14:paraId="177971DC" w14:textId="77777777" w:rsidR="00905BE9" w:rsidRPr="000C07B5" w:rsidRDefault="008510DD" w:rsidP="00F72120">
      <w:pPr>
        <w:spacing w:before="240"/>
        <w:rPr>
          <w:b/>
          <w:szCs w:val="24"/>
        </w:rPr>
      </w:pPr>
      <w:r w:rsidRPr="000C07B5">
        <w:rPr>
          <w:b/>
          <w:szCs w:val="24"/>
        </w:rPr>
        <w:lastRenderedPageBreak/>
        <w:t>INTRODUCTION</w:t>
      </w:r>
    </w:p>
    <w:p w14:paraId="4BFAC979" w14:textId="26F0F842" w:rsidR="00CF613F" w:rsidRDefault="00211717" w:rsidP="00211717">
      <w:pPr>
        <w:tabs>
          <w:tab w:val="num" w:pos="720"/>
        </w:tabs>
        <w:autoSpaceDE w:val="0"/>
        <w:autoSpaceDN w:val="0"/>
        <w:adjustRightInd w:val="0"/>
        <w:spacing w:after="0"/>
        <w:rPr>
          <w:lang w:val="en-US"/>
        </w:rPr>
      </w:pPr>
      <w:r w:rsidRPr="00211717">
        <w:rPr>
          <w:lang w:val="en-US"/>
        </w:rPr>
        <w:t xml:space="preserve">Cadaveric dissection has long been regarded as the cornerstone of anatomy education, maintaining its position as a foundational teaching method for over four centuries. Despite the emergence of digital and simulation-based approaches, it continues to be widely utilized across medical schools globally due to its unique capacity to provide tactile experience, spatial understanding, and professional orientation. Evidence indicates that students exposed to hands-on cadaveric training demonstrate significantly higher confidence levels compared to those relying solely on virtual anatomy platforms, underscoring the enduring pedagogical value of dissection-based learning </w:t>
      </w:r>
      <w:r w:rsidR="008A7706">
        <w:rPr>
          <w:rStyle w:val="FootnoteReference"/>
          <w:lang w:val="en-US"/>
        </w:rPr>
        <w:fldChar w:fldCharType="begin" w:fldLock="1"/>
      </w:r>
      <w:r w:rsidR="00B27014">
        <w:rPr>
          <w:lang w:val="en-US"/>
        </w:rPr>
        <w:instrText>ADDIN CSL_CITATION {"citationItems":[{"id":"ITEM-1","itemData":{"DOI":"10.18502/jmehm.v14i7.6751","ISSN":"2008-0387 (Print)","PMID":"35035795","abstract":"This study was designed to facilitate freshman medical students' adaptation to the dissection room and familiarize them with the related ethical codes. Single-group post-test design research was conducted at Tehran University of Medical Sciences in 2018 - 2019. The program began with a brief explanation of the necessity of the subject, and after a documentary film was shown, the principles of professional and ethical behaviors in the dissection room were discussed by a panel of experts. In the end, a valid and reliable evaluation questionnaire (Cronbach's alpha coefficient = 0.89) was distributed among the students. A total of 129 questionnaires were completed and returned. Overall, 94.4% of the students believed that the program provided an excellent opportunity to reflect on professional behaviors during practical anatomy sessions. In addition, 92.8% of the students believed that they would use the ethical points mentioned in the program in the future. Content analysis of the open questions produced three main categories: \"motivating learning\", \"application of theory in practice\" and \"changing the attitude toward responsibility\". The results indicate that adequate preparation for cadaver dissection sessions and learning about professional behavior codes in the first exposure can help medical students to better understand the principles of professional behaviors.","author":[{"dropping-particle":"","family":"Mahboobeh","given":"Khabaz Mafinejad","non-dropping-particle":"","parse-names":false,"suffix":""},{"dropping-particle":"","family":"Taherahmadi","given":"Mohammad","non-dropping-particle":"","parse-names":false,"suffix":""},{"dropping-particle":"","family":"Asghari","given":"Fariba","non-dropping-particle":"","parse-names":false,"suffix":""},{"dropping-particle":"","family":"Kobra","given":"Mehran Nia","non-dropping-particle":"","parse-names":false,"suffix":""},{"dropping-particle":"","family":"Mehrpour","given":"Saeeid Reza","non-dropping-particle":"","parse-names":false,"suffix":""},{"dropping-particle":"","family":"Hassanzadeh","given":"Gholamreza","non-dropping-particle":"","parse-names":false,"suffix":""},{"dropping-particle":"","family":"Farahani","given":"Parisa","non-dropping-particle":"","parse-names":false,"suffix":""},{"dropping-particle":"","family":"Reza","given":"Hosseini Dolama","non-dropping-particle":"","parse-names":false,"suffix":""}],"container-title":"Journal of medical ethics and history of medicine","id":"ITEM-1","issue":"6","issued":{"date-parts":[["2021"]]},"language":"eng","page":"71-88","publisher-place":"Iran","title":"Teaching professionalism in cadaver dissection: medical students' perspective.","type":"article-journal","volume":"14"},"uris":["http://www.mendeley.com/documents/?uuid=35610634-37f2-4337-8104-9eeadc2c6035"]}],"mendeley":{"formattedCitation":"(Mahboobeh &lt;i&gt;et al.&lt;/i&gt;, 2021)","plainTextFormattedCitation":"(Mahboobeh et al., 2021)","previouslyFormattedCitation":"(1)"},"properties":{"noteIndex":0},"schema":"https://github.com/citation-style-language/schema/raw/master/csl-citation.json"}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(Mahboobeh </w:t>
      </w:r>
      <w:r w:rsidR="00B27014" w:rsidRPr="00B27014">
        <w:rPr>
          <w:bCs/>
          <w:i/>
          <w:noProof/>
          <w:lang w:val="en-US"/>
        </w:rPr>
        <w:t>et al.</w:t>
      </w:r>
      <w:r w:rsidR="00B27014" w:rsidRPr="00B27014">
        <w:rPr>
          <w:bCs/>
          <w:noProof/>
          <w:lang w:val="en-US"/>
        </w:rPr>
        <w:t>, 2021)</w:t>
      </w:r>
      <w:r w:rsidR="008A7706">
        <w:rPr>
          <w:rStyle w:val="FootnoteReference"/>
          <w:lang w:val="en-US"/>
        </w:rPr>
        <w:fldChar w:fldCharType="end"/>
      </w:r>
      <w:r w:rsidRPr="00211717">
        <w:rPr>
          <w:lang w:val="en-US"/>
        </w:rPr>
        <w:t>. Globally, the level of cadaveric dissection model usage varies considerably, reflecting differences in institutional resources, cultural perspectives, and curriculum design. High adoption rates are reported in North America and parts of Europe, where well-established body donation programs support sustained implementation</w:t>
      </w:r>
      <w:r w:rsidR="00E76507">
        <w:rPr>
          <w:lang w:val="en-US"/>
        </w:rPr>
        <w:t xml:space="preserve"> </w:t>
      </w:r>
      <w:r w:rsidR="008A7706">
        <w:rPr>
          <w:rStyle w:val="FootnoteReference"/>
          <w:lang w:val="en-US"/>
        </w:rPr>
        <w:fldChar w:fldCharType="begin" w:fldLock="1"/>
      </w:r>
      <w:r w:rsidR="00B27014">
        <w:rPr>
          <w:lang w:val="en-US"/>
        </w:rPr>
        <w:instrText>ADDIN CSL_CITATION {"citationItems":[{"id":"ITEM-1","itemData":{"DOI":"10.30574/wjarr.2024.21.1.0165","abstract":"Background: The general trends and issues related to anatomy teaching in medical schools, with a focus on the comparison between low and middle-income countries (LMICs) and high-income countries (HICs) is a huge topic in medical education history as arguments about effectiveness o the methods and instruments of the teaching is constantly discussed. There are significant disparities in anatomy teaching between HICs and LMICs, primarily driven by differences in resources and infrastructure. Aim: This systematic review aims to analyze the comparative effectiveness of cadaveric dissection versus anatomical models in teaching anatomy. The primary focus of this study is to assess the feasibility and practicality of employing cadaveric dissection versus anatomical models in resource-constrained settings Examine students’ perception and satisfaction with learning experience when taught anatomy using cadavers or anatomical models, Compare the outcomes and experiences of teaching anatomy with cadavers or models in medical schools and Evaluate the cultural and ethical aspects influencing the choice between cadaveric dissection and anatomical models in medical education. Method: A comprehensive search strategy was employed to identify relevant studies published in peer-reviewed journals, conference proceedings, and grey literature databases. Inclusion criteria encompassed articles reporting on of cadaveric dissection versus anatomical models in teaching anatomy. Conclusion: The comparative effectiveness of cadaveric dissection and anatomical models in teaching anatomy is a complex and multifaceted issue, with considerations extending beyond educational outcomes to encompass economic, logistical, and ethical dimensions. While both methods have their merits, medical schools in LMICs face distinct challenges that require innovative solutions.","author":[{"dropping-particle":"","family":"Ajemba","given":"Michael Nnaemeka","non-dropping-particle":"","parse-names":false,"suffix":""},{"dropping-particle":"","family":"Iroanya","given":"Chioma Judith","non-dropping-particle":"","parse-names":false,"suffix":""},{"dropping-particle":"","family":"Ironegbu","given":"Chinweike","non-dropping-particle":"","parse-names":false,"suffix":""}],"container-title":"World Journal of Advanced Research and Reviews","id":"ITEM-1","issue":"1","issued":{"date-parts":[["2024"]]},"page":"1817-1832","title":"Comparative effectiveness of cadaveric dissection versus anatomical models in teaching anatomy: A global analysis focused on medical schools in low and middle –income Countries versus High-Income Countries: A systematic review","type":"article-journal","volume":"21"},"uris":["http://www.mendeley.com/documents/?uuid=9d8e7771-9a98-4b87-913b-9041f76c2b4d"]}],"mendeley":{"formattedCitation":"(Ajemba, Iroanya and Ironegbu, 2024)","plainTextFormattedCitation":"(Ajemba, Iroanya and Ironegbu, 2024)","previouslyFormattedCitation":"(2)"},"properties":{"noteIndex":0},"schema":"https://github.com/citation-style-language/schema/raw/master/csl-citation.json"}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(Ajemba, Iroanya and Ironegbu, 2024)</w:t>
      </w:r>
      <w:r w:rsidR="008A7706">
        <w:rPr>
          <w:rStyle w:val="FootnoteReference"/>
          <w:lang w:val="en-US"/>
        </w:rPr>
        <w:fldChar w:fldCharType="end"/>
      </w:r>
      <w:r w:rsidRPr="00211717">
        <w:rPr>
          <w:lang w:val="en-US"/>
        </w:rPr>
        <w:t xml:space="preserve">. Similarly, Asian institutions such as those in Singapore and Hong Kong maintain near-universal utilization, although variations exist in student exposure due to differences in participation structures </w:t>
      </w:r>
      <w:r w:rsidR="008A7706">
        <w:rPr>
          <w:rStyle w:val="FootnoteReference"/>
          <w:lang w:val="en-US"/>
        </w:rPr>
        <w:fldChar w:fldCharType="begin" w:fldLock="1"/>
      </w:r>
      <w:r w:rsidR="00B27014">
        <w:rPr>
          <w:lang w:val="en-US"/>
        </w:rPr>
        <w:instrText>ADDIN CSL_CITATION {"citationItems":[{"id":"ITEM-1","itemData":{"DOI":"10.1002/ase.2166","ISSN":"1935-9772","abstract":"Abstract Anatomy is an important component in the vertical integration of basic science and clinical practice. Two common pedagogies are cadaveric dissection and examination of prosected specimens. Comparative studies mostly evaluate their immediate effectiveness. A randomized controlled trial design was employed to compare both the immediate and long-term effectiveness of dissection and prosection. Eighty third-year medical students undergoing their surgical rotation from the Yong Loo Lin School of Medicine were randomized into two groups: dissection and prosection. Each participated in a one-day hands-on course following a similar outline that demonstrated surgical anatomy in the context of its clinical relevance. A pre-course test was conducted to establish baseline knowledge. A post-course test was conducted immediately after and at a one-year interval to evaluate learner outcome and knowledge retention. A post-course survey was conducted to assess participant perception. Thirty-nine and thirty-eight participants for the dissection and prosection groups, respectively, were included for analysis. There was no significant difference between mean pre-course test scores between the dissection and prosection groups [12.6 (3.47) vs. 12.7 (3.16), P &gt; 0.05]. Both the mean immediate [27.9 (4.30) vs. 24.9 (4.25), P &lt; 0.05] and 1 year [23.9 (4.15) vs. 19.9 (4.05), P &lt; 0.05] post-course test scores were significantly higher in the dissection group. However, when adjusted for course duration [dissection group took longer than prosection group (mean 411 vs. 265 min)], these findings were negated. There is no conclusive evidence of either pedagogy being superior in teaching surgical anatomy. Based on learner surveys, dissection provides a greater learner experience.","author":[{"dropping-particle":"","family":"Koh","given":"Zong Jie","non-dropping-particle":"","parse-names":false,"suffix":""},{"dropping-particle":"","family":"Yeow","given":"Marcus","non-dropping-particle":"","parse-names":false,"suffix":""},{"dropping-particle":"","family":"Srinivasan","given":"Dinesh Kumar","non-dropping-particle":"","parse-names":false,"suffix":""},{"dropping-particle":"","family":"Ng","given":"Yee Kong","non-dropping-particle":"","parse-names":false,"suffix":""},{"dropping-particle":"","family":"Ponnamperuma","given":"Gominda G","non-dropping-particle":"","parse-names":false,"suffix":""},{"dropping-particle":"","family":"Chong","given":"Choon Seng","non-dropping-particle":"","parse-names":false,"suffix":""}],"container-title":"Anatomical Sciences Education","id":"ITEM-1","issue":"1","issued":{"date-parts":[["2023","1","1"]]},"page":"57-70","publisher":"John Wiley &amp; Sons, Ltd","title":"A randomized trial comparing cadaveric dissection and examination of prosections as applied surgical anatomy teaching pedagogies","type":"article-journal","volume":"16"},"uris":["http://www.mendeley.com/documents/?uuid=41ba059f-9c0d-4c28-bc43-f3279517fa1d"]}],"mendeley":{"formattedCitation":"(Koh &lt;i&gt;et al.&lt;/i&gt;, 2023)","plainTextFormattedCitation":"(Koh et al., 2023)","previouslyFormattedCitation":"(3)"},"properties":{"noteIndex":0},"schema":"https://github.com/citation-style-language/schema/raw/master/csl-citation.json"}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(Koh </w:t>
      </w:r>
      <w:r w:rsidR="00B27014" w:rsidRPr="00B27014">
        <w:rPr>
          <w:bCs/>
          <w:i/>
          <w:noProof/>
          <w:lang w:val="en-US"/>
        </w:rPr>
        <w:t>et al.</w:t>
      </w:r>
      <w:r w:rsidR="00B27014" w:rsidRPr="00B27014">
        <w:rPr>
          <w:bCs/>
          <w:noProof/>
          <w:lang w:val="en-US"/>
        </w:rPr>
        <w:t>, 2023)</w:t>
      </w:r>
      <w:r w:rsidR="008A7706">
        <w:rPr>
          <w:rStyle w:val="FootnoteReference"/>
          <w:lang w:val="en-US"/>
        </w:rPr>
        <w:fldChar w:fldCharType="end"/>
      </w:r>
      <w:r w:rsidRPr="00211717">
        <w:rPr>
          <w:lang w:val="en-US"/>
        </w:rPr>
        <w:t xml:space="preserve">. </w:t>
      </w:r>
    </w:p>
    <w:p w14:paraId="551AD6D9" w14:textId="77777777" w:rsidR="00CF613F" w:rsidRDefault="00CF613F" w:rsidP="00211717">
      <w:pPr>
        <w:tabs>
          <w:tab w:val="num" w:pos="720"/>
        </w:tabs>
        <w:autoSpaceDE w:val="0"/>
        <w:autoSpaceDN w:val="0"/>
        <w:adjustRightInd w:val="0"/>
        <w:spacing w:after="0"/>
        <w:rPr>
          <w:lang w:val="en-US"/>
        </w:rPr>
      </w:pPr>
    </w:p>
    <w:p w14:paraId="3DF32E03" w14:textId="57968AC7" w:rsidR="0060646E" w:rsidRDefault="00211717" w:rsidP="000B59C3">
      <w:pPr>
        <w:tabs>
          <w:tab w:val="num" w:pos="720"/>
        </w:tabs>
        <w:autoSpaceDE w:val="0"/>
        <w:autoSpaceDN w:val="0"/>
        <w:adjustRightInd w:val="0"/>
        <w:spacing w:after="0"/>
        <w:rPr>
          <w:szCs w:val="24"/>
        </w:rPr>
      </w:pPr>
      <w:r w:rsidRPr="00211717">
        <w:rPr>
          <w:lang w:val="en-US"/>
        </w:rPr>
        <w:t xml:space="preserve">Studies across </w:t>
      </w:r>
      <w:r w:rsidR="008E5B20">
        <w:rPr>
          <w:lang w:val="en-US"/>
        </w:rPr>
        <w:t>Africa</w:t>
      </w:r>
      <w:r w:rsidRPr="00211717">
        <w:rPr>
          <w:lang w:val="en-US"/>
        </w:rPr>
        <w:t xml:space="preserve"> reveal strong student support, with high percentages affirming its importance in deepening anatomical understanding and rejecting its removal from training programs </w:t>
      </w:r>
      <w:r w:rsidR="008A7706">
        <w:rPr>
          <w:rStyle w:val="FootnoteReference"/>
          <w:lang w:val="en-US"/>
        </w:rPr>
        <w:fldChar w:fldCharType="begin" w:fldLock="1"/>
      </w:r>
      <w:r w:rsidR="00B27014">
        <w:rPr>
          <w:lang w:val="en-US"/>
        </w:rPr>
        <w:instrText>ADDIN CSL_CITATION {"citationItems":[{"id":"ITEM-1","itemData":{"DOI":"10.4314/ejhs.v31i4.22","abstract":"BACKGROUND</w:instrText>
      </w:r>
      <w:r w:rsidR="00B27014">
        <w:rPr>
          <w:rFonts w:ascii="Ebrima" w:hAnsi="Ebrima" w:cs="Ebrima"/>
          <w:lang w:val="en-US"/>
        </w:rPr>
        <w:instrText>፡</w:instrText>
      </w:r>
      <w:r w:rsidR="00B27014">
        <w:rPr>
          <w:lang w:val="en-US"/>
        </w:rPr>
        <w:instrText xml:space="preserve"> Cadaveric dissection is essential and effective teaching method of anatomy in medical schools. In cadaveric dissection, the learner plays the central role of the teaching process and to view structures in their natural location. Cadaveric dissection is however perceived as tedious and time consuming by most students which influence their perception and attitude towards the teaching method. This study was therefore designed to evaluate UHAS medical students’ perception and attitude toward dissection in the teaching and learning of human anatomy. METHOD: This was a cross-sectional and descriptive study. A Likert-style questionnaire, comprising 26 items was sent to study population via online using google form. Ethical issues were duly dealt with approval and consent. RESULT: Majority of the students (84.5%) perceived dissection more interesting, and the better way to really learn and understand the human body. About 87% of students also indicated that it assists in retention of what they learnt in theory. Majority of the students (74.5%) felt dissection should not be replaced by other forms of learning. CONCLUSION: There is a strong positive perception and attitude towards the use of cadaveric dissection as a teaching and learning method of anatomy. Cadaveric dissection brings about the skills, courageous and the ability to confidently work on the human body without any fear for future practice. It is therefore, recommended that more time should be allocated to cadaveric dissection.","author":[{"dropping-particle":"","family":"Asante","given":"Edmund Atta","non-dropping-particle":"","parse-names":false,"suffix":""},{"dropping-particle":"","family":"Maalman","given":"Raymond S.","non-dropping-particle":"","parse-names":false,"suffix":""},{"dropping-particle":"","family":"Ali","given":"Mahamudu Ayamba","non-dropping-particle":"","parse-names":false,"suffix":""},{"dropping-particle":"","family":"Yaw","given":"Otchere Donkor","non-dropping-particle":"","parse-names":false,"suffix":""},{"dropping-particle":"","family":"Korpisah","given":"Joseph K.","non-dropping-particle":"","parse-names":false,"suffix":""}],"container-title":"Ethiopian Journal of Health Sciences","id":"ITEM-1","issue":"4 SE - Articles","issued":{"date-parts":[["2021","7","1"]]},"title":"Perception and Attitude of Medical Students towards Cadaveric Dissection in Anatomical Science Education","type":"article-journal","volume":"31"},"uris":["http://www.mendeley.com/documents/?uuid=5da43bb2-ab63-4e97-8c6b-7043af1170ba"]}],"mendeley":{"formattedCitation":"(Asante &lt;i&gt;et al.&lt;/i&gt;, 2021)","plainTextFormattedCitation":"(Asante et al., 2021)","previouslyFormattedCitation":"(4)"},"properties":{"noteIndex":0},"schema":"https://github.com/citation-style-language/schema/raw/master/csl-citation.json"}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(Asante </w:t>
      </w:r>
      <w:r w:rsidR="00B27014" w:rsidRPr="00B27014">
        <w:rPr>
          <w:bCs/>
          <w:i/>
          <w:noProof/>
          <w:lang w:val="en-US"/>
        </w:rPr>
        <w:t>et al.</w:t>
      </w:r>
      <w:r w:rsidR="00B27014" w:rsidRPr="00B27014">
        <w:rPr>
          <w:bCs/>
          <w:noProof/>
          <w:lang w:val="en-US"/>
        </w:rPr>
        <w:t>, 2021)</w:t>
      </w:r>
      <w:r w:rsidR="008A7706">
        <w:rPr>
          <w:rStyle w:val="FootnoteReference"/>
          <w:lang w:val="en-US"/>
        </w:rPr>
        <w:fldChar w:fldCharType="end"/>
      </w:r>
      <w:r w:rsidRPr="00211717">
        <w:rPr>
          <w:lang w:val="en-US"/>
        </w:rPr>
        <w:t xml:space="preserve">. However, utilization levels vary across countries due to disparities in cadaver availability, preservation facilities, and cultural acceptance. For instance, while countries such as Ghana, Kenya, and Uganda report relatively high adoption rates, others face limitations linked to resource constraints and procurement challenges </w:t>
      </w:r>
      <w:r w:rsidR="008A7706">
        <w:rPr>
          <w:rStyle w:val="FootnoteReference"/>
          <w:lang w:val="en-US"/>
        </w:rPr>
        <w:fldChar w:fldCharType="begin" w:fldLock="1"/>
      </w:r>
      <w:r w:rsidR="00B27014">
        <w:rPr>
          <w:lang w:val="en-US"/>
        </w:rPr>
        <w:instrText>ADDIN CSL_CITATION {"citationItems":[{"id":"ITEM-1","itemData":{"DOI":"10.3389/fmedt.2023.1190096","ISSN":"2673-3129","abstract":"Background: Laboratory dissections are essential to acquire practical skills to perform neurosurgical procedures. Despite being traditionally done on cadavers, they are often unavailable and suffer from cultural barriers in the African context. Non-cadaveric UpSurgeOn neurosurgery models have been developed to bridge this barrier, providing an almost similar experience with the human body. This study aimed to assess the impact of the UpSurgeOn hands-on-touch non-cadaver model training amongst selected Cameroon medical students. Methods: An anonymous 39-item questionnaire was distributed online using Google drive systems to medical students who attended UpSurgeOn's hands-on-touch non-cadaver model training course. These questions aimed to capture data on previous experience with neuroanatomy and neurosurgery practicals and the perception, attitudes, and impact of the UpSurgeOn neurosurgery tool. Results: Eighty-six students completed the survey. The mean age was 21.2 ± 1.868 years, 61.6% were males with 62.8% of respondents being medical students in preclinical years. Before the training, 29.4% had a fair knowledge of neuroanatomy. Textbooks and Youtube videos were the main sources of neuroanatomy and neurosurgery knowledge for more than half of the respondents. Up to 91.5% had no prior exposure to a neuroanatomy/neurosurgery cadaver laboratory dissection, and 22.6% and 17.6% had witnessed and performed at least one craniotomy before, respectively. There were 11.1%, 15.5%, and 31.3% of our respondents who had used a surgical microscope, a neurosurgical instrument, and the UpSurgeOn Neurosurgery tool before, respectively. The majority perceived the UpSurgeOn tool easy to use and felt they needed to learn just a few things before getting going with the box. Most thought of increasing the use of the UpSurgeOn Box and saw the need to be part of the training curriculum. Finally, the majority felt this tool helped to increase familiarity and acquire neurosurgical skills, and to develop the orientation skills needed during neurosurgical approaches. Conclusion: Undergraduate exposure to traditional neurosurgery/neuroanatomy labs is limited in Cameroon. Neurosurgery/neuroanatomy practical skills are gained essentially using non-practical means. Most students found the UpSurgeOn tool user-friendly, saw the need to incorporate it as part of their training, and perceived it to be essential in getting acquainted with neurosurgical skills.","author":[{"dropping-particle":"","family":"Takoutsing","given":"Berjo Dongmo","non-dropping-particle":"","parse-names":false,"suffix":""},{"dropping-particle":"","family":"Wunde","given":"Ubraine Njineck","non-dropping-particle":"","parse-names":false,"suffix":""},{"dropping-particle":"","family":"Zolo","given":"Yvan","non-dropping-particle":"","parse-names":false,"suffix":""},{"dropping-particle":"","family":"Endalle","given":"Geneviève","non-dropping-particle":"","parse-names":false,"suffix":""},{"dropping-particle":"","family":"Djaowé","given":"Dieunedort Arnold Menga","non-dropping-particle":"","parse-names":false,"suffix":""},{"dropping-particle":"","family":"Tatsadjieu","given":"Léopoldine Sybile Ngoune","non-dropping-particle":"","parse-names":false,"suffix":""},{"dropping-particle":"","family":"Zourmba","given":"Ines Miste","non-dropping-particle":"","parse-names":false,"suffix":""},{"dropping-particle":"","family":"Dadda","given":"Aminatou","non-dropping-particle":"","parse-names":false,"suffix":""},{"dropping-particle":"","family":"Nchufor","given":"Roland Ndouh","non-dropping-particle":"","parse-names":false,"suffix":""},{"dropping-particle":"","family":"Nkouonlack","given":"Cyrille Duquesne","non-dropping-particle":"","parse-names":false,"suffix":""},{"dropping-particle":"","family":"Bikono","given":"Ernestine Renée Atangana","non-dropping-particle":"","parse-names":false,"suffix":""},{"dropping-particle":"","family":"Magadji","given":"Jean Paul Oumarou","non-dropping-particle":"","parse-names":false,"suffix":""},{"dropping-particle":"","family":"Fankem","given":"Casimir","non-dropping-particle":"","parse-names":false,"suffix":""},{"dropping-particle":"","family":"Jibia","given":"Alain Bertrand Tchoupo","non-dropping-particle":"","parse-names":false,"suffix":""},{"dropping-particle":"","family":"Esene","given":"Ignatius","non-dropping-particle":"","parse-names":false,"suffix":""}],"container-title":"Frontiers in Medical Technology","id":"ITEM-1","issue":"6","issued":{"date-parts":[["2023"]]},"page":"12-23","title":"Assessing the impact of neurosurgery and neuroanatomy simulation using 3D non-cadaveric models amongst selected African medical students","type":"article-journal","volume":"5"},"uris":["http://www.mendeley.com/documents/?uuid=ef0520ab-475a-44f0-8dfc-bc0262b90b80"]},{"id":"ITEM-2","itemData":{"DOI":"10.1101/2024.07.09.24310166","abstract":"Objective This study examined the relationship between students’ perceptions of cadaver dissection (CD) and some learning conditions during CD.Methods This is a cross-sectional study involving 2968 medical students and graduates exposed to CD at nine countries systematically and proportionally selected from Sub-Saharan African countries based on their ranking on the four World Bank indices of development and education: population, literacy, human capital index (HCI), and human development index (HDI). A self-administered questionnaire was used to collect relevant data on learning conditions during CD experience of the participants, using online channels, including email, Whatsapp, Facebook, Instagram, and Twitter.Results About half (48.76%) of the participants perceived CD as stressful, while 51.24% thought otherwise. However, 57% of participants from institutions where a CD session lasts three hours described their experience as stressful, whereas 69.67% of participants whose institution spent one hour in a single CD session agreed that CD is not stressful. Similarly, 60.63% of participants from institutions with a student-donor ratio between 5 to 10 students per cadaver described their experience as ‘not stressful’. In comparison, 57.51% of participants from institutions with a student-donor ratio of 10–20 students per donor and 53.80% of participants from institutions with over 20 students per donor described their experience as stressful.Conclusions Students from institutions with CD instructors, shorter CD sessions, and a smaller student-donor ratio are more likely to perceive CD as stress-free. Providing more support for students during CD and reducing time for CD may be an antidote to CD-related stress.Competing Interest StatementThe authors have declared no competing interest.Funding StatementThis study did not receive any fundingAuthor DeclarationsI confirm all relevant ethical guidelines have been followed, and any necessary IRB and/or ethics committee approvals have been obtained.YesThe details of the IRB/oversight body that provided approval or exemption for the research described are given below:This study obtained ethical clearance from the Nnamdi Azikiwe University Faculty of Basic Medical Science Ethical Committee with the approval number NAU/CHS/NC/FMBS/663I confirm that all necessary patient/participant consent has been obtained and the appropriate institutional forms have been archived, and that any patient/participant/sample identifi…","author":[{"dropping-particle":"","family":"Nnaka","given":"Jude Amechi","non-dropping-particle":"","parse-names":false,"suffix":""},{"dropping-particle":"","family":"Ezeike","given":"Victor Udochukwu","non-dropping-particle":"","parse-names":false,"suffix":""},{"dropping-particle":"","family":"Thompson","given":"Kristjan","non-dropping-particle":"","parse-names":false,"suffix":""},{"dropping-particle":"","family":"Okafor","given":"Izuchukwu Azuka","non-dropping-particle":"","parse-names":false,"suffix":""}],"container-title":"medRxiv","id":"ITEM-2","issue":"7","issued":{"date-parts":[["2024","1","1"]]},"page":"166-183","title":"Stress from Cadaver Dissection Linked to Learning Conditions: Evidence from Sub-Saharan Africa","type":"article-journal","volume":"10"},"uris":["http://www.mendeley.com/documents/?uuid=6221d9e1-edc2-4e51-af8d-e203a0edd331"]}],"mendeley":{"formattedCitation":"(Takoutsing &lt;i&gt;et al.&lt;/i&gt;, 2023; Nnaka &lt;i&gt;et al.&lt;/i&gt;, 2024)","plainTextFormattedCitation":"(Takoutsing et al., 2023; Nnaka et al., 2024)","previouslyFormattedCitation":"(5,6)"},"properties":{"noteIndex":0},"schema":"https://github.com/citation-style-language/schema/raw/master/csl-citation.json"}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(Takoutsing </w:t>
      </w:r>
      <w:r w:rsidR="00B27014" w:rsidRPr="00B27014">
        <w:rPr>
          <w:bCs/>
          <w:i/>
          <w:noProof/>
          <w:lang w:val="en-US"/>
        </w:rPr>
        <w:t>et al.</w:t>
      </w:r>
      <w:r w:rsidR="00B27014" w:rsidRPr="00B27014">
        <w:rPr>
          <w:bCs/>
          <w:noProof/>
          <w:lang w:val="en-US"/>
        </w:rPr>
        <w:t xml:space="preserve">, 2023; Nnaka </w:t>
      </w:r>
      <w:r w:rsidR="00B27014" w:rsidRPr="00B27014">
        <w:rPr>
          <w:bCs/>
          <w:i/>
          <w:noProof/>
          <w:lang w:val="en-US"/>
        </w:rPr>
        <w:t>et al.</w:t>
      </w:r>
      <w:r w:rsidR="00B27014" w:rsidRPr="00B27014">
        <w:rPr>
          <w:bCs/>
          <w:noProof/>
          <w:lang w:val="en-US"/>
        </w:rPr>
        <w:t>, 2024)</w:t>
      </w:r>
      <w:r w:rsidR="008A7706">
        <w:rPr>
          <w:rStyle w:val="FootnoteReference"/>
          <w:lang w:val="en-US"/>
        </w:rPr>
        <w:fldChar w:fldCharType="end"/>
      </w:r>
      <w:r w:rsidRPr="00211717">
        <w:rPr>
          <w:lang w:val="en-US"/>
        </w:rPr>
        <w:t xml:space="preserve">. Within Kenya, cadaveric dissection remains the predominant teaching model, although differences exist between urban and rural institutions in terms of access and intensity of use </w:t>
      </w:r>
      <w:r w:rsidR="008A7706">
        <w:rPr>
          <w:rStyle w:val="FootnoteReference"/>
          <w:lang w:val="en-US"/>
        </w:rPr>
        <w:fldChar w:fldCharType="begin" w:fldLock="1"/>
      </w:r>
      <w:r w:rsidR="00B27014">
        <w:rPr>
          <w:lang w:val="en-US"/>
        </w:rPr>
        <w:instrText>ADDIN CSL_CITATION {"citationItems":[{"id":"ITEM-1","itemData":{"DOI":"10.1097/PEC.0000000000002486","ISSN":"0749-5161","abstract":"Background A pediatric emergency medicine and critical care fellowship was recently developed in Kenya through the University of Nairobi/Kenyatta National Hospital and AIC Kijabe Hospital. As part of this training, a week-long trauma and emergency medicine course was developed with emphasis on trauma and emergency medicine procedures. Given limited resources, we developed a course with simulation of procedures centered around utilization of a goat cadaver. Objective The aim of the study was to describe fellow and faculty experiences and perspectives when using a goat cadaver to teach emergency medicine procedures by simulation in Kijabe, Kenya. Methods A 5-day course was given to 2 fellows with a variety of didactics and simulations after which fellows completed a questionnaire to rate their satisfaction with the content and teaching effectiveness. Results The course was rated very highly, with an average content satisfaction score of 4.5 5 and average teaching effectiveness score of 4.4 of 5. Qualitative faculty feedback was positive, with specific learnings allowing ongoing adaptation of this model. Conclusions A goat cadaver is a cost-effective resource not often considered that can be adequately used to teach several emergency medicine skills by simulation.","author":[{"dropping-particle":"","family":"Theroux","given":"Lindly","non-dropping-particle":"","parse-names":false,"suffix":""},{"dropping-particle":"","family":"Steere","given":"Mardi","non-dropping-particle":"","parse-names":false,"suffix":""},{"dropping-particle":"","family":"Katz","given":"Eric","non-dropping-particle":"","parse-names":false,"suffix":""},{"dropping-particle":"","family":"Jewell","given":"Rebekah","non-dropping-particle":"","parse-names":false,"suffix":""},{"dropping-particle":"","family":"Gardner","given":"Alison","non-dropping-particle":"","parse-names":false,"suffix":""}],"container-title":"Pediatric Emergency Care","id":"ITEM-1","issue":"3","issued":{"date-parts":[["2022"]]},"page":"e1097-e1103","title":"A Goat Cadaver as a Cost-effective Resource for Teaching Emergency Medicine Procedures in Kijabe, Kenya","type":"article-journal","volume":"38"},"uris":["http://www.mendeley.com/documents/?uuid=d4eac36d-d3f8-4ad8-b394-f786d0637990"]}],"mendeley":{"formattedCitation":"(Theroux &lt;i&gt;et al.&lt;/i&gt;, 2022)","plainTextFormattedCitation":"(Theroux et al., 2022)","previouslyFormattedCitation":"(7)"},"properties":{"noteIndex":0},"schema":"https://github.com/citation-style-language/schema/raw/master/csl-citation.json"}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(Theroux </w:t>
      </w:r>
      <w:r w:rsidR="00B27014" w:rsidRPr="00B27014">
        <w:rPr>
          <w:bCs/>
          <w:i/>
          <w:noProof/>
          <w:lang w:val="en-US"/>
        </w:rPr>
        <w:t>et al.</w:t>
      </w:r>
      <w:r w:rsidR="00B27014" w:rsidRPr="00B27014">
        <w:rPr>
          <w:bCs/>
          <w:noProof/>
          <w:lang w:val="en-US"/>
        </w:rPr>
        <w:t>, 2022)</w:t>
      </w:r>
      <w:r w:rsidR="008A7706">
        <w:rPr>
          <w:rStyle w:val="FootnoteReference"/>
          <w:lang w:val="en-US"/>
        </w:rPr>
        <w:fldChar w:fldCharType="end"/>
      </w:r>
      <w:r w:rsidRPr="00211717">
        <w:rPr>
          <w:lang w:val="en-US"/>
        </w:rPr>
        <w:t>.</w:t>
      </w:r>
      <w:r w:rsidR="00CF613F">
        <w:rPr>
          <w:lang w:val="en-US"/>
        </w:rPr>
        <w:t xml:space="preserve"> </w:t>
      </w:r>
      <w:r w:rsidRPr="00211717">
        <w:rPr>
          <w:lang w:val="en-US"/>
        </w:rPr>
        <w:t xml:space="preserve">Recent trends indicate a gradual integration of alternative teaching methods, including virtual reality (VR), augmented reality (AR), and 3D modeling, which are increasingly used to complement rather than replace traditional dissection. While these technologies have demonstrated potential in enhancing visualization and student engagement, their adoption remains uneven, particularly in resource-limited settings where infrastructure and funding pose significant barriers </w:t>
      </w:r>
      <w:r w:rsidR="008A7706">
        <w:rPr>
          <w:rStyle w:val="FootnoteReference"/>
          <w:lang w:val="en-US"/>
        </w:rPr>
        <w:fldChar w:fldCharType="begin" w:fldLock="1"/>
      </w:r>
      <w:r w:rsidR="00B27014">
        <w:rPr>
          <w:lang w:val="en-US"/>
        </w:rPr>
        <w:instrText>ADDIN CSL_CITATION {"citationItems":[{"id":"ITEM-1","itemData":{"DOI":"10.20428/yjms.v19i9.3109","ISSN":"22279601","abstract":"Background: Cadaver dissection remains a cornerstone of medical education, offering unparalleled hands-on experience in anatomical learning. Despite ongoing debates about its emotional impact and relevance in the age of advanced virtual technologies, dissection continues to play a vital role in enhancing anatomical comprehension. Objective: This study aimed to explore medical students’ perceptions of cadaver dissection. Methods: A cross-sectional study was conducted at the University of Medical Sciences and Technology (UMST) in Sudan and the University of Rwanda (UR). A standardized, self-administered questionnaire was used to collect data from medical and dental students enrolled in gross anatomy courses, including voluntary participants. Results: A total of 314 students participated, comprising 169 females (53.8%) and 145 males (46.2%), with ages ranging from 16 to 26 years. Over half of the participants (51.9%) were from UMST. The majority (82.8%) were medical students, while 17.2% were dental students. Most students (86.6%) described their first dissection experience as exciting. Additionally, 77.1% reported that dissection enhanced their understanding of anatomy, and 70.5% stated it improved their ability to recall anatomical structures compared to other learning methods. Furthermore, 55.4% preferred dissection over alternative methods, and 82% considered it essential to their medical education. However, challenges were noted: 47.1% had difficulty identifying structures, 74.2% were disturbed by the smell of formalin, and 29.9% experienced anxiety during dissection sessions. Conclusion: The majority of students valued cadaver dissection as an effective and irreplaceable component of learning anatomy. Despite emotional and sensory challenges such as formalin odor, structural complexity, and anxiety, students demonstrated a strong preference for dissection and expressed respect for the cadaver as a vital educational resource.","author":[{"dropping-particle":"","family":"Ali","given":"Mohtady Kamal Ahmed","non-dropping-particle":"","parse-names":false,"suffix":""},{"dropping-particle":"","family":"Nurein","given":"Mohamed Abdelsalam","non-dropping-particle":"","parse-names":false,"suffix":""},{"dropping-particle":"","family":"MY Elmadhoun","given":"Wadie","non-dropping-particle":"","parse-names":false,"suffix":""}],"container-title":"Yemeni Journal for Medical Sciences","id":"ITEM-1","issue":"9","issued":{"date-parts":[["2025"]]},"page":"1-9","title":"Perceptions of Medical Students Toward Cadaver Dissection in the Anatomy Course at Two African Universities","type":"article-journal","volume":"19"},"uris":["http://www.mendeley.com/documents/?uuid=ee414bb9-0deb-42d9-8baa-dac9c15e65ff"]}],"mendeley":{"formattedCitation":"(Ali, Nurein and MY Elmadhoun, 2025)","plainTextFormattedCitation":"(Ali, Nurein and MY Elmadhoun, 2025)","previouslyFormattedCitation":"(8)"},"properties":{"noteIndex":0},"schema":"https://github.com/citation-style-language/schema/raw/master/csl-citation.json"}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(Ali, Nurein and MY Elmadhoun, 2025)</w:t>
      </w:r>
      <w:r w:rsidR="008A7706">
        <w:rPr>
          <w:rStyle w:val="FootnoteReference"/>
          <w:lang w:val="en-US"/>
        </w:rPr>
        <w:fldChar w:fldCharType="end"/>
      </w:r>
      <w:r w:rsidRPr="00211717">
        <w:rPr>
          <w:lang w:val="en-US"/>
        </w:rPr>
        <w:t>. Consequently, the current landscape of anatomy education reflects a hybrid approach in which cadaveric dissection continues to serve as the gold standard, supported by emerging digital tools that aim to enrich the learning experience</w:t>
      </w:r>
      <w:r w:rsidR="00B73842">
        <w:rPr>
          <w:lang w:val="en-US"/>
        </w:rPr>
        <w:t xml:space="preserve"> </w:t>
      </w:r>
      <w:r w:rsidR="008A7706">
        <w:rPr>
          <w:rStyle w:val="FootnoteReference"/>
          <w:lang w:val="en-US"/>
        </w:rPr>
        <w:fldChar w:fldCharType="begin" w:fldLock="1"/>
      </w:r>
      <w:r w:rsidR="00B27014">
        <w:rPr>
          <w:lang w:val="en-US"/>
        </w:rPr>
        <w:instrText>ADDIN CSL_CITATION {"citationItems":[{"id":"ITEM-1","itemData":{"DOI":"10.2139/ssrn.4785945","author":[{"dropping-particle":"","family":"Usman","given":"Michael","non-dropping-particle":"","parse-names":false,"suffix":""},{"dropping-particle":"","family":"Mwabaleke","given":"Joseph Atupele","non-dropping-particle":"","parse-names":false,"suffix":""},{"dropping-particle":"","family":"Etukudo","given":"Ekom Monday","non-dropping-particle":"","parse-names":false,"suffix":""},{"dropping-particle":"","family":"Jama","given":"Ishak Abdi","non-dropping-particle":"","parse-names":false,"suffix":""},{"dropping-particle":"","family":"Ndunde","given":"Lwoyelo Peter","non-dropping-particle":"","parse-names":false,"suffix":""}],"container-title":"SSRN Solutions","id":"ITEM-1","issue":"4","issued":{"date-parts":[["2024"]]},"page":"1-11","title":"Improving Anatomical Education in East Africa: Challenges and Prospects","type":"article-journal","volume":"16"},"uris":["http://www.mendeley.com/documents/?uuid=74addd72-ec94-4068-9ed9-46cee6979eb0"]}],"mendeley":{"formattedCitation":"(Usman &lt;i&gt;et al.&lt;/i&gt;, 2024)","plainTextFormattedCitation":"(Usman et al., 2024)","previouslyFormattedCitation":"(9)"},"properties":{"noteIndex":0},"schema":"https://github.com/citation-style-language/schema/raw/master/csl-citation.json"}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(Usman </w:t>
      </w:r>
      <w:r w:rsidR="00B27014" w:rsidRPr="00B27014">
        <w:rPr>
          <w:bCs/>
          <w:i/>
          <w:noProof/>
          <w:lang w:val="en-US"/>
        </w:rPr>
        <w:t>et al.</w:t>
      </w:r>
      <w:r w:rsidR="00B27014" w:rsidRPr="00B27014">
        <w:rPr>
          <w:bCs/>
          <w:noProof/>
          <w:lang w:val="en-US"/>
        </w:rPr>
        <w:t>, 2024)</w:t>
      </w:r>
      <w:r w:rsidR="008A7706">
        <w:rPr>
          <w:rStyle w:val="FootnoteReference"/>
          <w:lang w:val="en-US"/>
        </w:rPr>
        <w:fldChar w:fldCharType="end"/>
      </w:r>
      <w:r w:rsidRPr="00211717">
        <w:rPr>
          <w:lang w:val="en-US"/>
        </w:rPr>
        <w:t>.</w:t>
      </w:r>
      <w:r>
        <w:rPr>
          <w:lang w:val="en-US"/>
        </w:rPr>
        <w:t xml:space="preserve"> </w:t>
      </w:r>
      <w:r w:rsidRPr="00211717">
        <w:rPr>
          <w:lang w:val="en-US"/>
        </w:rPr>
        <w:t>Understanding the level of cadaveric dissection model usage is therefore essential for evaluating the effectiveness and sustainability of anatomy education practices. Such insight provides a basis for balancing traditional and innovative approaches, ensuring that medical training remains both contextually relevant and pedagogically effective</w:t>
      </w:r>
      <w:r w:rsidR="002446DF" w:rsidRPr="002446DF">
        <w:rPr>
          <w:lang w:val="en-US"/>
        </w:rPr>
        <w:t>.</w:t>
      </w:r>
      <w:r w:rsidR="0060646E" w:rsidRPr="00A97BE4">
        <w:rPr>
          <w:szCs w:val="24"/>
        </w:rPr>
        <w:t xml:space="preserve"> </w:t>
      </w:r>
    </w:p>
    <w:p w14:paraId="5B25F827" w14:textId="77777777" w:rsidR="00EF2368" w:rsidRDefault="00EF2368" w:rsidP="000B59C3">
      <w:pPr>
        <w:tabs>
          <w:tab w:val="num" w:pos="720"/>
        </w:tabs>
        <w:autoSpaceDE w:val="0"/>
        <w:autoSpaceDN w:val="0"/>
        <w:adjustRightInd w:val="0"/>
        <w:spacing w:after="0"/>
        <w:rPr>
          <w:szCs w:val="24"/>
        </w:rPr>
      </w:pPr>
    </w:p>
    <w:p w14:paraId="1171F036" w14:textId="77777777" w:rsidR="008510DD" w:rsidRDefault="008510DD" w:rsidP="00B73842">
      <w:pPr>
        <w:spacing w:before="120" w:after="0"/>
        <w:rPr>
          <w:b/>
          <w:szCs w:val="24"/>
        </w:rPr>
      </w:pPr>
      <w:r w:rsidRPr="000C07B5">
        <w:rPr>
          <w:b/>
          <w:szCs w:val="24"/>
        </w:rPr>
        <w:t>METHODS</w:t>
      </w:r>
    </w:p>
    <w:p w14:paraId="640C2634" w14:textId="77777777" w:rsidR="000130B1" w:rsidRDefault="000130B1" w:rsidP="00B73842">
      <w:pPr>
        <w:spacing w:before="120" w:after="0"/>
        <w:rPr>
          <w:b/>
          <w:i/>
          <w:iCs/>
          <w:szCs w:val="24"/>
        </w:rPr>
      </w:pPr>
      <w:r w:rsidRPr="000130B1">
        <w:rPr>
          <w:b/>
          <w:i/>
          <w:iCs/>
          <w:szCs w:val="24"/>
        </w:rPr>
        <w:t xml:space="preserve">Ethics statement </w:t>
      </w:r>
    </w:p>
    <w:p w14:paraId="659A37AD" w14:textId="4D26D715" w:rsidR="000130B1" w:rsidRPr="000130B1" w:rsidRDefault="000130B1" w:rsidP="00B73842">
      <w:pPr>
        <w:spacing w:before="120" w:after="0"/>
        <w:rPr>
          <w:bCs/>
          <w:szCs w:val="24"/>
        </w:rPr>
      </w:pPr>
      <w:r w:rsidRPr="00BD782A">
        <w:rPr>
          <w:bCs/>
          <w:szCs w:val="24"/>
        </w:rPr>
        <w:t xml:space="preserve">This study was approved by the </w:t>
      </w:r>
      <w:r w:rsidR="00BB2CBF" w:rsidRPr="00BD782A">
        <w:t xml:space="preserve">AMREF-Ethics and Scientific Review Committee </w:t>
      </w:r>
      <w:r w:rsidRPr="00BD782A">
        <w:rPr>
          <w:bCs/>
          <w:szCs w:val="24"/>
        </w:rPr>
        <w:t>(</w:t>
      </w:r>
      <w:r w:rsidR="00BB2CBF" w:rsidRPr="00BD782A">
        <w:rPr>
          <w:bCs/>
          <w:szCs w:val="24"/>
        </w:rPr>
        <w:t>ESRC P</w:t>
      </w:r>
      <w:r w:rsidR="00BD782A" w:rsidRPr="00BD782A">
        <w:rPr>
          <w:bCs/>
          <w:szCs w:val="24"/>
        </w:rPr>
        <w:t>1996/2025</w:t>
      </w:r>
      <w:r w:rsidRPr="00BD782A">
        <w:rPr>
          <w:bCs/>
          <w:szCs w:val="24"/>
        </w:rPr>
        <w:t>).</w:t>
      </w:r>
    </w:p>
    <w:p w14:paraId="6FFC5F34" w14:textId="24E44E3D" w:rsidR="0069275A" w:rsidRPr="004F3339" w:rsidRDefault="0069275A" w:rsidP="00F72120">
      <w:pPr>
        <w:spacing w:before="240"/>
        <w:rPr>
          <w:b/>
          <w:i/>
          <w:iCs/>
          <w:szCs w:val="24"/>
        </w:rPr>
      </w:pPr>
      <w:r w:rsidRPr="004F3339">
        <w:rPr>
          <w:b/>
          <w:i/>
          <w:iCs/>
          <w:szCs w:val="24"/>
        </w:rPr>
        <w:t xml:space="preserve">Study design </w:t>
      </w:r>
    </w:p>
    <w:p w14:paraId="5524753E" w14:textId="764E6725" w:rsidR="00314A29" w:rsidRDefault="003A243C" w:rsidP="003E1541">
      <w:pPr>
        <w:rPr>
          <w:szCs w:val="24"/>
        </w:rPr>
      </w:pPr>
      <w:r w:rsidRPr="003A243C">
        <w:rPr>
          <w:szCs w:val="24"/>
        </w:rPr>
        <w:lastRenderedPageBreak/>
        <w:t xml:space="preserve">This study employed </w:t>
      </w:r>
      <w:r w:rsidR="002C4F6A">
        <w:rPr>
          <w:szCs w:val="24"/>
        </w:rPr>
        <w:t>a</w:t>
      </w:r>
      <w:r w:rsidR="002C4F6A" w:rsidRPr="002C4F6A">
        <w:rPr>
          <w:szCs w:val="24"/>
        </w:rPr>
        <w:t xml:space="preserve"> </w:t>
      </w:r>
      <w:r w:rsidR="002C4F6A">
        <w:rPr>
          <w:szCs w:val="24"/>
        </w:rPr>
        <w:t xml:space="preserve">descriptive </w:t>
      </w:r>
      <w:r w:rsidR="002C4F6A" w:rsidRPr="002C4F6A">
        <w:rPr>
          <w:szCs w:val="24"/>
        </w:rPr>
        <w:t>cross-sectional</w:t>
      </w:r>
      <w:r w:rsidR="002C4F6A">
        <w:rPr>
          <w:szCs w:val="24"/>
        </w:rPr>
        <w:t xml:space="preserve"> s</w:t>
      </w:r>
      <w:r w:rsidR="002C4F6A" w:rsidRPr="002C4F6A">
        <w:rPr>
          <w:szCs w:val="24"/>
        </w:rPr>
        <w:t xml:space="preserve">tudy </w:t>
      </w:r>
      <w:r w:rsidR="00CA6221">
        <w:rPr>
          <w:szCs w:val="24"/>
        </w:rPr>
        <w:t>with</w:t>
      </w:r>
      <w:r w:rsidR="002C4F6A" w:rsidRPr="002C4F6A">
        <w:rPr>
          <w:szCs w:val="24"/>
        </w:rPr>
        <w:t xml:space="preserve"> mixed-methods approach employed to provide both measurable outcomes and in-depth contextual insights into the use of cadaveric dissection. Quantitative and qualitative data were collected concurrently</w:t>
      </w:r>
      <w:r w:rsidR="00950EDF">
        <w:rPr>
          <w:szCs w:val="24"/>
        </w:rPr>
        <w:t xml:space="preserve"> for a period of 3 weeks in March 2025</w:t>
      </w:r>
      <w:r w:rsidR="002C4F6A" w:rsidRPr="002C4F6A">
        <w:rPr>
          <w:szCs w:val="24"/>
        </w:rPr>
        <w:t>, with quantitative data enabling the estimation of population parameters and assessment of associations, while qualitative data offered a deeper understanding of students’ experiences and perceptions.</w:t>
      </w:r>
      <w:r w:rsidR="00A702A1">
        <w:rPr>
          <w:szCs w:val="24"/>
        </w:rPr>
        <w:t xml:space="preserve"> </w:t>
      </w:r>
    </w:p>
    <w:p w14:paraId="0F045B1A" w14:textId="30C7A4C6" w:rsidR="00FC257E" w:rsidRPr="00FC257E" w:rsidRDefault="00FC257E" w:rsidP="003E1541">
      <w:pPr>
        <w:rPr>
          <w:b/>
          <w:bCs/>
          <w:i/>
          <w:iCs/>
          <w:szCs w:val="24"/>
        </w:rPr>
      </w:pPr>
      <w:r w:rsidRPr="00FC257E">
        <w:rPr>
          <w:b/>
          <w:bCs/>
          <w:i/>
          <w:iCs/>
          <w:szCs w:val="24"/>
        </w:rPr>
        <w:t>Setting</w:t>
      </w:r>
    </w:p>
    <w:p w14:paraId="4E47D00F" w14:textId="40D68C3D" w:rsidR="00FC257E" w:rsidRDefault="00140530" w:rsidP="003E1541">
      <w:pPr>
        <w:rPr>
          <w:szCs w:val="24"/>
        </w:rPr>
      </w:pPr>
      <w:r>
        <w:t>The study was conducted at selected Kenya Medical Training College (KMTC) campuses</w:t>
      </w:r>
      <w:r w:rsidR="00D81F3F">
        <w:t xml:space="preserve"> among 26</w:t>
      </w:r>
      <w:r w:rsidR="00861765">
        <w:t>5</w:t>
      </w:r>
      <w:r w:rsidR="00D81F3F">
        <w:t xml:space="preserve"> second-year clinical medicine students who had been enrolled in anatomy course 13</w:t>
      </w:r>
      <w:r w:rsidR="004D287E">
        <w:t xml:space="preserve"> lecturers and 6 anatomy specialists as key informants</w:t>
      </w:r>
      <w:r w:rsidR="00974A14">
        <w:t>. The institution serves as an ideal study setting due to its established clinical medicine programs with anatomy teaching components, diverse geographical distribution of campuses, varying resource allocation and infrastructure across different locations, and a representative sample of medical education in Kenya's public training institutions. Further, the study area encompasses urban, peri-urban, and rural medical training institutions across Kenya's eight former provinces, ensuring geographical representation and capturing variations in resource availability, cultural contexts, and educational infrastructure.</w:t>
      </w:r>
    </w:p>
    <w:p w14:paraId="3E06DA45" w14:textId="575407E4" w:rsidR="00F3748F" w:rsidRPr="00F3748F" w:rsidRDefault="00F3748F" w:rsidP="003E1541">
      <w:pPr>
        <w:rPr>
          <w:b/>
          <w:bCs/>
          <w:i/>
          <w:iCs/>
          <w:szCs w:val="24"/>
        </w:rPr>
      </w:pPr>
      <w:r w:rsidRPr="00F3748F">
        <w:rPr>
          <w:b/>
          <w:bCs/>
          <w:i/>
          <w:iCs/>
          <w:szCs w:val="24"/>
        </w:rPr>
        <w:t>Research instruments</w:t>
      </w:r>
    </w:p>
    <w:p w14:paraId="49929DCF" w14:textId="08CF6543" w:rsidR="00F3748F" w:rsidRDefault="00797F3E" w:rsidP="003E1541">
      <w:pPr>
        <w:rPr>
          <w:szCs w:val="24"/>
        </w:rPr>
      </w:pPr>
      <w:r w:rsidRPr="00797F3E">
        <w:rPr>
          <w:szCs w:val="24"/>
        </w:rPr>
        <w:t>The study used a dual-method approach, combining closed-ended questionnaires</w:t>
      </w:r>
      <w:r w:rsidR="00CC1615">
        <w:rPr>
          <w:szCs w:val="24"/>
        </w:rPr>
        <w:t xml:space="preserve"> and</w:t>
      </w:r>
      <w:r w:rsidRPr="00797F3E">
        <w:rPr>
          <w:szCs w:val="24"/>
        </w:rPr>
        <w:t xml:space="preserve"> key informant interviews</w:t>
      </w:r>
      <w:r w:rsidR="00CC1615">
        <w:rPr>
          <w:szCs w:val="24"/>
        </w:rPr>
        <w:t xml:space="preserve"> </w:t>
      </w:r>
      <w:r w:rsidRPr="00797F3E">
        <w:rPr>
          <w:szCs w:val="24"/>
        </w:rPr>
        <w:t>to assess</w:t>
      </w:r>
      <w:r w:rsidR="00976682" w:rsidRPr="00E129BB">
        <w:rPr>
          <w:szCs w:val="24"/>
        </w:rPr>
        <w:t xml:space="preserve"> the level of cadaveric dissection model usage in teaching anatomy among clinical medicine students</w:t>
      </w:r>
      <w:r w:rsidRPr="00797F3E">
        <w:rPr>
          <w:szCs w:val="24"/>
        </w:rPr>
        <w:t xml:space="preserve">. The instruments were validated through expert review and pre-testing, and reliability was confirmed using the half-split method and Cronbach Alpha coefficients, all above 0.77. Data collection followed ethical guidelines, including informed consent. Though limited by the cross-sectional design, the use of multiple tools ensured accurate data </w:t>
      </w:r>
      <w:r w:rsidR="00D6062C" w:rsidRPr="00797F3E">
        <w:rPr>
          <w:szCs w:val="24"/>
        </w:rPr>
        <w:t>to assess</w:t>
      </w:r>
      <w:r w:rsidR="00D6062C" w:rsidRPr="00E129BB">
        <w:rPr>
          <w:szCs w:val="24"/>
        </w:rPr>
        <w:t xml:space="preserve"> the level of cadaveric dissection model</w:t>
      </w:r>
      <w:r w:rsidRPr="00797F3E">
        <w:rPr>
          <w:szCs w:val="24"/>
        </w:rPr>
        <w:t>.</w:t>
      </w:r>
    </w:p>
    <w:p w14:paraId="68A4B8EE" w14:textId="68DE0B61" w:rsidR="008359EE" w:rsidRPr="00C40630" w:rsidRDefault="00C40630" w:rsidP="003E1541">
      <w:pPr>
        <w:rPr>
          <w:b/>
          <w:bCs/>
          <w:i/>
          <w:iCs/>
          <w:szCs w:val="24"/>
          <w:lang w:val="en-GB"/>
        </w:rPr>
      </w:pPr>
      <w:r w:rsidRPr="00C40630">
        <w:rPr>
          <w:b/>
          <w:bCs/>
          <w:i/>
          <w:iCs/>
          <w:szCs w:val="24"/>
          <w:lang w:val="en-GB"/>
        </w:rPr>
        <w:t>Data analysis</w:t>
      </w:r>
    </w:p>
    <w:p w14:paraId="5B18FCBD" w14:textId="1F0058DC" w:rsidR="00BC788E" w:rsidRDefault="00BC788E" w:rsidP="003E1541">
      <w:pPr>
        <w:rPr>
          <w:szCs w:val="24"/>
        </w:rPr>
      </w:pPr>
      <w:r w:rsidRPr="002A0CE2">
        <w:rPr>
          <w:szCs w:val="24"/>
        </w:rPr>
        <w:t xml:space="preserve">Quantitative data was </w:t>
      </w:r>
      <w:proofErr w:type="spellStart"/>
      <w:r w:rsidRPr="002A0CE2">
        <w:rPr>
          <w:szCs w:val="24"/>
        </w:rPr>
        <w:t>analyzed</w:t>
      </w:r>
      <w:proofErr w:type="spellEnd"/>
      <w:r w:rsidRPr="002A0CE2">
        <w:rPr>
          <w:szCs w:val="24"/>
        </w:rPr>
        <w:t xml:space="preserve"> using statistical package for social science (SPSS) version </w:t>
      </w:r>
      <w:r w:rsidR="007F319F">
        <w:rPr>
          <w:szCs w:val="24"/>
        </w:rPr>
        <w:t>30</w:t>
      </w:r>
      <w:r w:rsidRPr="002A0CE2">
        <w:rPr>
          <w:szCs w:val="24"/>
        </w:rPr>
        <w:t>.0. Descriptive data was presented using frequencies, percentages, means and standard deviation</w:t>
      </w:r>
      <w:r w:rsidRPr="000C07B5">
        <w:rPr>
          <w:szCs w:val="24"/>
        </w:rPr>
        <w:t>.</w:t>
      </w:r>
      <w:r w:rsidR="000C2EBC">
        <w:rPr>
          <w:szCs w:val="24"/>
        </w:rPr>
        <w:t xml:space="preserve"> </w:t>
      </w:r>
      <w:r w:rsidR="000C2EBC">
        <w:rPr>
          <w:rFonts w:eastAsia="Times New Roman"/>
          <w:szCs w:val="24"/>
        </w:rPr>
        <w:t>Qualitative data generated from KII in form of notes (responses) from the participant's was cleaned and coded manually based on themes developed from responses (thematic analysis) in accordance with the research objectives and reported in narrative form and additionally used to reinforce quantitative data</w:t>
      </w:r>
    </w:p>
    <w:p w14:paraId="68A4D68B" w14:textId="77777777" w:rsidR="008510DD" w:rsidRDefault="008510DD" w:rsidP="00F72120">
      <w:pPr>
        <w:spacing w:before="240"/>
        <w:rPr>
          <w:b/>
          <w:szCs w:val="24"/>
        </w:rPr>
      </w:pPr>
      <w:r w:rsidRPr="000C07B5">
        <w:rPr>
          <w:b/>
          <w:szCs w:val="24"/>
        </w:rPr>
        <w:t>RESULTS</w:t>
      </w:r>
    </w:p>
    <w:p w14:paraId="2070163C" w14:textId="48815754" w:rsidR="00D80C31" w:rsidRDefault="00D80C31" w:rsidP="00F72120">
      <w:pPr>
        <w:spacing w:before="240"/>
        <w:rPr>
          <w:b/>
          <w:szCs w:val="24"/>
        </w:rPr>
      </w:pPr>
      <w:r w:rsidRPr="00D80C31">
        <w:rPr>
          <w:b/>
          <w:szCs w:val="24"/>
        </w:rPr>
        <w:t>Participants</w:t>
      </w:r>
    </w:p>
    <w:p w14:paraId="0E7B4B54" w14:textId="78DF3F83" w:rsidR="00D80C31" w:rsidRDefault="00861765" w:rsidP="00F72120">
      <w:pPr>
        <w:spacing w:before="240"/>
      </w:pPr>
      <w:r w:rsidRPr="009F748E">
        <w:rPr>
          <w:szCs w:val="24"/>
        </w:rPr>
        <w:t xml:space="preserve">A total of </w:t>
      </w:r>
      <w:r>
        <w:rPr>
          <w:szCs w:val="24"/>
        </w:rPr>
        <w:t xml:space="preserve">265 </w:t>
      </w:r>
      <w:r w:rsidRPr="009F748E">
        <w:rPr>
          <w:szCs w:val="24"/>
        </w:rPr>
        <w:t xml:space="preserve">structured questionnaires </w:t>
      </w:r>
      <w:r>
        <w:rPr>
          <w:szCs w:val="24"/>
        </w:rPr>
        <w:t xml:space="preserve">for students </w:t>
      </w:r>
      <w:r w:rsidRPr="009F748E">
        <w:rPr>
          <w:szCs w:val="24"/>
        </w:rPr>
        <w:t xml:space="preserve">were administered in tandem with the calculated sample size, of which </w:t>
      </w:r>
      <w:r>
        <w:rPr>
          <w:szCs w:val="24"/>
        </w:rPr>
        <w:t xml:space="preserve">260 </w:t>
      </w:r>
      <w:r w:rsidRPr="009F748E">
        <w:rPr>
          <w:szCs w:val="24"/>
        </w:rPr>
        <w:t>questionnaires were completely filled; th</w:t>
      </w:r>
      <w:r>
        <w:rPr>
          <w:szCs w:val="24"/>
        </w:rPr>
        <w:t>erefore, the response rate was 98.1</w:t>
      </w:r>
      <w:r w:rsidRPr="009F748E">
        <w:rPr>
          <w:szCs w:val="24"/>
        </w:rPr>
        <w:t>% of the required sample size</w:t>
      </w:r>
      <w:r>
        <w:rPr>
          <w:szCs w:val="24"/>
        </w:rPr>
        <w:t xml:space="preserve"> and 13</w:t>
      </w:r>
      <w:r w:rsidR="00F66FD3">
        <w:rPr>
          <w:szCs w:val="24"/>
        </w:rPr>
        <w:t xml:space="preserve"> questionnaires for lecturers were completely filled</w:t>
      </w:r>
      <w:r>
        <w:rPr>
          <w:szCs w:val="24"/>
        </w:rPr>
        <w:t xml:space="preserve">, </w:t>
      </w:r>
      <w:r w:rsidRPr="00C84F8C">
        <w:t>which was deemed satisfactory for the purpose of obtaining dependable and adequate data</w:t>
      </w:r>
      <w:r w:rsidR="004B6976">
        <w:t>.</w:t>
      </w:r>
    </w:p>
    <w:p w14:paraId="17E9AE18" w14:textId="77777777" w:rsidR="004B6976" w:rsidRPr="00BA0047" w:rsidRDefault="004B6976" w:rsidP="004B6976">
      <w:pPr>
        <w:pStyle w:val="Heading3"/>
      </w:pPr>
      <w:r w:rsidRPr="00BA0047">
        <w:t>Socio-Demographic Characteristics</w:t>
      </w:r>
      <w:r>
        <w:t xml:space="preserve"> of Students</w:t>
      </w:r>
    </w:p>
    <w:p w14:paraId="7AC88171" w14:textId="05B6CE8B" w:rsidR="004B6976" w:rsidRDefault="004B6976" w:rsidP="004B6976">
      <w:pPr>
        <w:rPr>
          <w:szCs w:val="24"/>
          <w:lang w:eastAsia="x-none"/>
        </w:rPr>
      </w:pPr>
      <w:bookmarkStart w:id="0" w:name="_Toc323985738"/>
      <w:r w:rsidRPr="009F748E">
        <w:rPr>
          <w:szCs w:val="24"/>
        </w:rPr>
        <w:t>The respondents age ranged from 1</w:t>
      </w:r>
      <w:r>
        <w:rPr>
          <w:szCs w:val="24"/>
        </w:rPr>
        <w:t>8</w:t>
      </w:r>
      <w:r w:rsidRPr="009F748E">
        <w:rPr>
          <w:szCs w:val="24"/>
        </w:rPr>
        <w:t xml:space="preserve"> years to </w:t>
      </w:r>
      <w:r>
        <w:rPr>
          <w:szCs w:val="24"/>
        </w:rPr>
        <w:t>33</w:t>
      </w:r>
      <w:r w:rsidRPr="009F748E">
        <w:rPr>
          <w:szCs w:val="24"/>
        </w:rPr>
        <w:t xml:space="preserve"> years, th</w:t>
      </w:r>
      <w:r>
        <w:rPr>
          <w:szCs w:val="24"/>
        </w:rPr>
        <w:t>e mode was 20 years, median 21.0</w:t>
      </w:r>
      <w:r w:rsidRPr="009F748E">
        <w:rPr>
          <w:szCs w:val="24"/>
        </w:rPr>
        <w:t xml:space="preserve"> </w:t>
      </w:r>
      <w:r>
        <w:rPr>
          <w:szCs w:val="24"/>
        </w:rPr>
        <w:t>years and the mean age was 21.15</w:t>
      </w:r>
      <w:r w:rsidRPr="009F748E">
        <w:rPr>
          <w:szCs w:val="24"/>
        </w:rPr>
        <w:t xml:space="preserve"> ± </w:t>
      </w:r>
      <w:r>
        <w:rPr>
          <w:szCs w:val="24"/>
        </w:rPr>
        <w:t>2.25. The findings showed that 117 (45.0</w:t>
      </w:r>
      <w:r w:rsidRPr="009F748E">
        <w:rPr>
          <w:szCs w:val="24"/>
        </w:rPr>
        <w:t xml:space="preserve">%) were </w:t>
      </w:r>
      <w:r>
        <w:rPr>
          <w:szCs w:val="24"/>
        </w:rPr>
        <w:lastRenderedPageBreak/>
        <w:t>between 18-20 years, 113 (43.5%</w:t>
      </w:r>
      <w:r w:rsidRPr="009F748E">
        <w:rPr>
          <w:szCs w:val="24"/>
        </w:rPr>
        <w:t xml:space="preserve">) </w:t>
      </w:r>
      <w:r>
        <w:rPr>
          <w:szCs w:val="24"/>
        </w:rPr>
        <w:t>were between 21-23</w:t>
      </w:r>
      <w:r w:rsidRPr="009F748E">
        <w:rPr>
          <w:szCs w:val="24"/>
        </w:rPr>
        <w:t xml:space="preserve"> years, </w:t>
      </w:r>
      <w:bookmarkStart w:id="1" w:name="_Hlk488384374"/>
      <w:r>
        <w:rPr>
          <w:szCs w:val="24"/>
        </w:rPr>
        <w:t>and 30 (11.5</w:t>
      </w:r>
      <w:r w:rsidRPr="009F748E">
        <w:rPr>
          <w:szCs w:val="24"/>
        </w:rPr>
        <w:t xml:space="preserve">%) </w:t>
      </w:r>
      <w:bookmarkEnd w:id="1"/>
      <w:r>
        <w:rPr>
          <w:szCs w:val="24"/>
        </w:rPr>
        <w:t xml:space="preserve">were 24 years and above. Additionally, more than half 155 (59.6%) were </w:t>
      </w:r>
      <w:proofErr w:type="gramStart"/>
      <w:r>
        <w:rPr>
          <w:szCs w:val="24"/>
        </w:rPr>
        <w:t>males</w:t>
      </w:r>
      <w:proofErr w:type="gramEnd"/>
      <w:r>
        <w:rPr>
          <w:szCs w:val="24"/>
        </w:rPr>
        <w:t xml:space="preserve"> students </w:t>
      </w:r>
      <w:r w:rsidR="00086646">
        <w:rPr>
          <w:szCs w:val="24"/>
        </w:rPr>
        <w:t>(T</w:t>
      </w:r>
      <w:r>
        <w:rPr>
          <w:szCs w:val="24"/>
        </w:rPr>
        <w:t>able</w:t>
      </w:r>
      <w:r w:rsidR="005B043D">
        <w:rPr>
          <w:szCs w:val="24"/>
        </w:rPr>
        <w:t xml:space="preserve"> </w:t>
      </w:r>
      <w:r>
        <w:rPr>
          <w:szCs w:val="24"/>
        </w:rPr>
        <w:t>1</w:t>
      </w:r>
      <w:r w:rsidR="00086646">
        <w:rPr>
          <w:szCs w:val="24"/>
        </w:rPr>
        <w:t>)</w:t>
      </w:r>
      <w:r>
        <w:rPr>
          <w:szCs w:val="24"/>
        </w:rPr>
        <w:t>.</w:t>
      </w:r>
    </w:p>
    <w:p w14:paraId="791ACB20" w14:textId="18C24440" w:rsidR="004B6976" w:rsidRPr="009F748E" w:rsidRDefault="000431D0" w:rsidP="000431D0">
      <w:pPr>
        <w:pStyle w:val="Caption"/>
      </w:pPr>
      <w:bookmarkStart w:id="2" w:name="_Toc227478631"/>
      <w:r>
        <w:t xml:space="preserve">Table </w:t>
      </w:r>
      <w:r>
        <w:fldChar w:fldCharType="begin"/>
      </w:r>
      <w:r>
        <w:instrText xml:space="preserve"> SEQ Table \* ARABIC </w:instrText>
      </w:r>
      <w:r>
        <w:fldChar w:fldCharType="separate"/>
      </w:r>
      <w:r w:rsidR="00430EAD">
        <w:rPr>
          <w:noProof/>
        </w:rPr>
        <w:t>1</w:t>
      </w:r>
      <w:r>
        <w:fldChar w:fldCharType="end"/>
      </w:r>
      <w:r w:rsidR="004B6976" w:rsidRPr="009F748E">
        <w:t xml:space="preserve">: Socio-Demographic Characteristics of the </w:t>
      </w:r>
      <w:r w:rsidR="004B6976">
        <w:t>Student</w:t>
      </w:r>
      <w:r w:rsidR="004B6976" w:rsidRPr="009F748E">
        <w:t>s</w:t>
      </w:r>
      <w:bookmarkEnd w:id="2"/>
    </w:p>
    <w:tbl>
      <w:tblPr>
        <w:tblW w:w="8755" w:type="dxa"/>
        <w:tblLook w:val="04A0" w:firstRow="1" w:lastRow="0" w:firstColumn="1" w:lastColumn="0" w:noHBand="0" w:noVBand="1"/>
      </w:tblPr>
      <w:tblGrid>
        <w:gridCol w:w="1875"/>
        <w:gridCol w:w="3320"/>
        <w:gridCol w:w="1900"/>
        <w:gridCol w:w="1660"/>
      </w:tblGrid>
      <w:tr w:rsidR="004B6976" w:rsidRPr="009F748E" w14:paraId="12DD021F" w14:textId="77777777" w:rsidTr="00DB4859">
        <w:trPr>
          <w:trHeight w:val="432"/>
        </w:trPr>
        <w:tc>
          <w:tcPr>
            <w:tcW w:w="5195" w:type="dxa"/>
            <w:gridSpan w:val="2"/>
            <w:tcBorders>
              <w:top w:val="single" w:sz="12" w:space="0" w:color="auto"/>
              <w:bottom w:val="single" w:sz="12" w:space="0" w:color="auto"/>
            </w:tcBorders>
            <w:vAlign w:val="center"/>
            <w:hideMark/>
          </w:tcPr>
          <w:bookmarkEnd w:id="0"/>
          <w:p w14:paraId="13EF8D3A" w14:textId="77777777" w:rsidR="004B6976" w:rsidRPr="004B5404" w:rsidRDefault="004B6976" w:rsidP="00DB4859">
            <w:pPr>
              <w:spacing w:after="0"/>
              <w:jc w:val="left"/>
              <w:rPr>
                <w:rFonts w:eastAsia="Times New Roman"/>
                <w:b/>
                <w:color w:val="000000"/>
                <w:szCs w:val="24"/>
              </w:rPr>
            </w:pPr>
            <w:r w:rsidRPr="009F748E">
              <w:rPr>
                <w:rFonts w:eastAsia="Times New Roman"/>
                <w:color w:val="000000"/>
                <w:szCs w:val="24"/>
              </w:rPr>
              <w:t> </w:t>
            </w:r>
            <w:r w:rsidRPr="004B5404">
              <w:rPr>
                <w:rFonts w:eastAsia="Times New Roman"/>
                <w:b/>
                <w:color w:val="000000"/>
                <w:szCs w:val="24"/>
              </w:rPr>
              <w:t xml:space="preserve">Characteristics </w:t>
            </w:r>
          </w:p>
        </w:tc>
        <w:tc>
          <w:tcPr>
            <w:tcW w:w="1900" w:type="dxa"/>
            <w:tcBorders>
              <w:top w:val="single" w:sz="12" w:space="0" w:color="auto"/>
              <w:bottom w:val="single" w:sz="12" w:space="0" w:color="auto"/>
            </w:tcBorders>
            <w:vAlign w:val="center"/>
            <w:hideMark/>
          </w:tcPr>
          <w:p w14:paraId="6809B49F"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Frequency</w:t>
            </w:r>
          </w:p>
        </w:tc>
        <w:tc>
          <w:tcPr>
            <w:tcW w:w="1660" w:type="dxa"/>
            <w:tcBorders>
              <w:top w:val="single" w:sz="12" w:space="0" w:color="auto"/>
              <w:bottom w:val="single" w:sz="12" w:space="0" w:color="auto"/>
            </w:tcBorders>
            <w:vAlign w:val="center"/>
            <w:hideMark/>
          </w:tcPr>
          <w:p w14:paraId="57632DB3"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Percent</w:t>
            </w:r>
          </w:p>
        </w:tc>
      </w:tr>
      <w:tr w:rsidR="004B6976" w:rsidRPr="009F748E" w14:paraId="5B3A1A05" w14:textId="77777777" w:rsidTr="00DB4859">
        <w:trPr>
          <w:trHeight w:val="432"/>
        </w:trPr>
        <w:tc>
          <w:tcPr>
            <w:tcW w:w="1875" w:type="dxa"/>
            <w:vMerge w:val="restart"/>
            <w:tcBorders>
              <w:top w:val="single" w:sz="12" w:space="0" w:color="auto"/>
            </w:tcBorders>
            <w:hideMark/>
          </w:tcPr>
          <w:p w14:paraId="43A72DC9" w14:textId="77777777" w:rsidR="004B6976" w:rsidRPr="009F748E" w:rsidRDefault="004B6976" w:rsidP="00DB4859">
            <w:pPr>
              <w:spacing w:after="0"/>
              <w:jc w:val="left"/>
              <w:rPr>
                <w:rFonts w:eastAsia="Times New Roman"/>
                <w:color w:val="000000"/>
                <w:szCs w:val="24"/>
              </w:rPr>
            </w:pPr>
            <w:r w:rsidRPr="009F748E">
              <w:rPr>
                <w:rFonts w:eastAsia="Times New Roman"/>
                <w:color w:val="000000"/>
                <w:szCs w:val="24"/>
              </w:rPr>
              <w:t>Age group</w:t>
            </w:r>
          </w:p>
        </w:tc>
        <w:tc>
          <w:tcPr>
            <w:tcW w:w="3320" w:type="dxa"/>
            <w:tcBorders>
              <w:top w:val="single" w:sz="12" w:space="0" w:color="auto"/>
            </w:tcBorders>
            <w:vAlign w:val="center"/>
            <w:hideMark/>
          </w:tcPr>
          <w:p w14:paraId="7F945FA4" w14:textId="77777777" w:rsidR="004B6976" w:rsidRPr="00A8345A" w:rsidRDefault="004B6976" w:rsidP="00DB4859">
            <w:pPr>
              <w:spacing w:after="0"/>
              <w:jc w:val="left"/>
              <w:rPr>
                <w:rFonts w:eastAsia="Times New Roman"/>
                <w:szCs w:val="24"/>
              </w:rPr>
            </w:pPr>
            <w:r>
              <w:t>18-20 years</w:t>
            </w:r>
          </w:p>
        </w:tc>
        <w:tc>
          <w:tcPr>
            <w:tcW w:w="1900" w:type="dxa"/>
            <w:tcBorders>
              <w:top w:val="single" w:sz="12" w:space="0" w:color="auto"/>
            </w:tcBorders>
            <w:noWrap/>
            <w:vAlign w:val="center"/>
            <w:hideMark/>
          </w:tcPr>
          <w:p w14:paraId="7A261ECB" w14:textId="77777777" w:rsidR="004B6976" w:rsidRPr="00A8345A" w:rsidRDefault="004B6976" w:rsidP="00DB4859">
            <w:pPr>
              <w:spacing w:after="0"/>
              <w:jc w:val="center"/>
              <w:rPr>
                <w:rFonts w:eastAsia="Times New Roman"/>
                <w:szCs w:val="24"/>
              </w:rPr>
            </w:pPr>
            <w:r>
              <w:t>117</w:t>
            </w:r>
          </w:p>
        </w:tc>
        <w:tc>
          <w:tcPr>
            <w:tcW w:w="1660" w:type="dxa"/>
            <w:tcBorders>
              <w:top w:val="single" w:sz="12" w:space="0" w:color="auto"/>
            </w:tcBorders>
            <w:noWrap/>
            <w:vAlign w:val="center"/>
            <w:hideMark/>
          </w:tcPr>
          <w:p w14:paraId="23785AA4" w14:textId="77777777" w:rsidR="004B6976" w:rsidRPr="00A8345A" w:rsidRDefault="004B6976" w:rsidP="00DB4859">
            <w:pPr>
              <w:spacing w:after="0"/>
              <w:jc w:val="center"/>
              <w:rPr>
                <w:rFonts w:eastAsia="Times New Roman"/>
                <w:szCs w:val="24"/>
              </w:rPr>
            </w:pPr>
            <w:r>
              <w:t>45.0%</w:t>
            </w:r>
          </w:p>
        </w:tc>
      </w:tr>
      <w:tr w:rsidR="004B6976" w:rsidRPr="009F748E" w14:paraId="2A34CDCE" w14:textId="77777777" w:rsidTr="00DB4859">
        <w:trPr>
          <w:trHeight w:val="432"/>
        </w:trPr>
        <w:tc>
          <w:tcPr>
            <w:tcW w:w="1875" w:type="dxa"/>
            <w:vMerge/>
            <w:tcBorders>
              <w:top w:val="nil"/>
            </w:tcBorders>
            <w:vAlign w:val="center"/>
            <w:hideMark/>
          </w:tcPr>
          <w:p w14:paraId="5F0526DA" w14:textId="77777777" w:rsidR="004B6976" w:rsidRPr="009F748E" w:rsidRDefault="004B6976" w:rsidP="00DB4859">
            <w:pPr>
              <w:spacing w:after="0"/>
              <w:jc w:val="left"/>
              <w:rPr>
                <w:rFonts w:eastAsia="Times New Roman"/>
                <w:color w:val="000000"/>
                <w:szCs w:val="24"/>
              </w:rPr>
            </w:pPr>
          </w:p>
        </w:tc>
        <w:tc>
          <w:tcPr>
            <w:tcW w:w="3320" w:type="dxa"/>
            <w:tcBorders>
              <w:top w:val="nil"/>
            </w:tcBorders>
            <w:vAlign w:val="center"/>
            <w:hideMark/>
          </w:tcPr>
          <w:p w14:paraId="63B06EC2" w14:textId="77777777" w:rsidR="004B6976" w:rsidRPr="00A8345A" w:rsidRDefault="004B6976" w:rsidP="00DB4859">
            <w:pPr>
              <w:spacing w:after="0"/>
              <w:jc w:val="left"/>
              <w:rPr>
                <w:rFonts w:eastAsia="Times New Roman"/>
                <w:szCs w:val="24"/>
              </w:rPr>
            </w:pPr>
            <w:r>
              <w:t>21-23 years</w:t>
            </w:r>
          </w:p>
        </w:tc>
        <w:tc>
          <w:tcPr>
            <w:tcW w:w="1900" w:type="dxa"/>
            <w:tcBorders>
              <w:top w:val="nil"/>
            </w:tcBorders>
            <w:noWrap/>
            <w:vAlign w:val="center"/>
            <w:hideMark/>
          </w:tcPr>
          <w:p w14:paraId="0295E218" w14:textId="77777777" w:rsidR="004B6976" w:rsidRPr="00A8345A" w:rsidRDefault="004B6976" w:rsidP="00DB4859">
            <w:pPr>
              <w:spacing w:after="0"/>
              <w:jc w:val="center"/>
              <w:rPr>
                <w:rFonts w:eastAsia="Times New Roman"/>
                <w:szCs w:val="24"/>
              </w:rPr>
            </w:pPr>
            <w:r>
              <w:t>113</w:t>
            </w:r>
          </w:p>
        </w:tc>
        <w:tc>
          <w:tcPr>
            <w:tcW w:w="1660" w:type="dxa"/>
            <w:tcBorders>
              <w:top w:val="nil"/>
            </w:tcBorders>
            <w:noWrap/>
            <w:vAlign w:val="center"/>
            <w:hideMark/>
          </w:tcPr>
          <w:p w14:paraId="4B0F6F7C" w14:textId="77777777" w:rsidR="004B6976" w:rsidRPr="00A8345A" w:rsidRDefault="004B6976" w:rsidP="00DB4859">
            <w:pPr>
              <w:spacing w:after="0"/>
              <w:jc w:val="center"/>
              <w:rPr>
                <w:rFonts w:eastAsia="Times New Roman"/>
                <w:szCs w:val="24"/>
              </w:rPr>
            </w:pPr>
            <w:r>
              <w:t>43.5%</w:t>
            </w:r>
          </w:p>
        </w:tc>
      </w:tr>
      <w:tr w:rsidR="004B6976" w:rsidRPr="009F748E" w14:paraId="0445FC91" w14:textId="77777777" w:rsidTr="00DB4859">
        <w:trPr>
          <w:trHeight w:val="432"/>
        </w:trPr>
        <w:tc>
          <w:tcPr>
            <w:tcW w:w="1875" w:type="dxa"/>
            <w:vMerge/>
            <w:tcBorders>
              <w:top w:val="nil"/>
            </w:tcBorders>
            <w:vAlign w:val="center"/>
            <w:hideMark/>
          </w:tcPr>
          <w:p w14:paraId="46C81594" w14:textId="77777777" w:rsidR="004B6976" w:rsidRPr="009F748E" w:rsidRDefault="004B6976" w:rsidP="00DB4859">
            <w:pPr>
              <w:spacing w:after="0"/>
              <w:jc w:val="left"/>
              <w:rPr>
                <w:rFonts w:eastAsia="Times New Roman"/>
                <w:color w:val="000000"/>
                <w:szCs w:val="24"/>
              </w:rPr>
            </w:pPr>
          </w:p>
        </w:tc>
        <w:tc>
          <w:tcPr>
            <w:tcW w:w="3320" w:type="dxa"/>
            <w:tcBorders>
              <w:top w:val="nil"/>
            </w:tcBorders>
            <w:vAlign w:val="center"/>
            <w:hideMark/>
          </w:tcPr>
          <w:p w14:paraId="04F09C05" w14:textId="77777777" w:rsidR="004B6976" w:rsidRPr="00A8345A" w:rsidRDefault="004B6976" w:rsidP="00DB4859">
            <w:pPr>
              <w:spacing w:after="0"/>
              <w:jc w:val="left"/>
              <w:rPr>
                <w:rFonts w:eastAsia="Times New Roman"/>
                <w:szCs w:val="24"/>
              </w:rPr>
            </w:pPr>
            <w:r>
              <w:t>≥ 24 years</w:t>
            </w:r>
          </w:p>
        </w:tc>
        <w:tc>
          <w:tcPr>
            <w:tcW w:w="1900" w:type="dxa"/>
            <w:tcBorders>
              <w:top w:val="nil"/>
            </w:tcBorders>
            <w:noWrap/>
            <w:vAlign w:val="center"/>
            <w:hideMark/>
          </w:tcPr>
          <w:p w14:paraId="1D9E29B6" w14:textId="77777777" w:rsidR="004B6976" w:rsidRPr="00A8345A" w:rsidRDefault="004B6976" w:rsidP="00DB4859">
            <w:pPr>
              <w:spacing w:after="0"/>
              <w:jc w:val="center"/>
              <w:rPr>
                <w:rFonts w:eastAsia="Times New Roman"/>
                <w:szCs w:val="24"/>
              </w:rPr>
            </w:pPr>
            <w:r>
              <w:t>30</w:t>
            </w:r>
          </w:p>
        </w:tc>
        <w:tc>
          <w:tcPr>
            <w:tcW w:w="1660" w:type="dxa"/>
            <w:tcBorders>
              <w:top w:val="nil"/>
            </w:tcBorders>
            <w:noWrap/>
            <w:vAlign w:val="center"/>
            <w:hideMark/>
          </w:tcPr>
          <w:p w14:paraId="57B2DFF1" w14:textId="77777777" w:rsidR="004B6976" w:rsidRPr="00A8345A" w:rsidRDefault="004B6976" w:rsidP="00DB4859">
            <w:pPr>
              <w:spacing w:after="0"/>
              <w:jc w:val="center"/>
              <w:rPr>
                <w:rFonts w:eastAsia="Times New Roman"/>
                <w:szCs w:val="24"/>
              </w:rPr>
            </w:pPr>
            <w:r>
              <w:t>11.5%</w:t>
            </w:r>
          </w:p>
        </w:tc>
      </w:tr>
      <w:tr w:rsidR="004B6976" w:rsidRPr="009F748E" w14:paraId="7D93C7DE" w14:textId="77777777" w:rsidTr="00DB4859">
        <w:trPr>
          <w:trHeight w:val="432"/>
        </w:trPr>
        <w:tc>
          <w:tcPr>
            <w:tcW w:w="1875" w:type="dxa"/>
            <w:vMerge w:val="restart"/>
            <w:tcBorders>
              <w:top w:val="single" w:sz="12" w:space="0" w:color="auto"/>
            </w:tcBorders>
            <w:hideMark/>
          </w:tcPr>
          <w:p w14:paraId="0BF6FC41"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Gender </w:t>
            </w:r>
          </w:p>
        </w:tc>
        <w:tc>
          <w:tcPr>
            <w:tcW w:w="3320" w:type="dxa"/>
            <w:tcBorders>
              <w:top w:val="single" w:sz="12" w:space="0" w:color="auto"/>
            </w:tcBorders>
            <w:vAlign w:val="center"/>
            <w:hideMark/>
          </w:tcPr>
          <w:p w14:paraId="1D37F839" w14:textId="77777777" w:rsidR="004B6976" w:rsidRPr="00FE344A" w:rsidRDefault="004B6976" w:rsidP="00DB4859">
            <w:pPr>
              <w:spacing w:after="0"/>
              <w:jc w:val="left"/>
              <w:rPr>
                <w:rFonts w:eastAsia="Times New Roman"/>
                <w:szCs w:val="24"/>
              </w:rPr>
            </w:pPr>
            <w:r>
              <w:t>Male</w:t>
            </w:r>
          </w:p>
        </w:tc>
        <w:tc>
          <w:tcPr>
            <w:tcW w:w="1900" w:type="dxa"/>
            <w:tcBorders>
              <w:top w:val="single" w:sz="12" w:space="0" w:color="auto"/>
            </w:tcBorders>
            <w:noWrap/>
            <w:vAlign w:val="center"/>
            <w:hideMark/>
          </w:tcPr>
          <w:p w14:paraId="073A5570" w14:textId="77777777" w:rsidR="004B6976" w:rsidRPr="00FE344A" w:rsidRDefault="004B6976" w:rsidP="00DB4859">
            <w:pPr>
              <w:spacing w:after="0"/>
              <w:jc w:val="center"/>
              <w:rPr>
                <w:rFonts w:eastAsia="Times New Roman"/>
                <w:szCs w:val="24"/>
              </w:rPr>
            </w:pPr>
            <w:r>
              <w:t>155</w:t>
            </w:r>
          </w:p>
        </w:tc>
        <w:tc>
          <w:tcPr>
            <w:tcW w:w="1660" w:type="dxa"/>
            <w:tcBorders>
              <w:top w:val="single" w:sz="12" w:space="0" w:color="auto"/>
            </w:tcBorders>
            <w:noWrap/>
            <w:vAlign w:val="center"/>
            <w:hideMark/>
          </w:tcPr>
          <w:p w14:paraId="63EC5C0A" w14:textId="77777777" w:rsidR="004B6976" w:rsidRPr="00FE344A" w:rsidRDefault="004B6976" w:rsidP="00DB4859">
            <w:pPr>
              <w:spacing w:after="0"/>
              <w:jc w:val="center"/>
              <w:rPr>
                <w:rFonts w:eastAsia="Times New Roman"/>
                <w:szCs w:val="24"/>
              </w:rPr>
            </w:pPr>
            <w:r>
              <w:t>59.6%</w:t>
            </w:r>
          </w:p>
        </w:tc>
      </w:tr>
      <w:tr w:rsidR="004B6976" w:rsidRPr="009F748E" w14:paraId="28CDB671" w14:textId="77777777" w:rsidTr="00DB4859">
        <w:trPr>
          <w:trHeight w:val="432"/>
        </w:trPr>
        <w:tc>
          <w:tcPr>
            <w:tcW w:w="1875" w:type="dxa"/>
            <w:vMerge/>
            <w:tcBorders>
              <w:top w:val="nil"/>
              <w:bottom w:val="single" w:sz="12" w:space="0" w:color="auto"/>
            </w:tcBorders>
            <w:vAlign w:val="center"/>
            <w:hideMark/>
          </w:tcPr>
          <w:p w14:paraId="2967807E" w14:textId="77777777" w:rsidR="004B6976" w:rsidRPr="009F748E" w:rsidRDefault="004B6976" w:rsidP="00DB4859">
            <w:pPr>
              <w:spacing w:after="0"/>
              <w:jc w:val="left"/>
              <w:rPr>
                <w:rFonts w:eastAsia="Times New Roman"/>
                <w:color w:val="000000"/>
                <w:szCs w:val="24"/>
              </w:rPr>
            </w:pPr>
          </w:p>
        </w:tc>
        <w:tc>
          <w:tcPr>
            <w:tcW w:w="3320" w:type="dxa"/>
            <w:tcBorders>
              <w:top w:val="nil"/>
              <w:bottom w:val="single" w:sz="12" w:space="0" w:color="auto"/>
            </w:tcBorders>
            <w:vAlign w:val="center"/>
            <w:hideMark/>
          </w:tcPr>
          <w:p w14:paraId="02B92A88" w14:textId="77777777" w:rsidR="004B6976" w:rsidRPr="00FE344A" w:rsidRDefault="004B6976" w:rsidP="00DB4859">
            <w:pPr>
              <w:spacing w:after="0"/>
              <w:jc w:val="left"/>
              <w:rPr>
                <w:rFonts w:eastAsia="Times New Roman"/>
                <w:b/>
                <w:szCs w:val="24"/>
              </w:rPr>
            </w:pPr>
            <w:r>
              <w:t>Female</w:t>
            </w:r>
          </w:p>
        </w:tc>
        <w:tc>
          <w:tcPr>
            <w:tcW w:w="1900" w:type="dxa"/>
            <w:tcBorders>
              <w:top w:val="nil"/>
              <w:bottom w:val="single" w:sz="12" w:space="0" w:color="auto"/>
            </w:tcBorders>
            <w:noWrap/>
            <w:vAlign w:val="center"/>
            <w:hideMark/>
          </w:tcPr>
          <w:p w14:paraId="14A16532" w14:textId="77777777" w:rsidR="004B6976" w:rsidRPr="00FE344A" w:rsidRDefault="004B6976" w:rsidP="00DB4859">
            <w:pPr>
              <w:spacing w:after="0"/>
              <w:jc w:val="center"/>
              <w:rPr>
                <w:rFonts w:eastAsia="Times New Roman"/>
                <w:b/>
                <w:szCs w:val="24"/>
              </w:rPr>
            </w:pPr>
            <w:r>
              <w:t>105</w:t>
            </w:r>
          </w:p>
        </w:tc>
        <w:tc>
          <w:tcPr>
            <w:tcW w:w="1660" w:type="dxa"/>
            <w:tcBorders>
              <w:top w:val="nil"/>
              <w:bottom w:val="single" w:sz="12" w:space="0" w:color="auto"/>
            </w:tcBorders>
            <w:noWrap/>
            <w:vAlign w:val="center"/>
            <w:hideMark/>
          </w:tcPr>
          <w:p w14:paraId="0EB3F514" w14:textId="77777777" w:rsidR="004B6976" w:rsidRPr="00FE344A" w:rsidRDefault="004B6976" w:rsidP="00DB4859">
            <w:pPr>
              <w:spacing w:after="0"/>
              <w:jc w:val="center"/>
              <w:rPr>
                <w:rFonts w:eastAsia="Times New Roman"/>
                <w:b/>
                <w:szCs w:val="24"/>
              </w:rPr>
            </w:pPr>
            <w:r>
              <w:t>40.4%</w:t>
            </w:r>
          </w:p>
        </w:tc>
      </w:tr>
    </w:tbl>
    <w:p w14:paraId="76DCCD09" w14:textId="3AC0A811" w:rsidR="004B6976" w:rsidRPr="00BA0047" w:rsidRDefault="004B6976" w:rsidP="004B6976">
      <w:pPr>
        <w:pStyle w:val="Heading3"/>
        <w:spacing w:before="360"/>
      </w:pPr>
      <w:bookmarkStart w:id="3" w:name="_Toc227478586"/>
      <w:r w:rsidRPr="00BA0047">
        <w:t>Socio-Demographic Characteristics</w:t>
      </w:r>
      <w:r>
        <w:t xml:space="preserve"> of Lecturers</w:t>
      </w:r>
      <w:bookmarkEnd w:id="3"/>
    </w:p>
    <w:p w14:paraId="0FB2D71F" w14:textId="098DEB13" w:rsidR="004B6976" w:rsidRDefault="004B6976" w:rsidP="004B6976">
      <w:pPr>
        <w:rPr>
          <w:szCs w:val="24"/>
          <w:lang w:eastAsia="x-none"/>
        </w:rPr>
      </w:pPr>
      <w:r>
        <w:rPr>
          <w:szCs w:val="24"/>
          <w:lang w:eastAsia="x-none"/>
        </w:rPr>
        <w:t>Approximately 38.5</w:t>
      </w:r>
      <w:r w:rsidRPr="009F748E">
        <w:rPr>
          <w:szCs w:val="24"/>
          <w:lang w:eastAsia="x-none"/>
        </w:rPr>
        <w:t xml:space="preserve">% of </w:t>
      </w:r>
      <w:r>
        <w:rPr>
          <w:szCs w:val="24"/>
          <w:lang w:eastAsia="x-none"/>
        </w:rPr>
        <w:t>lectures were aged between 30-39 years with most 4 (30.8</w:t>
      </w:r>
      <w:r w:rsidRPr="0033108E">
        <w:rPr>
          <w:rFonts w:eastAsia="Times New Roman"/>
          <w:color w:val="000000"/>
          <w:szCs w:val="24"/>
        </w:rPr>
        <w:t>%</w:t>
      </w:r>
      <w:r w:rsidRPr="009F748E">
        <w:rPr>
          <w:szCs w:val="24"/>
          <w:lang w:eastAsia="x-none"/>
        </w:rPr>
        <w:t xml:space="preserve">) </w:t>
      </w:r>
      <w:r>
        <w:rPr>
          <w:szCs w:val="24"/>
          <w:lang w:eastAsia="x-none"/>
        </w:rPr>
        <w:t xml:space="preserve">being between 50-59 years, </w:t>
      </w:r>
      <w:r w:rsidRPr="009F748E">
        <w:rPr>
          <w:szCs w:val="24"/>
        </w:rPr>
        <w:t>th</w:t>
      </w:r>
      <w:r>
        <w:rPr>
          <w:szCs w:val="24"/>
        </w:rPr>
        <w:t>e mode was 44 years, median 44.0</w:t>
      </w:r>
      <w:r w:rsidRPr="009F748E">
        <w:rPr>
          <w:szCs w:val="24"/>
        </w:rPr>
        <w:t xml:space="preserve"> </w:t>
      </w:r>
      <w:r>
        <w:rPr>
          <w:szCs w:val="24"/>
        </w:rPr>
        <w:t>years and the mean age was 43.62</w:t>
      </w:r>
      <w:r w:rsidRPr="009F748E">
        <w:rPr>
          <w:szCs w:val="24"/>
        </w:rPr>
        <w:t xml:space="preserve"> ± </w:t>
      </w:r>
      <w:r>
        <w:rPr>
          <w:szCs w:val="24"/>
        </w:rPr>
        <w:t>8.32. F</w:t>
      </w:r>
      <w:r>
        <w:rPr>
          <w:szCs w:val="24"/>
          <w:lang w:eastAsia="x-none"/>
        </w:rPr>
        <w:t>urther, 9 (69.2%) were males, 9(</w:t>
      </w:r>
      <w:r>
        <w:rPr>
          <w:rFonts w:eastAsia="Times New Roman"/>
          <w:color w:val="000000"/>
          <w:szCs w:val="24"/>
        </w:rPr>
        <w:t>69.2</w:t>
      </w:r>
      <w:r w:rsidRPr="00F73BCD">
        <w:rPr>
          <w:rFonts w:eastAsia="Times New Roman"/>
          <w:color w:val="000000"/>
          <w:szCs w:val="24"/>
        </w:rPr>
        <w:t>%</w:t>
      </w:r>
      <w:r>
        <w:rPr>
          <w:rFonts w:eastAsia="Times New Roman"/>
          <w:color w:val="000000"/>
          <w:szCs w:val="24"/>
        </w:rPr>
        <w:t xml:space="preserve">) </w:t>
      </w:r>
      <w:r>
        <w:rPr>
          <w:szCs w:val="24"/>
          <w:lang w:eastAsia="x-none"/>
        </w:rPr>
        <w:t>had a bachelor degree, and 12 (92.3%) were marries</w:t>
      </w:r>
      <w:r>
        <w:rPr>
          <w:rFonts w:eastAsia="Times New Roman"/>
          <w:color w:val="000000"/>
          <w:szCs w:val="24"/>
        </w:rPr>
        <w:t xml:space="preserve"> as </w:t>
      </w:r>
      <w:r w:rsidR="00086646">
        <w:rPr>
          <w:rFonts w:eastAsia="Times New Roman"/>
          <w:color w:val="000000"/>
          <w:szCs w:val="24"/>
        </w:rPr>
        <w:t>(Table</w:t>
      </w:r>
      <w:r w:rsidR="005B043D">
        <w:rPr>
          <w:rFonts w:eastAsia="Times New Roman"/>
          <w:color w:val="000000"/>
          <w:szCs w:val="24"/>
        </w:rPr>
        <w:t xml:space="preserve"> </w:t>
      </w:r>
      <w:r>
        <w:rPr>
          <w:rFonts w:eastAsia="Times New Roman"/>
          <w:color w:val="000000"/>
          <w:szCs w:val="24"/>
        </w:rPr>
        <w:t>2</w:t>
      </w:r>
      <w:r w:rsidR="00086646">
        <w:rPr>
          <w:rFonts w:eastAsia="Times New Roman"/>
          <w:color w:val="000000"/>
          <w:szCs w:val="24"/>
        </w:rPr>
        <w:t>)</w:t>
      </w:r>
      <w:r>
        <w:rPr>
          <w:rFonts w:eastAsia="Times New Roman"/>
          <w:color w:val="000000"/>
          <w:szCs w:val="24"/>
        </w:rPr>
        <w:t>.</w:t>
      </w:r>
    </w:p>
    <w:p w14:paraId="48F6A7F8" w14:textId="5F34AA94" w:rsidR="004B6976" w:rsidRPr="009F748E" w:rsidRDefault="000431D0" w:rsidP="000431D0">
      <w:pPr>
        <w:pStyle w:val="Caption"/>
        <w:keepNext/>
        <w:rPr>
          <w:lang w:eastAsia="x-none"/>
        </w:rPr>
      </w:pPr>
      <w:bookmarkStart w:id="4" w:name="_Toc3045356"/>
      <w:bookmarkStart w:id="5" w:name="_Toc15638490"/>
      <w:bookmarkStart w:id="6" w:name="_Toc73732627"/>
      <w:bookmarkStart w:id="7" w:name="_Toc93353289"/>
      <w:bookmarkStart w:id="8" w:name="_Toc112510407"/>
      <w:bookmarkStart w:id="9" w:name="_Toc149085496"/>
      <w:bookmarkStart w:id="10" w:name="_Toc155337847"/>
      <w:bookmarkStart w:id="11" w:name="_Toc227478632"/>
      <w:r>
        <w:t xml:space="preserve">Table </w:t>
      </w:r>
      <w:r>
        <w:fldChar w:fldCharType="begin"/>
      </w:r>
      <w:r>
        <w:instrText xml:space="preserve"> SEQ Table \* ARABIC </w:instrText>
      </w:r>
      <w:r>
        <w:fldChar w:fldCharType="separate"/>
      </w:r>
      <w:r w:rsidR="00430EAD">
        <w:rPr>
          <w:noProof/>
        </w:rPr>
        <w:t>2</w:t>
      </w:r>
      <w:r>
        <w:fldChar w:fldCharType="end"/>
      </w:r>
      <w:r w:rsidR="004B6976" w:rsidRPr="009F748E">
        <w:t xml:space="preserve">: </w:t>
      </w:r>
      <w:bookmarkEnd w:id="4"/>
      <w:bookmarkEnd w:id="5"/>
      <w:bookmarkEnd w:id="6"/>
      <w:bookmarkEnd w:id="7"/>
      <w:bookmarkEnd w:id="8"/>
      <w:bookmarkEnd w:id="9"/>
      <w:bookmarkEnd w:id="10"/>
      <w:r w:rsidR="004B6976" w:rsidRPr="00BA0047">
        <w:t>Socio-Demographic Characteristics</w:t>
      </w:r>
      <w:r w:rsidR="004B6976">
        <w:t xml:space="preserve"> of Lecturers</w:t>
      </w:r>
      <w:bookmarkEnd w:id="11"/>
    </w:p>
    <w:tbl>
      <w:tblPr>
        <w:tblW w:w="86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05"/>
        <w:gridCol w:w="2520"/>
        <w:gridCol w:w="1800"/>
        <w:gridCol w:w="1800"/>
      </w:tblGrid>
      <w:tr w:rsidR="004B6976" w:rsidRPr="009F748E" w14:paraId="5B95B28B" w14:textId="77777777" w:rsidTr="00DB4859">
        <w:trPr>
          <w:trHeight w:val="360"/>
        </w:trPr>
        <w:tc>
          <w:tcPr>
            <w:tcW w:w="5025" w:type="dxa"/>
            <w:gridSpan w:val="2"/>
            <w:tcBorders>
              <w:top w:val="single" w:sz="12" w:space="0" w:color="auto"/>
              <w:left w:val="nil"/>
              <w:bottom w:val="single" w:sz="12" w:space="0" w:color="auto"/>
            </w:tcBorders>
            <w:vAlign w:val="center"/>
            <w:hideMark/>
          </w:tcPr>
          <w:p w14:paraId="3996B66D" w14:textId="77777777" w:rsidR="004B6976" w:rsidRPr="004B5404" w:rsidRDefault="004B6976" w:rsidP="00DB4859">
            <w:pPr>
              <w:spacing w:after="0"/>
              <w:jc w:val="left"/>
              <w:rPr>
                <w:rFonts w:eastAsia="Times New Roman"/>
                <w:b/>
                <w:color w:val="000000"/>
                <w:szCs w:val="24"/>
              </w:rPr>
            </w:pPr>
            <w:r w:rsidRPr="009F748E">
              <w:rPr>
                <w:rFonts w:eastAsia="Times New Roman"/>
                <w:color w:val="000000"/>
                <w:szCs w:val="24"/>
              </w:rPr>
              <w:t> </w:t>
            </w:r>
            <w:r w:rsidRPr="004B5404">
              <w:rPr>
                <w:rFonts w:eastAsia="Times New Roman"/>
                <w:b/>
                <w:color w:val="000000"/>
                <w:szCs w:val="24"/>
              </w:rPr>
              <w:t xml:space="preserve">Characteristics </w:t>
            </w:r>
          </w:p>
        </w:tc>
        <w:tc>
          <w:tcPr>
            <w:tcW w:w="1800" w:type="dxa"/>
            <w:tcBorders>
              <w:top w:val="single" w:sz="12" w:space="0" w:color="auto"/>
              <w:bottom w:val="single" w:sz="12" w:space="0" w:color="auto"/>
              <w:right w:val="nil"/>
            </w:tcBorders>
            <w:vAlign w:val="center"/>
            <w:hideMark/>
          </w:tcPr>
          <w:p w14:paraId="65E14B90"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Frequency</w:t>
            </w:r>
          </w:p>
        </w:tc>
        <w:tc>
          <w:tcPr>
            <w:tcW w:w="1800" w:type="dxa"/>
            <w:tcBorders>
              <w:top w:val="single" w:sz="12" w:space="0" w:color="auto"/>
              <w:left w:val="nil"/>
              <w:bottom w:val="single" w:sz="12" w:space="0" w:color="auto"/>
              <w:right w:val="nil"/>
            </w:tcBorders>
            <w:vAlign w:val="center"/>
            <w:hideMark/>
          </w:tcPr>
          <w:p w14:paraId="0F1CB699" w14:textId="77777777" w:rsidR="004B6976" w:rsidRPr="00A55260" w:rsidRDefault="004B6976" w:rsidP="00DB4859">
            <w:pPr>
              <w:spacing w:after="0"/>
              <w:jc w:val="center"/>
              <w:rPr>
                <w:rFonts w:eastAsia="Times New Roman"/>
                <w:b/>
                <w:color w:val="000000"/>
                <w:szCs w:val="24"/>
              </w:rPr>
            </w:pPr>
            <w:r w:rsidRPr="00A55260">
              <w:rPr>
                <w:rFonts w:eastAsia="Times New Roman"/>
                <w:b/>
                <w:color w:val="000000"/>
                <w:szCs w:val="24"/>
              </w:rPr>
              <w:t>Percent</w:t>
            </w:r>
          </w:p>
        </w:tc>
      </w:tr>
      <w:tr w:rsidR="004B6976" w:rsidRPr="009F748E" w14:paraId="0FC93485" w14:textId="77777777" w:rsidTr="00DB4859">
        <w:trPr>
          <w:trHeight w:val="360"/>
        </w:trPr>
        <w:tc>
          <w:tcPr>
            <w:tcW w:w="2505" w:type="dxa"/>
            <w:vMerge w:val="restart"/>
            <w:tcBorders>
              <w:top w:val="single" w:sz="12" w:space="0" w:color="auto"/>
              <w:left w:val="nil"/>
              <w:bottom w:val="nil"/>
            </w:tcBorders>
            <w:hideMark/>
          </w:tcPr>
          <w:p w14:paraId="18EF69B9"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Age </w:t>
            </w:r>
          </w:p>
        </w:tc>
        <w:tc>
          <w:tcPr>
            <w:tcW w:w="2520" w:type="dxa"/>
            <w:tcBorders>
              <w:top w:val="single" w:sz="12" w:space="0" w:color="auto"/>
              <w:bottom w:val="nil"/>
            </w:tcBorders>
            <w:vAlign w:val="center"/>
            <w:hideMark/>
          </w:tcPr>
          <w:p w14:paraId="33B78EE9" w14:textId="77777777" w:rsidR="004B6976" w:rsidRPr="00342227" w:rsidRDefault="004B6976" w:rsidP="00DB4859">
            <w:pPr>
              <w:spacing w:after="0"/>
              <w:jc w:val="left"/>
              <w:rPr>
                <w:rFonts w:eastAsia="Times New Roman"/>
                <w:szCs w:val="24"/>
              </w:rPr>
            </w:pPr>
            <w:r w:rsidRPr="00342227">
              <w:t>30-39 years</w:t>
            </w:r>
          </w:p>
        </w:tc>
        <w:tc>
          <w:tcPr>
            <w:tcW w:w="1800" w:type="dxa"/>
            <w:tcBorders>
              <w:top w:val="single" w:sz="12" w:space="0" w:color="auto"/>
              <w:bottom w:val="nil"/>
              <w:right w:val="nil"/>
            </w:tcBorders>
            <w:noWrap/>
            <w:vAlign w:val="center"/>
            <w:hideMark/>
          </w:tcPr>
          <w:p w14:paraId="23F25D08" w14:textId="77777777" w:rsidR="004B6976" w:rsidRPr="00342227" w:rsidRDefault="004B6976" w:rsidP="00DB4859">
            <w:pPr>
              <w:spacing w:after="0"/>
              <w:jc w:val="center"/>
              <w:rPr>
                <w:rFonts w:eastAsia="Times New Roman"/>
                <w:szCs w:val="24"/>
              </w:rPr>
            </w:pPr>
            <w:r w:rsidRPr="00342227">
              <w:t>5</w:t>
            </w:r>
          </w:p>
        </w:tc>
        <w:tc>
          <w:tcPr>
            <w:tcW w:w="1800" w:type="dxa"/>
            <w:tcBorders>
              <w:top w:val="single" w:sz="12" w:space="0" w:color="auto"/>
              <w:left w:val="nil"/>
              <w:bottom w:val="nil"/>
              <w:right w:val="nil"/>
            </w:tcBorders>
            <w:noWrap/>
            <w:vAlign w:val="center"/>
            <w:hideMark/>
          </w:tcPr>
          <w:p w14:paraId="23E7D453" w14:textId="77777777" w:rsidR="004B6976" w:rsidRPr="00342227" w:rsidRDefault="004B6976" w:rsidP="00DB4859">
            <w:pPr>
              <w:spacing w:after="0"/>
              <w:jc w:val="center"/>
              <w:rPr>
                <w:rFonts w:eastAsia="Times New Roman"/>
                <w:szCs w:val="24"/>
              </w:rPr>
            </w:pPr>
            <w:r w:rsidRPr="00342227">
              <w:t>38.5%</w:t>
            </w:r>
          </w:p>
        </w:tc>
      </w:tr>
      <w:tr w:rsidR="004B6976" w:rsidRPr="009F748E" w14:paraId="28D2D4F7" w14:textId="77777777" w:rsidTr="00DB4859">
        <w:trPr>
          <w:trHeight w:val="360"/>
        </w:trPr>
        <w:tc>
          <w:tcPr>
            <w:tcW w:w="2505" w:type="dxa"/>
            <w:vMerge/>
            <w:tcBorders>
              <w:top w:val="nil"/>
              <w:left w:val="nil"/>
              <w:bottom w:val="nil"/>
            </w:tcBorders>
            <w:vAlign w:val="center"/>
            <w:hideMark/>
          </w:tcPr>
          <w:p w14:paraId="34F086EB" w14:textId="77777777" w:rsidR="004B6976" w:rsidRPr="009F748E" w:rsidRDefault="004B6976" w:rsidP="00DB4859">
            <w:pPr>
              <w:spacing w:after="0"/>
              <w:jc w:val="left"/>
              <w:rPr>
                <w:rFonts w:eastAsia="Times New Roman"/>
                <w:color w:val="000000"/>
                <w:szCs w:val="24"/>
              </w:rPr>
            </w:pPr>
          </w:p>
        </w:tc>
        <w:tc>
          <w:tcPr>
            <w:tcW w:w="2520" w:type="dxa"/>
            <w:tcBorders>
              <w:top w:val="nil"/>
              <w:bottom w:val="nil"/>
            </w:tcBorders>
            <w:vAlign w:val="center"/>
            <w:hideMark/>
          </w:tcPr>
          <w:p w14:paraId="0A74AC7B" w14:textId="77777777" w:rsidR="004B6976" w:rsidRPr="00342227" w:rsidRDefault="004B6976" w:rsidP="00DB4859">
            <w:pPr>
              <w:spacing w:after="0"/>
              <w:jc w:val="left"/>
              <w:rPr>
                <w:rFonts w:eastAsia="Times New Roman"/>
                <w:szCs w:val="24"/>
              </w:rPr>
            </w:pPr>
            <w:r w:rsidRPr="00342227">
              <w:t>40-49 years</w:t>
            </w:r>
          </w:p>
        </w:tc>
        <w:tc>
          <w:tcPr>
            <w:tcW w:w="1800" w:type="dxa"/>
            <w:tcBorders>
              <w:top w:val="nil"/>
              <w:bottom w:val="nil"/>
              <w:right w:val="nil"/>
            </w:tcBorders>
            <w:noWrap/>
            <w:vAlign w:val="center"/>
            <w:hideMark/>
          </w:tcPr>
          <w:p w14:paraId="3909AC9F"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nil"/>
              <w:right w:val="nil"/>
            </w:tcBorders>
            <w:noWrap/>
            <w:vAlign w:val="center"/>
            <w:hideMark/>
          </w:tcPr>
          <w:p w14:paraId="4330239B" w14:textId="77777777" w:rsidR="004B6976" w:rsidRPr="00342227" w:rsidRDefault="004B6976" w:rsidP="00DB4859">
            <w:pPr>
              <w:spacing w:after="0"/>
              <w:jc w:val="center"/>
              <w:rPr>
                <w:rFonts w:eastAsia="Times New Roman"/>
                <w:szCs w:val="24"/>
              </w:rPr>
            </w:pPr>
            <w:r w:rsidRPr="00342227">
              <w:t>30.8%</w:t>
            </w:r>
          </w:p>
        </w:tc>
      </w:tr>
      <w:tr w:rsidR="004B6976" w:rsidRPr="009F748E" w14:paraId="3BDA2BEE" w14:textId="77777777" w:rsidTr="00DB4859">
        <w:trPr>
          <w:trHeight w:val="360"/>
        </w:trPr>
        <w:tc>
          <w:tcPr>
            <w:tcW w:w="2505" w:type="dxa"/>
            <w:vMerge/>
            <w:tcBorders>
              <w:top w:val="nil"/>
              <w:left w:val="nil"/>
              <w:bottom w:val="single" w:sz="12" w:space="0" w:color="auto"/>
            </w:tcBorders>
            <w:vAlign w:val="center"/>
            <w:hideMark/>
          </w:tcPr>
          <w:p w14:paraId="3B40D189"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hideMark/>
          </w:tcPr>
          <w:p w14:paraId="40B34B63" w14:textId="77777777" w:rsidR="004B6976" w:rsidRPr="00342227" w:rsidRDefault="004B6976" w:rsidP="00DB4859">
            <w:pPr>
              <w:spacing w:after="0"/>
              <w:jc w:val="left"/>
              <w:rPr>
                <w:rFonts w:eastAsia="Times New Roman"/>
                <w:szCs w:val="24"/>
              </w:rPr>
            </w:pPr>
            <w:r w:rsidRPr="00342227">
              <w:t>50-59 years</w:t>
            </w:r>
          </w:p>
        </w:tc>
        <w:tc>
          <w:tcPr>
            <w:tcW w:w="1800" w:type="dxa"/>
            <w:tcBorders>
              <w:top w:val="nil"/>
              <w:bottom w:val="single" w:sz="12" w:space="0" w:color="auto"/>
              <w:right w:val="nil"/>
            </w:tcBorders>
            <w:noWrap/>
            <w:vAlign w:val="center"/>
            <w:hideMark/>
          </w:tcPr>
          <w:p w14:paraId="395FEDE8"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single" w:sz="12" w:space="0" w:color="auto"/>
              <w:right w:val="nil"/>
            </w:tcBorders>
            <w:noWrap/>
            <w:vAlign w:val="center"/>
            <w:hideMark/>
          </w:tcPr>
          <w:p w14:paraId="3036A810" w14:textId="77777777" w:rsidR="004B6976" w:rsidRPr="00342227" w:rsidRDefault="004B6976" w:rsidP="00DB4859">
            <w:pPr>
              <w:spacing w:after="0"/>
              <w:jc w:val="center"/>
              <w:rPr>
                <w:rFonts w:eastAsia="Times New Roman"/>
                <w:szCs w:val="24"/>
              </w:rPr>
            </w:pPr>
            <w:r w:rsidRPr="00342227">
              <w:t>30.8%</w:t>
            </w:r>
          </w:p>
        </w:tc>
      </w:tr>
      <w:tr w:rsidR="004B6976" w:rsidRPr="009F748E" w14:paraId="09C43B3B" w14:textId="77777777" w:rsidTr="00DB4859">
        <w:trPr>
          <w:trHeight w:val="360"/>
        </w:trPr>
        <w:tc>
          <w:tcPr>
            <w:tcW w:w="2505" w:type="dxa"/>
            <w:vMerge w:val="restart"/>
            <w:tcBorders>
              <w:top w:val="single" w:sz="12" w:space="0" w:color="auto"/>
              <w:left w:val="nil"/>
              <w:bottom w:val="nil"/>
            </w:tcBorders>
            <w:hideMark/>
          </w:tcPr>
          <w:p w14:paraId="3BD41331"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Gender </w:t>
            </w:r>
          </w:p>
        </w:tc>
        <w:tc>
          <w:tcPr>
            <w:tcW w:w="2520" w:type="dxa"/>
            <w:tcBorders>
              <w:top w:val="single" w:sz="12" w:space="0" w:color="auto"/>
              <w:bottom w:val="nil"/>
            </w:tcBorders>
            <w:vAlign w:val="center"/>
            <w:hideMark/>
          </w:tcPr>
          <w:p w14:paraId="51F10E73" w14:textId="77777777" w:rsidR="004B6976" w:rsidRPr="00342227" w:rsidRDefault="004B6976" w:rsidP="00DB4859">
            <w:pPr>
              <w:spacing w:after="0"/>
              <w:jc w:val="left"/>
              <w:rPr>
                <w:rFonts w:eastAsia="Times New Roman"/>
                <w:szCs w:val="24"/>
              </w:rPr>
            </w:pPr>
            <w:r w:rsidRPr="00342227">
              <w:t>Male</w:t>
            </w:r>
          </w:p>
        </w:tc>
        <w:tc>
          <w:tcPr>
            <w:tcW w:w="1800" w:type="dxa"/>
            <w:tcBorders>
              <w:top w:val="single" w:sz="12" w:space="0" w:color="auto"/>
              <w:bottom w:val="nil"/>
              <w:right w:val="nil"/>
            </w:tcBorders>
            <w:noWrap/>
            <w:vAlign w:val="center"/>
            <w:hideMark/>
          </w:tcPr>
          <w:p w14:paraId="27C42ED7" w14:textId="77777777" w:rsidR="004B6976" w:rsidRPr="00342227" w:rsidRDefault="004B6976" w:rsidP="00DB4859">
            <w:pPr>
              <w:spacing w:after="0"/>
              <w:jc w:val="center"/>
              <w:rPr>
                <w:rFonts w:eastAsia="Times New Roman"/>
                <w:szCs w:val="24"/>
              </w:rPr>
            </w:pPr>
            <w:r w:rsidRPr="00342227">
              <w:t>9</w:t>
            </w:r>
          </w:p>
        </w:tc>
        <w:tc>
          <w:tcPr>
            <w:tcW w:w="1800" w:type="dxa"/>
            <w:tcBorders>
              <w:top w:val="single" w:sz="12" w:space="0" w:color="auto"/>
              <w:left w:val="nil"/>
              <w:bottom w:val="nil"/>
              <w:right w:val="nil"/>
            </w:tcBorders>
            <w:noWrap/>
            <w:vAlign w:val="center"/>
            <w:hideMark/>
          </w:tcPr>
          <w:p w14:paraId="2C45B883" w14:textId="77777777" w:rsidR="004B6976" w:rsidRPr="00342227" w:rsidRDefault="004B6976" w:rsidP="00DB4859">
            <w:pPr>
              <w:spacing w:after="0"/>
              <w:jc w:val="center"/>
              <w:rPr>
                <w:rFonts w:eastAsia="Times New Roman"/>
                <w:szCs w:val="24"/>
              </w:rPr>
            </w:pPr>
            <w:r w:rsidRPr="00342227">
              <w:t>69.2%</w:t>
            </w:r>
          </w:p>
        </w:tc>
      </w:tr>
      <w:tr w:rsidR="004B6976" w:rsidRPr="009F748E" w14:paraId="5F1F8F0F" w14:textId="77777777" w:rsidTr="00DB4859">
        <w:trPr>
          <w:trHeight w:val="360"/>
        </w:trPr>
        <w:tc>
          <w:tcPr>
            <w:tcW w:w="2505" w:type="dxa"/>
            <w:vMerge/>
            <w:tcBorders>
              <w:top w:val="nil"/>
              <w:left w:val="nil"/>
              <w:bottom w:val="single" w:sz="12" w:space="0" w:color="auto"/>
            </w:tcBorders>
            <w:hideMark/>
          </w:tcPr>
          <w:p w14:paraId="4820FE68"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hideMark/>
          </w:tcPr>
          <w:p w14:paraId="34CCA98F" w14:textId="77777777" w:rsidR="004B6976" w:rsidRPr="00342227" w:rsidRDefault="004B6976" w:rsidP="00DB4859">
            <w:pPr>
              <w:spacing w:after="0"/>
              <w:jc w:val="left"/>
              <w:rPr>
                <w:rFonts w:eastAsia="Times New Roman"/>
                <w:b/>
                <w:szCs w:val="24"/>
              </w:rPr>
            </w:pPr>
            <w:r w:rsidRPr="00342227">
              <w:t>Female</w:t>
            </w:r>
          </w:p>
        </w:tc>
        <w:tc>
          <w:tcPr>
            <w:tcW w:w="1800" w:type="dxa"/>
            <w:tcBorders>
              <w:top w:val="nil"/>
              <w:bottom w:val="single" w:sz="12" w:space="0" w:color="auto"/>
              <w:right w:val="nil"/>
            </w:tcBorders>
            <w:noWrap/>
            <w:vAlign w:val="center"/>
            <w:hideMark/>
          </w:tcPr>
          <w:p w14:paraId="2A919B42" w14:textId="77777777" w:rsidR="004B6976" w:rsidRPr="00342227" w:rsidRDefault="004B6976" w:rsidP="00DB4859">
            <w:pPr>
              <w:spacing w:after="0"/>
              <w:jc w:val="center"/>
              <w:rPr>
                <w:rFonts w:eastAsia="Times New Roman"/>
                <w:b/>
                <w:szCs w:val="24"/>
              </w:rPr>
            </w:pPr>
            <w:r w:rsidRPr="00342227">
              <w:t>4</w:t>
            </w:r>
          </w:p>
        </w:tc>
        <w:tc>
          <w:tcPr>
            <w:tcW w:w="1800" w:type="dxa"/>
            <w:tcBorders>
              <w:top w:val="nil"/>
              <w:left w:val="nil"/>
              <w:bottom w:val="single" w:sz="12" w:space="0" w:color="auto"/>
              <w:right w:val="nil"/>
            </w:tcBorders>
            <w:noWrap/>
            <w:vAlign w:val="center"/>
            <w:hideMark/>
          </w:tcPr>
          <w:p w14:paraId="2EFDF151" w14:textId="77777777" w:rsidR="004B6976" w:rsidRPr="00342227" w:rsidRDefault="004B6976" w:rsidP="00DB4859">
            <w:pPr>
              <w:spacing w:after="0"/>
              <w:jc w:val="center"/>
              <w:rPr>
                <w:rFonts w:eastAsia="Times New Roman"/>
                <w:b/>
                <w:szCs w:val="24"/>
              </w:rPr>
            </w:pPr>
            <w:r w:rsidRPr="00342227">
              <w:t>30.8%</w:t>
            </w:r>
          </w:p>
        </w:tc>
      </w:tr>
      <w:tr w:rsidR="004B6976" w:rsidRPr="009F748E" w14:paraId="60C2D2EB" w14:textId="77777777" w:rsidTr="00DB4859">
        <w:trPr>
          <w:trHeight w:val="360"/>
        </w:trPr>
        <w:tc>
          <w:tcPr>
            <w:tcW w:w="2505" w:type="dxa"/>
            <w:vMerge w:val="restart"/>
            <w:tcBorders>
              <w:top w:val="nil"/>
              <w:left w:val="nil"/>
            </w:tcBorders>
          </w:tcPr>
          <w:p w14:paraId="58C01C19" w14:textId="77777777" w:rsidR="004B6976" w:rsidRDefault="004B6976" w:rsidP="00DB4859">
            <w:pPr>
              <w:spacing w:after="0"/>
              <w:jc w:val="left"/>
              <w:rPr>
                <w:rFonts w:eastAsia="Times New Roman"/>
                <w:color w:val="000000"/>
                <w:szCs w:val="24"/>
              </w:rPr>
            </w:pPr>
            <w:r>
              <w:rPr>
                <w:rFonts w:eastAsia="Times New Roman"/>
                <w:color w:val="000000"/>
                <w:szCs w:val="24"/>
              </w:rPr>
              <w:t xml:space="preserve">Level of education </w:t>
            </w:r>
          </w:p>
          <w:p w14:paraId="5D02C944"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 </w:t>
            </w:r>
          </w:p>
        </w:tc>
        <w:tc>
          <w:tcPr>
            <w:tcW w:w="2520" w:type="dxa"/>
            <w:tcBorders>
              <w:top w:val="single" w:sz="12" w:space="0" w:color="auto"/>
              <w:bottom w:val="nil"/>
            </w:tcBorders>
            <w:vAlign w:val="center"/>
          </w:tcPr>
          <w:p w14:paraId="4EF01BE8" w14:textId="77777777" w:rsidR="004B6976" w:rsidRPr="00342227" w:rsidRDefault="004B6976" w:rsidP="00DB4859">
            <w:pPr>
              <w:spacing w:after="0"/>
              <w:jc w:val="left"/>
              <w:rPr>
                <w:rFonts w:eastAsia="Times New Roman"/>
                <w:szCs w:val="24"/>
              </w:rPr>
            </w:pPr>
            <w:r w:rsidRPr="00342227">
              <w:t>Degree</w:t>
            </w:r>
          </w:p>
        </w:tc>
        <w:tc>
          <w:tcPr>
            <w:tcW w:w="1800" w:type="dxa"/>
            <w:tcBorders>
              <w:top w:val="single" w:sz="12" w:space="0" w:color="auto"/>
              <w:bottom w:val="nil"/>
              <w:right w:val="nil"/>
            </w:tcBorders>
            <w:noWrap/>
            <w:vAlign w:val="center"/>
          </w:tcPr>
          <w:p w14:paraId="6C6B63D4" w14:textId="77777777" w:rsidR="004B6976" w:rsidRPr="00342227" w:rsidRDefault="004B6976" w:rsidP="00DB4859">
            <w:pPr>
              <w:spacing w:after="0"/>
              <w:jc w:val="center"/>
              <w:rPr>
                <w:rFonts w:eastAsia="Times New Roman"/>
                <w:szCs w:val="24"/>
              </w:rPr>
            </w:pPr>
            <w:r w:rsidRPr="00342227">
              <w:t>9</w:t>
            </w:r>
          </w:p>
        </w:tc>
        <w:tc>
          <w:tcPr>
            <w:tcW w:w="1800" w:type="dxa"/>
            <w:tcBorders>
              <w:top w:val="single" w:sz="12" w:space="0" w:color="auto"/>
              <w:left w:val="nil"/>
              <w:bottom w:val="nil"/>
              <w:right w:val="nil"/>
            </w:tcBorders>
            <w:noWrap/>
            <w:vAlign w:val="center"/>
          </w:tcPr>
          <w:p w14:paraId="6EE19FF8" w14:textId="77777777" w:rsidR="004B6976" w:rsidRPr="00342227" w:rsidRDefault="004B6976" w:rsidP="00DB4859">
            <w:pPr>
              <w:spacing w:after="0"/>
              <w:jc w:val="center"/>
              <w:rPr>
                <w:rFonts w:eastAsia="Times New Roman"/>
                <w:szCs w:val="24"/>
              </w:rPr>
            </w:pPr>
            <w:r w:rsidRPr="00342227">
              <w:t>69.2%</w:t>
            </w:r>
          </w:p>
        </w:tc>
      </w:tr>
      <w:tr w:rsidR="004B6976" w:rsidRPr="009F748E" w14:paraId="27C24CAB" w14:textId="77777777" w:rsidTr="00DB4859">
        <w:trPr>
          <w:trHeight w:val="360"/>
        </w:trPr>
        <w:tc>
          <w:tcPr>
            <w:tcW w:w="2505" w:type="dxa"/>
            <w:vMerge/>
            <w:tcBorders>
              <w:left w:val="nil"/>
              <w:bottom w:val="single" w:sz="12" w:space="0" w:color="auto"/>
            </w:tcBorders>
          </w:tcPr>
          <w:p w14:paraId="2D227BE1"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tcPr>
          <w:p w14:paraId="1EF73FE8" w14:textId="77777777" w:rsidR="004B6976" w:rsidRPr="00342227" w:rsidRDefault="004B6976" w:rsidP="00DB4859">
            <w:pPr>
              <w:spacing w:after="0"/>
              <w:jc w:val="left"/>
              <w:rPr>
                <w:rFonts w:eastAsia="Times New Roman"/>
                <w:szCs w:val="24"/>
              </w:rPr>
            </w:pPr>
            <w:r w:rsidRPr="00342227">
              <w:t>Masters</w:t>
            </w:r>
          </w:p>
        </w:tc>
        <w:tc>
          <w:tcPr>
            <w:tcW w:w="1800" w:type="dxa"/>
            <w:tcBorders>
              <w:top w:val="nil"/>
              <w:bottom w:val="single" w:sz="12" w:space="0" w:color="auto"/>
              <w:right w:val="nil"/>
            </w:tcBorders>
            <w:noWrap/>
            <w:vAlign w:val="center"/>
          </w:tcPr>
          <w:p w14:paraId="0E5B609B" w14:textId="77777777" w:rsidR="004B6976" w:rsidRPr="00342227" w:rsidRDefault="004B6976" w:rsidP="00DB4859">
            <w:pPr>
              <w:spacing w:after="0"/>
              <w:jc w:val="center"/>
              <w:rPr>
                <w:rFonts w:eastAsia="Times New Roman"/>
                <w:szCs w:val="24"/>
              </w:rPr>
            </w:pPr>
            <w:r w:rsidRPr="00342227">
              <w:t>4</w:t>
            </w:r>
          </w:p>
        </w:tc>
        <w:tc>
          <w:tcPr>
            <w:tcW w:w="1800" w:type="dxa"/>
            <w:tcBorders>
              <w:top w:val="nil"/>
              <w:left w:val="nil"/>
              <w:bottom w:val="single" w:sz="12" w:space="0" w:color="auto"/>
              <w:right w:val="nil"/>
            </w:tcBorders>
            <w:noWrap/>
            <w:vAlign w:val="center"/>
          </w:tcPr>
          <w:p w14:paraId="6295CC0F" w14:textId="77777777" w:rsidR="004B6976" w:rsidRPr="00342227" w:rsidRDefault="004B6976" w:rsidP="00DB4859">
            <w:pPr>
              <w:spacing w:after="0"/>
              <w:jc w:val="center"/>
              <w:rPr>
                <w:rFonts w:eastAsia="Times New Roman"/>
                <w:szCs w:val="24"/>
              </w:rPr>
            </w:pPr>
            <w:r w:rsidRPr="00342227">
              <w:t>30.8%</w:t>
            </w:r>
          </w:p>
        </w:tc>
      </w:tr>
      <w:tr w:rsidR="004B6976" w:rsidRPr="009F748E" w14:paraId="0A372D53" w14:textId="77777777" w:rsidTr="00DB4859">
        <w:trPr>
          <w:trHeight w:val="360"/>
        </w:trPr>
        <w:tc>
          <w:tcPr>
            <w:tcW w:w="2505" w:type="dxa"/>
            <w:vMerge w:val="restart"/>
            <w:tcBorders>
              <w:top w:val="single" w:sz="12" w:space="0" w:color="auto"/>
              <w:left w:val="nil"/>
            </w:tcBorders>
          </w:tcPr>
          <w:p w14:paraId="64040134" w14:textId="77777777" w:rsidR="004B6976" w:rsidRPr="009F748E" w:rsidRDefault="004B6976" w:rsidP="00DB4859">
            <w:pPr>
              <w:spacing w:after="0"/>
              <w:jc w:val="left"/>
              <w:rPr>
                <w:rFonts w:eastAsia="Times New Roman"/>
                <w:color w:val="000000"/>
                <w:szCs w:val="24"/>
              </w:rPr>
            </w:pPr>
            <w:r>
              <w:rPr>
                <w:rFonts w:eastAsia="Times New Roman"/>
                <w:color w:val="000000"/>
                <w:szCs w:val="24"/>
              </w:rPr>
              <w:t xml:space="preserve">Marital status </w:t>
            </w:r>
          </w:p>
        </w:tc>
        <w:tc>
          <w:tcPr>
            <w:tcW w:w="2520" w:type="dxa"/>
            <w:tcBorders>
              <w:top w:val="single" w:sz="12" w:space="0" w:color="auto"/>
              <w:bottom w:val="nil"/>
            </w:tcBorders>
            <w:vAlign w:val="center"/>
          </w:tcPr>
          <w:p w14:paraId="08AF13DE" w14:textId="77777777" w:rsidR="004B6976" w:rsidRPr="00342227" w:rsidRDefault="004B6976" w:rsidP="00DB4859">
            <w:pPr>
              <w:spacing w:after="0"/>
              <w:jc w:val="left"/>
            </w:pPr>
            <w:r w:rsidRPr="00342227">
              <w:t>Single</w:t>
            </w:r>
          </w:p>
        </w:tc>
        <w:tc>
          <w:tcPr>
            <w:tcW w:w="1800" w:type="dxa"/>
            <w:tcBorders>
              <w:top w:val="single" w:sz="12" w:space="0" w:color="auto"/>
              <w:bottom w:val="nil"/>
              <w:right w:val="nil"/>
            </w:tcBorders>
            <w:noWrap/>
            <w:vAlign w:val="center"/>
          </w:tcPr>
          <w:p w14:paraId="3F99D54F" w14:textId="77777777" w:rsidR="004B6976" w:rsidRPr="00342227" w:rsidRDefault="004B6976" w:rsidP="00DB4859">
            <w:pPr>
              <w:spacing w:after="0"/>
              <w:jc w:val="center"/>
              <w:rPr>
                <w:szCs w:val="24"/>
              </w:rPr>
            </w:pPr>
            <w:r w:rsidRPr="00342227">
              <w:t>1</w:t>
            </w:r>
          </w:p>
        </w:tc>
        <w:tc>
          <w:tcPr>
            <w:tcW w:w="1800" w:type="dxa"/>
            <w:tcBorders>
              <w:top w:val="single" w:sz="12" w:space="0" w:color="auto"/>
              <w:left w:val="nil"/>
              <w:bottom w:val="nil"/>
              <w:right w:val="nil"/>
            </w:tcBorders>
            <w:noWrap/>
            <w:vAlign w:val="center"/>
          </w:tcPr>
          <w:p w14:paraId="0B99113E" w14:textId="77777777" w:rsidR="004B6976" w:rsidRPr="00342227" w:rsidRDefault="004B6976" w:rsidP="00DB4859">
            <w:pPr>
              <w:spacing w:after="0"/>
              <w:jc w:val="center"/>
              <w:rPr>
                <w:szCs w:val="24"/>
              </w:rPr>
            </w:pPr>
            <w:r w:rsidRPr="00342227">
              <w:t>7.7%</w:t>
            </w:r>
          </w:p>
        </w:tc>
      </w:tr>
      <w:tr w:rsidR="004B6976" w:rsidRPr="009F748E" w14:paraId="57D6FA77" w14:textId="77777777" w:rsidTr="00DB4859">
        <w:trPr>
          <w:trHeight w:val="360"/>
        </w:trPr>
        <w:tc>
          <w:tcPr>
            <w:tcW w:w="2505" w:type="dxa"/>
            <w:vMerge/>
            <w:tcBorders>
              <w:left w:val="nil"/>
              <w:bottom w:val="single" w:sz="12" w:space="0" w:color="auto"/>
            </w:tcBorders>
            <w:vAlign w:val="center"/>
          </w:tcPr>
          <w:p w14:paraId="01D28CAB" w14:textId="77777777" w:rsidR="004B6976" w:rsidRPr="009F748E" w:rsidRDefault="004B6976" w:rsidP="00DB4859">
            <w:pPr>
              <w:spacing w:after="0"/>
              <w:jc w:val="left"/>
              <w:rPr>
                <w:rFonts w:eastAsia="Times New Roman"/>
                <w:color w:val="000000"/>
                <w:szCs w:val="24"/>
              </w:rPr>
            </w:pPr>
          </w:p>
        </w:tc>
        <w:tc>
          <w:tcPr>
            <w:tcW w:w="2520" w:type="dxa"/>
            <w:tcBorders>
              <w:top w:val="nil"/>
              <w:bottom w:val="single" w:sz="12" w:space="0" w:color="auto"/>
            </w:tcBorders>
            <w:vAlign w:val="center"/>
          </w:tcPr>
          <w:p w14:paraId="056B227D" w14:textId="77777777" w:rsidR="004B6976" w:rsidRPr="00342227" w:rsidRDefault="004B6976" w:rsidP="00DB4859">
            <w:pPr>
              <w:spacing w:after="0"/>
              <w:jc w:val="left"/>
            </w:pPr>
            <w:r w:rsidRPr="00342227">
              <w:t>Married</w:t>
            </w:r>
          </w:p>
        </w:tc>
        <w:tc>
          <w:tcPr>
            <w:tcW w:w="1800" w:type="dxa"/>
            <w:tcBorders>
              <w:top w:val="nil"/>
              <w:bottom w:val="single" w:sz="12" w:space="0" w:color="auto"/>
              <w:right w:val="nil"/>
            </w:tcBorders>
            <w:noWrap/>
            <w:vAlign w:val="center"/>
          </w:tcPr>
          <w:p w14:paraId="7A16C8E3" w14:textId="77777777" w:rsidR="004B6976" w:rsidRPr="00342227" w:rsidRDefault="004B6976" w:rsidP="00DB4859">
            <w:pPr>
              <w:spacing w:after="0"/>
              <w:jc w:val="center"/>
              <w:rPr>
                <w:szCs w:val="24"/>
              </w:rPr>
            </w:pPr>
            <w:r w:rsidRPr="00342227">
              <w:t>12</w:t>
            </w:r>
          </w:p>
        </w:tc>
        <w:tc>
          <w:tcPr>
            <w:tcW w:w="1800" w:type="dxa"/>
            <w:tcBorders>
              <w:top w:val="nil"/>
              <w:left w:val="nil"/>
              <w:bottom w:val="single" w:sz="12" w:space="0" w:color="auto"/>
              <w:right w:val="nil"/>
            </w:tcBorders>
            <w:noWrap/>
            <w:vAlign w:val="center"/>
          </w:tcPr>
          <w:p w14:paraId="57259521" w14:textId="77777777" w:rsidR="004B6976" w:rsidRPr="00342227" w:rsidRDefault="004B6976" w:rsidP="00DB4859">
            <w:pPr>
              <w:spacing w:after="0"/>
              <w:jc w:val="center"/>
              <w:rPr>
                <w:szCs w:val="24"/>
              </w:rPr>
            </w:pPr>
            <w:r w:rsidRPr="00342227">
              <w:t>92.3%</w:t>
            </w:r>
          </w:p>
        </w:tc>
      </w:tr>
    </w:tbl>
    <w:p w14:paraId="637BDF1B" w14:textId="03EBC9AE" w:rsidR="00F57B3F" w:rsidRPr="00F57B3F" w:rsidRDefault="00F57B3F" w:rsidP="00F57B3F">
      <w:pPr>
        <w:spacing w:before="240"/>
        <w:rPr>
          <w:b/>
          <w:bCs/>
          <w:szCs w:val="24"/>
          <w:lang w:val="en-US"/>
        </w:rPr>
      </w:pPr>
      <w:r w:rsidRPr="00F57B3F">
        <w:rPr>
          <w:b/>
          <w:bCs/>
          <w:szCs w:val="24"/>
          <w:lang w:val="en-US"/>
        </w:rPr>
        <w:t>Cadaveric dissection model usage in teaching anatomy</w:t>
      </w:r>
    </w:p>
    <w:p w14:paraId="6708CD7D" w14:textId="66B37826" w:rsidR="00F57B3F" w:rsidRDefault="00F57B3F" w:rsidP="00F57B3F">
      <w:r w:rsidRPr="00F57B3F">
        <w:rPr>
          <w:lang w:val="en-US"/>
        </w:rPr>
        <w:t>More than half of the students (51.2%) reported participating in cadaveric dissection once per semester, while 47.7% reported rare participation.</w:t>
      </w:r>
      <w:r w:rsidR="00D26FE4">
        <w:rPr>
          <w:lang w:val="en-US"/>
        </w:rPr>
        <w:t xml:space="preserve"> </w:t>
      </w:r>
      <w:r w:rsidR="00D26FE4" w:rsidRPr="00D26FE4">
        <w:t>Cadaveric dissection was most commonly used in teaching the musculoskeletal system (94.5%), followed by the circulatory system (60.4%), respiratory system (57.7%), and nervous system (57.7%)</w:t>
      </w:r>
      <w:r w:rsidR="00086646">
        <w:t xml:space="preserve">. Further, </w:t>
      </w:r>
      <w:r w:rsidR="00086646" w:rsidRPr="00416004">
        <w:t>78.1% reported that cadaveric dissection is used less frequently at KMTC, while</w:t>
      </w:r>
      <w:r w:rsidR="00086646">
        <w:t xml:space="preserve"> </w:t>
      </w:r>
      <w:r w:rsidR="00086646" w:rsidRPr="00416004">
        <w:t>17.3% indicated frequent use. Regarding adequacy</w:t>
      </w:r>
      <w:r w:rsidR="00086646">
        <w:t xml:space="preserve"> </w:t>
      </w:r>
      <w:r w:rsidR="00086646" w:rsidRPr="00B066BA">
        <w:rPr>
          <w:rFonts w:eastAsia="Times New Roman"/>
          <w:szCs w:val="24"/>
        </w:rPr>
        <w:t>of cadaveric dissection use for learning</w:t>
      </w:r>
      <w:r w:rsidR="00086646" w:rsidRPr="00416004">
        <w:t>, 45.0% rated it very adequate, 40.0% somewhat adequate, and 5.0% adequate</w:t>
      </w:r>
      <w:r w:rsidR="0058005C">
        <w:t xml:space="preserve"> (Table 3)</w:t>
      </w:r>
      <w:r w:rsidR="00086646" w:rsidRPr="00416004">
        <w:t>.</w:t>
      </w:r>
    </w:p>
    <w:p w14:paraId="4AAE92C5" w14:textId="0151935F" w:rsidR="0058005C" w:rsidRPr="00F57B3F" w:rsidRDefault="0058005C" w:rsidP="0058005C">
      <w:pPr>
        <w:pStyle w:val="Caption"/>
        <w:rPr>
          <w:lang w:val="en-US"/>
        </w:rPr>
      </w:pPr>
      <w:r>
        <w:t xml:space="preserve">Table </w:t>
      </w:r>
      <w:r>
        <w:fldChar w:fldCharType="begin"/>
      </w:r>
      <w:r>
        <w:instrText xml:space="preserve"> SEQ Table \* ARABIC </w:instrText>
      </w:r>
      <w:r>
        <w:fldChar w:fldCharType="separate"/>
      </w:r>
      <w:r w:rsidR="00430EAD">
        <w:rPr>
          <w:noProof/>
        </w:rPr>
        <w:t>3</w:t>
      </w:r>
      <w:r>
        <w:fldChar w:fldCharType="end"/>
      </w:r>
      <w:r>
        <w:t xml:space="preserve">: </w:t>
      </w:r>
      <w:r w:rsidRPr="00A844D9">
        <w:t>Cadaveric dissection model usage in teaching anatomy</w:t>
      </w:r>
    </w:p>
    <w:tbl>
      <w:tblPr>
        <w:tblW w:w="9500" w:type="dxa"/>
        <w:tblLook w:val="04A0" w:firstRow="1" w:lastRow="0" w:firstColumn="1" w:lastColumn="0" w:noHBand="0" w:noVBand="1"/>
      </w:tblPr>
      <w:tblGrid>
        <w:gridCol w:w="2360"/>
        <w:gridCol w:w="2820"/>
        <w:gridCol w:w="2140"/>
        <w:gridCol w:w="2180"/>
      </w:tblGrid>
      <w:tr w:rsidR="0058005C" w:rsidRPr="0058005C" w14:paraId="2242E955" w14:textId="77777777" w:rsidTr="0058005C">
        <w:trPr>
          <w:trHeight w:val="345"/>
        </w:trPr>
        <w:tc>
          <w:tcPr>
            <w:tcW w:w="5180" w:type="dxa"/>
            <w:gridSpan w:val="2"/>
            <w:tcBorders>
              <w:top w:val="single" w:sz="12" w:space="0" w:color="auto"/>
              <w:left w:val="nil"/>
              <w:bottom w:val="single" w:sz="12" w:space="0" w:color="auto"/>
              <w:right w:val="nil"/>
            </w:tcBorders>
            <w:vAlign w:val="center"/>
            <w:hideMark/>
          </w:tcPr>
          <w:p w14:paraId="11E4759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Characteristics</w:t>
            </w:r>
          </w:p>
        </w:tc>
        <w:tc>
          <w:tcPr>
            <w:tcW w:w="2140" w:type="dxa"/>
            <w:tcBorders>
              <w:top w:val="single" w:sz="12" w:space="0" w:color="auto"/>
              <w:left w:val="nil"/>
              <w:bottom w:val="single" w:sz="12" w:space="0" w:color="auto"/>
              <w:right w:val="nil"/>
            </w:tcBorders>
            <w:vAlign w:val="center"/>
            <w:hideMark/>
          </w:tcPr>
          <w:p w14:paraId="04801493"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Frequency</w:t>
            </w:r>
          </w:p>
        </w:tc>
        <w:tc>
          <w:tcPr>
            <w:tcW w:w="2180" w:type="dxa"/>
            <w:tcBorders>
              <w:top w:val="single" w:sz="12" w:space="0" w:color="auto"/>
              <w:left w:val="nil"/>
              <w:bottom w:val="single" w:sz="12" w:space="0" w:color="auto"/>
              <w:right w:val="nil"/>
            </w:tcBorders>
            <w:vAlign w:val="center"/>
            <w:hideMark/>
          </w:tcPr>
          <w:p w14:paraId="40A20266"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Percent</w:t>
            </w:r>
          </w:p>
        </w:tc>
      </w:tr>
      <w:tr w:rsidR="0058005C" w:rsidRPr="0058005C" w14:paraId="58B66D5E" w14:textId="77777777" w:rsidTr="0058005C">
        <w:trPr>
          <w:trHeight w:val="330"/>
        </w:trPr>
        <w:tc>
          <w:tcPr>
            <w:tcW w:w="2360" w:type="dxa"/>
            <w:vMerge w:val="restart"/>
            <w:tcBorders>
              <w:top w:val="single" w:sz="4" w:space="0" w:color="993366"/>
              <w:left w:val="nil"/>
              <w:bottom w:val="single" w:sz="4" w:space="0" w:color="C0C0C0"/>
              <w:right w:val="nil"/>
            </w:tcBorders>
            <w:hideMark/>
          </w:tcPr>
          <w:p w14:paraId="7BFE3964"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lastRenderedPageBreak/>
              <w:t>Frequency of participation in cadaveric dissection</w:t>
            </w:r>
          </w:p>
        </w:tc>
        <w:tc>
          <w:tcPr>
            <w:tcW w:w="2820" w:type="dxa"/>
            <w:tcBorders>
              <w:left w:val="nil"/>
            </w:tcBorders>
            <w:vAlign w:val="center"/>
            <w:hideMark/>
          </w:tcPr>
          <w:p w14:paraId="62ECB786"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Never</w:t>
            </w:r>
          </w:p>
        </w:tc>
        <w:tc>
          <w:tcPr>
            <w:tcW w:w="2140" w:type="dxa"/>
            <w:noWrap/>
            <w:vAlign w:val="center"/>
            <w:hideMark/>
          </w:tcPr>
          <w:p w14:paraId="2E4975C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w:t>
            </w:r>
          </w:p>
        </w:tc>
        <w:tc>
          <w:tcPr>
            <w:tcW w:w="2180" w:type="dxa"/>
            <w:noWrap/>
            <w:vAlign w:val="center"/>
            <w:hideMark/>
          </w:tcPr>
          <w:p w14:paraId="53394FC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0.8%</w:t>
            </w:r>
          </w:p>
        </w:tc>
      </w:tr>
      <w:tr w:rsidR="0058005C" w:rsidRPr="0058005C" w14:paraId="7310A7C7"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698E9473"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DE1EFCC"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Rarely</w:t>
            </w:r>
          </w:p>
        </w:tc>
        <w:tc>
          <w:tcPr>
            <w:tcW w:w="2140" w:type="dxa"/>
            <w:noWrap/>
            <w:vAlign w:val="center"/>
            <w:hideMark/>
          </w:tcPr>
          <w:p w14:paraId="7FB92DC9"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124</w:t>
            </w:r>
          </w:p>
        </w:tc>
        <w:tc>
          <w:tcPr>
            <w:tcW w:w="2180" w:type="dxa"/>
            <w:noWrap/>
            <w:vAlign w:val="center"/>
            <w:hideMark/>
          </w:tcPr>
          <w:p w14:paraId="7E1E7F90"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47.7%</w:t>
            </w:r>
          </w:p>
        </w:tc>
      </w:tr>
      <w:tr w:rsidR="0058005C" w:rsidRPr="0058005C" w14:paraId="105D0F6E"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61016FDB"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0F2D1A6D"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Per semester</w:t>
            </w:r>
          </w:p>
        </w:tc>
        <w:tc>
          <w:tcPr>
            <w:tcW w:w="2140" w:type="dxa"/>
            <w:noWrap/>
            <w:vAlign w:val="center"/>
            <w:hideMark/>
          </w:tcPr>
          <w:p w14:paraId="505B705C"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133</w:t>
            </w:r>
          </w:p>
        </w:tc>
        <w:tc>
          <w:tcPr>
            <w:tcW w:w="2180" w:type="dxa"/>
            <w:noWrap/>
            <w:vAlign w:val="center"/>
            <w:hideMark/>
          </w:tcPr>
          <w:p w14:paraId="5EF24C11"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51.2%</w:t>
            </w:r>
          </w:p>
        </w:tc>
      </w:tr>
      <w:tr w:rsidR="0058005C" w:rsidRPr="0058005C" w14:paraId="532A8B1C" w14:textId="77777777" w:rsidTr="0058005C">
        <w:trPr>
          <w:trHeight w:val="315"/>
        </w:trPr>
        <w:tc>
          <w:tcPr>
            <w:tcW w:w="2360" w:type="dxa"/>
            <w:vMerge/>
            <w:tcBorders>
              <w:top w:val="single" w:sz="4" w:space="0" w:color="993366"/>
              <w:left w:val="nil"/>
              <w:bottom w:val="single" w:sz="12" w:space="0" w:color="auto"/>
              <w:right w:val="nil"/>
            </w:tcBorders>
            <w:vAlign w:val="center"/>
            <w:hideMark/>
          </w:tcPr>
          <w:p w14:paraId="5D25ADF9"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09902072"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Per module</w:t>
            </w:r>
          </w:p>
        </w:tc>
        <w:tc>
          <w:tcPr>
            <w:tcW w:w="2140" w:type="dxa"/>
            <w:tcBorders>
              <w:bottom w:val="single" w:sz="12" w:space="0" w:color="auto"/>
            </w:tcBorders>
            <w:noWrap/>
            <w:vAlign w:val="center"/>
            <w:hideMark/>
          </w:tcPr>
          <w:p w14:paraId="793979F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tcBorders>
              <w:bottom w:val="single" w:sz="12" w:space="0" w:color="auto"/>
            </w:tcBorders>
            <w:noWrap/>
            <w:vAlign w:val="center"/>
            <w:hideMark/>
          </w:tcPr>
          <w:p w14:paraId="2D09270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63C6AC76" w14:textId="77777777" w:rsidTr="0058005C">
        <w:trPr>
          <w:trHeight w:val="315"/>
        </w:trPr>
        <w:tc>
          <w:tcPr>
            <w:tcW w:w="2360" w:type="dxa"/>
            <w:vMerge w:val="restart"/>
            <w:tcBorders>
              <w:top w:val="single" w:sz="12" w:space="0" w:color="auto"/>
              <w:left w:val="nil"/>
              <w:bottom w:val="single" w:sz="4" w:space="0" w:color="C0C0C0"/>
              <w:right w:val="nil"/>
            </w:tcBorders>
            <w:hideMark/>
          </w:tcPr>
          <w:p w14:paraId="22279607" w14:textId="3D311D47" w:rsidR="0058005C" w:rsidRPr="0058005C" w:rsidRDefault="0058005C" w:rsidP="0058005C">
            <w:pPr>
              <w:spacing w:after="0"/>
              <w:jc w:val="left"/>
              <w:rPr>
                <w:rFonts w:eastAsia="Times New Roman"/>
                <w:szCs w:val="24"/>
                <w:lang w:val="en-US"/>
              </w:rPr>
            </w:pPr>
            <w:r w:rsidRPr="0058005C">
              <w:rPr>
                <w:rFonts w:eastAsia="Times New Roman"/>
                <w:szCs w:val="24"/>
                <w:lang w:val="en-US"/>
              </w:rPr>
              <w:t>Anatomy courses for cadaveric dissection</w:t>
            </w:r>
          </w:p>
        </w:tc>
        <w:tc>
          <w:tcPr>
            <w:tcW w:w="2820" w:type="dxa"/>
            <w:tcBorders>
              <w:top w:val="single" w:sz="12" w:space="0" w:color="auto"/>
              <w:left w:val="nil"/>
            </w:tcBorders>
            <w:vAlign w:val="center"/>
            <w:hideMark/>
          </w:tcPr>
          <w:p w14:paraId="63B350C0"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Musculoskeletal system</w:t>
            </w:r>
          </w:p>
        </w:tc>
        <w:tc>
          <w:tcPr>
            <w:tcW w:w="2140" w:type="dxa"/>
            <w:tcBorders>
              <w:top w:val="single" w:sz="12" w:space="0" w:color="auto"/>
            </w:tcBorders>
            <w:noWrap/>
            <w:vAlign w:val="center"/>
            <w:hideMark/>
          </w:tcPr>
          <w:p w14:paraId="712DB72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242</w:t>
            </w:r>
          </w:p>
        </w:tc>
        <w:tc>
          <w:tcPr>
            <w:tcW w:w="2180" w:type="dxa"/>
            <w:tcBorders>
              <w:top w:val="single" w:sz="12" w:space="0" w:color="auto"/>
            </w:tcBorders>
            <w:noWrap/>
            <w:vAlign w:val="center"/>
            <w:hideMark/>
          </w:tcPr>
          <w:p w14:paraId="01D8587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93.1%</w:t>
            </w:r>
          </w:p>
        </w:tc>
      </w:tr>
      <w:tr w:rsidR="0058005C" w:rsidRPr="0058005C" w14:paraId="1078D856"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57D325E7"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5A61E323"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Nervous system</w:t>
            </w:r>
          </w:p>
        </w:tc>
        <w:tc>
          <w:tcPr>
            <w:tcW w:w="2140" w:type="dxa"/>
            <w:noWrap/>
            <w:vAlign w:val="center"/>
            <w:hideMark/>
          </w:tcPr>
          <w:p w14:paraId="785395D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150</w:t>
            </w:r>
          </w:p>
        </w:tc>
        <w:tc>
          <w:tcPr>
            <w:tcW w:w="2180" w:type="dxa"/>
            <w:noWrap/>
            <w:vAlign w:val="center"/>
            <w:hideMark/>
          </w:tcPr>
          <w:p w14:paraId="39A8816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57.7%</w:t>
            </w:r>
          </w:p>
        </w:tc>
      </w:tr>
      <w:tr w:rsidR="0058005C" w:rsidRPr="0058005C" w14:paraId="39090969"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07100A27"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0D62226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Circulatory system</w:t>
            </w:r>
          </w:p>
        </w:tc>
        <w:tc>
          <w:tcPr>
            <w:tcW w:w="2140" w:type="dxa"/>
            <w:noWrap/>
            <w:vAlign w:val="center"/>
            <w:hideMark/>
          </w:tcPr>
          <w:p w14:paraId="08CEB80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157</w:t>
            </w:r>
          </w:p>
        </w:tc>
        <w:tc>
          <w:tcPr>
            <w:tcW w:w="2180" w:type="dxa"/>
            <w:noWrap/>
            <w:vAlign w:val="center"/>
            <w:hideMark/>
          </w:tcPr>
          <w:p w14:paraId="7D7628D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60.4%</w:t>
            </w:r>
          </w:p>
        </w:tc>
      </w:tr>
      <w:tr w:rsidR="0058005C" w:rsidRPr="0058005C" w14:paraId="4F7CBA42"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2ABAC435"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5A05EE88"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Respiratory system</w:t>
            </w:r>
          </w:p>
        </w:tc>
        <w:tc>
          <w:tcPr>
            <w:tcW w:w="2140" w:type="dxa"/>
            <w:noWrap/>
            <w:vAlign w:val="center"/>
            <w:hideMark/>
          </w:tcPr>
          <w:p w14:paraId="309CC9F9"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150</w:t>
            </w:r>
          </w:p>
        </w:tc>
        <w:tc>
          <w:tcPr>
            <w:tcW w:w="2180" w:type="dxa"/>
            <w:noWrap/>
            <w:vAlign w:val="center"/>
            <w:hideMark/>
          </w:tcPr>
          <w:p w14:paraId="09FD24E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57.7%</w:t>
            </w:r>
          </w:p>
        </w:tc>
      </w:tr>
      <w:tr w:rsidR="0058005C" w:rsidRPr="0058005C" w14:paraId="18787B17" w14:textId="77777777" w:rsidTr="0058005C">
        <w:trPr>
          <w:trHeight w:val="315"/>
        </w:trPr>
        <w:tc>
          <w:tcPr>
            <w:tcW w:w="2360" w:type="dxa"/>
            <w:vMerge/>
            <w:tcBorders>
              <w:top w:val="single" w:sz="4" w:space="0" w:color="993366"/>
              <w:left w:val="nil"/>
              <w:bottom w:val="single" w:sz="4" w:space="0" w:color="C0C0C0"/>
              <w:right w:val="nil"/>
            </w:tcBorders>
            <w:vAlign w:val="center"/>
            <w:hideMark/>
          </w:tcPr>
          <w:p w14:paraId="7F024CB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646FBE7"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Digestive system</w:t>
            </w:r>
          </w:p>
        </w:tc>
        <w:tc>
          <w:tcPr>
            <w:tcW w:w="2140" w:type="dxa"/>
            <w:noWrap/>
            <w:vAlign w:val="center"/>
            <w:hideMark/>
          </w:tcPr>
          <w:p w14:paraId="3C3A8F8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noWrap/>
            <w:vAlign w:val="center"/>
            <w:hideMark/>
          </w:tcPr>
          <w:p w14:paraId="2DA11A3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723A5328" w14:textId="77777777" w:rsidTr="0058005C">
        <w:trPr>
          <w:trHeight w:val="330"/>
        </w:trPr>
        <w:tc>
          <w:tcPr>
            <w:tcW w:w="2360" w:type="dxa"/>
            <w:vMerge/>
            <w:tcBorders>
              <w:top w:val="single" w:sz="4" w:space="0" w:color="993366"/>
              <w:left w:val="nil"/>
              <w:bottom w:val="single" w:sz="12" w:space="0" w:color="auto"/>
              <w:right w:val="nil"/>
            </w:tcBorders>
            <w:vAlign w:val="center"/>
            <w:hideMark/>
          </w:tcPr>
          <w:p w14:paraId="6116EE88"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47C9B4B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Reproductive system</w:t>
            </w:r>
          </w:p>
        </w:tc>
        <w:tc>
          <w:tcPr>
            <w:tcW w:w="2140" w:type="dxa"/>
            <w:tcBorders>
              <w:bottom w:val="single" w:sz="12" w:space="0" w:color="auto"/>
            </w:tcBorders>
            <w:noWrap/>
            <w:vAlign w:val="center"/>
            <w:hideMark/>
          </w:tcPr>
          <w:p w14:paraId="2025C99D"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w:t>
            </w:r>
          </w:p>
        </w:tc>
        <w:tc>
          <w:tcPr>
            <w:tcW w:w="2180" w:type="dxa"/>
            <w:tcBorders>
              <w:bottom w:val="single" w:sz="12" w:space="0" w:color="auto"/>
            </w:tcBorders>
            <w:noWrap/>
            <w:vAlign w:val="center"/>
            <w:hideMark/>
          </w:tcPr>
          <w:p w14:paraId="64B4414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0.4%</w:t>
            </w:r>
          </w:p>
        </w:tc>
      </w:tr>
      <w:tr w:rsidR="0058005C" w:rsidRPr="0058005C" w14:paraId="65550005" w14:textId="77777777" w:rsidTr="0058005C">
        <w:trPr>
          <w:trHeight w:val="330"/>
        </w:trPr>
        <w:tc>
          <w:tcPr>
            <w:tcW w:w="2360" w:type="dxa"/>
            <w:vMerge w:val="restart"/>
            <w:tcBorders>
              <w:top w:val="single" w:sz="12" w:space="0" w:color="auto"/>
              <w:left w:val="nil"/>
              <w:bottom w:val="single" w:sz="12" w:space="0" w:color="000000"/>
              <w:right w:val="nil"/>
            </w:tcBorders>
            <w:vAlign w:val="center"/>
            <w:hideMark/>
          </w:tcPr>
          <w:p w14:paraId="42950F1B"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Frequency of use of cadaveric dissection at KMTC</w:t>
            </w:r>
          </w:p>
        </w:tc>
        <w:tc>
          <w:tcPr>
            <w:tcW w:w="2820" w:type="dxa"/>
            <w:tcBorders>
              <w:top w:val="single" w:sz="12" w:space="0" w:color="auto"/>
              <w:left w:val="nil"/>
            </w:tcBorders>
            <w:vAlign w:val="center"/>
            <w:hideMark/>
          </w:tcPr>
          <w:p w14:paraId="6B715619"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Less frequently</w:t>
            </w:r>
          </w:p>
        </w:tc>
        <w:tc>
          <w:tcPr>
            <w:tcW w:w="2140" w:type="dxa"/>
            <w:tcBorders>
              <w:top w:val="single" w:sz="12" w:space="0" w:color="auto"/>
            </w:tcBorders>
            <w:noWrap/>
            <w:vAlign w:val="center"/>
            <w:hideMark/>
          </w:tcPr>
          <w:p w14:paraId="7600EE5F"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203</w:t>
            </w:r>
          </w:p>
        </w:tc>
        <w:tc>
          <w:tcPr>
            <w:tcW w:w="2180" w:type="dxa"/>
            <w:tcBorders>
              <w:top w:val="single" w:sz="12" w:space="0" w:color="auto"/>
            </w:tcBorders>
            <w:noWrap/>
            <w:vAlign w:val="center"/>
            <w:hideMark/>
          </w:tcPr>
          <w:p w14:paraId="1CC5A4E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78.1%</w:t>
            </w:r>
          </w:p>
        </w:tc>
      </w:tr>
      <w:tr w:rsidR="0058005C" w:rsidRPr="0058005C" w14:paraId="1AE5529B" w14:textId="77777777" w:rsidTr="0058005C">
        <w:trPr>
          <w:trHeight w:val="315"/>
        </w:trPr>
        <w:tc>
          <w:tcPr>
            <w:tcW w:w="2360" w:type="dxa"/>
            <w:vMerge/>
            <w:tcBorders>
              <w:top w:val="single" w:sz="12" w:space="0" w:color="auto"/>
              <w:left w:val="nil"/>
              <w:bottom w:val="single" w:sz="12" w:space="0" w:color="000000"/>
              <w:right w:val="nil"/>
            </w:tcBorders>
            <w:vAlign w:val="center"/>
            <w:hideMark/>
          </w:tcPr>
          <w:p w14:paraId="08EEBD8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49EA75C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Frequently</w:t>
            </w:r>
          </w:p>
        </w:tc>
        <w:tc>
          <w:tcPr>
            <w:tcW w:w="2140" w:type="dxa"/>
            <w:noWrap/>
            <w:vAlign w:val="center"/>
            <w:hideMark/>
          </w:tcPr>
          <w:p w14:paraId="42B45B6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45</w:t>
            </w:r>
          </w:p>
        </w:tc>
        <w:tc>
          <w:tcPr>
            <w:tcW w:w="2180" w:type="dxa"/>
            <w:noWrap/>
            <w:vAlign w:val="center"/>
            <w:hideMark/>
          </w:tcPr>
          <w:p w14:paraId="1C238D02"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17.3%</w:t>
            </w:r>
          </w:p>
        </w:tc>
      </w:tr>
      <w:tr w:rsidR="0058005C" w:rsidRPr="0058005C" w14:paraId="0E56B36F" w14:textId="77777777" w:rsidTr="0058005C">
        <w:trPr>
          <w:trHeight w:val="330"/>
        </w:trPr>
        <w:tc>
          <w:tcPr>
            <w:tcW w:w="2360" w:type="dxa"/>
            <w:vMerge/>
            <w:tcBorders>
              <w:top w:val="single" w:sz="12" w:space="0" w:color="auto"/>
              <w:left w:val="nil"/>
              <w:bottom w:val="single" w:sz="12" w:space="0" w:color="auto"/>
              <w:right w:val="nil"/>
            </w:tcBorders>
            <w:vAlign w:val="center"/>
            <w:hideMark/>
          </w:tcPr>
          <w:p w14:paraId="6A9EC5B8"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681413A2"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More frequently</w:t>
            </w:r>
          </w:p>
        </w:tc>
        <w:tc>
          <w:tcPr>
            <w:tcW w:w="2140" w:type="dxa"/>
            <w:tcBorders>
              <w:bottom w:val="single" w:sz="12" w:space="0" w:color="auto"/>
            </w:tcBorders>
            <w:noWrap/>
            <w:vAlign w:val="center"/>
            <w:hideMark/>
          </w:tcPr>
          <w:p w14:paraId="65422E5A"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12</w:t>
            </w:r>
          </w:p>
        </w:tc>
        <w:tc>
          <w:tcPr>
            <w:tcW w:w="2180" w:type="dxa"/>
            <w:tcBorders>
              <w:bottom w:val="single" w:sz="12" w:space="0" w:color="auto"/>
            </w:tcBorders>
            <w:noWrap/>
            <w:vAlign w:val="center"/>
            <w:hideMark/>
          </w:tcPr>
          <w:p w14:paraId="36F9203E"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4.6%</w:t>
            </w:r>
          </w:p>
        </w:tc>
      </w:tr>
      <w:tr w:rsidR="0058005C" w:rsidRPr="0058005C" w14:paraId="05D2FA40" w14:textId="77777777" w:rsidTr="0058005C">
        <w:trPr>
          <w:trHeight w:val="330"/>
        </w:trPr>
        <w:tc>
          <w:tcPr>
            <w:tcW w:w="2360" w:type="dxa"/>
            <w:vMerge w:val="restart"/>
            <w:tcBorders>
              <w:top w:val="single" w:sz="12" w:space="0" w:color="auto"/>
              <w:left w:val="nil"/>
              <w:bottom w:val="single" w:sz="12" w:space="0" w:color="000000"/>
              <w:right w:val="nil"/>
            </w:tcBorders>
            <w:vAlign w:val="center"/>
            <w:hideMark/>
          </w:tcPr>
          <w:p w14:paraId="2F2E52B0"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Adequacy of cadaveric dissection use for learning</w:t>
            </w:r>
          </w:p>
        </w:tc>
        <w:tc>
          <w:tcPr>
            <w:tcW w:w="2820" w:type="dxa"/>
            <w:tcBorders>
              <w:top w:val="single" w:sz="12" w:space="0" w:color="auto"/>
              <w:left w:val="nil"/>
            </w:tcBorders>
            <w:vAlign w:val="center"/>
            <w:hideMark/>
          </w:tcPr>
          <w:p w14:paraId="1F26E79B"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Not adequate</w:t>
            </w:r>
          </w:p>
        </w:tc>
        <w:tc>
          <w:tcPr>
            <w:tcW w:w="2140" w:type="dxa"/>
            <w:tcBorders>
              <w:top w:val="single" w:sz="12" w:space="0" w:color="auto"/>
            </w:tcBorders>
            <w:noWrap/>
            <w:vAlign w:val="center"/>
            <w:hideMark/>
          </w:tcPr>
          <w:p w14:paraId="328FEB98"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26</w:t>
            </w:r>
          </w:p>
        </w:tc>
        <w:tc>
          <w:tcPr>
            <w:tcW w:w="2180" w:type="dxa"/>
            <w:tcBorders>
              <w:top w:val="single" w:sz="12" w:space="0" w:color="auto"/>
            </w:tcBorders>
            <w:noWrap/>
            <w:vAlign w:val="center"/>
            <w:hideMark/>
          </w:tcPr>
          <w:p w14:paraId="564DE83B"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10.0%</w:t>
            </w:r>
          </w:p>
        </w:tc>
      </w:tr>
      <w:tr w:rsidR="0058005C" w:rsidRPr="0058005C" w14:paraId="11818899" w14:textId="77777777" w:rsidTr="0058005C">
        <w:trPr>
          <w:trHeight w:val="315"/>
        </w:trPr>
        <w:tc>
          <w:tcPr>
            <w:tcW w:w="2360" w:type="dxa"/>
            <w:vMerge/>
            <w:tcBorders>
              <w:top w:val="nil"/>
              <w:left w:val="nil"/>
              <w:bottom w:val="single" w:sz="12" w:space="0" w:color="000000"/>
              <w:right w:val="nil"/>
            </w:tcBorders>
            <w:vAlign w:val="center"/>
            <w:hideMark/>
          </w:tcPr>
          <w:p w14:paraId="09D7226D"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D50536A"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Somewhat adequate</w:t>
            </w:r>
          </w:p>
        </w:tc>
        <w:tc>
          <w:tcPr>
            <w:tcW w:w="2140" w:type="dxa"/>
            <w:noWrap/>
            <w:vAlign w:val="center"/>
            <w:hideMark/>
          </w:tcPr>
          <w:p w14:paraId="2D9CDC9B"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104</w:t>
            </w:r>
          </w:p>
        </w:tc>
        <w:tc>
          <w:tcPr>
            <w:tcW w:w="2180" w:type="dxa"/>
            <w:noWrap/>
            <w:vAlign w:val="center"/>
            <w:hideMark/>
          </w:tcPr>
          <w:p w14:paraId="75C7EAA4"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40.0%</w:t>
            </w:r>
          </w:p>
        </w:tc>
      </w:tr>
      <w:tr w:rsidR="0058005C" w:rsidRPr="0058005C" w14:paraId="12955700" w14:textId="77777777" w:rsidTr="0058005C">
        <w:trPr>
          <w:trHeight w:val="315"/>
        </w:trPr>
        <w:tc>
          <w:tcPr>
            <w:tcW w:w="2360" w:type="dxa"/>
            <w:vMerge/>
            <w:tcBorders>
              <w:top w:val="nil"/>
              <w:left w:val="nil"/>
              <w:bottom w:val="single" w:sz="12" w:space="0" w:color="000000"/>
              <w:right w:val="nil"/>
            </w:tcBorders>
            <w:vAlign w:val="center"/>
            <w:hideMark/>
          </w:tcPr>
          <w:p w14:paraId="3162022A" w14:textId="77777777" w:rsidR="0058005C" w:rsidRPr="0058005C" w:rsidRDefault="0058005C" w:rsidP="0058005C">
            <w:pPr>
              <w:spacing w:after="0"/>
              <w:jc w:val="left"/>
              <w:rPr>
                <w:rFonts w:eastAsia="Times New Roman"/>
                <w:szCs w:val="24"/>
                <w:lang w:val="en-US"/>
              </w:rPr>
            </w:pPr>
          </w:p>
        </w:tc>
        <w:tc>
          <w:tcPr>
            <w:tcW w:w="2820" w:type="dxa"/>
            <w:tcBorders>
              <w:left w:val="nil"/>
            </w:tcBorders>
            <w:vAlign w:val="center"/>
            <w:hideMark/>
          </w:tcPr>
          <w:p w14:paraId="17F9E206"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Adequate</w:t>
            </w:r>
          </w:p>
        </w:tc>
        <w:tc>
          <w:tcPr>
            <w:tcW w:w="2140" w:type="dxa"/>
            <w:noWrap/>
            <w:vAlign w:val="center"/>
            <w:hideMark/>
          </w:tcPr>
          <w:p w14:paraId="6860AEB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13</w:t>
            </w:r>
          </w:p>
        </w:tc>
        <w:tc>
          <w:tcPr>
            <w:tcW w:w="2180" w:type="dxa"/>
            <w:noWrap/>
            <w:vAlign w:val="center"/>
            <w:hideMark/>
          </w:tcPr>
          <w:p w14:paraId="601B4E3D"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5.0%</w:t>
            </w:r>
          </w:p>
        </w:tc>
      </w:tr>
      <w:tr w:rsidR="0058005C" w:rsidRPr="0058005C" w14:paraId="23452D44" w14:textId="77777777" w:rsidTr="0058005C">
        <w:trPr>
          <w:trHeight w:val="330"/>
        </w:trPr>
        <w:tc>
          <w:tcPr>
            <w:tcW w:w="2360" w:type="dxa"/>
            <w:vMerge/>
            <w:tcBorders>
              <w:top w:val="nil"/>
              <w:left w:val="nil"/>
              <w:bottom w:val="single" w:sz="12" w:space="0" w:color="auto"/>
              <w:right w:val="nil"/>
            </w:tcBorders>
            <w:vAlign w:val="center"/>
            <w:hideMark/>
          </w:tcPr>
          <w:p w14:paraId="06375081" w14:textId="77777777" w:rsidR="0058005C" w:rsidRPr="0058005C" w:rsidRDefault="0058005C" w:rsidP="0058005C">
            <w:pPr>
              <w:spacing w:after="0"/>
              <w:jc w:val="left"/>
              <w:rPr>
                <w:rFonts w:eastAsia="Times New Roman"/>
                <w:szCs w:val="24"/>
                <w:lang w:val="en-US"/>
              </w:rPr>
            </w:pPr>
          </w:p>
        </w:tc>
        <w:tc>
          <w:tcPr>
            <w:tcW w:w="2820" w:type="dxa"/>
            <w:tcBorders>
              <w:left w:val="nil"/>
              <w:bottom w:val="single" w:sz="12" w:space="0" w:color="auto"/>
            </w:tcBorders>
            <w:vAlign w:val="center"/>
            <w:hideMark/>
          </w:tcPr>
          <w:p w14:paraId="13180C81" w14:textId="77777777" w:rsidR="0058005C" w:rsidRPr="0058005C" w:rsidRDefault="0058005C" w:rsidP="0058005C">
            <w:pPr>
              <w:spacing w:after="0"/>
              <w:jc w:val="left"/>
              <w:rPr>
                <w:rFonts w:eastAsia="Times New Roman"/>
                <w:szCs w:val="24"/>
                <w:lang w:val="en-US"/>
              </w:rPr>
            </w:pPr>
            <w:r w:rsidRPr="0058005C">
              <w:rPr>
                <w:rFonts w:eastAsia="Times New Roman"/>
                <w:szCs w:val="24"/>
                <w:lang w:val="en-US"/>
              </w:rPr>
              <w:t>Very adequate</w:t>
            </w:r>
          </w:p>
        </w:tc>
        <w:tc>
          <w:tcPr>
            <w:tcW w:w="2140" w:type="dxa"/>
            <w:tcBorders>
              <w:bottom w:val="single" w:sz="12" w:space="0" w:color="auto"/>
            </w:tcBorders>
            <w:noWrap/>
            <w:vAlign w:val="center"/>
            <w:hideMark/>
          </w:tcPr>
          <w:p w14:paraId="1CA467B7"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117</w:t>
            </w:r>
          </w:p>
        </w:tc>
        <w:tc>
          <w:tcPr>
            <w:tcW w:w="2180" w:type="dxa"/>
            <w:tcBorders>
              <w:bottom w:val="single" w:sz="12" w:space="0" w:color="auto"/>
            </w:tcBorders>
            <w:noWrap/>
            <w:vAlign w:val="center"/>
            <w:hideMark/>
          </w:tcPr>
          <w:p w14:paraId="6A2B8975" w14:textId="77777777" w:rsidR="0058005C" w:rsidRPr="0058005C" w:rsidRDefault="0058005C" w:rsidP="0058005C">
            <w:pPr>
              <w:spacing w:after="0"/>
              <w:jc w:val="center"/>
              <w:rPr>
                <w:rFonts w:eastAsia="Times New Roman"/>
                <w:szCs w:val="24"/>
                <w:lang w:val="en-US"/>
              </w:rPr>
            </w:pPr>
            <w:r w:rsidRPr="0058005C">
              <w:rPr>
                <w:rFonts w:eastAsia="Times New Roman"/>
                <w:szCs w:val="24"/>
                <w:lang w:val="en-US"/>
              </w:rPr>
              <w:t>45.0%</w:t>
            </w:r>
          </w:p>
        </w:tc>
      </w:tr>
    </w:tbl>
    <w:p w14:paraId="1DB47043" w14:textId="6809EE74" w:rsidR="007B7457" w:rsidRPr="00BA0047" w:rsidRDefault="007B7457" w:rsidP="007B7457">
      <w:pPr>
        <w:pStyle w:val="Heading3"/>
      </w:pPr>
      <w:bookmarkStart w:id="12" w:name="_Toc227478595"/>
      <w:r w:rsidRPr="00BA0047">
        <w:t xml:space="preserve">Model Summary on </w:t>
      </w:r>
      <w:r w:rsidRPr="0063169C">
        <w:rPr>
          <w:bCs/>
        </w:rPr>
        <w:t>Cadaveric Dissection Model Usage in Teaching Anatomy</w:t>
      </w:r>
      <w:bookmarkEnd w:id="12"/>
    </w:p>
    <w:p w14:paraId="2E437D41" w14:textId="64BAEBBC" w:rsidR="007B7457" w:rsidRDefault="002B7EBB" w:rsidP="007B7457">
      <w:r w:rsidRPr="002B7EBB">
        <w:t xml:space="preserve">The regression analysis demonstrated a weak relationship between predictors and cadaveric dissection usage (R=0.219, R²=0.048, adjusted R²=0.022), indicating limited explanatory power (Table </w:t>
      </w:r>
      <w:r w:rsidR="00430EAD">
        <w:t>4</w:t>
      </w:r>
      <w:r w:rsidRPr="002B7EBB">
        <w:t>).</w:t>
      </w:r>
    </w:p>
    <w:p w14:paraId="31714873" w14:textId="274B7722" w:rsidR="007B7457" w:rsidRDefault="00430EAD" w:rsidP="00430EAD">
      <w:pPr>
        <w:pStyle w:val="Caption"/>
        <w:rPr>
          <w:szCs w:val="24"/>
        </w:rPr>
      </w:pPr>
      <w:bookmarkStart w:id="13" w:name="_Toc227478638"/>
      <w:r>
        <w:t xml:space="preserve">Table </w:t>
      </w:r>
      <w:r>
        <w:fldChar w:fldCharType="begin"/>
      </w:r>
      <w:r>
        <w:instrText xml:space="preserve"> SEQ Table \* ARABIC </w:instrText>
      </w:r>
      <w:r>
        <w:fldChar w:fldCharType="separate"/>
      </w:r>
      <w:r>
        <w:rPr>
          <w:noProof/>
        </w:rPr>
        <w:t>4</w:t>
      </w:r>
      <w:r>
        <w:fldChar w:fldCharType="end"/>
      </w:r>
      <w:r w:rsidR="007B7457">
        <w:t xml:space="preserve">: </w:t>
      </w:r>
      <w:r w:rsidR="007B7457" w:rsidRPr="00CA23B4">
        <w:t xml:space="preserve">Model Summary </w:t>
      </w:r>
      <w:r w:rsidR="007B7457">
        <w:t xml:space="preserve">on </w:t>
      </w:r>
      <w:r w:rsidR="007B7457" w:rsidRPr="0063169C">
        <w:t>Cadaveric Dissection Model Usage in Teaching Anatomy</w:t>
      </w:r>
      <w:bookmarkEnd w:id="13"/>
    </w:p>
    <w:tbl>
      <w:tblPr>
        <w:tblW w:w="8820"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1620"/>
        <w:gridCol w:w="1350"/>
        <w:gridCol w:w="1620"/>
        <w:gridCol w:w="1980"/>
        <w:gridCol w:w="2250"/>
      </w:tblGrid>
      <w:tr w:rsidR="007B7457" w:rsidRPr="00A84924" w14:paraId="4319AC14" w14:textId="77777777" w:rsidTr="00DB4859">
        <w:trPr>
          <w:cantSplit/>
        </w:trPr>
        <w:tc>
          <w:tcPr>
            <w:tcW w:w="1620" w:type="dxa"/>
            <w:tcBorders>
              <w:top w:val="single" w:sz="12" w:space="0" w:color="auto"/>
              <w:bottom w:val="nil"/>
            </w:tcBorders>
            <w:vAlign w:val="bottom"/>
          </w:tcPr>
          <w:p w14:paraId="61F53286"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p>
        </w:tc>
        <w:tc>
          <w:tcPr>
            <w:tcW w:w="1350" w:type="dxa"/>
            <w:tcBorders>
              <w:top w:val="single" w:sz="12" w:space="0" w:color="auto"/>
              <w:bottom w:val="nil"/>
            </w:tcBorders>
            <w:vAlign w:val="bottom"/>
          </w:tcPr>
          <w:p w14:paraId="16A03B37"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p>
        </w:tc>
        <w:tc>
          <w:tcPr>
            <w:tcW w:w="3600" w:type="dxa"/>
            <w:gridSpan w:val="2"/>
            <w:tcBorders>
              <w:top w:val="single" w:sz="12" w:space="0" w:color="auto"/>
              <w:bottom w:val="nil"/>
            </w:tcBorders>
            <w:vAlign w:val="bottom"/>
          </w:tcPr>
          <w:p w14:paraId="1C0C5C1D"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CF7632">
              <w:rPr>
                <w:rFonts w:eastAsiaTheme="minorHAnsi"/>
                <w:szCs w:val="24"/>
              </w:rPr>
              <w:t>Model Summary</w:t>
            </w:r>
          </w:p>
        </w:tc>
        <w:tc>
          <w:tcPr>
            <w:tcW w:w="2250" w:type="dxa"/>
            <w:vMerge w:val="restart"/>
            <w:tcBorders>
              <w:top w:val="single" w:sz="12" w:space="0" w:color="auto"/>
            </w:tcBorders>
            <w:vAlign w:val="bottom"/>
          </w:tcPr>
          <w:p w14:paraId="213681AE"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Std. Error of the Estimate</w:t>
            </w:r>
          </w:p>
        </w:tc>
      </w:tr>
      <w:tr w:rsidR="007B7457" w:rsidRPr="00A84924" w14:paraId="31D715E2" w14:textId="77777777" w:rsidTr="00DB4859">
        <w:trPr>
          <w:cantSplit/>
        </w:trPr>
        <w:tc>
          <w:tcPr>
            <w:tcW w:w="1620" w:type="dxa"/>
            <w:tcBorders>
              <w:top w:val="nil"/>
              <w:bottom w:val="single" w:sz="12" w:space="0" w:color="auto"/>
            </w:tcBorders>
            <w:vAlign w:val="bottom"/>
          </w:tcPr>
          <w:p w14:paraId="4AEB5A20"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Model</w:t>
            </w:r>
          </w:p>
        </w:tc>
        <w:tc>
          <w:tcPr>
            <w:tcW w:w="1350" w:type="dxa"/>
            <w:tcBorders>
              <w:top w:val="nil"/>
              <w:bottom w:val="single" w:sz="12" w:space="0" w:color="auto"/>
            </w:tcBorders>
            <w:vAlign w:val="bottom"/>
          </w:tcPr>
          <w:p w14:paraId="41ED55D1"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R</w:t>
            </w:r>
          </w:p>
        </w:tc>
        <w:tc>
          <w:tcPr>
            <w:tcW w:w="1620" w:type="dxa"/>
            <w:tcBorders>
              <w:top w:val="nil"/>
              <w:bottom w:val="single" w:sz="12" w:space="0" w:color="auto"/>
            </w:tcBorders>
            <w:vAlign w:val="bottom"/>
          </w:tcPr>
          <w:p w14:paraId="490204BF"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R Square</w:t>
            </w:r>
          </w:p>
        </w:tc>
        <w:tc>
          <w:tcPr>
            <w:tcW w:w="1980" w:type="dxa"/>
            <w:tcBorders>
              <w:top w:val="nil"/>
              <w:bottom w:val="single" w:sz="12" w:space="0" w:color="auto"/>
            </w:tcBorders>
            <w:vAlign w:val="bottom"/>
          </w:tcPr>
          <w:p w14:paraId="6D7CFAB6"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sidRPr="00A84924">
              <w:rPr>
                <w:rFonts w:eastAsiaTheme="minorHAnsi"/>
                <w:szCs w:val="24"/>
              </w:rPr>
              <w:t>Adjusted R Square</w:t>
            </w:r>
          </w:p>
        </w:tc>
        <w:tc>
          <w:tcPr>
            <w:tcW w:w="2250" w:type="dxa"/>
            <w:vMerge/>
            <w:tcBorders>
              <w:bottom w:val="single" w:sz="12" w:space="0" w:color="auto"/>
            </w:tcBorders>
            <w:vAlign w:val="bottom"/>
          </w:tcPr>
          <w:p w14:paraId="6EAB0476"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p>
        </w:tc>
      </w:tr>
      <w:tr w:rsidR="007B7457" w:rsidRPr="00A84924" w14:paraId="128808F1" w14:textId="77777777" w:rsidTr="00DB4859">
        <w:trPr>
          <w:cantSplit/>
          <w:trHeight w:val="447"/>
        </w:trPr>
        <w:tc>
          <w:tcPr>
            <w:tcW w:w="1620" w:type="dxa"/>
            <w:tcBorders>
              <w:top w:val="single" w:sz="12" w:space="0" w:color="auto"/>
              <w:bottom w:val="single" w:sz="12" w:space="0" w:color="auto"/>
            </w:tcBorders>
            <w:vAlign w:val="center"/>
          </w:tcPr>
          <w:p w14:paraId="236F520D"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1</w:t>
            </w:r>
          </w:p>
        </w:tc>
        <w:tc>
          <w:tcPr>
            <w:tcW w:w="1350" w:type="dxa"/>
            <w:tcBorders>
              <w:top w:val="single" w:sz="12" w:space="0" w:color="auto"/>
              <w:bottom w:val="single" w:sz="12" w:space="0" w:color="auto"/>
            </w:tcBorders>
            <w:vAlign w:val="center"/>
          </w:tcPr>
          <w:p w14:paraId="00AB7320"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w:t>
            </w:r>
            <w:r w:rsidRPr="00A84924">
              <w:rPr>
                <w:rFonts w:eastAsiaTheme="minorHAnsi"/>
                <w:szCs w:val="24"/>
              </w:rPr>
              <w:t>.</w:t>
            </w:r>
            <w:r>
              <w:rPr>
                <w:rFonts w:eastAsiaTheme="minorHAnsi"/>
                <w:szCs w:val="24"/>
              </w:rPr>
              <w:t>219</w:t>
            </w:r>
            <w:r w:rsidRPr="00A84924">
              <w:rPr>
                <w:rFonts w:eastAsiaTheme="minorHAnsi"/>
                <w:szCs w:val="24"/>
                <w:vertAlign w:val="superscript"/>
              </w:rPr>
              <w:t>a</w:t>
            </w:r>
          </w:p>
        </w:tc>
        <w:tc>
          <w:tcPr>
            <w:tcW w:w="1620" w:type="dxa"/>
            <w:tcBorders>
              <w:top w:val="single" w:sz="12" w:space="0" w:color="auto"/>
              <w:bottom w:val="single" w:sz="12" w:space="0" w:color="auto"/>
            </w:tcBorders>
            <w:vAlign w:val="center"/>
          </w:tcPr>
          <w:p w14:paraId="4C6C4128"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0.048</w:t>
            </w:r>
          </w:p>
        </w:tc>
        <w:tc>
          <w:tcPr>
            <w:tcW w:w="1980" w:type="dxa"/>
            <w:tcBorders>
              <w:top w:val="single" w:sz="12" w:space="0" w:color="auto"/>
              <w:bottom w:val="single" w:sz="12" w:space="0" w:color="auto"/>
            </w:tcBorders>
            <w:vAlign w:val="center"/>
          </w:tcPr>
          <w:p w14:paraId="700C6DA7"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0.022</w:t>
            </w:r>
          </w:p>
        </w:tc>
        <w:tc>
          <w:tcPr>
            <w:tcW w:w="2250" w:type="dxa"/>
            <w:tcBorders>
              <w:top w:val="single" w:sz="12" w:space="0" w:color="auto"/>
              <w:bottom w:val="single" w:sz="12" w:space="0" w:color="auto"/>
            </w:tcBorders>
            <w:vAlign w:val="center"/>
          </w:tcPr>
          <w:p w14:paraId="27D787F8" w14:textId="77777777" w:rsidR="007B7457" w:rsidRPr="00A84924" w:rsidRDefault="007B7457" w:rsidP="00DB4859">
            <w:pPr>
              <w:autoSpaceDE w:val="0"/>
              <w:autoSpaceDN w:val="0"/>
              <w:adjustRightInd w:val="0"/>
              <w:spacing w:after="0" w:line="320" w:lineRule="atLeast"/>
              <w:ind w:left="60" w:right="60"/>
              <w:jc w:val="center"/>
              <w:rPr>
                <w:rFonts w:eastAsiaTheme="minorHAnsi"/>
                <w:szCs w:val="24"/>
              </w:rPr>
            </w:pPr>
            <w:r>
              <w:rPr>
                <w:rFonts w:eastAsiaTheme="minorHAnsi"/>
                <w:szCs w:val="24"/>
              </w:rPr>
              <w:t>0</w:t>
            </w:r>
            <w:r w:rsidRPr="00A84924">
              <w:rPr>
                <w:rFonts w:eastAsiaTheme="minorHAnsi"/>
                <w:szCs w:val="24"/>
              </w:rPr>
              <w:t>.</w:t>
            </w:r>
            <w:r>
              <w:rPr>
                <w:rFonts w:eastAsiaTheme="minorHAnsi"/>
                <w:szCs w:val="24"/>
              </w:rPr>
              <w:t>518</w:t>
            </w:r>
          </w:p>
        </w:tc>
      </w:tr>
      <w:tr w:rsidR="007B7457" w:rsidRPr="00A84924" w14:paraId="2EFEA246" w14:textId="77777777" w:rsidTr="00DB4859">
        <w:trPr>
          <w:cantSplit/>
          <w:trHeight w:val="432"/>
        </w:trPr>
        <w:tc>
          <w:tcPr>
            <w:tcW w:w="8820" w:type="dxa"/>
            <w:gridSpan w:val="5"/>
            <w:tcBorders>
              <w:top w:val="single" w:sz="12" w:space="0" w:color="auto"/>
              <w:bottom w:val="single" w:sz="12" w:space="0" w:color="auto"/>
            </w:tcBorders>
          </w:tcPr>
          <w:p w14:paraId="07CBC2D9" w14:textId="77777777" w:rsidR="007B7457" w:rsidRPr="00A84924" w:rsidRDefault="007B7457" w:rsidP="00DB4859">
            <w:pPr>
              <w:autoSpaceDE w:val="0"/>
              <w:autoSpaceDN w:val="0"/>
              <w:adjustRightInd w:val="0"/>
              <w:spacing w:after="0" w:line="320" w:lineRule="atLeast"/>
              <w:ind w:left="60" w:right="60"/>
              <w:jc w:val="left"/>
              <w:rPr>
                <w:rFonts w:eastAsiaTheme="minorHAnsi"/>
                <w:szCs w:val="24"/>
              </w:rPr>
            </w:pPr>
            <w:r w:rsidRPr="00A84924">
              <w:rPr>
                <w:rFonts w:eastAsiaTheme="minorHAnsi"/>
                <w:szCs w:val="24"/>
              </w:rPr>
              <w:t xml:space="preserve">a. Predictors: (Constant), </w:t>
            </w:r>
            <w:r w:rsidRPr="0063169C">
              <w:rPr>
                <w:bCs/>
              </w:rPr>
              <w:t>Cadaveric Dissection Model Usage in Teaching Anatomy</w:t>
            </w:r>
          </w:p>
        </w:tc>
      </w:tr>
    </w:tbl>
    <w:p w14:paraId="79A42E0B" w14:textId="4C788FDD" w:rsidR="007B7457" w:rsidRPr="00BA0047" w:rsidRDefault="007B7457" w:rsidP="007B7457">
      <w:pPr>
        <w:pStyle w:val="Heading3"/>
        <w:spacing w:before="240"/>
      </w:pPr>
      <w:bookmarkStart w:id="14" w:name="_Toc227478596"/>
      <w:r w:rsidRPr="00BA0047">
        <w:t xml:space="preserve">Analysis of Variance </w:t>
      </w:r>
      <w:bookmarkEnd w:id="14"/>
    </w:p>
    <w:p w14:paraId="2A875B4D" w14:textId="7F493167" w:rsidR="007B7457" w:rsidRDefault="00430EAD" w:rsidP="007B7457">
      <w:pPr>
        <w:autoSpaceDE w:val="0"/>
        <w:autoSpaceDN w:val="0"/>
        <w:adjustRightInd w:val="0"/>
        <w:spacing w:after="0"/>
        <w:rPr>
          <w:rFonts w:eastAsiaTheme="minorHAnsi"/>
          <w:szCs w:val="24"/>
        </w:rPr>
      </w:pPr>
      <w:r w:rsidRPr="00430EAD">
        <w:rPr>
          <w:rFonts w:eastAsiaTheme="minorHAnsi"/>
          <w:szCs w:val="24"/>
        </w:rPr>
        <w:t xml:space="preserve">The regression model was not statistically significant (F=1.818, p=0.084), suggesting that the included predictors did not significantly influence participation in cadaveric dissection (Table </w:t>
      </w:r>
      <w:r>
        <w:rPr>
          <w:rFonts w:eastAsiaTheme="minorHAnsi"/>
          <w:szCs w:val="24"/>
        </w:rPr>
        <w:t>5</w:t>
      </w:r>
      <w:r w:rsidRPr="00430EAD">
        <w:rPr>
          <w:rFonts w:eastAsiaTheme="minorHAnsi"/>
          <w:szCs w:val="24"/>
        </w:rPr>
        <w:t>)</w:t>
      </w:r>
      <w:r w:rsidR="007B7457" w:rsidRPr="00714C11">
        <w:rPr>
          <w:rFonts w:eastAsiaTheme="minorHAnsi"/>
          <w:szCs w:val="24"/>
        </w:rPr>
        <w:t>.</w:t>
      </w:r>
    </w:p>
    <w:p w14:paraId="25C663D4" w14:textId="2D3A4EEC" w:rsidR="007B7457" w:rsidRPr="00A84924" w:rsidRDefault="00430EAD" w:rsidP="00430EAD">
      <w:pPr>
        <w:pStyle w:val="Caption"/>
        <w:rPr>
          <w:rFonts w:eastAsiaTheme="minorHAnsi"/>
          <w:szCs w:val="24"/>
        </w:rPr>
      </w:pPr>
      <w:bookmarkStart w:id="15" w:name="_Toc227478639"/>
      <w:r>
        <w:t xml:space="preserve">Table </w:t>
      </w:r>
      <w:r>
        <w:fldChar w:fldCharType="begin"/>
      </w:r>
      <w:r>
        <w:instrText xml:space="preserve"> SEQ Table \* ARABIC </w:instrText>
      </w:r>
      <w:r>
        <w:fldChar w:fldCharType="separate"/>
      </w:r>
      <w:r>
        <w:rPr>
          <w:noProof/>
        </w:rPr>
        <w:t>5</w:t>
      </w:r>
      <w:r>
        <w:fldChar w:fldCharType="end"/>
      </w:r>
      <w:r w:rsidR="007B7457">
        <w:t xml:space="preserve">: </w:t>
      </w:r>
      <w:r w:rsidR="007B7457" w:rsidRPr="00BB76B0">
        <w:t xml:space="preserve">Analysis of Variance on </w:t>
      </w:r>
      <w:r w:rsidR="007B7457" w:rsidRPr="0063169C">
        <w:t>Cadaveric Dissection Model Usage in Teaching Anatomy</w:t>
      </w:r>
      <w:bookmarkEnd w:id="15"/>
    </w:p>
    <w:tbl>
      <w:tblPr>
        <w:tblW w:w="9270" w:type="dxa"/>
        <w:tblLook w:val="04A0" w:firstRow="1" w:lastRow="0" w:firstColumn="1" w:lastColumn="0" w:noHBand="0" w:noVBand="1"/>
      </w:tblPr>
      <w:tblGrid>
        <w:gridCol w:w="1530"/>
        <w:gridCol w:w="2209"/>
        <w:gridCol w:w="1259"/>
        <w:gridCol w:w="1623"/>
        <w:gridCol w:w="1167"/>
        <w:gridCol w:w="1482"/>
      </w:tblGrid>
      <w:tr w:rsidR="007B7457" w:rsidRPr="00972D97" w14:paraId="4466AFD9" w14:textId="77777777" w:rsidTr="00DB4859">
        <w:trPr>
          <w:trHeight w:val="330"/>
        </w:trPr>
        <w:tc>
          <w:tcPr>
            <w:tcW w:w="1530" w:type="dxa"/>
            <w:tcBorders>
              <w:top w:val="single" w:sz="12" w:space="0" w:color="auto"/>
              <w:left w:val="nil"/>
              <w:bottom w:val="single" w:sz="12" w:space="0" w:color="auto"/>
              <w:right w:val="single" w:sz="8" w:space="0" w:color="E0E0E0"/>
            </w:tcBorders>
          </w:tcPr>
          <w:p w14:paraId="46F08119"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Model </w:t>
            </w:r>
          </w:p>
        </w:tc>
        <w:tc>
          <w:tcPr>
            <w:tcW w:w="2209" w:type="dxa"/>
            <w:tcBorders>
              <w:top w:val="single" w:sz="12" w:space="0" w:color="auto"/>
              <w:left w:val="nil"/>
              <w:bottom w:val="single" w:sz="12" w:space="0" w:color="auto"/>
              <w:right w:val="single" w:sz="8" w:space="0" w:color="E0E0E0"/>
            </w:tcBorders>
            <w:vAlign w:val="center"/>
            <w:hideMark/>
          </w:tcPr>
          <w:p w14:paraId="1395880F"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Sum of squares</w:t>
            </w:r>
          </w:p>
        </w:tc>
        <w:tc>
          <w:tcPr>
            <w:tcW w:w="1259" w:type="dxa"/>
            <w:tcBorders>
              <w:top w:val="single" w:sz="12" w:space="0" w:color="auto"/>
              <w:left w:val="nil"/>
              <w:bottom w:val="single" w:sz="12" w:space="0" w:color="auto"/>
              <w:right w:val="single" w:sz="8" w:space="0" w:color="E0E0E0"/>
            </w:tcBorders>
            <w:vAlign w:val="center"/>
            <w:hideMark/>
          </w:tcPr>
          <w:p w14:paraId="6A91511B"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df</w:t>
            </w:r>
          </w:p>
        </w:tc>
        <w:tc>
          <w:tcPr>
            <w:tcW w:w="1623" w:type="dxa"/>
            <w:tcBorders>
              <w:top w:val="single" w:sz="12" w:space="0" w:color="auto"/>
              <w:left w:val="nil"/>
              <w:bottom w:val="single" w:sz="12" w:space="0" w:color="auto"/>
              <w:right w:val="single" w:sz="8" w:space="0" w:color="E0E0E0"/>
            </w:tcBorders>
            <w:vAlign w:val="center"/>
            <w:hideMark/>
          </w:tcPr>
          <w:p w14:paraId="63E178B6"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Mean square</w:t>
            </w:r>
          </w:p>
        </w:tc>
        <w:tc>
          <w:tcPr>
            <w:tcW w:w="1167" w:type="dxa"/>
            <w:tcBorders>
              <w:top w:val="single" w:sz="12" w:space="0" w:color="auto"/>
              <w:left w:val="nil"/>
              <w:bottom w:val="single" w:sz="12" w:space="0" w:color="auto"/>
              <w:right w:val="single" w:sz="8" w:space="0" w:color="E0E0E0"/>
            </w:tcBorders>
            <w:vAlign w:val="center"/>
            <w:hideMark/>
          </w:tcPr>
          <w:p w14:paraId="5BE0BA47"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F</w:t>
            </w:r>
          </w:p>
        </w:tc>
        <w:tc>
          <w:tcPr>
            <w:tcW w:w="1482" w:type="dxa"/>
            <w:tcBorders>
              <w:top w:val="single" w:sz="12" w:space="0" w:color="auto"/>
              <w:left w:val="nil"/>
              <w:bottom w:val="single" w:sz="12" w:space="0" w:color="auto"/>
              <w:right w:val="nil"/>
            </w:tcBorders>
            <w:vAlign w:val="center"/>
            <w:hideMark/>
          </w:tcPr>
          <w:p w14:paraId="57571FAA"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Sig.</w:t>
            </w:r>
          </w:p>
        </w:tc>
      </w:tr>
      <w:tr w:rsidR="007B7457" w:rsidRPr="00972D97" w14:paraId="3BF941EA" w14:textId="77777777" w:rsidTr="00DB4859">
        <w:trPr>
          <w:trHeight w:val="432"/>
        </w:trPr>
        <w:tc>
          <w:tcPr>
            <w:tcW w:w="1530" w:type="dxa"/>
            <w:tcBorders>
              <w:top w:val="single" w:sz="12" w:space="0" w:color="auto"/>
              <w:left w:val="nil"/>
              <w:bottom w:val="nil"/>
              <w:right w:val="nil"/>
            </w:tcBorders>
            <w:vAlign w:val="center"/>
          </w:tcPr>
          <w:p w14:paraId="3274F1AC"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Regression </w:t>
            </w:r>
          </w:p>
        </w:tc>
        <w:tc>
          <w:tcPr>
            <w:tcW w:w="2209" w:type="dxa"/>
            <w:tcBorders>
              <w:top w:val="single" w:sz="12" w:space="0" w:color="auto"/>
              <w:left w:val="nil"/>
              <w:bottom w:val="nil"/>
              <w:right w:val="nil"/>
            </w:tcBorders>
            <w:noWrap/>
            <w:vAlign w:val="center"/>
            <w:hideMark/>
          </w:tcPr>
          <w:p w14:paraId="4B682528"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3.412</w:t>
            </w:r>
          </w:p>
        </w:tc>
        <w:tc>
          <w:tcPr>
            <w:tcW w:w="1259" w:type="dxa"/>
            <w:tcBorders>
              <w:top w:val="single" w:sz="12" w:space="0" w:color="auto"/>
              <w:left w:val="nil"/>
              <w:bottom w:val="nil"/>
              <w:right w:val="nil"/>
            </w:tcBorders>
            <w:noWrap/>
            <w:vAlign w:val="center"/>
            <w:hideMark/>
          </w:tcPr>
          <w:p w14:paraId="756648EB"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7</w:t>
            </w:r>
          </w:p>
        </w:tc>
        <w:tc>
          <w:tcPr>
            <w:tcW w:w="1623" w:type="dxa"/>
            <w:tcBorders>
              <w:top w:val="single" w:sz="12" w:space="0" w:color="auto"/>
              <w:left w:val="nil"/>
              <w:bottom w:val="nil"/>
              <w:right w:val="nil"/>
            </w:tcBorders>
            <w:noWrap/>
            <w:vAlign w:val="center"/>
            <w:hideMark/>
          </w:tcPr>
          <w:p w14:paraId="700853F5"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0.487</w:t>
            </w:r>
          </w:p>
        </w:tc>
        <w:tc>
          <w:tcPr>
            <w:tcW w:w="1167" w:type="dxa"/>
            <w:tcBorders>
              <w:top w:val="single" w:sz="12" w:space="0" w:color="auto"/>
              <w:left w:val="nil"/>
              <w:bottom w:val="nil"/>
              <w:right w:val="nil"/>
            </w:tcBorders>
            <w:noWrap/>
            <w:vAlign w:val="center"/>
            <w:hideMark/>
          </w:tcPr>
          <w:p w14:paraId="0A89D020"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1.818</w:t>
            </w:r>
          </w:p>
        </w:tc>
        <w:tc>
          <w:tcPr>
            <w:tcW w:w="1482" w:type="dxa"/>
            <w:tcBorders>
              <w:top w:val="single" w:sz="12" w:space="0" w:color="auto"/>
              <w:left w:val="nil"/>
              <w:bottom w:val="nil"/>
              <w:right w:val="nil"/>
            </w:tcBorders>
            <w:noWrap/>
            <w:vAlign w:val="center"/>
            <w:hideMark/>
          </w:tcPr>
          <w:p w14:paraId="64020150" w14:textId="77777777" w:rsidR="007B7457" w:rsidRPr="00972D97" w:rsidRDefault="007B7457" w:rsidP="00DB4859">
            <w:pPr>
              <w:spacing w:after="0"/>
              <w:jc w:val="center"/>
              <w:rPr>
                <w:rFonts w:eastAsia="Times New Roman"/>
                <w:color w:val="000000"/>
                <w:szCs w:val="24"/>
              </w:rPr>
            </w:pPr>
            <w:r w:rsidRPr="00972D97">
              <w:rPr>
                <w:rFonts w:eastAsia="Times New Roman"/>
                <w:color w:val="000000"/>
                <w:szCs w:val="24"/>
              </w:rPr>
              <w:t>0.</w:t>
            </w:r>
            <w:r>
              <w:rPr>
                <w:rFonts w:eastAsia="Times New Roman"/>
                <w:color w:val="000000"/>
                <w:szCs w:val="24"/>
              </w:rPr>
              <w:t>084</w:t>
            </w:r>
          </w:p>
        </w:tc>
      </w:tr>
      <w:tr w:rsidR="007B7457" w:rsidRPr="00972D97" w14:paraId="735908F9" w14:textId="77777777" w:rsidTr="00DB4859">
        <w:trPr>
          <w:trHeight w:val="432"/>
        </w:trPr>
        <w:tc>
          <w:tcPr>
            <w:tcW w:w="1530" w:type="dxa"/>
            <w:tcBorders>
              <w:top w:val="nil"/>
              <w:left w:val="nil"/>
              <w:bottom w:val="nil"/>
              <w:right w:val="nil"/>
            </w:tcBorders>
            <w:vAlign w:val="center"/>
          </w:tcPr>
          <w:p w14:paraId="64627E67"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Residual </w:t>
            </w:r>
          </w:p>
        </w:tc>
        <w:tc>
          <w:tcPr>
            <w:tcW w:w="2209" w:type="dxa"/>
            <w:tcBorders>
              <w:top w:val="nil"/>
              <w:left w:val="nil"/>
              <w:bottom w:val="nil"/>
              <w:right w:val="nil"/>
            </w:tcBorders>
            <w:noWrap/>
            <w:vAlign w:val="center"/>
            <w:hideMark/>
          </w:tcPr>
          <w:p w14:paraId="319831CD"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67.553</w:t>
            </w:r>
          </w:p>
        </w:tc>
        <w:tc>
          <w:tcPr>
            <w:tcW w:w="1259" w:type="dxa"/>
            <w:tcBorders>
              <w:top w:val="nil"/>
              <w:left w:val="nil"/>
              <w:bottom w:val="nil"/>
              <w:right w:val="nil"/>
            </w:tcBorders>
            <w:noWrap/>
            <w:vAlign w:val="center"/>
            <w:hideMark/>
          </w:tcPr>
          <w:p w14:paraId="36BB4D08"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252</w:t>
            </w:r>
          </w:p>
        </w:tc>
        <w:tc>
          <w:tcPr>
            <w:tcW w:w="1623" w:type="dxa"/>
            <w:tcBorders>
              <w:top w:val="nil"/>
              <w:left w:val="nil"/>
              <w:bottom w:val="nil"/>
              <w:right w:val="nil"/>
            </w:tcBorders>
            <w:noWrap/>
            <w:vAlign w:val="center"/>
            <w:hideMark/>
          </w:tcPr>
          <w:p w14:paraId="4A86F14A"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0.268</w:t>
            </w:r>
          </w:p>
        </w:tc>
        <w:tc>
          <w:tcPr>
            <w:tcW w:w="1167" w:type="dxa"/>
            <w:tcBorders>
              <w:top w:val="nil"/>
              <w:left w:val="nil"/>
              <w:bottom w:val="nil"/>
              <w:right w:val="nil"/>
            </w:tcBorders>
            <w:noWrap/>
            <w:vAlign w:val="center"/>
            <w:hideMark/>
          </w:tcPr>
          <w:p w14:paraId="35E3855E" w14:textId="77777777" w:rsidR="007B7457" w:rsidRPr="00972D97" w:rsidRDefault="007B7457" w:rsidP="00DB4859">
            <w:pPr>
              <w:spacing w:after="0"/>
              <w:jc w:val="center"/>
              <w:rPr>
                <w:rFonts w:eastAsia="Times New Roman"/>
                <w:color w:val="000000"/>
                <w:szCs w:val="24"/>
              </w:rPr>
            </w:pPr>
          </w:p>
        </w:tc>
        <w:tc>
          <w:tcPr>
            <w:tcW w:w="1482" w:type="dxa"/>
            <w:tcBorders>
              <w:top w:val="nil"/>
              <w:left w:val="nil"/>
              <w:bottom w:val="nil"/>
              <w:right w:val="nil"/>
            </w:tcBorders>
            <w:noWrap/>
            <w:vAlign w:val="center"/>
            <w:hideMark/>
          </w:tcPr>
          <w:p w14:paraId="748026AF" w14:textId="77777777" w:rsidR="007B7457" w:rsidRPr="00972D97" w:rsidRDefault="007B7457" w:rsidP="00DB4859">
            <w:pPr>
              <w:spacing w:after="0"/>
              <w:jc w:val="center"/>
              <w:rPr>
                <w:rFonts w:eastAsia="Times New Roman"/>
                <w:sz w:val="20"/>
                <w:szCs w:val="20"/>
              </w:rPr>
            </w:pPr>
          </w:p>
        </w:tc>
      </w:tr>
      <w:tr w:rsidR="007B7457" w:rsidRPr="00972D97" w14:paraId="009A0B91" w14:textId="77777777" w:rsidTr="00DB4859">
        <w:trPr>
          <w:trHeight w:val="432"/>
        </w:trPr>
        <w:tc>
          <w:tcPr>
            <w:tcW w:w="1530" w:type="dxa"/>
            <w:tcBorders>
              <w:top w:val="nil"/>
              <w:left w:val="nil"/>
              <w:bottom w:val="single" w:sz="12" w:space="0" w:color="auto"/>
              <w:right w:val="nil"/>
            </w:tcBorders>
            <w:vAlign w:val="center"/>
          </w:tcPr>
          <w:p w14:paraId="39BA2CF9" w14:textId="77777777" w:rsidR="007B7457" w:rsidRPr="00972D97" w:rsidRDefault="007B7457" w:rsidP="00DB4859">
            <w:pPr>
              <w:spacing w:after="0"/>
              <w:jc w:val="left"/>
              <w:rPr>
                <w:rFonts w:eastAsia="Times New Roman"/>
                <w:color w:val="000000"/>
                <w:szCs w:val="24"/>
              </w:rPr>
            </w:pPr>
            <w:r>
              <w:rPr>
                <w:rFonts w:eastAsia="Times New Roman"/>
                <w:color w:val="000000"/>
                <w:szCs w:val="24"/>
              </w:rPr>
              <w:t xml:space="preserve">Total </w:t>
            </w:r>
          </w:p>
        </w:tc>
        <w:tc>
          <w:tcPr>
            <w:tcW w:w="2209" w:type="dxa"/>
            <w:tcBorders>
              <w:top w:val="nil"/>
              <w:left w:val="nil"/>
              <w:bottom w:val="single" w:sz="12" w:space="0" w:color="auto"/>
              <w:right w:val="nil"/>
            </w:tcBorders>
            <w:noWrap/>
            <w:vAlign w:val="center"/>
            <w:hideMark/>
          </w:tcPr>
          <w:p w14:paraId="365C1151"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70.965</w:t>
            </w:r>
          </w:p>
        </w:tc>
        <w:tc>
          <w:tcPr>
            <w:tcW w:w="1259" w:type="dxa"/>
            <w:tcBorders>
              <w:top w:val="nil"/>
              <w:left w:val="nil"/>
              <w:bottom w:val="single" w:sz="12" w:space="0" w:color="auto"/>
              <w:right w:val="nil"/>
            </w:tcBorders>
            <w:noWrap/>
            <w:vAlign w:val="center"/>
            <w:hideMark/>
          </w:tcPr>
          <w:p w14:paraId="0511277F" w14:textId="77777777" w:rsidR="007B7457" w:rsidRPr="00972D97" w:rsidRDefault="007B7457" w:rsidP="00DB4859">
            <w:pPr>
              <w:spacing w:after="0"/>
              <w:jc w:val="center"/>
              <w:rPr>
                <w:rFonts w:eastAsia="Times New Roman"/>
                <w:color w:val="000000"/>
                <w:szCs w:val="24"/>
              </w:rPr>
            </w:pPr>
            <w:r>
              <w:rPr>
                <w:rFonts w:eastAsia="Times New Roman"/>
                <w:color w:val="000000"/>
                <w:szCs w:val="24"/>
              </w:rPr>
              <w:t>259</w:t>
            </w:r>
          </w:p>
        </w:tc>
        <w:tc>
          <w:tcPr>
            <w:tcW w:w="1623" w:type="dxa"/>
            <w:tcBorders>
              <w:top w:val="nil"/>
              <w:left w:val="nil"/>
              <w:bottom w:val="single" w:sz="12" w:space="0" w:color="auto"/>
              <w:right w:val="nil"/>
            </w:tcBorders>
            <w:noWrap/>
            <w:vAlign w:val="center"/>
            <w:hideMark/>
          </w:tcPr>
          <w:p w14:paraId="7E24E928" w14:textId="77777777" w:rsidR="007B7457" w:rsidRPr="00972D97" w:rsidRDefault="007B7457" w:rsidP="00DB4859">
            <w:pPr>
              <w:spacing w:after="0"/>
              <w:jc w:val="center"/>
              <w:rPr>
                <w:rFonts w:eastAsia="Times New Roman"/>
                <w:color w:val="000000"/>
                <w:szCs w:val="24"/>
              </w:rPr>
            </w:pPr>
          </w:p>
        </w:tc>
        <w:tc>
          <w:tcPr>
            <w:tcW w:w="1167" w:type="dxa"/>
            <w:tcBorders>
              <w:top w:val="nil"/>
              <w:left w:val="nil"/>
              <w:bottom w:val="single" w:sz="12" w:space="0" w:color="auto"/>
              <w:right w:val="nil"/>
            </w:tcBorders>
            <w:noWrap/>
            <w:vAlign w:val="center"/>
            <w:hideMark/>
          </w:tcPr>
          <w:p w14:paraId="6911A24F" w14:textId="77777777" w:rsidR="007B7457" w:rsidRPr="00972D97" w:rsidRDefault="007B7457" w:rsidP="00DB4859">
            <w:pPr>
              <w:spacing w:after="0"/>
              <w:jc w:val="center"/>
              <w:rPr>
                <w:rFonts w:eastAsia="Times New Roman"/>
                <w:sz w:val="20"/>
                <w:szCs w:val="20"/>
              </w:rPr>
            </w:pPr>
          </w:p>
        </w:tc>
        <w:tc>
          <w:tcPr>
            <w:tcW w:w="1482" w:type="dxa"/>
            <w:tcBorders>
              <w:top w:val="nil"/>
              <w:left w:val="nil"/>
              <w:bottom w:val="single" w:sz="12" w:space="0" w:color="auto"/>
              <w:right w:val="nil"/>
            </w:tcBorders>
            <w:noWrap/>
            <w:vAlign w:val="center"/>
            <w:hideMark/>
          </w:tcPr>
          <w:p w14:paraId="648C976D" w14:textId="77777777" w:rsidR="007B7457" w:rsidRPr="00972D97" w:rsidRDefault="007B7457" w:rsidP="00DB4859">
            <w:pPr>
              <w:spacing w:after="0"/>
              <w:jc w:val="center"/>
              <w:rPr>
                <w:rFonts w:eastAsia="Times New Roman"/>
                <w:sz w:val="20"/>
                <w:szCs w:val="20"/>
              </w:rPr>
            </w:pPr>
          </w:p>
        </w:tc>
      </w:tr>
    </w:tbl>
    <w:p w14:paraId="1EDB5A20" w14:textId="2F447B77" w:rsidR="008510DD" w:rsidRPr="000C07B5" w:rsidRDefault="00902F1B" w:rsidP="00B45A97">
      <w:pPr>
        <w:spacing w:before="120"/>
        <w:rPr>
          <w:b/>
          <w:szCs w:val="24"/>
        </w:rPr>
      </w:pPr>
      <w:r>
        <w:t xml:space="preserve"> </w:t>
      </w:r>
      <w:r w:rsidR="008510DD" w:rsidRPr="000C07B5">
        <w:rPr>
          <w:b/>
          <w:szCs w:val="24"/>
        </w:rPr>
        <w:t>DISCUSSION</w:t>
      </w:r>
    </w:p>
    <w:p w14:paraId="79B59EAF" w14:textId="6ED2A3F5" w:rsidR="00045323" w:rsidRPr="00045323" w:rsidRDefault="00546F86" w:rsidP="00045323">
      <w:pPr>
        <w:rPr>
          <w:lang w:val="en-US"/>
        </w:rPr>
      </w:pPr>
      <w:r w:rsidRPr="00546F86">
        <w:rPr>
          <w:lang w:val="en-US"/>
        </w:rPr>
        <w:t xml:space="preserve">The findings indicate that cadaveric dissection is perceived as highly valuable for learning anatomy, particularly for enhancing hands-on understanding, critical thinking, and </w:t>
      </w:r>
      <w:r w:rsidRPr="00546F86">
        <w:rPr>
          <w:lang w:val="en-US"/>
        </w:rPr>
        <w:lastRenderedPageBreak/>
        <w:t>knowledge retention. However, its implementation remains limited in frequency and duration, with most students exposed only once per academic year through short, intensive sessions. Despite this limited exposure, both students and lecturers regarded cadaveric dissection as an essential component of anatomy education. Awareness of alternative teaching methods was moderate, although most respondents still preferred cadaveric dissection over these alternatives.</w:t>
      </w:r>
      <w:r w:rsidR="00300388">
        <w:rPr>
          <w:lang w:val="en-US"/>
        </w:rPr>
        <w:t xml:space="preserve"> </w:t>
      </w:r>
      <w:r w:rsidR="00045323" w:rsidRPr="00045323">
        <w:rPr>
          <w:lang w:val="en-US"/>
        </w:rPr>
        <w:t>The findings of this study are consistent with existing literature demonstrating the continued relevance of cadaveric dissection in medical education</w:t>
      </w:r>
      <w:r w:rsidR="008A7706">
        <w:rPr>
          <w:lang w:val="en-US"/>
        </w:rPr>
        <w:t xml:space="preserve"> </w:t>
      </w:r>
      <w:r w:rsidR="008A7706">
        <w:rPr>
          <w:rStyle w:val="FootnoteReference"/>
          <w:lang w:val="en-US"/>
        </w:rPr>
        <w:fldChar w:fldCharType="begin" w:fldLock="1"/>
      </w:r>
      <w:r w:rsidR="00B27014">
        <w:rPr>
          <w:lang w:val="en-US"/>
        </w:rPr>
        <w:instrText>ADDIN CSL_CITATION {"citationItems":[{"id":"ITEM-1","itemData":{"DOI":"10.7759/cureus.37713","ISSN":"2168-8184","PMID":"37206509","abstract":"Cadaveric dissection, as a learning tool, has been a part of Indian medical education. Worldwide, with reforms in medical education and the introduction of new learning modalities, cadaveric dissection has been complemented with other modalities such as living anatomy and virtual anatomy. This study aims to collect the feedback of faculty members regarding the role of dissection in the present context of medical education. The method of the study involved a 32-item questionnaire to collect responses; they were collected using the 5-point Likert scale along with two open-ended questions. In general, the closed questions covered these sections: learning styles, interpersonal skills, teaching and learning, dissection, and other learning modes. The principal component analysis was used to explore the multivariate relationships among the items' perceptions. The multivariate regression analysis was conducted between the construct and the latent variable to develop the structural equation model. Four themes, PC1 (learning ability with structural orientation), PC2 (interpersonal skill), PC3 (multimedia-virtual tool), and PC5 (associated factors) had positive relation and were treated as a latent variable motivation for dissection, and theme 4 (PC4, safety) had a negative correlation and was treated as a latent variable repulsion for dissection. It was found that the dissection room is an important place for learning clinical and personal skills, along with empathy, in anatomy education. Safety issues and implementation of stress-coping activities during the induction phase are required. There is also a need to use mixed-method approaches that integrate technology-enhanced learning such as virtual anatomy, living anatomy, and radiological anatomy with cadaveric dissection.","author":[{"dropping-particle":"","family":"Asad","given":"Mohammad R","non-dropping-particle":"","parse-names":false,"suffix":""},{"dropping-particle":"","family":"Asghar","given":"Adil","non-dropping-particle":"","parse-names":false,"suffix":""},{"dropping-particle":"","family":"Tadvi","given":"Nasir","non-dropping-particle":"","parse-names":false,"suffix":""},{"dropping-particle":"","family":"Ahmed","given":"Mohammad M","non-dropping-particle":"","parse-names":false,"suffix":""},{"dropping-particle":"","family":"Nazeer","given":"Mohammed","non-dropping-particle":"","parse-names":false,"suffix":""},{"dropping-particle":"","family":"Amir","given":"Khwaja M","non-dropping-particle":"","parse-names":false,"suffix":""},{"dropping-particle":"","family":"Nasir","given":"Nazim","non-dropping-particle":"","parse-names":false,"suffix":""},{"dropping-particle":"","family":"Shaik","given":"Riyaz A","non-dropping-particle":"","parse-names":false,"suffix":""},{"dropping-particle":"","family":"Patra","given":"Apurba","non-dropping-particle":"","parse-names":false,"suffix":""}],"container-title":"Cureus","id":"ITEM-1","issue":"4","issued":{"date-parts":[["2023"]]},"page":"e37713","title":"Medical Faculty Perspectives Toward Cadaveric Dissection as a Learning Tool for Anatomy Education: A Survey Study in India","type":"article-journal","volume":"15"},"uris":["http://www.mendeley.com/documents/?uuid=0d1b434b-0949-49a4-9bf6-d230dcd53b04"]},{"id":"ITEM-2","itemData":{"ISSN":"2349-4220","abstract":"The best way to impart anatomical knowledge remains a subject of significant discussion. A thorough grasp of anatomy is essential for surgeons to perform safe surgical procedures. Effective teaching methods are, therefore, crucial to support safe clinical practice. We analyzed various approaches to suggest the most effective teaching methods in anatomy education. Cadaver-based instruction has been a primary teaching technique, although with varying views on whether extensive dissection remains suitable for modern undergraduate programs. Many medical schools have shifted from dissection-based teaching to alternative methods due to several constraints. Virtual dissection enhances accessibility to anatomical structures. Prosection is a valuable method for understanding anatomical relations. Plastination enhances the visualization of complex anatomical structures. Synthetic cadavers and plastic models exhibited improved test scores. Three-dimensional printing models allow visualization of anatomical structures from multiple angles. Radiology-based teaching facilitates an early grasp of clinical applications. Augmented reality provides a deeper understanding of concepts. Body painting and surface anatomy promote active learning. Curricular requirements are unlikely to be met by a single teaching tool and using varied complementary pedagogical resources may be the most effective way to teach anatomy. Medical students, particularly those aspiring to become surgeons, would benefit most from complete body dissection. In contrast, students studying allied health sciences would benefit significantly from education based on prosection and plastination. Future research should focus on evaluating the feasibility of new teaching methods and their capacity to meet learning outcomes in medical curricula, as well as obtaining student feedback on integrated and multimodal educational paradigms.","author":[{"dropping-particle":"","family":"Verma","given":"Suman","non-dropping-particle":"","parse-names":false,"suffix":""},{"dropping-particle":"","family":"Sharma","given":"Urvi","non-dropping-particle":"","parse-names":false,"suffix":""}],"container-title":"International Journal of Advanced Medical and Health Research","id":"ITEM-2","issue":"1","issued":{"date-parts":[["2025"]]},"page":"254-233","title":"Alternatives to Cadaveric Dissection in Medical Education: An Overview","type":"article-journal","volume":"12"},"uris":["http://www.mendeley.com/documents/?uuid=f3a8aab2-9c8e-4645-a045-c86d33aa2ff9"]}],"mendeley":{"formattedCitation":"(Asad &lt;i&gt;et al.&lt;/i&gt;, 2023; Verma and Sharma, 2025)","plainTextFormattedCitation":"(Asad et al., 2023; Verma and Sharma, 2025)","previouslyFormattedCitation":"(10,11)"},"properties":{"noteIndex":0},"schema":"https://github.com/citation-style-language/schema/raw/master/csl-citation.json"}</w:instrText>
      </w:r>
      <w:r w:rsidR="008A7706">
        <w:rPr>
          <w:rStyle w:val="FootnoteReference"/>
          <w:lang w:val="en-US"/>
        </w:rPr>
        <w:fldChar w:fldCharType="separate"/>
      </w:r>
      <w:r w:rsidR="00B27014" w:rsidRPr="00B27014">
        <w:rPr>
          <w:bCs/>
          <w:noProof/>
          <w:lang w:val="en-US"/>
        </w:rPr>
        <w:t xml:space="preserve">(Asad </w:t>
      </w:r>
      <w:r w:rsidR="00B27014" w:rsidRPr="00B27014">
        <w:rPr>
          <w:bCs/>
          <w:i/>
          <w:noProof/>
          <w:lang w:val="en-US"/>
        </w:rPr>
        <w:t>et al.</w:t>
      </w:r>
      <w:r w:rsidR="00B27014" w:rsidRPr="00B27014">
        <w:rPr>
          <w:bCs/>
          <w:noProof/>
          <w:lang w:val="en-US"/>
        </w:rPr>
        <w:t>, 2023; Verma and Sharma, 2025)</w:t>
      </w:r>
      <w:r w:rsidR="008A7706">
        <w:rPr>
          <w:rStyle w:val="FootnoteReference"/>
          <w:lang w:val="en-US"/>
        </w:rPr>
        <w:fldChar w:fldCharType="end"/>
      </w:r>
      <w:r w:rsidR="00045323" w:rsidRPr="00045323">
        <w:rPr>
          <w:lang w:val="en-US"/>
        </w:rPr>
        <w:t>. Previous studies have shown that cadaver-based learning enhances spatial understanding, clinical reasoning, and long-term retention of anatomical knowledge.</w:t>
      </w:r>
      <w:r w:rsidR="00B7708D">
        <w:rPr>
          <w:lang w:val="en-US"/>
        </w:rPr>
        <w:t xml:space="preserve"> </w:t>
      </w:r>
      <w:r w:rsidR="00045323" w:rsidRPr="00045323">
        <w:rPr>
          <w:lang w:val="en-US"/>
        </w:rPr>
        <w:t>At the same time, growing evidence supports the integration of alternative teaching methods, such as virtual dissection and 3D models, to supplement traditional approaches</w:t>
      </w:r>
      <w:r w:rsidR="0072237D">
        <w:rPr>
          <w:lang w:val="en-US"/>
        </w:rPr>
        <w:t xml:space="preserve"> </w:t>
      </w:r>
      <w:r w:rsidR="0072237D">
        <w:rPr>
          <w:lang w:val="en-US"/>
        </w:rPr>
        <w:fldChar w:fldCharType="begin" w:fldLock="1"/>
      </w:r>
      <w:r w:rsidR="00B27014">
        <w:rPr>
          <w:lang w:val="en-US"/>
        </w:rPr>
        <w:instrText>ADDIN CSL_CITATION {"citationItems":[{"id":"ITEM-1","itemData":{"DOI":"10.7759/cureus.37713","ISSN":"2168-8184","PMID":"37206509","abstract":"Cadaveric dissection, as a learning tool, has been a part of Indian medical education. Worldwide, with reforms in medical education and the introduction of new learning modalities, cadaveric dissection has been complemented with other modalities such as living anatomy and virtual anatomy. This study aims to collect the feedback of faculty members regarding the role of dissection in the present context of medical education. The method of the study involved a 32-item questionnaire to collect responses; they were collected using the 5-point Likert scale along with two open-ended questions. In general, the closed questions covered these sections: learning styles, interpersonal skills, teaching and learning, dissection, and other learning modes. The principal component analysis was used to explore the multivariate relationships among the items' perceptions. The multivariate regression analysis was conducted between the construct and the latent variable to develop the structural equation model. Four themes, PC1 (learning ability with structural orientation), PC2 (interpersonal skill), PC3 (multimedia-virtual tool), and PC5 (associated factors) had positive relation and were treated as a latent variable motivation for dissection, and theme 4 (PC4, safety) had a negative correlation and was treated as a latent variable repulsion for dissection. It was found that the dissection room is an important place for learning clinical and personal skills, along with empathy, in anatomy education. Safety issues and implementation of stress-coping activities during the induction phase are required. There is also a need to use mixed-method approaches that integrate technology-enhanced learning such as virtual anatomy, living anatomy, and radiological anatomy with cadaveric dissection.","author":[{"dropping-particle":"","family":"Asad","given":"Mohammad R","non-dropping-particle":"","parse-names":false,"suffix":""},{"dropping-particle":"","family":"Asghar","given":"Adil","non-dropping-particle":"","parse-names":false,"suffix":""},{"dropping-particle":"","family":"Tadvi","given":"Nasir","non-dropping-particle":"","parse-names":false,"suffix":""},{"dropping-particle":"","family":"Ahmed","given":"Mohammad M","non-dropping-particle":"","parse-names":false,"suffix":""},{"dropping-particle":"","family":"Nazeer","given":"Mohammed","non-dropping-particle":"","parse-names":false,"suffix":""},{"dropping-particle":"","family":"Amir","given":"Khwaja M","non-dropping-particle":"","parse-names":false,"suffix":""},{"dropping-particle":"","family":"Nasir","given":"Nazim","non-dropping-particle":"","parse-names":false,"suffix":""},{"dropping-particle":"","family":"Shaik","given":"Riyaz A","non-dropping-particle":"","parse-names":false,"suffix":""},{"dropping-particle":"","family":"Patra","given":"Apurba","non-dropping-particle":"","parse-names":false,"suffix":""}],"container-title":"Cureus","id":"ITEM-1","issue":"4","issued":{"date-parts":[["2023"]]},"page":"e37713","title":"Medical Faculty Perspectives Toward Cadaveric Dissection as a Learning Tool for Anatomy Education: A Survey Study in India","type":"article-journal","volume":"15"},"uris":["http://www.mendeley.com/documents/?uuid=0d1b434b-0949-49a4-9bf6-d230dcd53b04"]},{"id":"ITEM-2","itemData":{"DOI":"10.3389/fmedt.2023.1190096","ISSN":"2673-3129","abstract":"Background: Laboratory dissections are essential to acquire practical skills to perform neurosurgical procedures. Despite being traditionally done on cadavers, they are often unavailable and suffer from cultural barriers in the African context. Non-cadaveric UpSurgeOn neurosurgery models have been developed to bridge this barrier, providing an almost similar experience with the human body. This study aimed to assess the impact of the UpSurgeOn hands-on-touch non-cadaver model training amongst selected Cameroon medical students. Methods: An anonymous 39-item questionnaire was distributed online using Google drive systems to medical students who attended UpSurgeOn's hands-on-touch non-cadaver model training course. These questions aimed to capture data on previous experience with neuroanatomy and neurosurgery practicals and the perception, attitudes, and impact of the UpSurgeOn neurosurgery tool. Results: Eighty-six students completed the survey. The mean age was 21.2 ± 1.868 years, 61.6% were males with 62.8% of respondents being medical students in preclinical years. Before the training, 29.4% had a fair knowledge of neuroanatomy. Textbooks and Youtube videos were the main sources of neuroanatomy and neurosurgery knowledge for more than half of the respondents. Up to 91.5% had no prior exposure to a neuroanatomy/neurosurgery cadaver laboratory dissection, and 22.6% and 17.6% had witnessed and performed at least one craniotomy before, respectively. There were 11.1%, 15.5%, and 31.3% of our respondents who had used a surgical microscope, a neurosurgical instrument, and the UpSurgeOn Neurosurgery tool before, respectively. The majority perceived the UpSurgeOn tool easy to use and felt they needed to learn just a few things before getting going with the box. Most thought of increasing the use of the UpSurgeOn Box and saw the need to be part of the training curriculum. Finally, the majority felt this tool helped to increase familiarity and acquire neurosurgical skills, and to develop the orientation skills needed during neurosurgical approaches. Conclusion: Undergraduate exposure to traditional neurosurgery/neuroanatomy labs is limited in Cameroon. Neurosurgery/neuroanatomy practical skills are gained essentially using non-practical means. Most students found the UpSurgeOn tool user-friendly, saw the need to incorporate it as part of their training, and perceived it to be essential in getting acquainted with neurosurgical skills.","author":[{"dropping-particle":"","family":"Takoutsing","given":"Berjo Dongmo","non-dropping-particle":"","parse-names":false,"suffix":""},{"dropping-particle":"","family":"Wunde","given":"Ubraine Njineck","non-dropping-particle":"","parse-names":false,"suffix":""},{"dropping-particle":"","family":"Zolo","given":"Yvan","non-dropping-particle":"","parse-names":false,"suffix":""},{"dropping-particle":"","family":"Endalle","given":"Geneviève","non-dropping-particle":"","parse-names":false,"suffix":""},{"dropping-particle":"","family":"Djaowé","given":"Dieunedort Arnold Menga","non-dropping-particle":"","parse-names":false,"suffix":""},{"dropping-particle":"","family":"Tatsadjieu","given":"Léopoldine Sybile Ngoune","non-dropping-particle":"","parse-names":false,"suffix":""},{"dropping-particle":"","family":"Zourmba","given":"Ines Miste","non-dropping-particle":"","parse-names":false,"suffix":""},{"dropping-particle":"","family":"Dadda","given":"Aminatou","non-dropping-particle":"","parse-names":false,"suffix":""},{"dropping-particle":"","family":"Nchufor","given":"Roland Ndouh","non-dropping-particle":"","parse-names":false,"suffix":""},{"dropping-particle":"","family":"Nkouonlack","given":"Cyrille Duquesne","non-dropping-particle":"","parse-names":false,"suffix":""},{"dropping-particle":"","family":"Bikono","given":"Ernestine Renée Atangana","non-dropping-particle":"","parse-names":false,"suffix":""},{"dropping-particle":"","family":"Magadji","given":"Jean Paul Oumarou","non-dropping-particle":"","parse-names":false,"suffix":""},{"dropping-particle":"","family":"Fankem","given":"Casimir","non-dropping-particle":"","parse-names":false,"suffix":""},{"dropping-particle":"","family":"Jibia","given":"Alain Bertrand Tchoupo","non-dropping-particle":"","parse-names":false,"suffix":""},{"dropping-particle":"","family":"Esene","given":"Ignatius","non-dropping-particle":"","parse-names":false,"suffix":""}],"container-title":"Frontiers in Medical Technology","id":"ITEM-2","issue":"6","issued":{"date-parts":[["2023"]]},"page":"12-23","title":"Assessing the impact of neurosurgery and neuroanatomy simulation using 3D non-cadaveric models amongst selected African medical students","type":"article-journal","volume":"5"},"uris":["http://www.mendeley.com/documents/?uuid=ef0520ab-475a-44f0-8dfc-bc0262b90b80"]}],"mendeley":{"formattedCitation":"(Asad &lt;i&gt;et al.&lt;/i&gt;, 2023; Takoutsing &lt;i&gt;et al.&lt;/i&gt;, 2023)","plainTextFormattedCitation":"(Asad et al., 2023; Takoutsing et al., 2023)","previouslyFormattedCitation":"(5,10)"},"properties":{"noteIndex":0},"schema":"https://github.com/citation-style-language/schema/raw/master/csl-citation.json"}</w:instrText>
      </w:r>
      <w:r w:rsidR="0072237D">
        <w:rPr>
          <w:lang w:val="en-US"/>
        </w:rPr>
        <w:fldChar w:fldCharType="separate"/>
      </w:r>
      <w:r w:rsidR="00B27014" w:rsidRPr="00B27014">
        <w:rPr>
          <w:noProof/>
          <w:lang w:val="en-US"/>
        </w:rPr>
        <w:t xml:space="preserve">(Asad </w:t>
      </w:r>
      <w:r w:rsidR="00B27014" w:rsidRPr="00B27014">
        <w:rPr>
          <w:i/>
          <w:noProof/>
          <w:lang w:val="en-US"/>
        </w:rPr>
        <w:t>et al.</w:t>
      </w:r>
      <w:r w:rsidR="00B27014" w:rsidRPr="00B27014">
        <w:rPr>
          <w:noProof/>
          <w:lang w:val="en-US"/>
        </w:rPr>
        <w:t xml:space="preserve">, 2023; Takoutsing </w:t>
      </w:r>
      <w:r w:rsidR="00B27014" w:rsidRPr="00B27014">
        <w:rPr>
          <w:i/>
          <w:noProof/>
          <w:lang w:val="en-US"/>
        </w:rPr>
        <w:t>et al.</w:t>
      </w:r>
      <w:r w:rsidR="00B27014" w:rsidRPr="00B27014">
        <w:rPr>
          <w:noProof/>
          <w:lang w:val="en-US"/>
        </w:rPr>
        <w:t>, 2023)</w:t>
      </w:r>
      <w:r w:rsidR="0072237D">
        <w:rPr>
          <w:lang w:val="en-US"/>
        </w:rPr>
        <w:fldChar w:fldCharType="end"/>
      </w:r>
      <w:r w:rsidR="00045323" w:rsidRPr="00045323">
        <w:rPr>
          <w:lang w:val="en-US"/>
        </w:rPr>
        <w:t>. Similar to prior research, this study found that while these alternatives are useful, they are generally perceived as complementary rather than replacement tools.</w:t>
      </w:r>
      <w:r w:rsidR="00B7708D">
        <w:rPr>
          <w:lang w:val="en-US"/>
        </w:rPr>
        <w:t xml:space="preserve"> </w:t>
      </w:r>
      <w:r w:rsidR="00045323" w:rsidRPr="00045323">
        <w:rPr>
          <w:lang w:val="en-US"/>
        </w:rPr>
        <w:t>Additionally, the limited use of cadaveric dissection observed in this study reflects trends in resource-constrained settings, where factors such as infrastructure, cadaver availability, and regulatory requirements influence implementation</w:t>
      </w:r>
      <w:r w:rsidR="0072237D">
        <w:rPr>
          <w:lang w:val="en-US"/>
        </w:rPr>
        <w:t xml:space="preserve"> </w:t>
      </w:r>
      <w:r w:rsidR="0072237D">
        <w:rPr>
          <w:lang w:val="en-US"/>
        </w:rPr>
        <w:fldChar w:fldCharType="begin" w:fldLock="1"/>
      </w:r>
      <w:r w:rsidR="00B27014">
        <w:rPr>
          <w:lang w:val="en-US"/>
        </w:rPr>
        <w:instrText>ADDIN CSL_CITATION {"citationItems":[{"id":"ITEM-1","itemData":{"DOI":"10.30574/wjarr.2024.21.1.0165","abstract":"Background: The general trends and issues related to anatomy teaching in medical schools, with a focus on the comparison between low and middle-income countries (LMICs) and high-income countries (HICs) is a huge topic in medical education history as arguments about effectiveness o the methods and instruments of the teaching is constantly discussed. There are significant disparities in anatomy teaching between HICs and LMICs, primarily driven by differences in resources and infrastructure. Aim: This systematic review aims to analyze the comparative effectiveness of cadaveric dissection versus anatomical models in teaching anatomy. The primary focus of this study is to assess the feasibility and practicality of employing cadaveric dissection versus anatomical models in resource-constrained settings Examine students’ perception and satisfaction with learning experience when taught anatomy using cadavers or anatomical models, Compare the outcomes and experiences of teaching anatomy with cadavers or models in medical schools and Evaluate the cultural and ethical aspects influencing the choice between cadaveric dissection and anatomical models in medical education. Method: A comprehensive search strategy was employed to identify relevant studies published in peer-reviewed journals, conference proceedings, and grey literature databases. Inclusion criteria encompassed articles reporting on of cadaveric dissection versus anatomical models in teaching anatomy. Conclusion: The comparative effectiveness of cadaveric dissection and anatomical models in teaching anatomy is a complex and multifaceted issue, with considerations extending beyond educational outcomes to encompass economic, logistical, and ethical dimensions. While both methods have their merits, medical schools in LMICs face distinct challenges that require innovative solutions.","author":[{"dropping-particle":"","family":"Ajemba","given":"Michael Nnaemeka","non-dropping-particle":"","parse-names":false,"suffix":""},{"dropping-particle":"","family":"Iroanya","given":"Chioma Judith","non-dropping-particle":"","parse-names":false,"suffix":""},{"dropping-particle":"","family":"Ironegbu","given":"Chinweike","non-dropping-particle":"","parse-names":false,"suffix":""}],"container-title":"World Journal of Advanced Research and Reviews","id":"ITEM-1","issue":"1","issued":{"date-parts":[["2024"]]},"page":"1817-1832","title":"Comparative effectiveness of cadaveric dissection versus anatomical models in teaching anatomy: A global analysis focused on medical schools in low and middle –income Countries versus High-Income Countries: A systematic review","type":"article-journal","volume":"21"},"uris":["http://www.mendeley.com/documents/?uuid=9d8e7771-9a98-4b87-913b-9041f76c2b4d"]}],"mendeley":{"formattedCitation":"(Ajemba, Iroanya and Ironegbu, 2024)","plainTextFormattedCitation":"(Ajemba, Iroanya and Ironegbu, 2024)","previouslyFormattedCitation":"(2)"},"properties":{"noteIndex":0},"schema":"https://github.com/citation-style-language/schema/raw/master/csl-citation.json"}</w:instrText>
      </w:r>
      <w:r w:rsidR="0072237D">
        <w:rPr>
          <w:lang w:val="en-US"/>
        </w:rPr>
        <w:fldChar w:fldCharType="separate"/>
      </w:r>
      <w:r w:rsidR="00B27014" w:rsidRPr="00B27014">
        <w:rPr>
          <w:noProof/>
          <w:lang w:val="en-US"/>
        </w:rPr>
        <w:t>(Ajemba, Iroanya and Ironegbu, 2024)</w:t>
      </w:r>
      <w:r w:rsidR="0072237D">
        <w:rPr>
          <w:lang w:val="en-US"/>
        </w:rPr>
        <w:fldChar w:fldCharType="end"/>
      </w:r>
      <w:r w:rsidR="00045323" w:rsidRPr="00045323">
        <w:rPr>
          <w:lang w:val="en-US"/>
        </w:rPr>
        <w:t>. This supports earlier findings that institutional and logistical challenges remain key barriers to the effective integration of cadaveric dissection in anatomy curricula.</w:t>
      </w:r>
    </w:p>
    <w:p w14:paraId="47959CC7" w14:textId="2CC83638" w:rsidR="00045323" w:rsidRPr="00045323" w:rsidRDefault="00045323" w:rsidP="00045323">
      <w:pPr>
        <w:rPr>
          <w:lang w:val="en-US"/>
        </w:rPr>
      </w:pPr>
    </w:p>
    <w:p w14:paraId="58F76642" w14:textId="77777777" w:rsidR="001D6F15" w:rsidRPr="001D6F15" w:rsidRDefault="001D6F15" w:rsidP="001D6F15">
      <w:pPr>
        <w:rPr>
          <w:b/>
          <w:bCs/>
          <w:lang w:val="en-US"/>
        </w:rPr>
      </w:pPr>
      <w:r w:rsidRPr="001D6F15">
        <w:rPr>
          <w:b/>
          <w:bCs/>
          <w:lang w:val="en-US"/>
        </w:rPr>
        <w:t>Conclusion</w:t>
      </w:r>
    </w:p>
    <w:p w14:paraId="6175895F" w14:textId="7A761141" w:rsidR="003F014B" w:rsidRPr="003F014B" w:rsidRDefault="001D6F15" w:rsidP="003F014B">
      <w:pPr>
        <w:rPr>
          <w:lang w:val="en-US"/>
        </w:rPr>
      </w:pPr>
      <w:r w:rsidRPr="001D6F15">
        <w:rPr>
          <w:lang w:val="en-US"/>
        </w:rPr>
        <w:t>Cadaveric dissection remains a highly valued and essential component of anatomy education at Kenya Medical Training College despite its limited frequency of use. Students and lecturers perceive it as critical for enhancing hands-on learning, spatial understanding, and knowledge retention. However, its implementation is constrained by logistical, infrastructural, and curricular limitations, resulting in short, intensive exposure rather than continuous engagement.</w:t>
      </w:r>
      <w:r>
        <w:rPr>
          <w:lang w:val="en-US"/>
        </w:rPr>
        <w:t xml:space="preserve"> </w:t>
      </w:r>
      <w:r w:rsidRPr="001D6F15">
        <w:rPr>
          <w:lang w:val="en-US"/>
        </w:rPr>
        <w:t>Although alternative teaching methods such as 3D models and virtual simulations are recognized as useful, they are generally viewed as complementary rather than substitutes for cadaveric dissection. To improve anatomy education, there is a need to expand access to cadaveric dissection, strengthen institutional capacity, and integrate blended teaching approaches. A balanced strategy combining traditional dissection with innovative tools is likely to provide the most effective and sustainable model for anatomy instruction.</w:t>
      </w:r>
    </w:p>
    <w:p w14:paraId="136EDC8B" w14:textId="77777777" w:rsidR="002849C9" w:rsidRPr="000650EF" w:rsidRDefault="00776C01" w:rsidP="00776C01">
      <w:pPr>
        <w:autoSpaceDE w:val="0"/>
        <w:autoSpaceDN w:val="0"/>
        <w:adjustRightInd w:val="0"/>
        <w:spacing w:after="0"/>
        <w:jc w:val="left"/>
        <w:rPr>
          <w:b/>
          <w:bCs/>
          <w:szCs w:val="24"/>
          <w:lang w:val="en-US"/>
        </w:rPr>
      </w:pPr>
      <w:r w:rsidRPr="000650EF">
        <w:rPr>
          <w:b/>
          <w:bCs/>
          <w:szCs w:val="24"/>
          <w:lang w:val="en-US"/>
        </w:rPr>
        <w:t>Funding</w:t>
      </w:r>
    </w:p>
    <w:p w14:paraId="5D292452" w14:textId="771C4ACF" w:rsidR="00776C01" w:rsidRPr="002849C9" w:rsidRDefault="00776C01" w:rsidP="00776C01">
      <w:pPr>
        <w:autoSpaceDE w:val="0"/>
        <w:autoSpaceDN w:val="0"/>
        <w:adjustRightInd w:val="0"/>
        <w:spacing w:after="0"/>
        <w:jc w:val="left"/>
        <w:rPr>
          <w:szCs w:val="24"/>
          <w:lang w:val="en-US"/>
        </w:rPr>
      </w:pPr>
      <w:r w:rsidRPr="002849C9">
        <w:rPr>
          <w:szCs w:val="24"/>
          <w:lang w:val="en-US"/>
        </w:rPr>
        <w:t>No funding sources</w:t>
      </w:r>
    </w:p>
    <w:p w14:paraId="0E633802" w14:textId="77777777" w:rsidR="008A3C8A" w:rsidRPr="000C07B5" w:rsidRDefault="008A3C8A" w:rsidP="00776C01">
      <w:pPr>
        <w:autoSpaceDE w:val="0"/>
        <w:autoSpaceDN w:val="0"/>
        <w:adjustRightInd w:val="0"/>
        <w:spacing w:after="0"/>
        <w:jc w:val="left"/>
        <w:rPr>
          <w:i/>
          <w:iCs/>
          <w:szCs w:val="24"/>
          <w:lang w:val="en-US"/>
        </w:rPr>
      </w:pPr>
    </w:p>
    <w:p w14:paraId="2F2BA5C5" w14:textId="38833189" w:rsidR="002849C9" w:rsidRPr="002849C9" w:rsidRDefault="00776C01" w:rsidP="00776C01">
      <w:pPr>
        <w:autoSpaceDE w:val="0"/>
        <w:autoSpaceDN w:val="0"/>
        <w:adjustRightInd w:val="0"/>
        <w:spacing w:after="0"/>
        <w:jc w:val="left"/>
        <w:rPr>
          <w:b/>
          <w:bCs/>
          <w:szCs w:val="24"/>
          <w:lang w:val="en-US"/>
        </w:rPr>
      </w:pPr>
      <w:r w:rsidRPr="002849C9">
        <w:rPr>
          <w:b/>
          <w:bCs/>
          <w:szCs w:val="24"/>
          <w:lang w:val="en-US"/>
        </w:rPr>
        <w:t xml:space="preserve">Conflict of interest </w:t>
      </w:r>
    </w:p>
    <w:p w14:paraId="0F684C84" w14:textId="1F0F75EC" w:rsidR="00776C01" w:rsidRDefault="00776C01" w:rsidP="00776C01">
      <w:pPr>
        <w:autoSpaceDE w:val="0"/>
        <w:autoSpaceDN w:val="0"/>
        <w:adjustRightInd w:val="0"/>
        <w:spacing w:after="0"/>
        <w:jc w:val="left"/>
        <w:rPr>
          <w:i/>
          <w:iCs/>
          <w:szCs w:val="24"/>
          <w:lang w:val="en-US"/>
        </w:rPr>
      </w:pPr>
      <w:r w:rsidRPr="000C07B5">
        <w:rPr>
          <w:i/>
          <w:iCs/>
          <w:szCs w:val="24"/>
          <w:lang w:val="en-US"/>
        </w:rPr>
        <w:t>None declared</w:t>
      </w:r>
    </w:p>
    <w:p w14:paraId="2F4C28BD" w14:textId="77777777" w:rsidR="003056C8" w:rsidRPr="000C07B5" w:rsidRDefault="003056C8" w:rsidP="00776C01">
      <w:pPr>
        <w:autoSpaceDE w:val="0"/>
        <w:autoSpaceDN w:val="0"/>
        <w:adjustRightInd w:val="0"/>
        <w:spacing w:after="0"/>
        <w:jc w:val="left"/>
        <w:rPr>
          <w:i/>
          <w:iCs/>
          <w:szCs w:val="24"/>
          <w:lang w:val="en-US"/>
        </w:rPr>
      </w:pPr>
    </w:p>
    <w:p w14:paraId="3F6DF732" w14:textId="27A4483B" w:rsidR="00913EB0" w:rsidRPr="00913EB0" w:rsidRDefault="002849C9" w:rsidP="00913EB0">
      <w:pPr>
        <w:spacing w:before="240"/>
        <w:rPr>
          <w:b/>
          <w:szCs w:val="24"/>
          <w:lang w:val="en-US"/>
        </w:rPr>
      </w:pPr>
      <w:r w:rsidRPr="00913EB0">
        <w:rPr>
          <w:b/>
          <w:bCs/>
          <w:szCs w:val="24"/>
          <w:lang w:val="en-US"/>
        </w:rPr>
        <w:t>Author Contribution</w:t>
      </w:r>
      <w:r>
        <w:rPr>
          <w:b/>
          <w:bCs/>
          <w:szCs w:val="24"/>
          <w:lang w:val="en-US"/>
        </w:rPr>
        <w:t>s</w:t>
      </w:r>
      <w:r w:rsidRPr="00913EB0">
        <w:rPr>
          <w:b/>
          <w:bCs/>
          <w:szCs w:val="24"/>
          <w:lang w:val="en-US"/>
        </w:rPr>
        <w:t xml:space="preserve"> </w:t>
      </w:r>
    </w:p>
    <w:p w14:paraId="78B10477" w14:textId="148819A4" w:rsidR="00913EB0" w:rsidRPr="00913EB0" w:rsidRDefault="00316CBF" w:rsidP="00913EB0">
      <w:pPr>
        <w:spacing w:before="240"/>
        <w:rPr>
          <w:b/>
          <w:szCs w:val="24"/>
          <w:lang w:val="en-US"/>
        </w:rPr>
      </w:pPr>
      <w:r w:rsidRPr="000102C7">
        <w:rPr>
          <w:szCs w:val="24"/>
          <w:lang w:val="en-US"/>
        </w:rPr>
        <w:t>Felistus Muinde</w:t>
      </w:r>
      <w:r w:rsidR="00913EB0" w:rsidRPr="00913EB0">
        <w:rPr>
          <w:b/>
          <w:bCs/>
          <w:szCs w:val="24"/>
          <w:lang w:val="en-US"/>
        </w:rPr>
        <w:t xml:space="preserve">: </w:t>
      </w:r>
      <w:r w:rsidR="00A06945" w:rsidRPr="00A06945">
        <w:rPr>
          <w:bCs/>
          <w:szCs w:val="24"/>
        </w:rPr>
        <w:t xml:space="preserve">conceptualization and design of the study, conducting the literature review, collecting and </w:t>
      </w:r>
      <w:proofErr w:type="spellStart"/>
      <w:r w:rsidR="00A06945" w:rsidRPr="00A06945">
        <w:rPr>
          <w:bCs/>
          <w:szCs w:val="24"/>
        </w:rPr>
        <w:t>analyzing</w:t>
      </w:r>
      <w:proofErr w:type="spellEnd"/>
      <w:r w:rsidR="00A06945" w:rsidRPr="00A06945">
        <w:rPr>
          <w:bCs/>
          <w:szCs w:val="24"/>
        </w:rPr>
        <w:t xml:space="preserve"> data, interpreting the results, and writing the manuscript</w:t>
      </w:r>
      <w:r w:rsidR="00913EB0" w:rsidRPr="00913EB0">
        <w:rPr>
          <w:bCs/>
          <w:szCs w:val="24"/>
          <w:lang w:val="en-US"/>
        </w:rPr>
        <w:t>.</w:t>
      </w:r>
      <w:r w:rsidR="00913EB0" w:rsidRPr="00913EB0">
        <w:rPr>
          <w:b/>
          <w:szCs w:val="24"/>
          <w:lang w:val="en-US"/>
        </w:rPr>
        <w:t xml:space="preserve"> </w:t>
      </w:r>
    </w:p>
    <w:p w14:paraId="00CE9484" w14:textId="2210E5C6" w:rsidR="00585C30" w:rsidRDefault="000102C7" w:rsidP="00913EB0">
      <w:pPr>
        <w:spacing w:before="240"/>
        <w:rPr>
          <w:b/>
          <w:szCs w:val="24"/>
          <w:lang w:val="en-US"/>
        </w:rPr>
      </w:pPr>
      <w:r>
        <w:t xml:space="preserve">Ronald </w:t>
      </w:r>
      <w:proofErr w:type="spellStart"/>
      <w:r>
        <w:t>Obwoge</w:t>
      </w:r>
      <w:proofErr w:type="spellEnd"/>
      <w:r w:rsidR="00913EB0" w:rsidRPr="00913EB0">
        <w:rPr>
          <w:b/>
          <w:bCs/>
          <w:szCs w:val="24"/>
          <w:lang w:val="en-US"/>
        </w:rPr>
        <w:t xml:space="preserve">: </w:t>
      </w:r>
      <w:r w:rsidR="00913EB0" w:rsidRPr="00995B4A">
        <w:rPr>
          <w:bCs/>
          <w:szCs w:val="24"/>
          <w:lang w:val="en-US"/>
        </w:rPr>
        <w:t>Review of the concept/study design, examination of data analysis and interpretation and writing of the manuscript.</w:t>
      </w:r>
      <w:r w:rsidR="00913EB0" w:rsidRPr="00913EB0">
        <w:rPr>
          <w:b/>
          <w:szCs w:val="24"/>
          <w:lang w:val="en-US"/>
        </w:rPr>
        <w:t xml:space="preserve"> </w:t>
      </w:r>
    </w:p>
    <w:p w14:paraId="4913342C" w14:textId="100A828F" w:rsidR="00995B4A" w:rsidRDefault="00136E70" w:rsidP="00995B4A">
      <w:pPr>
        <w:spacing w:before="240"/>
        <w:rPr>
          <w:b/>
          <w:szCs w:val="24"/>
          <w:lang w:val="en-US"/>
        </w:rPr>
      </w:pPr>
      <w:r>
        <w:lastRenderedPageBreak/>
        <w:t>Anastasiah Kimeu</w:t>
      </w:r>
      <w:r w:rsidR="00346E07">
        <w:rPr>
          <w:b/>
          <w:color w:val="000000"/>
          <w:szCs w:val="24"/>
        </w:rPr>
        <w:t>:</w:t>
      </w:r>
      <w:r w:rsidR="00151E7E">
        <w:rPr>
          <w:b/>
          <w:color w:val="000000"/>
          <w:szCs w:val="24"/>
        </w:rPr>
        <w:t xml:space="preserve"> </w:t>
      </w:r>
      <w:r w:rsidR="00151E7E" w:rsidRPr="00913EB0">
        <w:rPr>
          <w:bCs/>
          <w:szCs w:val="24"/>
          <w:lang w:val="en-US"/>
        </w:rPr>
        <w:t>Review of the concept and study design, examination of data analysis and interpretation and review of manuscript writing.</w:t>
      </w:r>
      <w:r w:rsidR="00151E7E" w:rsidRPr="00913EB0">
        <w:rPr>
          <w:b/>
          <w:szCs w:val="24"/>
          <w:lang w:val="en-US"/>
        </w:rPr>
        <w:t xml:space="preserve"> </w:t>
      </w:r>
      <w:r w:rsidR="00995B4A" w:rsidRPr="00913EB0">
        <w:rPr>
          <w:bCs/>
          <w:szCs w:val="24"/>
          <w:lang w:val="en-US"/>
        </w:rPr>
        <w:t>Review of data analysis and interpretation and manuscript writing.</w:t>
      </w:r>
      <w:r w:rsidR="00995B4A" w:rsidRPr="00913EB0">
        <w:rPr>
          <w:b/>
          <w:szCs w:val="24"/>
          <w:lang w:val="en-US"/>
        </w:rPr>
        <w:t xml:space="preserve"> </w:t>
      </w:r>
    </w:p>
    <w:p w14:paraId="09273E6F" w14:textId="77777777" w:rsidR="000650EF" w:rsidRPr="000650EF" w:rsidRDefault="000650EF" w:rsidP="000650EF">
      <w:pPr>
        <w:spacing w:before="240"/>
        <w:rPr>
          <w:b/>
          <w:szCs w:val="24"/>
          <w:lang w:val="en-US"/>
        </w:rPr>
      </w:pPr>
      <w:r w:rsidRPr="000650EF">
        <w:rPr>
          <w:b/>
          <w:bCs/>
          <w:szCs w:val="24"/>
          <w:lang w:val="en-US"/>
        </w:rPr>
        <w:t>Acknowledgments</w:t>
      </w:r>
    </w:p>
    <w:p w14:paraId="4192E82A" w14:textId="77777777" w:rsidR="000650EF" w:rsidRPr="000650EF" w:rsidRDefault="000650EF" w:rsidP="000650EF">
      <w:pPr>
        <w:spacing w:before="240"/>
        <w:rPr>
          <w:bCs/>
          <w:szCs w:val="24"/>
          <w:lang w:val="en-US"/>
        </w:rPr>
      </w:pPr>
      <w:r w:rsidRPr="000650EF">
        <w:rPr>
          <w:bCs/>
          <w:szCs w:val="24"/>
          <w:lang w:val="en-US"/>
        </w:rPr>
        <w:t>None.</w:t>
      </w:r>
    </w:p>
    <w:p w14:paraId="487AB4FC" w14:textId="37CE4F8D" w:rsidR="00C02CBF" w:rsidRDefault="00C02CBF" w:rsidP="00C02CBF">
      <w:pPr>
        <w:spacing w:before="240"/>
        <w:rPr>
          <w:b/>
          <w:szCs w:val="24"/>
        </w:rPr>
      </w:pPr>
      <w:r w:rsidRPr="000C07B5">
        <w:rPr>
          <w:b/>
          <w:szCs w:val="24"/>
        </w:rPr>
        <w:t>REFERENCES</w:t>
      </w:r>
    </w:p>
    <w:p w14:paraId="7A0458CF" w14:textId="715735FA" w:rsidR="00B27014" w:rsidRPr="00B27014" w:rsidRDefault="003116E4" w:rsidP="00B27014">
      <w:pPr>
        <w:widowControl w:val="0"/>
        <w:autoSpaceDE w:val="0"/>
        <w:autoSpaceDN w:val="0"/>
        <w:adjustRightInd w:val="0"/>
        <w:spacing w:before="240"/>
        <w:rPr>
          <w:noProof/>
        </w:rPr>
      </w:pPr>
      <w:r>
        <w:rPr>
          <w:szCs w:val="24"/>
        </w:rPr>
        <w:fldChar w:fldCharType="begin" w:fldLock="1"/>
      </w:r>
      <w:r>
        <w:rPr>
          <w:szCs w:val="24"/>
        </w:rPr>
        <w:instrText xml:space="preserve">ADDIN Mendeley Bibliography CSL_BIBLIOGRAPHY </w:instrText>
      </w:r>
      <w:r>
        <w:rPr>
          <w:szCs w:val="24"/>
        </w:rPr>
        <w:fldChar w:fldCharType="separate"/>
      </w:r>
      <w:r w:rsidR="00B27014" w:rsidRPr="00B27014">
        <w:rPr>
          <w:noProof/>
        </w:rPr>
        <w:t xml:space="preserve">Ajemba, M.N., Iroanya, C.J. and Ironegbu, C. (2024) ‘Comparative effectiveness of cadaveric dissection versus anatomical models in teaching anatomy: A global analysis focused on medical schools in low and middle –income Countries versus High-Income Countries: A systematic review’, </w:t>
      </w:r>
      <w:r w:rsidR="00B27014" w:rsidRPr="00B27014">
        <w:rPr>
          <w:i/>
          <w:iCs/>
          <w:noProof/>
        </w:rPr>
        <w:t>World Journal of Advanced Research and Reviews</w:t>
      </w:r>
      <w:r w:rsidR="00B27014" w:rsidRPr="00B27014">
        <w:rPr>
          <w:noProof/>
        </w:rPr>
        <w:t>, 21(1), pp. 1817–1832. Available at: https://doi.org/10.30574/wjarr.2024.21.1.0165.</w:t>
      </w:r>
    </w:p>
    <w:p w14:paraId="13D00246" w14:textId="77777777" w:rsidR="00B27014" w:rsidRPr="00B27014" w:rsidRDefault="00B27014" w:rsidP="00B27014">
      <w:pPr>
        <w:widowControl w:val="0"/>
        <w:autoSpaceDE w:val="0"/>
        <w:autoSpaceDN w:val="0"/>
        <w:adjustRightInd w:val="0"/>
        <w:spacing w:before="240"/>
        <w:rPr>
          <w:noProof/>
        </w:rPr>
      </w:pPr>
      <w:r w:rsidRPr="00B27014">
        <w:rPr>
          <w:noProof/>
        </w:rPr>
        <w:t xml:space="preserve">Ali, M.K.A., Nurein, M.A. and MY Elmadhoun, W. (2025) ‘Perceptions of Medical Students Toward Cadaver Dissection in the Anatomy Course at Two African Universities’, </w:t>
      </w:r>
      <w:r w:rsidRPr="00B27014">
        <w:rPr>
          <w:i/>
          <w:iCs/>
          <w:noProof/>
        </w:rPr>
        <w:t>Yemeni Journal for Medical Sciences</w:t>
      </w:r>
      <w:r w:rsidRPr="00B27014">
        <w:rPr>
          <w:noProof/>
        </w:rPr>
        <w:t>, 19(9), pp. 1–9. Available at: https://doi.org/10.20428/yjms.v19i9.3109.</w:t>
      </w:r>
    </w:p>
    <w:p w14:paraId="2DF401AF" w14:textId="77777777" w:rsidR="00B27014" w:rsidRPr="00B27014" w:rsidRDefault="00B27014" w:rsidP="00B27014">
      <w:pPr>
        <w:widowControl w:val="0"/>
        <w:autoSpaceDE w:val="0"/>
        <w:autoSpaceDN w:val="0"/>
        <w:adjustRightInd w:val="0"/>
        <w:spacing w:before="240"/>
        <w:rPr>
          <w:noProof/>
        </w:rPr>
      </w:pPr>
      <w:r w:rsidRPr="00B27014">
        <w:rPr>
          <w:noProof/>
        </w:rPr>
        <w:t xml:space="preserve">Asad, M.R. </w:t>
      </w:r>
      <w:r w:rsidRPr="00B27014">
        <w:rPr>
          <w:i/>
          <w:iCs/>
          <w:noProof/>
        </w:rPr>
        <w:t>et al.</w:t>
      </w:r>
      <w:r w:rsidRPr="00B27014">
        <w:rPr>
          <w:noProof/>
        </w:rPr>
        <w:t xml:space="preserve"> (2023) ‘Medical Faculty Perspectives Toward Cadaveric Dissection as a Learning Tool for Anatomy Education: A Survey Study in India’, </w:t>
      </w:r>
      <w:r w:rsidRPr="00B27014">
        <w:rPr>
          <w:i/>
          <w:iCs/>
          <w:noProof/>
        </w:rPr>
        <w:t>Cureus</w:t>
      </w:r>
      <w:r w:rsidRPr="00B27014">
        <w:rPr>
          <w:noProof/>
        </w:rPr>
        <w:t>, 15(4), p. e37713. Available at: https://doi.org/10.7759/cureus.37713.</w:t>
      </w:r>
    </w:p>
    <w:p w14:paraId="04F170A4" w14:textId="77777777" w:rsidR="00B27014" w:rsidRPr="00B27014" w:rsidRDefault="00B27014" w:rsidP="00B27014">
      <w:pPr>
        <w:widowControl w:val="0"/>
        <w:autoSpaceDE w:val="0"/>
        <w:autoSpaceDN w:val="0"/>
        <w:adjustRightInd w:val="0"/>
        <w:spacing w:before="240"/>
        <w:rPr>
          <w:noProof/>
        </w:rPr>
      </w:pPr>
      <w:r w:rsidRPr="00B27014">
        <w:rPr>
          <w:noProof/>
        </w:rPr>
        <w:t xml:space="preserve">Asante, E.A. </w:t>
      </w:r>
      <w:r w:rsidRPr="00B27014">
        <w:rPr>
          <w:i/>
          <w:iCs/>
          <w:noProof/>
        </w:rPr>
        <w:t>et al.</w:t>
      </w:r>
      <w:r w:rsidRPr="00B27014">
        <w:rPr>
          <w:noProof/>
        </w:rPr>
        <w:t xml:space="preserve"> (2021) ‘Perception and Attitude of Medical Students towards Cadaveric Dissection in Anatomical Science Education’, </w:t>
      </w:r>
      <w:r w:rsidRPr="00B27014">
        <w:rPr>
          <w:i/>
          <w:iCs/>
          <w:noProof/>
        </w:rPr>
        <w:t>Ethiopian Journal of Health Sciences</w:t>
      </w:r>
      <w:r w:rsidRPr="00B27014">
        <w:rPr>
          <w:noProof/>
        </w:rPr>
        <w:t>, 31(4 SE-Articles). Available at: https://doi.org/10.4314/ejhs.v31i4.22.</w:t>
      </w:r>
    </w:p>
    <w:p w14:paraId="3D7B03CB" w14:textId="77777777" w:rsidR="00B27014" w:rsidRPr="00B27014" w:rsidRDefault="00B27014" w:rsidP="00B27014">
      <w:pPr>
        <w:widowControl w:val="0"/>
        <w:autoSpaceDE w:val="0"/>
        <w:autoSpaceDN w:val="0"/>
        <w:adjustRightInd w:val="0"/>
        <w:spacing w:before="240"/>
        <w:rPr>
          <w:noProof/>
        </w:rPr>
      </w:pPr>
      <w:r w:rsidRPr="00B27014">
        <w:rPr>
          <w:noProof/>
        </w:rPr>
        <w:t xml:space="preserve">Koh, Z.J. </w:t>
      </w:r>
      <w:r w:rsidRPr="00B27014">
        <w:rPr>
          <w:i/>
          <w:iCs/>
          <w:noProof/>
        </w:rPr>
        <w:t>et al.</w:t>
      </w:r>
      <w:r w:rsidRPr="00B27014">
        <w:rPr>
          <w:noProof/>
        </w:rPr>
        <w:t xml:space="preserve"> (2023) ‘A randomized trial comparing cadaveric dissection and examination of prosections as applied surgical anatomy teaching pedagogies’, </w:t>
      </w:r>
      <w:r w:rsidRPr="00B27014">
        <w:rPr>
          <w:i/>
          <w:iCs/>
          <w:noProof/>
        </w:rPr>
        <w:t>Anatomical Sciences Education</w:t>
      </w:r>
      <w:r w:rsidRPr="00B27014">
        <w:rPr>
          <w:noProof/>
        </w:rPr>
        <w:t>, 16(1), pp. 57–70. Available at: https://doi.org/10.1002/ase.2166.</w:t>
      </w:r>
    </w:p>
    <w:p w14:paraId="334D4FC6" w14:textId="77777777" w:rsidR="00B27014" w:rsidRPr="00B27014" w:rsidRDefault="00B27014" w:rsidP="00B27014">
      <w:pPr>
        <w:widowControl w:val="0"/>
        <w:autoSpaceDE w:val="0"/>
        <w:autoSpaceDN w:val="0"/>
        <w:adjustRightInd w:val="0"/>
        <w:spacing w:before="240"/>
        <w:rPr>
          <w:noProof/>
        </w:rPr>
      </w:pPr>
      <w:r w:rsidRPr="00B27014">
        <w:rPr>
          <w:noProof/>
        </w:rPr>
        <w:t xml:space="preserve">Mahboobeh, K.M. </w:t>
      </w:r>
      <w:r w:rsidRPr="00B27014">
        <w:rPr>
          <w:i/>
          <w:iCs/>
          <w:noProof/>
        </w:rPr>
        <w:t>et al.</w:t>
      </w:r>
      <w:r w:rsidRPr="00B27014">
        <w:rPr>
          <w:noProof/>
        </w:rPr>
        <w:t xml:space="preserve"> (2021) ‘Teaching professionalism in cadaver dissection: medical students’ perspective.’, </w:t>
      </w:r>
      <w:r w:rsidRPr="00B27014">
        <w:rPr>
          <w:i/>
          <w:iCs/>
          <w:noProof/>
        </w:rPr>
        <w:t>Journal of medical ethics and history of medicine</w:t>
      </w:r>
      <w:r w:rsidRPr="00B27014">
        <w:rPr>
          <w:noProof/>
        </w:rPr>
        <w:t>, 14(6), pp. 71–88. Available at: https://doi.org/10.18502/jmehm.v14i7.6751.</w:t>
      </w:r>
    </w:p>
    <w:p w14:paraId="37FA2E48" w14:textId="77777777" w:rsidR="00B27014" w:rsidRPr="00B27014" w:rsidRDefault="00B27014" w:rsidP="00B27014">
      <w:pPr>
        <w:widowControl w:val="0"/>
        <w:autoSpaceDE w:val="0"/>
        <w:autoSpaceDN w:val="0"/>
        <w:adjustRightInd w:val="0"/>
        <w:spacing w:before="240"/>
        <w:rPr>
          <w:noProof/>
        </w:rPr>
      </w:pPr>
      <w:r w:rsidRPr="00B27014">
        <w:rPr>
          <w:noProof/>
        </w:rPr>
        <w:t xml:space="preserve">Nnaka, J.A. </w:t>
      </w:r>
      <w:r w:rsidRPr="00B27014">
        <w:rPr>
          <w:i/>
          <w:iCs/>
          <w:noProof/>
        </w:rPr>
        <w:t>et al.</w:t>
      </w:r>
      <w:r w:rsidRPr="00B27014">
        <w:rPr>
          <w:noProof/>
        </w:rPr>
        <w:t xml:space="preserve"> (2024) ‘Stress from Cadaver Dissection Linked to Learning Conditions: Evidence from Sub-Saharan Africa’, </w:t>
      </w:r>
      <w:r w:rsidRPr="00B27014">
        <w:rPr>
          <w:i/>
          <w:iCs/>
          <w:noProof/>
        </w:rPr>
        <w:t>medRxiv</w:t>
      </w:r>
      <w:r w:rsidRPr="00B27014">
        <w:rPr>
          <w:noProof/>
        </w:rPr>
        <w:t>, 10(7), pp. 166–183. Available at: https://doi.org/10.1101/2024.07.09.24310166.</w:t>
      </w:r>
    </w:p>
    <w:p w14:paraId="13CE4159" w14:textId="77777777" w:rsidR="00B27014" w:rsidRPr="00B27014" w:rsidRDefault="00B27014" w:rsidP="00B27014">
      <w:pPr>
        <w:widowControl w:val="0"/>
        <w:autoSpaceDE w:val="0"/>
        <w:autoSpaceDN w:val="0"/>
        <w:adjustRightInd w:val="0"/>
        <w:spacing w:before="240"/>
        <w:rPr>
          <w:noProof/>
        </w:rPr>
      </w:pPr>
      <w:r w:rsidRPr="00B27014">
        <w:rPr>
          <w:noProof/>
        </w:rPr>
        <w:t xml:space="preserve">Takoutsing, B.D. </w:t>
      </w:r>
      <w:r w:rsidRPr="00B27014">
        <w:rPr>
          <w:i/>
          <w:iCs/>
          <w:noProof/>
        </w:rPr>
        <w:t>et al.</w:t>
      </w:r>
      <w:r w:rsidRPr="00B27014">
        <w:rPr>
          <w:noProof/>
        </w:rPr>
        <w:t xml:space="preserve"> (2023) ‘Assessing the impact of neurosurgery and neuroanatomy simulation using 3D non-cadaveric models amongst selected African medical students’, </w:t>
      </w:r>
      <w:r w:rsidRPr="00B27014">
        <w:rPr>
          <w:i/>
          <w:iCs/>
          <w:noProof/>
        </w:rPr>
        <w:t>Frontiers in Medical Technology</w:t>
      </w:r>
      <w:r w:rsidRPr="00B27014">
        <w:rPr>
          <w:noProof/>
        </w:rPr>
        <w:t>, 5(6), pp. 12–23. Available at: https://doi.org/10.3389/fmedt.2023.1190096.</w:t>
      </w:r>
    </w:p>
    <w:p w14:paraId="6AADA7DB" w14:textId="77777777" w:rsidR="00B27014" w:rsidRPr="00B27014" w:rsidRDefault="00B27014" w:rsidP="00B27014">
      <w:pPr>
        <w:widowControl w:val="0"/>
        <w:autoSpaceDE w:val="0"/>
        <w:autoSpaceDN w:val="0"/>
        <w:adjustRightInd w:val="0"/>
        <w:spacing w:before="240"/>
        <w:rPr>
          <w:noProof/>
        </w:rPr>
      </w:pPr>
      <w:r w:rsidRPr="00B27014">
        <w:rPr>
          <w:noProof/>
        </w:rPr>
        <w:t xml:space="preserve">Theroux, L. </w:t>
      </w:r>
      <w:r w:rsidRPr="00B27014">
        <w:rPr>
          <w:i/>
          <w:iCs/>
          <w:noProof/>
        </w:rPr>
        <w:t>et al.</w:t>
      </w:r>
      <w:r w:rsidRPr="00B27014">
        <w:rPr>
          <w:noProof/>
        </w:rPr>
        <w:t xml:space="preserve"> (2022) ‘A Goat Cadaver as a Cost-effective Resource for Teaching Emergency Medicine Procedures in Kijabe, Kenya’, </w:t>
      </w:r>
      <w:r w:rsidRPr="00B27014">
        <w:rPr>
          <w:i/>
          <w:iCs/>
          <w:noProof/>
        </w:rPr>
        <w:t>Pediatric Emergency Care</w:t>
      </w:r>
      <w:r w:rsidRPr="00B27014">
        <w:rPr>
          <w:noProof/>
        </w:rPr>
        <w:t>, 38(3), pp. e1097–e1103. Available at: https://doi.org/10.1097/PEC.0000000000002486.</w:t>
      </w:r>
    </w:p>
    <w:p w14:paraId="230D6310" w14:textId="77777777" w:rsidR="00B27014" w:rsidRPr="00B27014" w:rsidRDefault="00B27014" w:rsidP="00B27014">
      <w:pPr>
        <w:widowControl w:val="0"/>
        <w:autoSpaceDE w:val="0"/>
        <w:autoSpaceDN w:val="0"/>
        <w:adjustRightInd w:val="0"/>
        <w:spacing w:before="240"/>
        <w:rPr>
          <w:noProof/>
        </w:rPr>
      </w:pPr>
      <w:r w:rsidRPr="00B27014">
        <w:rPr>
          <w:noProof/>
        </w:rPr>
        <w:t xml:space="preserve">Usman, M. </w:t>
      </w:r>
      <w:r w:rsidRPr="00B27014">
        <w:rPr>
          <w:i/>
          <w:iCs/>
          <w:noProof/>
        </w:rPr>
        <w:t>et al.</w:t>
      </w:r>
      <w:r w:rsidRPr="00B27014">
        <w:rPr>
          <w:noProof/>
        </w:rPr>
        <w:t xml:space="preserve"> (2024) ‘Improving Anatomical Education in East Africa: Challenges and Prospects’, </w:t>
      </w:r>
      <w:r w:rsidRPr="00B27014">
        <w:rPr>
          <w:i/>
          <w:iCs/>
          <w:noProof/>
        </w:rPr>
        <w:t>SSRN Solutions</w:t>
      </w:r>
      <w:r w:rsidRPr="00B27014">
        <w:rPr>
          <w:noProof/>
        </w:rPr>
        <w:t xml:space="preserve">, 16(4), pp. 1–11. Available at: </w:t>
      </w:r>
      <w:r w:rsidRPr="00B27014">
        <w:rPr>
          <w:noProof/>
        </w:rPr>
        <w:lastRenderedPageBreak/>
        <w:t>https://doi.org/10.2139/ssrn.4785945.</w:t>
      </w:r>
    </w:p>
    <w:p w14:paraId="539E22DF" w14:textId="77777777" w:rsidR="00B27014" w:rsidRPr="00B27014" w:rsidRDefault="00B27014" w:rsidP="00B27014">
      <w:pPr>
        <w:widowControl w:val="0"/>
        <w:autoSpaceDE w:val="0"/>
        <w:autoSpaceDN w:val="0"/>
        <w:adjustRightInd w:val="0"/>
        <w:spacing w:before="240"/>
        <w:rPr>
          <w:noProof/>
        </w:rPr>
      </w:pPr>
      <w:r w:rsidRPr="00B27014">
        <w:rPr>
          <w:noProof/>
        </w:rPr>
        <w:t xml:space="preserve">Verma, S. and Sharma, U. (2025) ‘Alternatives to Cadaveric Dissection in Medical Education: An Overview’, </w:t>
      </w:r>
      <w:r w:rsidRPr="00B27014">
        <w:rPr>
          <w:i/>
          <w:iCs/>
          <w:noProof/>
        </w:rPr>
        <w:t>International Journal of Advanced Medical and Health Research</w:t>
      </w:r>
      <w:r w:rsidRPr="00B27014">
        <w:rPr>
          <w:noProof/>
        </w:rPr>
        <w:t>, 12(1), pp. 254–233. Available at: https://journals.lww.com/iamr/fulltext/2025/01000/alternatives_to_cadaveric_dissection_in_medical.3.aspx.</w:t>
      </w:r>
    </w:p>
    <w:p w14:paraId="3F40154A" w14:textId="79444AB5" w:rsidR="00053108" w:rsidRDefault="003116E4" w:rsidP="008E4714">
      <w:pPr>
        <w:widowControl w:val="0"/>
        <w:autoSpaceDE w:val="0"/>
        <w:autoSpaceDN w:val="0"/>
        <w:adjustRightInd w:val="0"/>
        <w:spacing w:before="240"/>
        <w:ind w:left="640" w:hanging="640"/>
        <w:rPr>
          <w:szCs w:val="24"/>
        </w:rPr>
      </w:pPr>
      <w:r>
        <w:rPr>
          <w:szCs w:val="24"/>
        </w:rPr>
        <w:fldChar w:fldCharType="end"/>
      </w:r>
    </w:p>
    <w:sectPr w:rsidR="00053108" w:rsidSect="00BC788E">
      <w:pgSz w:w="11906" w:h="16838"/>
      <w:pgMar w:top="1440" w:right="1440"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2F7A" w14:textId="77777777" w:rsidR="00E93DBD" w:rsidRDefault="00E93DBD" w:rsidP="000F7672">
      <w:pPr>
        <w:spacing w:after="0"/>
      </w:pPr>
      <w:r>
        <w:separator/>
      </w:r>
    </w:p>
  </w:endnote>
  <w:endnote w:type="continuationSeparator" w:id="0">
    <w:p w14:paraId="757A3790" w14:textId="77777777" w:rsidR="00E93DBD" w:rsidRDefault="00E93DBD" w:rsidP="000F7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Klee One"/>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AFED" w14:textId="77777777" w:rsidR="00E93DBD" w:rsidRDefault="00E93DBD" w:rsidP="000F7672">
      <w:pPr>
        <w:spacing w:after="0"/>
      </w:pPr>
      <w:r>
        <w:separator/>
      </w:r>
    </w:p>
  </w:footnote>
  <w:footnote w:type="continuationSeparator" w:id="0">
    <w:p w14:paraId="41647960" w14:textId="77777777" w:rsidR="00E93DBD" w:rsidRDefault="00E93DBD" w:rsidP="000F76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MDYwNDMxMLEwNbNU0lEKTi0uzszPAykwqwUAJWrFjCwAAAA="/>
  </w:docVars>
  <w:rsids>
    <w:rsidRoot w:val="00F72120"/>
    <w:rsid w:val="0000485D"/>
    <w:rsid w:val="00005EB9"/>
    <w:rsid w:val="00006E85"/>
    <w:rsid w:val="000102C7"/>
    <w:rsid w:val="000130B1"/>
    <w:rsid w:val="000173C4"/>
    <w:rsid w:val="00024AAE"/>
    <w:rsid w:val="0003374F"/>
    <w:rsid w:val="000345E7"/>
    <w:rsid w:val="00035C61"/>
    <w:rsid w:val="00041AA5"/>
    <w:rsid w:val="000431D0"/>
    <w:rsid w:val="00044762"/>
    <w:rsid w:val="00045323"/>
    <w:rsid w:val="00046E3E"/>
    <w:rsid w:val="00052D8C"/>
    <w:rsid w:val="00053108"/>
    <w:rsid w:val="00054988"/>
    <w:rsid w:val="00057CB8"/>
    <w:rsid w:val="00060692"/>
    <w:rsid w:val="000650EF"/>
    <w:rsid w:val="0006522A"/>
    <w:rsid w:val="00065ABD"/>
    <w:rsid w:val="000668EA"/>
    <w:rsid w:val="000669D9"/>
    <w:rsid w:val="00072DEA"/>
    <w:rsid w:val="000815AF"/>
    <w:rsid w:val="0008233A"/>
    <w:rsid w:val="00086646"/>
    <w:rsid w:val="00091C4B"/>
    <w:rsid w:val="00092AA2"/>
    <w:rsid w:val="00095E4F"/>
    <w:rsid w:val="00095FCF"/>
    <w:rsid w:val="000A0946"/>
    <w:rsid w:val="000B443F"/>
    <w:rsid w:val="000B59C3"/>
    <w:rsid w:val="000B6B21"/>
    <w:rsid w:val="000C07B5"/>
    <w:rsid w:val="000C23F7"/>
    <w:rsid w:val="000C2EBC"/>
    <w:rsid w:val="000D1937"/>
    <w:rsid w:val="000D4669"/>
    <w:rsid w:val="000D508C"/>
    <w:rsid w:val="000D760E"/>
    <w:rsid w:val="000E2F64"/>
    <w:rsid w:val="000E3F88"/>
    <w:rsid w:val="000F02E7"/>
    <w:rsid w:val="000F5BED"/>
    <w:rsid w:val="000F7672"/>
    <w:rsid w:val="00100589"/>
    <w:rsid w:val="001024E4"/>
    <w:rsid w:val="00107499"/>
    <w:rsid w:val="00107CD4"/>
    <w:rsid w:val="00110E8F"/>
    <w:rsid w:val="0011734D"/>
    <w:rsid w:val="0011749D"/>
    <w:rsid w:val="00123511"/>
    <w:rsid w:val="0012461C"/>
    <w:rsid w:val="0012533B"/>
    <w:rsid w:val="00125E0E"/>
    <w:rsid w:val="00127D9D"/>
    <w:rsid w:val="00136E70"/>
    <w:rsid w:val="00140530"/>
    <w:rsid w:val="00144241"/>
    <w:rsid w:val="0014465E"/>
    <w:rsid w:val="00151E7E"/>
    <w:rsid w:val="0015259B"/>
    <w:rsid w:val="0015365B"/>
    <w:rsid w:val="00154AC3"/>
    <w:rsid w:val="00155B13"/>
    <w:rsid w:val="00163608"/>
    <w:rsid w:val="00163D35"/>
    <w:rsid w:val="00167651"/>
    <w:rsid w:val="001678E5"/>
    <w:rsid w:val="001706AB"/>
    <w:rsid w:val="00170BA8"/>
    <w:rsid w:val="00174633"/>
    <w:rsid w:val="001770C2"/>
    <w:rsid w:val="001771A1"/>
    <w:rsid w:val="0017770C"/>
    <w:rsid w:val="0018376A"/>
    <w:rsid w:val="0018504A"/>
    <w:rsid w:val="0018693C"/>
    <w:rsid w:val="001A408D"/>
    <w:rsid w:val="001B004B"/>
    <w:rsid w:val="001C4822"/>
    <w:rsid w:val="001C63CC"/>
    <w:rsid w:val="001D177B"/>
    <w:rsid w:val="001D1780"/>
    <w:rsid w:val="001D4D0E"/>
    <w:rsid w:val="001D6F15"/>
    <w:rsid w:val="001D7EEC"/>
    <w:rsid w:val="001E13BA"/>
    <w:rsid w:val="001E3F82"/>
    <w:rsid w:val="001E50FF"/>
    <w:rsid w:val="001E699F"/>
    <w:rsid w:val="001E69BE"/>
    <w:rsid w:val="001F09F2"/>
    <w:rsid w:val="001F0A48"/>
    <w:rsid w:val="001F74AC"/>
    <w:rsid w:val="00203782"/>
    <w:rsid w:val="00207B68"/>
    <w:rsid w:val="00211717"/>
    <w:rsid w:val="00215CD5"/>
    <w:rsid w:val="0022550B"/>
    <w:rsid w:val="0023014C"/>
    <w:rsid w:val="00231A5B"/>
    <w:rsid w:val="00231C7F"/>
    <w:rsid w:val="0023525A"/>
    <w:rsid w:val="00236434"/>
    <w:rsid w:val="00240E9A"/>
    <w:rsid w:val="00240F07"/>
    <w:rsid w:val="00241DFE"/>
    <w:rsid w:val="00242A9F"/>
    <w:rsid w:val="002440E7"/>
    <w:rsid w:val="002446DF"/>
    <w:rsid w:val="00251276"/>
    <w:rsid w:val="0026105F"/>
    <w:rsid w:val="002632C0"/>
    <w:rsid w:val="00265400"/>
    <w:rsid w:val="002754EB"/>
    <w:rsid w:val="002849C9"/>
    <w:rsid w:val="002900AF"/>
    <w:rsid w:val="002928A0"/>
    <w:rsid w:val="00294B6E"/>
    <w:rsid w:val="00296942"/>
    <w:rsid w:val="002A0CE2"/>
    <w:rsid w:val="002A40CD"/>
    <w:rsid w:val="002A744D"/>
    <w:rsid w:val="002B240E"/>
    <w:rsid w:val="002B4C01"/>
    <w:rsid w:val="002B4E07"/>
    <w:rsid w:val="002B7EBB"/>
    <w:rsid w:val="002C0B78"/>
    <w:rsid w:val="002C3920"/>
    <w:rsid w:val="002C4332"/>
    <w:rsid w:val="002C4F6A"/>
    <w:rsid w:val="002D0B39"/>
    <w:rsid w:val="002D2760"/>
    <w:rsid w:val="002D43C2"/>
    <w:rsid w:val="002D6C37"/>
    <w:rsid w:val="002E11D8"/>
    <w:rsid w:val="002E159F"/>
    <w:rsid w:val="002E34DB"/>
    <w:rsid w:val="002E51EE"/>
    <w:rsid w:val="002E61A8"/>
    <w:rsid w:val="002F4C29"/>
    <w:rsid w:val="00300388"/>
    <w:rsid w:val="00301AFC"/>
    <w:rsid w:val="003056C8"/>
    <w:rsid w:val="00306144"/>
    <w:rsid w:val="003066BE"/>
    <w:rsid w:val="003116E4"/>
    <w:rsid w:val="00314A29"/>
    <w:rsid w:val="00315B54"/>
    <w:rsid w:val="00316862"/>
    <w:rsid w:val="00316CBF"/>
    <w:rsid w:val="003260A4"/>
    <w:rsid w:val="003277A4"/>
    <w:rsid w:val="003333CE"/>
    <w:rsid w:val="0034242A"/>
    <w:rsid w:val="00346E07"/>
    <w:rsid w:val="0035071D"/>
    <w:rsid w:val="0036171E"/>
    <w:rsid w:val="003635A8"/>
    <w:rsid w:val="00363CCF"/>
    <w:rsid w:val="0037643E"/>
    <w:rsid w:val="0039668B"/>
    <w:rsid w:val="00397ED1"/>
    <w:rsid w:val="003A243C"/>
    <w:rsid w:val="003A4062"/>
    <w:rsid w:val="003A56E0"/>
    <w:rsid w:val="003A6D94"/>
    <w:rsid w:val="003A78CB"/>
    <w:rsid w:val="003B5466"/>
    <w:rsid w:val="003B72F3"/>
    <w:rsid w:val="003B78DA"/>
    <w:rsid w:val="003D2A68"/>
    <w:rsid w:val="003D4DD2"/>
    <w:rsid w:val="003E1541"/>
    <w:rsid w:val="003E6861"/>
    <w:rsid w:val="003F014B"/>
    <w:rsid w:val="003F1F38"/>
    <w:rsid w:val="00402716"/>
    <w:rsid w:val="00402ED6"/>
    <w:rsid w:val="00413E86"/>
    <w:rsid w:val="004266C3"/>
    <w:rsid w:val="00430226"/>
    <w:rsid w:val="00430EAD"/>
    <w:rsid w:val="0043740F"/>
    <w:rsid w:val="004421B4"/>
    <w:rsid w:val="004444E7"/>
    <w:rsid w:val="00447B41"/>
    <w:rsid w:val="004508CD"/>
    <w:rsid w:val="00453737"/>
    <w:rsid w:val="00454982"/>
    <w:rsid w:val="004559F0"/>
    <w:rsid w:val="00462C5C"/>
    <w:rsid w:val="00463159"/>
    <w:rsid w:val="004635A1"/>
    <w:rsid w:val="00465C38"/>
    <w:rsid w:val="0046677D"/>
    <w:rsid w:val="004754A0"/>
    <w:rsid w:val="00475BBE"/>
    <w:rsid w:val="00482C6D"/>
    <w:rsid w:val="004907AE"/>
    <w:rsid w:val="00494FA4"/>
    <w:rsid w:val="00495F1C"/>
    <w:rsid w:val="004B4BA7"/>
    <w:rsid w:val="004B6976"/>
    <w:rsid w:val="004B7388"/>
    <w:rsid w:val="004C2EC5"/>
    <w:rsid w:val="004C5473"/>
    <w:rsid w:val="004D149F"/>
    <w:rsid w:val="004D26BD"/>
    <w:rsid w:val="004D287E"/>
    <w:rsid w:val="004D7640"/>
    <w:rsid w:val="004E7F8B"/>
    <w:rsid w:val="004F1DF9"/>
    <w:rsid w:val="004F3339"/>
    <w:rsid w:val="004F6490"/>
    <w:rsid w:val="0050096D"/>
    <w:rsid w:val="005128B4"/>
    <w:rsid w:val="00517885"/>
    <w:rsid w:val="00525D2E"/>
    <w:rsid w:val="005351C9"/>
    <w:rsid w:val="00536275"/>
    <w:rsid w:val="00541CD8"/>
    <w:rsid w:val="0054424E"/>
    <w:rsid w:val="00546F86"/>
    <w:rsid w:val="0055047C"/>
    <w:rsid w:val="00556867"/>
    <w:rsid w:val="00565784"/>
    <w:rsid w:val="00565E36"/>
    <w:rsid w:val="00566313"/>
    <w:rsid w:val="00570B11"/>
    <w:rsid w:val="005745D7"/>
    <w:rsid w:val="00574F97"/>
    <w:rsid w:val="0058005C"/>
    <w:rsid w:val="00585C30"/>
    <w:rsid w:val="00585DC1"/>
    <w:rsid w:val="00586B6C"/>
    <w:rsid w:val="00590D82"/>
    <w:rsid w:val="00590DE2"/>
    <w:rsid w:val="0059281F"/>
    <w:rsid w:val="00593535"/>
    <w:rsid w:val="005A053A"/>
    <w:rsid w:val="005A36E2"/>
    <w:rsid w:val="005A6873"/>
    <w:rsid w:val="005A69E9"/>
    <w:rsid w:val="005B043D"/>
    <w:rsid w:val="005B3A73"/>
    <w:rsid w:val="005B3B6F"/>
    <w:rsid w:val="005B73C9"/>
    <w:rsid w:val="005C1D29"/>
    <w:rsid w:val="005C6B75"/>
    <w:rsid w:val="005D0AFD"/>
    <w:rsid w:val="005D1B69"/>
    <w:rsid w:val="005D258E"/>
    <w:rsid w:val="005E3BE0"/>
    <w:rsid w:val="005E41F9"/>
    <w:rsid w:val="005E5182"/>
    <w:rsid w:val="005F386B"/>
    <w:rsid w:val="005F41B9"/>
    <w:rsid w:val="005F5493"/>
    <w:rsid w:val="0060646E"/>
    <w:rsid w:val="006101E7"/>
    <w:rsid w:val="00613875"/>
    <w:rsid w:val="00615F49"/>
    <w:rsid w:val="00620B5B"/>
    <w:rsid w:val="0062676C"/>
    <w:rsid w:val="00633D08"/>
    <w:rsid w:val="0063506A"/>
    <w:rsid w:val="00640694"/>
    <w:rsid w:val="00644368"/>
    <w:rsid w:val="006514B8"/>
    <w:rsid w:val="00653116"/>
    <w:rsid w:val="0065592F"/>
    <w:rsid w:val="00660A40"/>
    <w:rsid w:val="00667B9D"/>
    <w:rsid w:val="00667DE8"/>
    <w:rsid w:val="00681A1D"/>
    <w:rsid w:val="00683775"/>
    <w:rsid w:val="00685CAF"/>
    <w:rsid w:val="00687E1F"/>
    <w:rsid w:val="0069275A"/>
    <w:rsid w:val="00693061"/>
    <w:rsid w:val="00693BC7"/>
    <w:rsid w:val="00694001"/>
    <w:rsid w:val="00694E70"/>
    <w:rsid w:val="006A20D5"/>
    <w:rsid w:val="006B4399"/>
    <w:rsid w:val="006B5391"/>
    <w:rsid w:val="006B797D"/>
    <w:rsid w:val="006C20C0"/>
    <w:rsid w:val="006C3CF7"/>
    <w:rsid w:val="006D55FF"/>
    <w:rsid w:val="006E0CCC"/>
    <w:rsid w:val="006E1755"/>
    <w:rsid w:val="006E71E4"/>
    <w:rsid w:val="006F1287"/>
    <w:rsid w:val="006F654F"/>
    <w:rsid w:val="007028AD"/>
    <w:rsid w:val="007108BF"/>
    <w:rsid w:val="007123FA"/>
    <w:rsid w:val="00716F2B"/>
    <w:rsid w:val="00721926"/>
    <w:rsid w:val="0072237D"/>
    <w:rsid w:val="007228E6"/>
    <w:rsid w:val="00724CC5"/>
    <w:rsid w:val="00725895"/>
    <w:rsid w:val="00736E4A"/>
    <w:rsid w:val="0074000A"/>
    <w:rsid w:val="00741455"/>
    <w:rsid w:val="00741E8C"/>
    <w:rsid w:val="007473AD"/>
    <w:rsid w:val="00750FB8"/>
    <w:rsid w:val="00754E09"/>
    <w:rsid w:val="00755D0B"/>
    <w:rsid w:val="007615F3"/>
    <w:rsid w:val="0076608E"/>
    <w:rsid w:val="00770B8C"/>
    <w:rsid w:val="00776C01"/>
    <w:rsid w:val="007870E7"/>
    <w:rsid w:val="00796A5F"/>
    <w:rsid w:val="00797F3E"/>
    <w:rsid w:val="007A1C3C"/>
    <w:rsid w:val="007A2C9C"/>
    <w:rsid w:val="007A4167"/>
    <w:rsid w:val="007B7457"/>
    <w:rsid w:val="007B78A2"/>
    <w:rsid w:val="007C03B9"/>
    <w:rsid w:val="007C0F3F"/>
    <w:rsid w:val="007C183E"/>
    <w:rsid w:val="007C3442"/>
    <w:rsid w:val="007C7831"/>
    <w:rsid w:val="007C7F1A"/>
    <w:rsid w:val="007D1E9A"/>
    <w:rsid w:val="007D4100"/>
    <w:rsid w:val="007E4773"/>
    <w:rsid w:val="007E5162"/>
    <w:rsid w:val="007E5E2E"/>
    <w:rsid w:val="007F1F81"/>
    <w:rsid w:val="007F319F"/>
    <w:rsid w:val="007F44C2"/>
    <w:rsid w:val="007F6B3C"/>
    <w:rsid w:val="008002FD"/>
    <w:rsid w:val="00802B43"/>
    <w:rsid w:val="00802D7A"/>
    <w:rsid w:val="008047E0"/>
    <w:rsid w:val="008066E2"/>
    <w:rsid w:val="00810A15"/>
    <w:rsid w:val="008165FA"/>
    <w:rsid w:val="00822759"/>
    <w:rsid w:val="008237AE"/>
    <w:rsid w:val="008359EE"/>
    <w:rsid w:val="0083647E"/>
    <w:rsid w:val="0084254A"/>
    <w:rsid w:val="008510DD"/>
    <w:rsid w:val="0085222C"/>
    <w:rsid w:val="00855A58"/>
    <w:rsid w:val="00861765"/>
    <w:rsid w:val="00861BC3"/>
    <w:rsid w:val="0086755A"/>
    <w:rsid w:val="008729B5"/>
    <w:rsid w:val="00872C96"/>
    <w:rsid w:val="00873D88"/>
    <w:rsid w:val="00876A53"/>
    <w:rsid w:val="00876A75"/>
    <w:rsid w:val="008809D4"/>
    <w:rsid w:val="00882403"/>
    <w:rsid w:val="008878E2"/>
    <w:rsid w:val="00887C31"/>
    <w:rsid w:val="00892E2B"/>
    <w:rsid w:val="0089500A"/>
    <w:rsid w:val="008A3C8A"/>
    <w:rsid w:val="008A4139"/>
    <w:rsid w:val="008A7706"/>
    <w:rsid w:val="008B11B5"/>
    <w:rsid w:val="008C0B12"/>
    <w:rsid w:val="008C231C"/>
    <w:rsid w:val="008C47B0"/>
    <w:rsid w:val="008D498A"/>
    <w:rsid w:val="008D5D24"/>
    <w:rsid w:val="008E0D0E"/>
    <w:rsid w:val="008E4714"/>
    <w:rsid w:val="008E4CB6"/>
    <w:rsid w:val="008E5B20"/>
    <w:rsid w:val="008E660A"/>
    <w:rsid w:val="008F3E53"/>
    <w:rsid w:val="008F70B0"/>
    <w:rsid w:val="00900D72"/>
    <w:rsid w:val="009018C2"/>
    <w:rsid w:val="009025AA"/>
    <w:rsid w:val="00902D89"/>
    <w:rsid w:val="00902F1B"/>
    <w:rsid w:val="00905BE9"/>
    <w:rsid w:val="00905C80"/>
    <w:rsid w:val="0090619B"/>
    <w:rsid w:val="00913EB0"/>
    <w:rsid w:val="00917B12"/>
    <w:rsid w:val="00924C12"/>
    <w:rsid w:val="009308E0"/>
    <w:rsid w:val="00935D2C"/>
    <w:rsid w:val="009375AD"/>
    <w:rsid w:val="009377BD"/>
    <w:rsid w:val="0094117E"/>
    <w:rsid w:val="00942FB9"/>
    <w:rsid w:val="00944C2C"/>
    <w:rsid w:val="00946CF7"/>
    <w:rsid w:val="00950EDF"/>
    <w:rsid w:val="00957DD9"/>
    <w:rsid w:val="00961690"/>
    <w:rsid w:val="00963AD2"/>
    <w:rsid w:val="00963B03"/>
    <w:rsid w:val="0096471F"/>
    <w:rsid w:val="00964C64"/>
    <w:rsid w:val="009726F8"/>
    <w:rsid w:val="00972FA8"/>
    <w:rsid w:val="00973E6D"/>
    <w:rsid w:val="009742AF"/>
    <w:rsid w:val="00974A14"/>
    <w:rsid w:val="00976682"/>
    <w:rsid w:val="00983643"/>
    <w:rsid w:val="00983BFE"/>
    <w:rsid w:val="0098487E"/>
    <w:rsid w:val="00994005"/>
    <w:rsid w:val="00994C7F"/>
    <w:rsid w:val="00995597"/>
    <w:rsid w:val="009955F0"/>
    <w:rsid w:val="00995B4A"/>
    <w:rsid w:val="009974EA"/>
    <w:rsid w:val="009A08F0"/>
    <w:rsid w:val="009A52D5"/>
    <w:rsid w:val="009A7120"/>
    <w:rsid w:val="009A7481"/>
    <w:rsid w:val="009B0BAC"/>
    <w:rsid w:val="009B1438"/>
    <w:rsid w:val="009B1F8D"/>
    <w:rsid w:val="009B683C"/>
    <w:rsid w:val="009B71AE"/>
    <w:rsid w:val="009B7F8E"/>
    <w:rsid w:val="009D2138"/>
    <w:rsid w:val="009D680D"/>
    <w:rsid w:val="009E2AD1"/>
    <w:rsid w:val="009E36DA"/>
    <w:rsid w:val="009E3AA2"/>
    <w:rsid w:val="009F0886"/>
    <w:rsid w:val="009F3BD8"/>
    <w:rsid w:val="009F43A6"/>
    <w:rsid w:val="009F635C"/>
    <w:rsid w:val="00A04BDC"/>
    <w:rsid w:val="00A06945"/>
    <w:rsid w:val="00A131D9"/>
    <w:rsid w:val="00A13580"/>
    <w:rsid w:val="00A17A4A"/>
    <w:rsid w:val="00A20EC9"/>
    <w:rsid w:val="00A219C1"/>
    <w:rsid w:val="00A23C13"/>
    <w:rsid w:val="00A24E51"/>
    <w:rsid w:val="00A30EE6"/>
    <w:rsid w:val="00A31501"/>
    <w:rsid w:val="00A321A5"/>
    <w:rsid w:val="00A341D3"/>
    <w:rsid w:val="00A413A9"/>
    <w:rsid w:val="00A4755C"/>
    <w:rsid w:val="00A47A09"/>
    <w:rsid w:val="00A50419"/>
    <w:rsid w:val="00A57F8D"/>
    <w:rsid w:val="00A6250A"/>
    <w:rsid w:val="00A66882"/>
    <w:rsid w:val="00A66AB3"/>
    <w:rsid w:val="00A702A1"/>
    <w:rsid w:val="00A7228B"/>
    <w:rsid w:val="00A72A0B"/>
    <w:rsid w:val="00A877A8"/>
    <w:rsid w:val="00A943D6"/>
    <w:rsid w:val="00A96804"/>
    <w:rsid w:val="00AA007F"/>
    <w:rsid w:val="00AA7513"/>
    <w:rsid w:val="00AB029F"/>
    <w:rsid w:val="00AB564E"/>
    <w:rsid w:val="00AC0AA4"/>
    <w:rsid w:val="00AC3BF3"/>
    <w:rsid w:val="00AC4581"/>
    <w:rsid w:val="00AC6ED6"/>
    <w:rsid w:val="00AD1A7C"/>
    <w:rsid w:val="00AD21B2"/>
    <w:rsid w:val="00AD47E1"/>
    <w:rsid w:val="00AD4B86"/>
    <w:rsid w:val="00AD7686"/>
    <w:rsid w:val="00AE2492"/>
    <w:rsid w:val="00AE3A50"/>
    <w:rsid w:val="00AF2554"/>
    <w:rsid w:val="00AF27A0"/>
    <w:rsid w:val="00AF2C28"/>
    <w:rsid w:val="00AF44CA"/>
    <w:rsid w:val="00AF4EE3"/>
    <w:rsid w:val="00AF5E97"/>
    <w:rsid w:val="00AF6F32"/>
    <w:rsid w:val="00B07B11"/>
    <w:rsid w:val="00B108B9"/>
    <w:rsid w:val="00B15ED9"/>
    <w:rsid w:val="00B16746"/>
    <w:rsid w:val="00B16D00"/>
    <w:rsid w:val="00B203E8"/>
    <w:rsid w:val="00B27014"/>
    <w:rsid w:val="00B34979"/>
    <w:rsid w:val="00B37BB2"/>
    <w:rsid w:val="00B4398A"/>
    <w:rsid w:val="00B4430B"/>
    <w:rsid w:val="00B45A97"/>
    <w:rsid w:val="00B514F5"/>
    <w:rsid w:val="00B52308"/>
    <w:rsid w:val="00B52355"/>
    <w:rsid w:val="00B54572"/>
    <w:rsid w:val="00B57984"/>
    <w:rsid w:val="00B61EBB"/>
    <w:rsid w:val="00B640A9"/>
    <w:rsid w:val="00B709BC"/>
    <w:rsid w:val="00B71FEE"/>
    <w:rsid w:val="00B73842"/>
    <w:rsid w:val="00B74731"/>
    <w:rsid w:val="00B76D44"/>
    <w:rsid w:val="00B7708D"/>
    <w:rsid w:val="00B8082C"/>
    <w:rsid w:val="00B818A0"/>
    <w:rsid w:val="00B87E9E"/>
    <w:rsid w:val="00BA4C09"/>
    <w:rsid w:val="00BB2CBF"/>
    <w:rsid w:val="00BB49EC"/>
    <w:rsid w:val="00BC21EC"/>
    <w:rsid w:val="00BC49CB"/>
    <w:rsid w:val="00BC60E4"/>
    <w:rsid w:val="00BC61E6"/>
    <w:rsid w:val="00BC645F"/>
    <w:rsid w:val="00BC788E"/>
    <w:rsid w:val="00BD347D"/>
    <w:rsid w:val="00BD4AD8"/>
    <w:rsid w:val="00BD6D20"/>
    <w:rsid w:val="00BD782A"/>
    <w:rsid w:val="00BE2D70"/>
    <w:rsid w:val="00BF151C"/>
    <w:rsid w:val="00BF3E57"/>
    <w:rsid w:val="00C0146A"/>
    <w:rsid w:val="00C0241E"/>
    <w:rsid w:val="00C02CBF"/>
    <w:rsid w:val="00C03516"/>
    <w:rsid w:val="00C17704"/>
    <w:rsid w:val="00C22AAA"/>
    <w:rsid w:val="00C23DE4"/>
    <w:rsid w:val="00C2568B"/>
    <w:rsid w:val="00C264B1"/>
    <w:rsid w:val="00C306CD"/>
    <w:rsid w:val="00C35161"/>
    <w:rsid w:val="00C40630"/>
    <w:rsid w:val="00C4365C"/>
    <w:rsid w:val="00C66849"/>
    <w:rsid w:val="00C66DC9"/>
    <w:rsid w:val="00C7059E"/>
    <w:rsid w:val="00C72141"/>
    <w:rsid w:val="00C73221"/>
    <w:rsid w:val="00C752F1"/>
    <w:rsid w:val="00C77D3E"/>
    <w:rsid w:val="00C82744"/>
    <w:rsid w:val="00C846F6"/>
    <w:rsid w:val="00C91549"/>
    <w:rsid w:val="00C93D4A"/>
    <w:rsid w:val="00CA3E51"/>
    <w:rsid w:val="00CA6221"/>
    <w:rsid w:val="00CB7D86"/>
    <w:rsid w:val="00CC1615"/>
    <w:rsid w:val="00CC1D9B"/>
    <w:rsid w:val="00CE61AE"/>
    <w:rsid w:val="00CE7C6B"/>
    <w:rsid w:val="00CF1A41"/>
    <w:rsid w:val="00CF1BE5"/>
    <w:rsid w:val="00CF406E"/>
    <w:rsid w:val="00CF613F"/>
    <w:rsid w:val="00D015EA"/>
    <w:rsid w:val="00D0511F"/>
    <w:rsid w:val="00D073D6"/>
    <w:rsid w:val="00D07893"/>
    <w:rsid w:val="00D10F95"/>
    <w:rsid w:val="00D13E50"/>
    <w:rsid w:val="00D16836"/>
    <w:rsid w:val="00D26FE4"/>
    <w:rsid w:val="00D27C7B"/>
    <w:rsid w:val="00D30E1F"/>
    <w:rsid w:val="00D30ECC"/>
    <w:rsid w:val="00D32B55"/>
    <w:rsid w:val="00D472CF"/>
    <w:rsid w:val="00D47913"/>
    <w:rsid w:val="00D6062C"/>
    <w:rsid w:val="00D6204E"/>
    <w:rsid w:val="00D7262D"/>
    <w:rsid w:val="00D730AC"/>
    <w:rsid w:val="00D74486"/>
    <w:rsid w:val="00D80C31"/>
    <w:rsid w:val="00D8143C"/>
    <w:rsid w:val="00D81916"/>
    <w:rsid w:val="00D81F3F"/>
    <w:rsid w:val="00D869FE"/>
    <w:rsid w:val="00D901B7"/>
    <w:rsid w:val="00D9266E"/>
    <w:rsid w:val="00D97239"/>
    <w:rsid w:val="00DA129F"/>
    <w:rsid w:val="00DA4C12"/>
    <w:rsid w:val="00DB09C1"/>
    <w:rsid w:val="00DB4161"/>
    <w:rsid w:val="00DB5A86"/>
    <w:rsid w:val="00DB68E9"/>
    <w:rsid w:val="00DC328E"/>
    <w:rsid w:val="00DC5938"/>
    <w:rsid w:val="00DD08BF"/>
    <w:rsid w:val="00DD3B40"/>
    <w:rsid w:val="00DE0AB3"/>
    <w:rsid w:val="00DE0B3E"/>
    <w:rsid w:val="00DE2C84"/>
    <w:rsid w:val="00DE3A25"/>
    <w:rsid w:val="00DE5473"/>
    <w:rsid w:val="00DF02F8"/>
    <w:rsid w:val="00DF25BF"/>
    <w:rsid w:val="00E022D6"/>
    <w:rsid w:val="00E025E9"/>
    <w:rsid w:val="00E05C4A"/>
    <w:rsid w:val="00E079B2"/>
    <w:rsid w:val="00E129BB"/>
    <w:rsid w:val="00E2051F"/>
    <w:rsid w:val="00E23937"/>
    <w:rsid w:val="00E27BF8"/>
    <w:rsid w:val="00E3030D"/>
    <w:rsid w:val="00E31785"/>
    <w:rsid w:val="00E3289C"/>
    <w:rsid w:val="00E33AB4"/>
    <w:rsid w:val="00E41013"/>
    <w:rsid w:val="00E4164F"/>
    <w:rsid w:val="00E42481"/>
    <w:rsid w:val="00E47705"/>
    <w:rsid w:val="00E54589"/>
    <w:rsid w:val="00E550C5"/>
    <w:rsid w:val="00E6061A"/>
    <w:rsid w:val="00E6164D"/>
    <w:rsid w:val="00E62ADF"/>
    <w:rsid w:val="00E64D13"/>
    <w:rsid w:val="00E742DF"/>
    <w:rsid w:val="00E75CDA"/>
    <w:rsid w:val="00E76507"/>
    <w:rsid w:val="00E81AD5"/>
    <w:rsid w:val="00E904DC"/>
    <w:rsid w:val="00E93B5D"/>
    <w:rsid w:val="00E93DBD"/>
    <w:rsid w:val="00E94B06"/>
    <w:rsid w:val="00E9579C"/>
    <w:rsid w:val="00E9735D"/>
    <w:rsid w:val="00EA100B"/>
    <w:rsid w:val="00EB2B19"/>
    <w:rsid w:val="00EB327D"/>
    <w:rsid w:val="00EB360E"/>
    <w:rsid w:val="00EB6059"/>
    <w:rsid w:val="00EF2368"/>
    <w:rsid w:val="00EF49C3"/>
    <w:rsid w:val="00EF59B7"/>
    <w:rsid w:val="00EF5D87"/>
    <w:rsid w:val="00F017E1"/>
    <w:rsid w:val="00F11156"/>
    <w:rsid w:val="00F1341E"/>
    <w:rsid w:val="00F229E9"/>
    <w:rsid w:val="00F301F3"/>
    <w:rsid w:val="00F32950"/>
    <w:rsid w:val="00F336C8"/>
    <w:rsid w:val="00F350F2"/>
    <w:rsid w:val="00F3748F"/>
    <w:rsid w:val="00F4041F"/>
    <w:rsid w:val="00F405DC"/>
    <w:rsid w:val="00F42A57"/>
    <w:rsid w:val="00F43403"/>
    <w:rsid w:val="00F43FEC"/>
    <w:rsid w:val="00F447D1"/>
    <w:rsid w:val="00F50A9C"/>
    <w:rsid w:val="00F52D4C"/>
    <w:rsid w:val="00F5610B"/>
    <w:rsid w:val="00F566CC"/>
    <w:rsid w:val="00F57B3F"/>
    <w:rsid w:val="00F66FD3"/>
    <w:rsid w:val="00F72120"/>
    <w:rsid w:val="00F7473C"/>
    <w:rsid w:val="00F76F47"/>
    <w:rsid w:val="00F827B7"/>
    <w:rsid w:val="00F9444F"/>
    <w:rsid w:val="00F97B79"/>
    <w:rsid w:val="00FA0379"/>
    <w:rsid w:val="00FA4C7C"/>
    <w:rsid w:val="00FA5533"/>
    <w:rsid w:val="00FA6BBC"/>
    <w:rsid w:val="00FB1534"/>
    <w:rsid w:val="00FB66B3"/>
    <w:rsid w:val="00FC257E"/>
    <w:rsid w:val="00FC6B0D"/>
    <w:rsid w:val="00FD1767"/>
    <w:rsid w:val="00FD2890"/>
    <w:rsid w:val="00FD4BED"/>
    <w:rsid w:val="00FD6135"/>
    <w:rsid w:val="00FE151B"/>
    <w:rsid w:val="00FE3E93"/>
    <w:rsid w:val="00FE6FC0"/>
    <w:rsid w:val="00FF6912"/>
    <w:rsid w:val="00FF7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948EC"/>
  <w15:docId w15:val="{59542CDF-BC7A-4614-A5A2-AA3E3046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9D"/>
    <w:pPr>
      <w:spacing w:after="200"/>
      <w:jc w:val="both"/>
    </w:pPr>
    <w:rPr>
      <w:rFonts w:ascii="Times New Roman" w:hAnsi="Times New Roman"/>
      <w:sz w:val="24"/>
      <w:szCs w:val="22"/>
      <w:lang w:val="en-IN"/>
    </w:rPr>
  </w:style>
  <w:style w:type="paragraph" w:styleId="Heading1">
    <w:name w:val="heading 1"/>
    <w:basedOn w:val="Normal"/>
    <w:next w:val="Normal"/>
    <w:link w:val="Heading1Char"/>
    <w:uiPriority w:val="9"/>
    <w:qFormat/>
    <w:rsid w:val="009A7481"/>
    <w:pPr>
      <w:keepNext/>
      <w:keepLines/>
      <w:spacing w:before="240" w:after="0" w:line="480" w:lineRule="auto"/>
      <w:jc w:val="center"/>
      <w:outlineLvl w:val="0"/>
    </w:pPr>
    <w:rPr>
      <w:rFonts w:eastAsiaTheme="majorEastAsia" w:cstheme="majorBidi"/>
      <w:b/>
      <w:kern w:val="2"/>
      <w:szCs w:val="32"/>
      <w:lang w:val="en-US"/>
      <w14:ligatures w14:val="standardContextual"/>
    </w:rPr>
  </w:style>
  <w:style w:type="paragraph" w:styleId="Heading2">
    <w:name w:val="heading 2"/>
    <w:basedOn w:val="Normal"/>
    <w:next w:val="Normal"/>
    <w:link w:val="Heading2Char"/>
    <w:uiPriority w:val="9"/>
    <w:unhideWhenUsed/>
    <w:qFormat/>
    <w:rsid w:val="00FE3E93"/>
    <w:pPr>
      <w:keepNext/>
      <w:keepLines/>
      <w:spacing w:before="200" w:after="0" w:line="360" w:lineRule="auto"/>
      <w:outlineLvl w:val="1"/>
    </w:pPr>
    <w:rPr>
      <w:rFonts w:eastAsia="Times New Roman"/>
      <w:b/>
      <w:bCs/>
      <w:szCs w:val="26"/>
      <w:lang w:val="en-US"/>
    </w:rPr>
  </w:style>
  <w:style w:type="paragraph" w:styleId="Heading3">
    <w:name w:val="heading 3"/>
    <w:basedOn w:val="Normal"/>
    <w:next w:val="Normal"/>
    <w:link w:val="Heading3Char"/>
    <w:uiPriority w:val="9"/>
    <w:unhideWhenUsed/>
    <w:qFormat/>
    <w:rsid w:val="002E34DB"/>
    <w:pPr>
      <w:keepNext/>
      <w:keepLines/>
      <w:spacing w:before="40" w:after="0"/>
      <w:outlineLvl w:val="2"/>
    </w:pPr>
    <w:rPr>
      <w:rFonts w:eastAsia="Times New Roman"/>
      <w:b/>
      <w:szCs w:val="24"/>
    </w:rPr>
  </w:style>
  <w:style w:type="paragraph" w:styleId="Heading4">
    <w:name w:val="heading 4"/>
    <w:basedOn w:val="Normal"/>
    <w:next w:val="Normal"/>
    <w:link w:val="Heading4Char"/>
    <w:uiPriority w:val="9"/>
    <w:qFormat/>
    <w:rsid w:val="009A7481"/>
    <w:pPr>
      <w:keepNext/>
      <w:keepLines/>
      <w:tabs>
        <w:tab w:val="left" w:pos="0"/>
      </w:tabs>
      <w:suppressAutoHyphens/>
      <w:spacing w:before="40" w:after="0" w:line="360" w:lineRule="auto"/>
      <w:outlineLvl w:val="3"/>
    </w:pPr>
    <w:rPr>
      <w:rFonts w:eastAsia="Times New Roman"/>
      <w:b/>
      <w:iCs/>
      <w:lang w:val="en-US" w:eastAsia="zh-CN"/>
    </w:rPr>
  </w:style>
  <w:style w:type="paragraph" w:styleId="Heading5">
    <w:name w:val="heading 5"/>
    <w:basedOn w:val="Normal"/>
    <w:next w:val="Normal"/>
    <w:link w:val="Heading5Char"/>
    <w:uiPriority w:val="9"/>
    <w:semiHidden/>
    <w:unhideWhenUsed/>
    <w:qFormat/>
    <w:rsid w:val="00DE3A25"/>
    <w:pPr>
      <w:keepNext/>
      <w:keepLines/>
      <w:spacing w:before="40" w:after="0" w:line="480" w:lineRule="auto"/>
      <w:outlineLvl w:val="4"/>
    </w:pPr>
    <w:rPr>
      <w:rFonts w:ascii="Cambria" w:eastAsia="SimSun" w:hAnsi="Cambria" w:cs="SimSun"/>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02CBF"/>
    <w:pPr>
      <w:ind w:left="720"/>
      <w:contextualSpacing/>
    </w:pPr>
  </w:style>
  <w:style w:type="table" w:styleId="TableGrid">
    <w:name w:val="Table Grid"/>
    <w:basedOn w:val="TableNormal"/>
    <w:uiPriority w:val="39"/>
    <w:rsid w:val="00C02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7672"/>
    <w:pPr>
      <w:spacing w:after="0"/>
    </w:pPr>
    <w:rPr>
      <w:sz w:val="20"/>
      <w:szCs w:val="20"/>
    </w:rPr>
  </w:style>
  <w:style w:type="character" w:customStyle="1" w:styleId="FootnoteTextChar">
    <w:name w:val="Footnote Text Char"/>
    <w:link w:val="FootnoteText"/>
    <w:uiPriority w:val="99"/>
    <w:semiHidden/>
    <w:rsid w:val="000F7672"/>
    <w:rPr>
      <w:sz w:val="20"/>
      <w:szCs w:val="20"/>
    </w:rPr>
  </w:style>
  <w:style w:type="character" w:styleId="FootnoteReference">
    <w:name w:val="footnote reference"/>
    <w:uiPriority w:val="99"/>
    <w:semiHidden/>
    <w:unhideWhenUsed/>
    <w:rsid w:val="000F7672"/>
    <w:rPr>
      <w:vertAlign w:val="superscript"/>
    </w:rPr>
  </w:style>
  <w:style w:type="paragraph" w:styleId="Caption">
    <w:name w:val="caption"/>
    <w:basedOn w:val="Normal"/>
    <w:next w:val="Normal"/>
    <w:uiPriority w:val="35"/>
    <w:unhideWhenUsed/>
    <w:qFormat/>
    <w:rsid w:val="00AF6F32"/>
    <w:rPr>
      <w:i/>
      <w:iCs/>
      <w:szCs w:val="18"/>
    </w:rPr>
  </w:style>
  <w:style w:type="character" w:customStyle="1" w:styleId="Heading2Char">
    <w:name w:val="Heading 2 Char"/>
    <w:link w:val="Heading2"/>
    <w:uiPriority w:val="9"/>
    <w:rsid w:val="00FE3E93"/>
    <w:rPr>
      <w:rFonts w:ascii="Times New Roman" w:eastAsia="Times New Roman" w:hAnsi="Times New Roman" w:cs="Times New Roman"/>
      <w:b/>
      <w:bCs/>
      <w:sz w:val="24"/>
      <w:szCs w:val="26"/>
      <w:lang w:val="en-US"/>
    </w:rPr>
  </w:style>
  <w:style w:type="character" w:customStyle="1" w:styleId="Heading3Char">
    <w:name w:val="Heading 3 Char"/>
    <w:link w:val="Heading3"/>
    <w:uiPriority w:val="9"/>
    <w:rsid w:val="002E34DB"/>
    <w:rPr>
      <w:rFonts w:ascii="Times New Roman" w:eastAsia="Times New Roman" w:hAnsi="Times New Roman"/>
      <w:b/>
      <w:sz w:val="24"/>
      <w:szCs w:val="24"/>
      <w:lang w:val="en-IN"/>
    </w:rPr>
  </w:style>
  <w:style w:type="paragraph" w:styleId="Header">
    <w:name w:val="header"/>
    <w:basedOn w:val="Normal"/>
    <w:link w:val="HeaderChar"/>
    <w:uiPriority w:val="99"/>
    <w:unhideWhenUsed/>
    <w:rsid w:val="002440E7"/>
    <w:pPr>
      <w:tabs>
        <w:tab w:val="center" w:pos="4680"/>
        <w:tab w:val="right" w:pos="9360"/>
      </w:tabs>
      <w:spacing w:after="0"/>
    </w:pPr>
  </w:style>
  <w:style w:type="character" w:customStyle="1" w:styleId="HeaderChar">
    <w:name w:val="Header Char"/>
    <w:basedOn w:val="DefaultParagraphFont"/>
    <w:link w:val="Header"/>
    <w:uiPriority w:val="99"/>
    <w:rsid w:val="002440E7"/>
    <w:rPr>
      <w:rFonts w:ascii="Times New Roman" w:hAnsi="Times New Roman"/>
      <w:sz w:val="24"/>
      <w:szCs w:val="22"/>
      <w:lang w:val="en-IN"/>
    </w:rPr>
  </w:style>
  <w:style w:type="paragraph" w:styleId="Footer">
    <w:name w:val="footer"/>
    <w:basedOn w:val="Normal"/>
    <w:link w:val="FooterChar"/>
    <w:uiPriority w:val="99"/>
    <w:unhideWhenUsed/>
    <w:rsid w:val="002440E7"/>
    <w:pPr>
      <w:tabs>
        <w:tab w:val="center" w:pos="4680"/>
        <w:tab w:val="right" w:pos="9360"/>
      </w:tabs>
      <w:spacing w:after="0"/>
    </w:pPr>
  </w:style>
  <w:style w:type="character" w:customStyle="1" w:styleId="FooterChar">
    <w:name w:val="Footer Char"/>
    <w:basedOn w:val="DefaultParagraphFont"/>
    <w:link w:val="Footer"/>
    <w:uiPriority w:val="99"/>
    <w:rsid w:val="002440E7"/>
    <w:rPr>
      <w:rFonts w:ascii="Times New Roman" w:hAnsi="Times New Roman"/>
      <w:sz w:val="24"/>
      <w:szCs w:val="22"/>
      <w:lang w:val="en-IN"/>
    </w:rPr>
  </w:style>
  <w:style w:type="character" w:customStyle="1" w:styleId="CharAttribute7">
    <w:name w:val="CharAttribute7"/>
    <w:rsid w:val="006A20D5"/>
    <w:rPr>
      <w:rFonts w:ascii="Times New Roman" w:eastAsia="Times New Roman"/>
      <w:sz w:val="24"/>
    </w:rPr>
  </w:style>
  <w:style w:type="character" w:customStyle="1" w:styleId="ListParagraphChar">
    <w:name w:val="List Paragraph Char"/>
    <w:link w:val="ListParagraph"/>
    <w:uiPriority w:val="34"/>
    <w:rsid w:val="00B52355"/>
    <w:rPr>
      <w:rFonts w:ascii="Times New Roman" w:hAnsi="Times New Roman"/>
      <w:sz w:val="24"/>
      <w:szCs w:val="22"/>
      <w:lang w:val="en-IN"/>
    </w:rPr>
  </w:style>
  <w:style w:type="character" w:styleId="Hyperlink">
    <w:name w:val="Hyperlink"/>
    <w:basedOn w:val="DefaultParagraphFont"/>
    <w:uiPriority w:val="99"/>
    <w:unhideWhenUsed/>
    <w:rsid w:val="00590DE2"/>
    <w:rPr>
      <w:color w:val="0000FF"/>
      <w:u w:val="single"/>
    </w:rPr>
  </w:style>
  <w:style w:type="paragraph" w:styleId="BodyText">
    <w:name w:val="Body Text"/>
    <w:basedOn w:val="Normal"/>
    <w:link w:val="BodyTextChar"/>
    <w:rsid w:val="00231A5B"/>
    <w:pPr>
      <w:spacing w:after="0" w:line="480" w:lineRule="auto"/>
    </w:pPr>
    <w:rPr>
      <w:rFonts w:eastAsia="Arial" w:cs="Arial"/>
      <w:szCs w:val="24"/>
      <w:lang w:val="en-US"/>
    </w:rPr>
  </w:style>
  <w:style w:type="character" w:customStyle="1" w:styleId="BodyTextChar">
    <w:name w:val="Body Text Char"/>
    <w:basedOn w:val="DefaultParagraphFont"/>
    <w:link w:val="BodyText"/>
    <w:rsid w:val="00231A5B"/>
    <w:rPr>
      <w:rFonts w:ascii="Times New Roman" w:eastAsia="Arial" w:hAnsi="Times New Roman" w:cs="Arial"/>
      <w:sz w:val="24"/>
      <w:szCs w:val="24"/>
    </w:rPr>
  </w:style>
  <w:style w:type="paragraph" w:styleId="BalloonText">
    <w:name w:val="Balloon Text"/>
    <w:basedOn w:val="Normal"/>
    <w:link w:val="BalloonTextChar"/>
    <w:uiPriority w:val="99"/>
    <w:unhideWhenUsed/>
    <w:rsid w:val="00995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955F0"/>
    <w:rPr>
      <w:rFonts w:ascii="Tahoma" w:hAnsi="Tahoma" w:cs="Tahoma"/>
      <w:sz w:val="16"/>
      <w:szCs w:val="16"/>
      <w:lang w:val="en-IN"/>
    </w:rPr>
  </w:style>
  <w:style w:type="character" w:styleId="CommentReference">
    <w:name w:val="annotation reference"/>
    <w:basedOn w:val="DefaultParagraphFont"/>
    <w:uiPriority w:val="99"/>
    <w:unhideWhenUsed/>
    <w:rsid w:val="009B683C"/>
    <w:rPr>
      <w:sz w:val="16"/>
      <w:szCs w:val="16"/>
    </w:rPr>
  </w:style>
  <w:style w:type="paragraph" w:styleId="CommentText">
    <w:name w:val="annotation text"/>
    <w:basedOn w:val="Normal"/>
    <w:link w:val="CommentTextChar"/>
    <w:uiPriority w:val="99"/>
    <w:unhideWhenUsed/>
    <w:rsid w:val="009B683C"/>
    <w:rPr>
      <w:sz w:val="20"/>
      <w:szCs w:val="20"/>
    </w:rPr>
  </w:style>
  <w:style w:type="character" w:customStyle="1" w:styleId="CommentTextChar">
    <w:name w:val="Comment Text Char"/>
    <w:basedOn w:val="DefaultParagraphFont"/>
    <w:link w:val="CommentText"/>
    <w:uiPriority w:val="99"/>
    <w:rsid w:val="009B683C"/>
    <w:rPr>
      <w:rFonts w:ascii="Times New Roman" w:hAnsi="Times New Roman"/>
      <w:lang w:val="en-IN"/>
    </w:rPr>
  </w:style>
  <w:style w:type="character" w:styleId="UnresolvedMention">
    <w:name w:val="Unresolved Mention"/>
    <w:basedOn w:val="DefaultParagraphFont"/>
    <w:uiPriority w:val="99"/>
    <w:semiHidden/>
    <w:unhideWhenUsed/>
    <w:rsid w:val="00240E9A"/>
    <w:rPr>
      <w:color w:val="605E5C"/>
      <w:shd w:val="clear" w:color="auto" w:fill="E1DFDD"/>
    </w:rPr>
  </w:style>
  <w:style w:type="character" w:customStyle="1" w:styleId="Heading1Char">
    <w:name w:val="Heading 1 Char"/>
    <w:basedOn w:val="DefaultParagraphFont"/>
    <w:link w:val="Heading1"/>
    <w:uiPriority w:val="9"/>
    <w:rsid w:val="009A7481"/>
    <w:rPr>
      <w:rFonts w:ascii="Times New Roman" w:eastAsiaTheme="majorEastAsia" w:hAnsi="Times New Roman" w:cstheme="majorBidi"/>
      <w:b/>
      <w:kern w:val="2"/>
      <w:sz w:val="24"/>
      <w:szCs w:val="32"/>
      <w14:ligatures w14:val="standardContextual"/>
    </w:rPr>
  </w:style>
  <w:style w:type="character" w:customStyle="1" w:styleId="Heading4Char">
    <w:name w:val="Heading 4 Char"/>
    <w:basedOn w:val="DefaultParagraphFont"/>
    <w:link w:val="Heading4"/>
    <w:uiPriority w:val="9"/>
    <w:rsid w:val="009A7481"/>
    <w:rPr>
      <w:rFonts w:ascii="Times New Roman" w:eastAsia="Times New Roman" w:hAnsi="Times New Roman"/>
      <w:b/>
      <w:iCs/>
      <w:sz w:val="24"/>
      <w:szCs w:val="22"/>
      <w:lang w:eastAsia="zh-CN"/>
    </w:rPr>
  </w:style>
  <w:style w:type="character" w:customStyle="1" w:styleId="FootnoteTextChar1">
    <w:name w:val="Footnote Text Char1"/>
    <w:basedOn w:val="DefaultParagraphFont"/>
    <w:uiPriority w:val="99"/>
    <w:semiHidden/>
    <w:rsid w:val="009A7481"/>
    <w:rPr>
      <w:rFonts w:cstheme="minorBidi"/>
      <w:color w:val="auto"/>
      <w:kern w:val="2"/>
      <w:sz w:val="20"/>
      <w:szCs w:val="20"/>
      <w:lang w:val="en-US"/>
      <w14:ligatures w14:val="standardContextual"/>
    </w:rPr>
  </w:style>
  <w:style w:type="paragraph" w:styleId="TOCHeading">
    <w:name w:val="TOC Heading"/>
    <w:basedOn w:val="Heading1"/>
    <w:next w:val="Normal"/>
    <w:uiPriority w:val="39"/>
    <w:unhideWhenUsed/>
    <w:qFormat/>
    <w:rsid w:val="009A7481"/>
    <w:pPr>
      <w:outlineLvl w:val="9"/>
    </w:pPr>
    <w:rPr>
      <w:kern w:val="0"/>
    </w:rPr>
  </w:style>
  <w:style w:type="paragraph" w:styleId="TOC1">
    <w:name w:val="toc 1"/>
    <w:basedOn w:val="Normal"/>
    <w:next w:val="Normal"/>
    <w:autoRedefine/>
    <w:uiPriority w:val="39"/>
    <w:unhideWhenUsed/>
    <w:rsid w:val="009A7481"/>
    <w:pPr>
      <w:tabs>
        <w:tab w:val="right" w:leader="dot" w:pos="8630"/>
      </w:tabs>
      <w:spacing w:after="0" w:line="360" w:lineRule="auto"/>
    </w:pPr>
    <w:rPr>
      <w:rFonts w:eastAsiaTheme="minorHAnsi" w:cstheme="minorBidi"/>
      <w:b/>
      <w:bCs/>
      <w:noProof/>
      <w:kern w:val="2"/>
      <w:lang w:val="en-US"/>
      <w14:ligatures w14:val="standardContextual"/>
    </w:rPr>
  </w:style>
  <w:style w:type="paragraph" w:styleId="NormalWeb">
    <w:name w:val="Normal (Web)"/>
    <w:basedOn w:val="Normal"/>
    <w:uiPriority w:val="99"/>
    <w:unhideWhenUsed/>
    <w:rsid w:val="009A7481"/>
    <w:pPr>
      <w:spacing w:before="100" w:beforeAutospacing="1" w:after="100" w:afterAutospacing="1"/>
    </w:pPr>
    <w:rPr>
      <w:rFonts w:eastAsia="Times New Roman"/>
      <w:szCs w:val="24"/>
      <w:lang w:val="en-US"/>
      <w14:ligatures w14:val="standardContextual"/>
    </w:rPr>
  </w:style>
  <w:style w:type="character" w:styleId="Emphasis">
    <w:name w:val="Emphasis"/>
    <w:basedOn w:val="DefaultParagraphFont"/>
    <w:uiPriority w:val="20"/>
    <w:qFormat/>
    <w:rsid w:val="009A7481"/>
    <w:rPr>
      <w:i/>
      <w:iCs/>
    </w:rPr>
  </w:style>
  <w:style w:type="paragraph" w:customStyle="1" w:styleId="Default">
    <w:name w:val="Default"/>
    <w:rsid w:val="009A7481"/>
    <w:pPr>
      <w:autoSpaceDE w:val="0"/>
      <w:autoSpaceDN w:val="0"/>
      <w:adjustRightInd w:val="0"/>
    </w:pPr>
    <w:rPr>
      <w:rFonts w:ascii="Times New Roman" w:eastAsiaTheme="minorHAnsi" w:hAnsi="Times New Roman"/>
      <w:color w:val="000000"/>
      <w:sz w:val="24"/>
      <w:szCs w:val="24"/>
      <w14:ligatures w14:val="standardContextual"/>
    </w:rPr>
  </w:style>
  <w:style w:type="paragraph" w:styleId="TOC2">
    <w:name w:val="toc 2"/>
    <w:basedOn w:val="Normal"/>
    <w:next w:val="Normal"/>
    <w:autoRedefine/>
    <w:uiPriority w:val="39"/>
    <w:unhideWhenUsed/>
    <w:rsid w:val="009A7481"/>
    <w:pPr>
      <w:spacing w:after="100" w:line="480" w:lineRule="auto"/>
      <w:ind w:left="220"/>
    </w:pPr>
    <w:rPr>
      <w:rFonts w:eastAsiaTheme="minorHAnsi" w:cstheme="minorBidi"/>
      <w:kern w:val="2"/>
      <w:lang w:val="en-US"/>
      <w14:ligatures w14:val="standardContextual"/>
    </w:rPr>
  </w:style>
  <w:style w:type="character" w:customStyle="1" w:styleId="BalloonTextChar1">
    <w:name w:val="Balloon Text Char1"/>
    <w:basedOn w:val="DefaultParagraphFont"/>
    <w:uiPriority w:val="99"/>
    <w:semiHidden/>
    <w:rsid w:val="009A7481"/>
    <w:rPr>
      <w:rFonts w:ascii="Segoe UI" w:hAnsi="Segoe UI" w:cs="Segoe UI"/>
      <w:color w:val="auto"/>
      <w:kern w:val="2"/>
      <w:sz w:val="18"/>
      <w:szCs w:val="18"/>
      <w:lang w:val="en-US"/>
      <w14:ligatures w14:val="standardContextual"/>
    </w:rPr>
  </w:style>
  <w:style w:type="paragraph" w:styleId="TOC3">
    <w:name w:val="toc 3"/>
    <w:basedOn w:val="Normal"/>
    <w:next w:val="Normal"/>
    <w:autoRedefine/>
    <w:uiPriority w:val="39"/>
    <w:unhideWhenUsed/>
    <w:rsid w:val="009A7481"/>
    <w:pPr>
      <w:spacing w:after="100" w:line="480" w:lineRule="auto"/>
      <w:ind w:left="480"/>
    </w:pPr>
    <w:rPr>
      <w:rFonts w:eastAsiaTheme="minorHAnsi" w:cstheme="minorBidi"/>
      <w:kern w:val="2"/>
      <w:lang w:val="en-US"/>
      <w14:ligatures w14:val="standardContextual"/>
    </w:rPr>
  </w:style>
  <w:style w:type="paragraph" w:styleId="TableofFigures">
    <w:name w:val="table of figures"/>
    <w:basedOn w:val="Normal"/>
    <w:next w:val="Normal"/>
    <w:uiPriority w:val="99"/>
    <w:unhideWhenUsed/>
    <w:rsid w:val="009A7481"/>
    <w:pPr>
      <w:spacing w:after="0" w:line="480" w:lineRule="auto"/>
    </w:pPr>
    <w:rPr>
      <w:rFonts w:eastAsiaTheme="minorHAnsi" w:cstheme="minorBidi"/>
      <w:kern w:val="2"/>
      <w:lang w:val="en-US"/>
      <w14:ligatures w14:val="standardContextual"/>
    </w:rPr>
  </w:style>
  <w:style w:type="character" w:styleId="FollowedHyperlink">
    <w:name w:val="FollowedHyperlink"/>
    <w:basedOn w:val="DefaultParagraphFont"/>
    <w:uiPriority w:val="99"/>
    <w:semiHidden/>
    <w:unhideWhenUsed/>
    <w:rsid w:val="009A7481"/>
    <w:rPr>
      <w:color w:val="954F72" w:themeColor="followedHyperlink"/>
      <w:u w:val="single"/>
    </w:rPr>
  </w:style>
  <w:style w:type="character" w:customStyle="1" w:styleId="Heading5Char">
    <w:name w:val="Heading 5 Char"/>
    <w:basedOn w:val="DefaultParagraphFont"/>
    <w:link w:val="Heading5"/>
    <w:uiPriority w:val="9"/>
    <w:semiHidden/>
    <w:rsid w:val="00DE3A25"/>
    <w:rPr>
      <w:rFonts w:ascii="Cambria" w:eastAsia="SimSun" w:hAnsi="Cambria" w:cs="SimSun"/>
      <w:color w:val="365F91"/>
      <w:sz w:val="24"/>
      <w:szCs w:val="22"/>
    </w:rPr>
  </w:style>
  <w:style w:type="character" w:customStyle="1" w:styleId="A5">
    <w:name w:val="A5"/>
    <w:uiPriority w:val="99"/>
    <w:rsid w:val="00DE3A25"/>
    <w:rPr>
      <w:rFonts w:cs="Book Antiqua"/>
      <w:color w:val="000000"/>
      <w:sz w:val="12"/>
      <w:szCs w:val="12"/>
    </w:rPr>
  </w:style>
  <w:style w:type="character" w:customStyle="1" w:styleId="mixed-citation">
    <w:name w:val="mixed-citation"/>
    <w:basedOn w:val="DefaultParagraphFont"/>
    <w:rsid w:val="00DE3A25"/>
  </w:style>
  <w:style w:type="character" w:customStyle="1" w:styleId="apple-converted-space">
    <w:name w:val="apple-converted-space"/>
    <w:basedOn w:val="DefaultParagraphFont"/>
    <w:rsid w:val="00DE3A25"/>
  </w:style>
  <w:style w:type="character" w:customStyle="1" w:styleId="tgc">
    <w:name w:val="_tgc"/>
    <w:rsid w:val="00DE3A25"/>
  </w:style>
  <w:style w:type="character" w:customStyle="1" w:styleId="plainlinks">
    <w:name w:val="plainlinks"/>
    <w:rsid w:val="00DE3A25"/>
  </w:style>
  <w:style w:type="character" w:customStyle="1" w:styleId="geo-dms">
    <w:name w:val="geo-dms"/>
    <w:rsid w:val="00DE3A25"/>
  </w:style>
  <w:style w:type="character" w:customStyle="1" w:styleId="latitude">
    <w:name w:val="latitude"/>
    <w:rsid w:val="00DE3A25"/>
  </w:style>
  <w:style w:type="character" w:customStyle="1" w:styleId="longitude">
    <w:name w:val="longitude"/>
    <w:rsid w:val="00DE3A25"/>
  </w:style>
  <w:style w:type="character" w:customStyle="1" w:styleId="gi">
    <w:name w:val="gi"/>
    <w:rsid w:val="00DE3A25"/>
    <w:rPr>
      <w:rFonts w:ascii="Calibri" w:eastAsia="Calibri" w:hAnsi="Calibri" w:cs="Times New Roman"/>
    </w:rPr>
  </w:style>
  <w:style w:type="character" w:customStyle="1" w:styleId="CharAttribute8">
    <w:name w:val="CharAttribute8"/>
    <w:rsid w:val="00DE3A25"/>
    <w:rPr>
      <w:rFonts w:ascii="Calibri" w:eastAsia="Calibri"/>
      <w:sz w:val="22"/>
    </w:rPr>
  </w:style>
  <w:style w:type="character" w:customStyle="1" w:styleId="CharAttribute27">
    <w:name w:val="CharAttribute27"/>
    <w:rsid w:val="00DE3A25"/>
    <w:rPr>
      <w:rFonts w:ascii="Times New Roman" w:eastAsia="TimesNewRoman"/>
      <w:sz w:val="24"/>
    </w:rPr>
  </w:style>
  <w:style w:type="paragraph" w:styleId="CommentSubject">
    <w:name w:val="annotation subject"/>
    <w:basedOn w:val="CommentText"/>
    <w:next w:val="CommentText"/>
    <w:link w:val="CommentSubjectChar"/>
    <w:uiPriority w:val="99"/>
    <w:rsid w:val="00DE3A25"/>
    <w:rPr>
      <w:rFonts w:eastAsia="SimSun" w:cs="SimSun"/>
      <w:b/>
      <w:bCs/>
      <w:lang w:val="en-US"/>
    </w:rPr>
  </w:style>
  <w:style w:type="character" w:customStyle="1" w:styleId="CommentSubjectChar">
    <w:name w:val="Comment Subject Char"/>
    <w:basedOn w:val="CommentTextChar"/>
    <w:link w:val="CommentSubject"/>
    <w:uiPriority w:val="99"/>
    <w:rsid w:val="00DE3A25"/>
    <w:rPr>
      <w:rFonts w:ascii="Times New Roman" w:eastAsia="SimSun" w:hAnsi="Times New Roman" w:cs="SimSun"/>
      <w:b/>
      <w:bCs/>
      <w:lang w:val="en-IN"/>
    </w:rPr>
  </w:style>
  <w:style w:type="paragraph" w:styleId="NoSpacing">
    <w:name w:val="No Spacing"/>
    <w:link w:val="NoSpacingChar"/>
    <w:uiPriority w:val="1"/>
    <w:qFormat/>
    <w:rsid w:val="00DE3A25"/>
    <w:rPr>
      <w:sz w:val="22"/>
      <w:szCs w:val="22"/>
    </w:rPr>
  </w:style>
  <w:style w:type="character" w:customStyle="1" w:styleId="NoSpacingChar">
    <w:name w:val="No Spacing Char"/>
    <w:link w:val="NoSpacing"/>
    <w:uiPriority w:val="1"/>
    <w:rsid w:val="00DE3A25"/>
    <w:rPr>
      <w:sz w:val="22"/>
      <w:szCs w:val="22"/>
    </w:rPr>
  </w:style>
  <w:style w:type="paragraph" w:styleId="TOC4">
    <w:name w:val="toc 4"/>
    <w:basedOn w:val="Normal"/>
    <w:next w:val="Normal"/>
    <w:uiPriority w:val="39"/>
    <w:rsid w:val="00DE3A25"/>
    <w:pPr>
      <w:spacing w:after="100" w:line="480" w:lineRule="auto"/>
      <w:ind w:left="720"/>
    </w:pPr>
    <w:rPr>
      <w:rFonts w:eastAsia="SimSun" w:cs="SimSun"/>
      <w:lang w:val="en-US"/>
    </w:rPr>
  </w:style>
  <w:style w:type="paragraph" w:styleId="TOC5">
    <w:name w:val="toc 5"/>
    <w:basedOn w:val="Normal"/>
    <w:next w:val="Normal"/>
    <w:uiPriority w:val="39"/>
    <w:rsid w:val="00DE3A25"/>
    <w:pPr>
      <w:spacing w:after="100" w:line="480" w:lineRule="auto"/>
      <w:ind w:left="960"/>
    </w:pPr>
    <w:rPr>
      <w:rFonts w:eastAsia="SimSun" w:cs="SimSun"/>
      <w:lang w:val="en-US"/>
    </w:rPr>
  </w:style>
  <w:style w:type="paragraph" w:customStyle="1" w:styleId="whitespace-pre-wrap">
    <w:name w:val="whitespace-pre-wrap"/>
    <w:basedOn w:val="Normal"/>
    <w:rsid w:val="00DE3A25"/>
    <w:pPr>
      <w:spacing w:before="100" w:beforeAutospacing="1" w:after="100" w:afterAutospacing="1"/>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0232">
      <w:bodyDiv w:val="1"/>
      <w:marLeft w:val="0"/>
      <w:marRight w:val="0"/>
      <w:marTop w:val="0"/>
      <w:marBottom w:val="0"/>
      <w:divBdr>
        <w:top w:val="none" w:sz="0" w:space="0" w:color="auto"/>
        <w:left w:val="none" w:sz="0" w:space="0" w:color="auto"/>
        <w:bottom w:val="none" w:sz="0" w:space="0" w:color="auto"/>
        <w:right w:val="none" w:sz="0" w:space="0" w:color="auto"/>
      </w:divBdr>
    </w:div>
    <w:div w:id="317416821">
      <w:bodyDiv w:val="1"/>
      <w:marLeft w:val="0"/>
      <w:marRight w:val="0"/>
      <w:marTop w:val="0"/>
      <w:marBottom w:val="0"/>
      <w:divBdr>
        <w:top w:val="none" w:sz="0" w:space="0" w:color="auto"/>
        <w:left w:val="none" w:sz="0" w:space="0" w:color="auto"/>
        <w:bottom w:val="none" w:sz="0" w:space="0" w:color="auto"/>
        <w:right w:val="none" w:sz="0" w:space="0" w:color="auto"/>
      </w:divBdr>
    </w:div>
    <w:div w:id="553590951">
      <w:bodyDiv w:val="1"/>
      <w:marLeft w:val="0"/>
      <w:marRight w:val="0"/>
      <w:marTop w:val="0"/>
      <w:marBottom w:val="0"/>
      <w:divBdr>
        <w:top w:val="none" w:sz="0" w:space="0" w:color="auto"/>
        <w:left w:val="none" w:sz="0" w:space="0" w:color="auto"/>
        <w:bottom w:val="none" w:sz="0" w:space="0" w:color="auto"/>
        <w:right w:val="none" w:sz="0" w:space="0" w:color="auto"/>
      </w:divBdr>
      <w:divsChild>
        <w:div w:id="829098703">
          <w:marLeft w:val="1166"/>
          <w:marRight w:val="0"/>
          <w:marTop w:val="115"/>
          <w:marBottom w:val="0"/>
          <w:divBdr>
            <w:top w:val="none" w:sz="0" w:space="0" w:color="auto"/>
            <w:left w:val="none" w:sz="0" w:space="0" w:color="auto"/>
            <w:bottom w:val="none" w:sz="0" w:space="0" w:color="auto"/>
            <w:right w:val="none" w:sz="0" w:space="0" w:color="auto"/>
          </w:divBdr>
        </w:div>
        <w:div w:id="1165900693">
          <w:marLeft w:val="1166"/>
          <w:marRight w:val="0"/>
          <w:marTop w:val="115"/>
          <w:marBottom w:val="0"/>
          <w:divBdr>
            <w:top w:val="none" w:sz="0" w:space="0" w:color="auto"/>
            <w:left w:val="none" w:sz="0" w:space="0" w:color="auto"/>
            <w:bottom w:val="none" w:sz="0" w:space="0" w:color="auto"/>
            <w:right w:val="none" w:sz="0" w:space="0" w:color="auto"/>
          </w:divBdr>
        </w:div>
        <w:div w:id="1950962988">
          <w:marLeft w:val="1166"/>
          <w:marRight w:val="0"/>
          <w:marTop w:val="115"/>
          <w:marBottom w:val="0"/>
          <w:divBdr>
            <w:top w:val="none" w:sz="0" w:space="0" w:color="auto"/>
            <w:left w:val="none" w:sz="0" w:space="0" w:color="auto"/>
            <w:bottom w:val="none" w:sz="0" w:space="0" w:color="auto"/>
            <w:right w:val="none" w:sz="0" w:space="0" w:color="auto"/>
          </w:divBdr>
        </w:div>
      </w:divsChild>
    </w:div>
    <w:div w:id="557058400">
      <w:bodyDiv w:val="1"/>
      <w:marLeft w:val="0"/>
      <w:marRight w:val="0"/>
      <w:marTop w:val="0"/>
      <w:marBottom w:val="0"/>
      <w:divBdr>
        <w:top w:val="none" w:sz="0" w:space="0" w:color="auto"/>
        <w:left w:val="none" w:sz="0" w:space="0" w:color="auto"/>
        <w:bottom w:val="none" w:sz="0" w:space="0" w:color="auto"/>
        <w:right w:val="none" w:sz="0" w:space="0" w:color="auto"/>
      </w:divBdr>
    </w:div>
    <w:div w:id="1042436761">
      <w:bodyDiv w:val="1"/>
      <w:marLeft w:val="0"/>
      <w:marRight w:val="0"/>
      <w:marTop w:val="0"/>
      <w:marBottom w:val="0"/>
      <w:divBdr>
        <w:top w:val="none" w:sz="0" w:space="0" w:color="auto"/>
        <w:left w:val="none" w:sz="0" w:space="0" w:color="auto"/>
        <w:bottom w:val="none" w:sz="0" w:space="0" w:color="auto"/>
        <w:right w:val="none" w:sz="0" w:space="0" w:color="auto"/>
      </w:divBdr>
    </w:div>
    <w:div w:id="1519195500">
      <w:bodyDiv w:val="1"/>
      <w:marLeft w:val="0"/>
      <w:marRight w:val="0"/>
      <w:marTop w:val="0"/>
      <w:marBottom w:val="0"/>
      <w:divBdr>
        <w:top w:val="none" w:sz="0" w:space="0" w:color="auto"/>
        <w:left w:val="none" w:sz="0" w:space="0" w:color="auto"/>
        <w:bottom w:val="none" w:sz="0" w:space="0" w:color="auto"/>
        <w:right w:val="none" w:sz="0" w:space="0" w:color="auto"/>
      </w:divBdr>
    </w:div>
    <w:div w:id="20159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F6CF-D270-4F4E-BB64-7249A093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9752</Words>
  <Characters>55591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Medip Academy</dc:creator>
  <cp:keywords/>
  <cp:lastModifiedBy>Felistus Muinde</cp:lastModifiedBy>
  <cp:revision>2</cp:revision>
  <dcterms:created xsi:type="dcterms:W3CDTF">2026-04-25T19:44:00Z</dcterms:created>
  <dcterms:modified xsi:type="dcterms:W3CDTF">2026-04-25T19:44:00Z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320a948f-6115-37e5-9ac4-7262ff5c8cb2</vt:lpwstr>
  </property>
  <property fmtid="{D5CDD505-2E9C-101B-9397-08002B2CF9AE}" pid="24" name="Mendeley Citation Style_1">
    <vt:lpwstr>http://www.zotero.org/styles/harvard1</vt:lpwstr>
  </property>
</Properties>
</file>