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B3D" w:rsidRDefault="003E1B3D" w:rsidP="003E1B3D">
      <w:pPr>
        <w:spacing w:after="0" w:line="240" w:lineRule="auto"/>
        <w:jc w:val="center"/>
        <w:rPr>
          <w:b/>
          <w:sz w:val="24"/>
          <w:szCs w:val="24"/>
        </w:rPr>
      </w:pPr>
      <w:r w:rsidRPr="003E1B3D">
        <w:rPr>
          <w:b/>
          <w:sz w:val="24"/>
          <w:szCs w:val="24"/>
        </w:rPr>
        <w:t>International Migration and Labor Supply in Africa: A Panel Data Analysis of 37 Countries from 2000 to 2024</w:t>
      </w:r>
    </w:p>
    <w:p w:rsidR="00B47393" w:rsidRPr="00B47393" w:rsidRDefault="00B47393" w:rsidP="00B47393">
      <w:pPr>
        <w:spacing w:after="0" w:line="240" w:lineRule="auto"/>
        <w:jc w:val="center"/>
        <w:rPr>
          <w:rFonts w:ascii="Times New Roman" w:eastAsia="Calibri" w:hAnsi="Times New Roman" w:cs="Times New Roman"/>
          <w:sz w:val="24"/>
          <w:szCs w:val="24"/>
          <w:lang w:val="fr-FR"/>
        </w:rPr>
      </w:pPr>
      <w:r w:rsidRPr="00B47393">
        <w:rPr>
          <w:rFonts w:ascii="Times New Roman" w:eastAsia="Calibri" w:hAnsi="Times New Roman" w:cs="Times New Roman"/>
          <w:sz w:val="24"/>
          <w:szCs w:val="24"/>
          <w:lang w:val="fr-FR"/>
        </w:rPr>
        <w:t xml:space="preserve"/>
      </w:r>
    </w:p>
    <w:p w:rsidR="004C340D" w:rsidRPr="004C340D" w:rsidRDefault="00B47393" w:rsidP="004C340D">
      <w:pPr>
        <w:spacing w:after="0" w:line="240" w:lineRule="auto"/>
        <w:jc w:val="center"/>
        <w:rPr>
          <w:rFonts w:ascii="Times New Roman" w:eastAsia="Calibri" w:hAnsi="Times New Roman" w:cs="Times New Roman"/>
          <w:sz w:val="24"/>
          <w:szCs w:val="24"/>
          <w:lang w:val="en-US"/>
        </w:rPr>
      </w:pPr>
      <w:proofErr w:type="gramStart"/>
      <w:r w:rsidRPr="004C340D">
        <w:rPr>
          <w:rFonts w:ascii="Times New Roman" w:eastAsia="Calibri" w:hAnsi="Times New Roman" w:cs="Times New Roman"/>
          <w:sz w:val="24"/>
          <w:szCs w:val="24"/>
          <w:lang w:val="en-US"/>
        </w:rPr>
        <w:t/>
      </w:r>
      <w:proofErr w:type="gramEnd"/>
      <w:r w:rsidRPr="004C340D">
        <w:rPr>
          <w:rFonts w:ascii="Times New Roman" w:eastAsia="Calibri" w:hAnsi="Times New Roman" w:cs="Times New Roman"/>
          <w:sz w:val="24"/>
          <w:szCs w:val="24"/>
          <w:lang w:val="en-US"/>
        </w:rPr>
        <w:t xml:space="preserve"/>
      </w:r>
      <w:r w:rsidR="004C340D" w:rsidRPr="004C340D">
        <w:rPr>
          <w:rFonts w:ascii="Times New Roman" w:eastAsia="Calibri" w:hAnsi="Times New Roman" w:cs="Times New Roman"/>
          <w:sz w:val="24"/>
          <w:szCs w:val="24"/>
          <w:lang w:val="en-US"/>
        </w:rPr>
        <w:t xml:space="preserve"/>
      </w:r>
      <w:proofErr w:type="spellStart"/>
      <w:r w:rsidRPr="004C340D">
        <w:rPr>
          <w:rFonts w:ascii="Times New Roman" w:eastAsia="Calibri" w:hAnsi="Times New Roman" w:cs="Times New Roman"/>
          <w:sz w:val="24"/>
          <w:szCs w:val="24"/>
          <w:lang w:val="en-US"/>
        </w:rPr>
        <w:t/>
      </w:r>
      <w:proofErr w:type="spellEnd"/>
      <w:r w:rsidRPr="004C340D">
        <w:rPr>
          <w:rFonts w:ascii="Times New Roman" w:eastAsia="Calibri" w:hAnsi="Times New Roman" w:cs="Times New Roman"/>
          <w:sz w:val="24"/>
          <w:szCs w:val="24"/>
          <w:lang w:val="en-US"/>
        </w:rPr>
        <w:t xml:space="preserve"/>
      </w:r>
      <w:r w:rsidRPr="00B47393">
        <w:rPr>
          <w:rFonts w:ascii="Times New Roman" w:eastAsia="Calibri" w:hAnsi="Times New Roman" w:cs="Times New Roman"/>
          <w:sz w:val="24"/>
          <w:szCs w:val="24"/>
          <w:lang w:val="en-US"/>
        </w:rPr>
        <w:t/>
      </w:r>
    </w:p>
    <w:p w:rsidR="00B47393" w:rsidRPr="004C340D" w:rsidRDefault="004C340D" w:rsidP="003E1B3D">
      <w:pPr>
        <w:spacing w:after="0" w:line="240" w:lineRule="auto"/>
        <w:jc w:val="center"/>
        <w:rPr>
          <w:rFonts w:ascii="Times New Roman" w:eastAsia="Calibri" w:hAnsi="Times New Roman" w:cs="Times New Roman"/>
          <w:sz w:val="24"/>
          <w:szCs w:val="24"/>
          <w:lang w:val="en-US"/>
        </w:rPr>
      </w:pPr>
      <w:r w:rsidRPr="004C340D">
        <w:rPr>
          <w:rFonts w:ascii="Times New Roman" w:eastAsia="Calibri" w:hAnsi="Times New Roman" w:cs="Times New Roman"/>
          <w:sz w:val="24"/>
          <w:szCs w:val="24"/>
          <w:lang w:val="en-US"/>
        </w:rPr>
        <w:t xml:space="preserve"/>
      </w:r>
      <w:proofErr w:type="spellStart"/>
      <w:r w:rsidRPr="004C340D">
        <w:rPr>
          <w:rFonts w:ascii="Times New Roman" w:eastAsia="Calibri" w:hAnsi="Times New Roman" w:cs="Times New Roman"/>
          <w:sz w:val="24"/>
          <w:szCs w:val="24"/>
          <w:lang w:val="en-US"/>
        </w:rPr>
        <w:t/>
      </w:r>
      <w:proofErr w:type="spellEnd"/>
      <w:r w:rsidRPr="004C340D">
        <w:rPr>
          <w:rFonts w:ascii="Times New Roman" w:eastAsia="Calibri" w:hAnsi="Times New Roman" w:cs="Times New Roman"/>
          <w:sz w:val="24"/>
          <w:szCs w:val="24"/>
          <w:lang w:val="en-US"/>
        </w:rPr>
        <w:t xml:space="preserve"/>
      </w:r>
    </w:p>
    <w:p w:rsidR="004C340D" w:rsidRPr="003E1B3D" w:rsidRDefault="004C340D" w:rsidP="003E1B3D">
      <w:pPr>
        <w:spacing w:after="0" w:line="240" w:lineRule="auto"/>
        <w:jc w:val="center"/>
        <w:rPr>
          <w:rFonts w:ascii="Times New Roman" w:eastAsia="Calibri" w:hAnsi="Times New Roman" w:cs="Times New Roman"/>
          <w:b/>
          <w:sz w:val="24"/>
          <w:szCs w:val="24"/>
        </w:rPr>
      </w:pPr>
      <w:r w:rsidRPr="004C340D">
        <w:rPr>
          <w:rFonts w:ascii="Times New Roman" w:eastAsia="Calibri" w:hAnsi="Times New Roman" w:cs="Times New Roman"/>
          <w:sz w:val="24"/>
          <w:szCs w:val="24"/>
          <w:lang w:val="en-US"/>
        </w:rPr>
        <w:t/>
      </w:r>
    </w:p>
    <w:p w:rsidR="003E1B3D" w:rsidRDefault="003E1B3D" w:rsidP="005B7AEC">
      <w:pPr>
        <w:spacing w:after="0" w:line="240" w:lineRule="auto"/>
        <w:jc w:val="center"/>
        <w:rPr>
          <w:rFonts w:ascii="Times New Roman" w:eastAsia="Calibri" w:hAnsi="Times New Roman" w:cs="Times New Roman"/>
          <w:b/>
          <w:sz w:val="24"/>
          <w:szCs w:val="24"/>
        </w:rPr>
      </w:pPr>
    </w:p>
    <w:p w:rsidR="005B7AEC" w:rsidRDefault="005B7AEC" w:rsidP="005B7AEC">
      <w:pPr>
        <w:pStyle w:val="Sansinterligne"/>
        <w:jc w:val="both"/>
        <w:rPr>
          <w:b/>
          <w:lang w:eastAsia="fr-FR"/>
        </w:rPr>
      </w:pPr>
    </w:p>
    <w:p w:rsidR="002D6793" w:rsidRPr="005B7AEC" w:rsidRDefault="000C3274" w:rsidP="005B7AEC">
      <w:pPr>
        <w:pStyle w:val="Sansinterligne"/>
        <w:jc w:val="both"/>
        <w:rPr>
          <w:b/>
          <w:lang w:eastAsia="fr-FR"/>
        </w:rPr>
      </w:pPr>
      <w:r>
        <w:rPr>
          <w:b/>
          <w:lang w:eastAsia="fr-FR"/>
        </w:rPr>
        <w:t>Abstract</w:t>
      </w:r>
    </w:p>
    <w:p w:rsidR="002D6793" w:rsidRPr="002D6793" w:rsidRDefault="002D6793" w:rsidP="005B7AEC">
      <w:pPr>
        <w:pStyle w:val="Sansinterligne"/>
        <w:jc w:val="both"/>
        <w:rPr>
          <w:lang w:eastAsia="fr-FR"/>
        </w:rPr>
      </w:pPr>
      <w:r w:rsidRPr="002D6793">
        <w:rPr>
          <w:lang w:eastAsia="fr-FR"/>
        </w:rPr>
        <w:t xml:space="preserve">This study analyzes the effect of international migration on labor supply in 37 African countries over the period 2000–2024. The analysis </w:t>
      </w:r>
      <w:proofErr w:type="gramStart"/>
      <w:r w:rsidRPr="002D6793">
        <w:rPr>
          <w:lang w:eastAsia="fr-FR"/>
        </w:rPr>
        <w:t>is based</w:t>
      </w:r>
      <w:proofErr w:type="gramEnd"/>
      <w:r w:rsidRPr="002D6793">
        <w:rPr>
          <w:lang w:eastAsia="fr-FR"/>
        </w:rPr>
        <w:t xml:space="preserve"> on panel data and employs a random-effects model, supplemented by a generalized method of moments (GMM) estimation to test the robustness of the results. The findings show that international migration has a positive and significant effect on labor supply, while urbanization has a negative and significant effect. In contrast, GDP per capita and education do not have a statistically significant effect. The study therefore recommends strengthening diaspora mobilization policies and directing remittances toward productive investments that promote job creation.</w:t>
      </w:r>
    </w:p>
    <w:p w:rsidR="005B7AEC" w:rsidRDefault="005B7AEC" w:rsidP="005B7AEC">
      <w:pPr>
        <w:pStyle w:val="Sansinterligne"/>
        <w:jc w:val="both"/>
        <w:rPr>
          <w:rFonts w:ascii="Times New Roman" w:eastAsia="Times New Roman" w:hAnsi="Times New Roman" w:cs="Times New Roman"/>
          <w:b/>
          <w:bCs/>
          <w:sz w:val="24"/>
          <w:szCs w:val="24"/>
          <w:lang w:eastAsia="fr-FR"/>
        </w:rPr>
      </w:pPr>
    </w:p>
    <w:p w:rsidR="002D6793" w:rsidRPr="002D6793" w:rsidRDefault="005B7AEC" w:rsidP="005B7AEC">
      <w:pPr>
        <w:pStyle w:val="Sansinterligne"/>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Keywords: </w:t>
      </w:r>
      <w:r w:rsidR="002D6793" w:rsidRPr="002D6793">
        <w:rPr>
          <w:rFonts w:ascii="Times New Roman" w:eastAsia="Times New Roman" w:hAnsi="Times New Roman" w:cs="Times New Roman"/>
          <w:sz w:val="24"/>
          <w:szCs w:val="24"/>
          <w:lang w:eastAsia="fr-FR"/>
        </w:rPr>
        <w:t>International migration; Labor supply; Panel data; Random effects; GMM; Africa.</w:t>
      </w:r>
    </w:p>
    <w:p w:rsidR="002D6793" w:rsidRDefault="002D6793"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5B7AEC" w:rsidRDefault="005B7AEC" w:rsidP="00BC5305">
      <w:pPr>
        <w:pStyle w:val="Sansinterligne"/>
        <w:spacing w:line="360" w:lineRule="auto"/>
        <w:jc w:val="both"/>
        <w:rPr>
          <w:lang w:eastAsia="fr-FR"/>
        </w:rPr>
      </w:pPr>
    </w:p>
    <w:p w:rsidR="00D156D1" w:rsidRDefault="00D156D1" w:rsidP="005B7AEC">
      <w:pPr>
        <w:pStyle w:val="Sansinterligne"/>
        <w:jc w:val="both"/>
        <w:rPr>
          <w:b/>
        </w:rPr>
      </w:pPr>
    </w:p>
    <w:p w:rsidR="00D156D1" w:rsidRDefault="00D156D1" w:rsidP="005B7AEC">
      <w:pPr>
        <w:pStyle w:val="Sansinterligne"/>
        <w:jc w:val="both"/>
        <w:rPr>
          <w:b/>
        </w:rPr>
      </w:pPr>
    </w:p>
    <w:p w:rsidR="00D156D1" w:rsidRDefault="00D156D1" w:rsidP="005B7AEC">
      <w:pPr>
        <w:pStyle w:val="Sansinterligne"/>
        <w:jc w:val="both"/>
        <w:rPr>
          <w:b/>
        </w:rPr>
      </w:pPr>
    </w:p>
    <w:p w:rsidR="00D31FC0" w:rsidRPr="000B1CD4" w:rsidRDefault="00D31FC0" w:rsidP="005B7AEC">
      <w:pPr>
        <w:pStyle w:val="Sansinterligne"/>
        <w:jc w:val="both"/>
        <w:rPr>
          <w:b/>
        </w:rPr>
      </w:pPr>
      <w:r w:rsidRPr="000B1CD4">
        <w:rPr>
          <w:b/>
        </w:rPr>
        <w:t>1. Introduction</w:t>
      </w:r>
    </w:p>
    <w:p w:rsidR="00D31FC0" w:rsidRPr="005B7AEC" w:rsidRDefault="00D31FC0" w:rsidP="005B7AEC">
      <w:pPr>
        <w:pStyle w:val="Sansinterligne"/>
        <w:jc w:val="both"/>
      </w:pPr>
      <w:r w:rsidRPr="005B7AEC">
        <w:t xml:space="preserve">International migration is one of the major transformations of the contemporary global economy, affecting the international distribution of labor, employment dynamics, and the development trajectories of both countries of origin and destination. Income disparities, differences in economic opportunities, and demographic factors are among the main determinants of </w:t>
      </w:r>
      <w:r w:rsidR="00BC5305" w:rsidRPr="005B7AEC">
        <w:t xml:space="preserve">international mobility (Harris et al., 1970; Massey et al., 1993). Beyond its demographic dimension, migration influences economies of origin through several channels, including remittances, the circulation of skills, and the development of professional networks (de Haas, 2010; </w:t>
      </w:r>
      <w:proofErr w:type="spellStart"/>
      <w:r w:rsidR="00BC5305" w:rsidRPr="005B7AEC">
        <w:t>Docquier</w:t>
      </w:r>
      <w:proofErr w:type="spellEnd"/>
      <w:r w:rsidR="00BC5305" w:rsidRPr="005B7AEC">
        <w:t xml:space="preserve"> et al., 2012). This issue is of particular importance in Africa, where rapid growth in the labor force contrasts with a limited capacity for creating productive jobs and the strong predom</w:t>
      </w:r>
      <w:r w:rsidR="000C3274">
        <w:t>inance of the informal sector (</w:t>
      </w:r>
      <w:r w:rsidRPr="005B7AEC">
        <w:t>McMillan et al., 2014; ILO, 2020). Thus, international migration appears as an ambivalent phenomenon, capable of both supporting local economic dynamics and generating losses of human capital in countries of origin (Beine et al., 2008).</w:t>
      </w:r>
    </w:p>
    <w:p w:rsidR="00D31FC0" w:rsidRPr="005B7AEC" w:rsidRDefault="00D31FC0" w:rsidP="005B7AEC">
      <w:pPr>
        <w:pStyle w:val="Sansinterligne"/>
        <w:jc w:val="both"/>
      </w:pPr>
      <w:r w:rsidRPr="005B7AEC">
        <w:t xml:space="preserve">Africa is currently experiencing one of the fastest growth rates in its working-age population in the world, representing a major demographic opportunity but also a considerable challenge in terms of employment. In this context, international migration can influence labor supply through opposing mechanisms. On the one hand, it can help reduce pressures on national labor markets by decreasing the excess supply of labor and generating financial resources through remittances from migrants </w:t>
      </w:r>
      <w:proofErr w:type="gramStart"/>
      <w:r w:rsidRPr="005B7AEC">
        <w:t xml:space="preserve">( </w:t>
      </w:r>
      <w:proofErr w:type="spellStart"/>
      <w:r w:rsidRPr="005B7AEC">
        <w:t>Ratha</w:t>
      </w:r>
      <w:proofErr w:type="spellEnd"/>
      <w:proofErr w:type="gramEnd"/>
      <w:r w:rsidRPr="005B7AEC">
        <w:t xml:space="preserve"> , 2013; de Haas, 2010). On the other hand, emigration, particularly of skilled workers, can reduce the stock of available human capital and limit the productive capacity of the economies of origin </w:t>
      </w:r>
      <w:proofErr w:type="gramStart"/>
      <w:r w:rsidRPr="005B7AEC">
        <w:t xml:space="preserve">( </w:t>
      </w:r>
      <w:proofErr w:type="spellStart"/>
      <w:r w:rsidR="00BC5305" w:rsidRPr="005B7AEC">
        <w:t>Docquier</w:t>
      </w:r>
      <w:proofErr w:type="spellEnd"/>
      <w:proofErr w:type="gramEnd"/>
      <w:r w:rsidR="00BC5305" w:rsidRPr="005B7AEC">
        <w:t xml:space="preserve"> et al., 2012). This duality underscores that the impact of migration on the African labor market depends largely on the structural, institutional, and productive characteristics of the countries concerned.</w:t>
      </w:r>
    </w:p>
    <w:p w:rsidR="00D31FC0" w:rsidRPr="005B7AEC" w:rsidRDefault="00D31FC0" w:rsidP="005B7AEC">
      <w:pPr>
        <w:pStyle w:val="Sansinterligne"/>
        <w:jc w:val="both"/>
      </w:pPr>
      <w:r w:rsidRPr="005B7AEC">
        <w:t xml:space="preserve">Theoretically, the relationship between international migration and labor supply rests on several </w:t>
      </w:r>
      <w:bookmarkStart w:id="0" w:name="_GoBack"/>
      <w:bookmarkEnd w:id="0"/>
      <w:r w:rsidRPr="005B7AEC">
        <w:t>complementary approaches. The neoclassical approach considers migration as a rational response to wage and employment opportunity disparities between countries, enabling a more efficien</w:t>
      </w:r>
      <w:r w:rsidR="000C3274">
        <w:t>t allocation of labor (</w:t>
      </w:r>
      <w:proofErr w:type="spellStart"/>
      <w:proofErr w:type="gramStart"/>
      <w:r w:rsidR="00BC5305" w:rsidRPr="005B7AEC">
        <w:t>Todaro</w:t>
      </w:r>
      <w:proofErr w:type="spellEnd"/>
      <w:r w:rsidR="00BC5305" w:rsidRPr="005B7AEC">
        <w:t xml:space="preserve"> ,</w:t>
      </w:r>
      <w:proofErr w:type="gramEnd"/>
      <w:r w:rsidR="00BC5305" w:rsidRPr="005B7AEC">
        <w:t xml:space="preserve"> 1969; Harris et al., 1970). Human capital theory, on the other hand, analyzes migration as an individual investment aimed at increasing the future returns on skills (Becker, 1964). These perspectives </w:t>
      </w:r>
      <w:proofErr w:type="gramStart"/>
      <w:r w:rsidR="00BC5305" w:rsidRPr="005B7AEC">
        <w:t>have been enriched</w:t>
      </w:r>
      <w:proofErr w:type="gramEnd"/>
      <w:r w:rsidR="00BC5305" w:rsidRPr="005B7AEC">
        <w:t xml:space="preserve"> by the new economics of labor migration, which views migration as a family strategy for diversifying income and reducing economic risk (Stark, 1991). However, empirical analyses remain divided. Some studies highlight the positive effects of migration through financial transfers, investments, and potential gains in human capital (Beine et al., 2008; </w:t>
      </w:r>
      <w:proofErr w:type="spellStart"/>
      <w:r w:rsidRPr="005B7AEC">
        <w:t>Docquier</w:t>
      </w:r>
      <w:proofErr w:type="spellEnd"/>
      <w:r w:rsidRPr="005B7AEC">
        <w:t xml:space="preserve"> &amp; </w:t>
      </w:r>
      <w:proofErr w:type="spellStart"/>
      <w:r w:rsidRPr="005B7AEC">
        <w:t>Rapoport</w:t>
      </w:r>
      <w:proofErr w:type="spellEnd"/>
      <w:r w:rsidRPr="005B7AEC">
        <w:t xml:space="preserve"> , 2012), while others emphasize the negative effects linked to the departure of skilled workers and the phenomenon of " brain drain" ( </w:t>
      </w:r>
      <w:proofErr w:type="spellStart"/>
      <w:r w:rsidRPr="005B7AEC">
        <w:t>Docquier</w:t>
      </w:r>
      <w:proofErr w:type="spellEnd"/>
      <w:r w:rsidRPr="005B7AEC">
        <w:t xml:space="preserve"> &amp; </w:t>
      </w:r>
      <w:proofErr w:type="spellStart"/>
      <w:r w:rsidRPr="005B7AEC">
        <w:t>Rapoport</w:t>
      </w:r>
      <w:proofErr w:type="spellEnd"/>
      <w:r w:rsidRPr="005B7AEC">
        <w:t xml:space="preserve"> , 2012). In the African context, these effects are more complex due to low levels of industrialization, the prevalence of informal employment, and difficulties in matching available skills with the needs of national economies </w:t>
      </w:r>
      <w:proofErr w:type="gramStart"/>
      <w:r w:rsidRPr="005B7AEC">
        <w:t>( McMillan</w:t>
      </w:r>
      <w:proofErr w:type="gramEnd"/>
      <w:r w:rsidRPr="005B7AEC">
        <w:t xml:space="preserve"> et al., 2014).</w:t>
      </w:r>
    </w:p>
    <w:p w:rsidR="00D31FC0" w:rsidRPr="005B7AEC" w:rsidRDefault="00D31FC0" w:rsidP="005B7AEC">
      <w:pPr>
        <w:pStyle w:val="Sansinterligne"/>
        <w:jc w:val="both"/>
      </w:pPr>
      <w:r w:rsidRPr="005B7AEC">
        <w:t xml:space="preserve">The stylized facts derived from the data in this study confirm this heterogeneity. The international migration rate averages 3.10%, with significant dispersion between countries, while labor supply also exhibits substantial variations. These differences, combined with observed disparities in GDP per capita, education, and urbanization, reflect contrasting economic and social trajectories across the continent. They suggest that the impact of international migration on labor supply depends not only on the intensity of migration flows but also on the capacity of African economies to create productive jobs and leverage the resources generated by international mobility (de Haas, 2010; </w:t>
      </w:r>
      <w:proofErr w:type="spellStart"/>
      <w:r w:rsidR="00BC5305" w:rsidRPr="005B7AEC">
        <w:t>Docquier</w:t>
      </w:r>
      <w:proofErr w:type="spellEnd"/>
      <w:r w:rsidR="00BC5305" w:rsidRPr="005B7AEC">
        <w:t xml:space="preserve"> et al., 2012).</w:t>
      </w:r>
    </w:p>
    <w:p w:rsidR="00D31FC0" w:rsidRPr="005B7AEC" w:rsidRDefault="00D31FC0" w:rsidP="005B7AEC">
      <w:pPr>
        <w:pStyle w:val="Sansinterligne"/>
        <w:jc w:val="both"/>
      </w:pPr>
      <w:r w:rsidRPr="005B7AEC">
        <w:t xml:space="preserve">Despite the growing importance of international migration in Africa, several gaps remain in the existing literature. First, much research focuses on the effects of migration on remittances and household income. Second, empirical analyses often focus on specific countries, limiting the understanding of general trends at the continental level. Third, the interactions between migration and structural factors </w:t>
      </w:r>
      <w:r w:rsidR="00BC5305" w:rsidRPr="005B7AEC">
        <w:lastRenderedPageBreak/>
        <w:t>of the labor market (education and urbanization) remain insufficiently explored through an integrated approach.</w:t>
      </w:r>
    </w:p>
    <w:p w:rsidR="00D31FC0" w:rsidRPr="005B7AEC" w:rsidRDefault="00D31FC0" w:rsidP="005B7AEC">
      <w:pPr>
        <w:pStyle w:val="Sansinterligne"/>
        <w:jc w:val="both"/>
      </w:pPr>
      <w:r w:rsidRPr="005B7AEC">
        <w:t xml:space="preserve">To address these limitations, this article analyzes the effect of international migration on labor supply growth in Africa. The central question </w:t>
      </w:r>
      <w:proofErr w:type="gramStart"/>
      <w:r w:rsidRPr="005B7AEC">
        <w:t>is:</w:t>
      </w:r>
      <w:proofErr w:type="gramEnd"/>
      <w:r w:rsidRPr="005B7AEC">
        <w:t xml:space="preserve"> to what extent does international migration influence labor supply dynamics in African economies? To answer this, the study uses panel data covering several African countries and applies an econometric strategy combining a random effects model and system generalized method of moments (GMM) estimation to account for individual heterogeneity a</w:t>
      </w:r>
      <w:r w:rsidR="000C3274">
        <w:t xml:space="preserve">nd potential </w:t>
      </w:r>
      <w:proofErr w:type="spellStart"/>
      <w:r w:rsidR="000C3274">
        <w:t>endogeneity</w:t>
      </w:r>
      <w:proofErr w:type="spellEnd"/>
      <w:r w:rsidR="000C3274">
        <w:t xml:space="preserve"> issues</w:t>
      </w:r>
      <w:r w:rsidRPr="005B7AEC">
        <w:t>.</w:t>
      </w:r>
    </w:p>
    <w:p w:rsidR="00BC5305" w:rsidRPr="005B7AEC" w:rsidRDefault="00BC5305" w:rsidP="005B7AEC">
      <w:pPr>
        <w:pStyle w:val="Sansinterligne"/>
        <w:jc w:val="both"/>
      </w:pPr>
      <w:r w:rsidRPr="005B7AEC">
        <w:t>This study makes three main contributions. First, it offers a comparative analysis at the African level; second, it simultaneously examines the effect of international migration and that of the main structural determinants of labor supply; finally, the use of complementary econometric approaches strengthens the robustness of the results obtained.</w:t>
      </w:r>
    </w:p>
    <w:p w:rsidR="00FB5AFD" w:rsidRPr="005B7AEC" w:rsidRDefault="00BC5305" w:rsidP="005B7AEC">
      <w:pPr>
        <w:pStyle w:val="Sansinterligne"/>
        <w:jc w:val="both"/>
      </w:pPr>
      <w:r w:rsidRPr="005B7AEC">
        <w:t xml:space="preserve">In view of the above, the study of the effect of international migration on the growth of the labor supply </w:t>
      </w:r>
      <w:proofErr w:type="gramStart"/>
      <w:r w:rsidRPr="005B7AEC">
        <w:t>is structured</w:t>
      </w:r>
      <w:proofErr w:type="gramEnd"/>
      <w:r w:rsidRPr="005B7AEC">
        <w:t xml:space="preserve"> around the following points: In addition to the introduction, the second section presents the literature review, the third section presents the methodology, the fourth presents the results, and finally the conclusion.</w:t>
      </w:r>
    </w:p>
    <w:p w:rsidR="005B7AEC" w:rsidRDefault="005B7AEC" w:rsidP="005B7AEC">
      <w:pPr>
        <w:pStyle w:val="Sansinterligne"/>
        <w:rPr>
          <w:sz w:val="24"/>
          <w:szCs w:val="24"/>
          <w:lang w:eastAsia="fr-FR"/>
        </w:rPr>
      </w:pPr>
    </w:p>
    <w:p w:rsidR="00196079" w:rsidRPr="005B7AEC" w:rsidRDefault="00196079" w:rsidP="005B7AEC">
      <w:pPr>
        <w:pStyle w:val="Sansinterligne"/>
        <w:rPr>
          <w:b/>
        </w:rPr>
      </w:pPr>
      <w:r w:rsidRPr="005B7AEC">
        <w:rPr>
          <w:b/>
        </w:rPr>
        <w:t>2. Literature Review</w:t>
      </w:r>
    </w:p>
    <w:p w:rsidR="00B17100" w:rsidRPr="005B7AEC" w:rsidRDefault="00B17100" w:rsidP="005B7AEC">
      <w:pPr>
        <w:pStyle w:val="Sansinterligne"/>
        <w:jc w:val="both"/>
      </w:pPr>
      <w:r w:rsidRPr="005B7AEC">
        <w:t xml:space="preserve">Given the increasing interdependence between countries worldwide, international migration </w:t>
      </w:r>
      <w:proofErr w:type="gramStart"/>
      <w:r w:rsidRPr="005B7AEC">
        <w:t>cannot be considered</w:t>
      </w:r>
      <w:proofErr w:type="gramEnd"/>
      <w:r w:rsidRPr="005B7AEC">
        <w:t xml:space="preserve"> separate from global development dynamics. Indeed, the heterogeneous nature of migrants and the diversity of their motivations </w:t>
      </w:r>
      <w:proofErr w:type="gramStart"/>
      <w:r w:rsidRPr="005B7AEC">
        <w:t>are largely explained</w:t>
      </w:r>
      <w:proofErr w:type="gramEnd"/>
      <w:r w:rsidRPr="005B7AEC">
        <w:t>, on the one hand, by migration theories and, on the other hand, by those that establish a link between international migration and labor market growth. Thus, this literature review successively examines the theoretical foundations of international migration, the mechanisms of its interaction with the labor market, and then the main empirical controversies, in order to highlight the principal research gaps.</w:t>
      </w:r>
    </w:p>
    <w:p w:rsidR="00B17100" w:rsidRPr="005B7AEC" w:rsidRDefault="00B17100" w:rsidP="005B7AEC">
      <w:pPr>
        <w:pStyle w:val="Sansinterligne"/>
        <w:jc w:val="both"/>
      </w:pPr>
      <w:proofErr w:type="gramStart"/>
      <w:r w:rsidRPr="005B7AEC">
        <w:t>First, international migration is explained by several complementary theoretical frameworks that have progressively enriched the analysis of human mobility</w:t>
      </w:r>
      <w:proofErr w:type="gramEnd"/>
      <w:r w:rsidRPr="005B7AEC">
        <w:t xml:space="preserve">. In this regard, the neoclassical approach </w:t>
      </w:r>
      <w:proofErr w:type="gramStart"/>
      <w:r w:rsidRPr="005B7AEC">
        <w:t xml:space="preserve">( </w:t>
      </w:r>
      <w:proofErr w:type="spellStart"/>
      <w:r w:rsidRPr="005B7AEC">
        <w:t>Todaro</w:t>
      </w:r>
      <w:proofErr w:type="spellEnd"/>
      <w:proofErr w:type="gramEnd"/>
      <w:r w:rsidRPr="005B7AEC">
        <w:t xml:space="preserve"> , 1969; Harris &amp; </w:t>
      </w:r>
      <w:proofErr w:type="spellStart"/>
      <w:r w:rsidRPr="005B7AEC">
        <w:t>Todaro</w:t>
      </w:r>
      <w:proofErr w:type="spellEnd"/>
      <w:r w:rsidRPr="005B7AEC">
        <w:t xml:space="preserve"> , 1970) constitutes one of the foundational frameworks. It considers migration as a rational individual decision based on a comparison of wage differences and employment opportunities between countries. Thus, individuals migrate to areas where they anticipate greater economic gain, with migration playing a role in adjusting imbalances in the international labor market. Complementarily, human capital theory (Becker, 1964) interprets migration as an investment, insofar as individuals seek to increase their future income, improve their skills, and enhance their productivity. However, these approaches </w:t>
      </w:r>
      <w:proofErr w:type="gramStart"/>
      <w:r w:rsidRPr="005B7AEC">
        <w:t>are often criticized</w:t>
      </w:r>
      <w:proofErr w:type="gramEnd"/>
      <w:r w:rsidRPr="005B7AEC">
        <w:t xml:space="preserve"> for their insufficient consideration of the social, familial, and institutional dimensions of migration decisions. In response to these limitations, the new economics of labor migration (Stark, 1991) proposes a broader approach, according to which migration is not solely an individual decision, but a family strategy aimed at diversifying income and reducing economic risks. Finally, Wallerstein (1974) adopts a structural perspective, explaining international migration through historical and economic inequalities between developed and developing countries, thus favoring flows from the peripheries to the economic centers.</w:t>
      </w:r>
    </w:p>
    <w:p w:rsidR="00B17100" w:rsidRPr="005B7AEC" w:rsidRDefault="00B17100" w:rsidP="005B7AEC">
      <w:pPr>
        <w:pStyle w:val="Sansinterligne"/>
        <w:jc w:val="both"/>
      </w:pPr>
      <w:r w:rsidRPr="005B7AEC">
        <w:t xml:space="preserve">Furthermore, the literature shows that migration influences the labor market through several interdependent mechanisms. On the one hand, it can help reduce pressure on the local labor market by mitigating unemployment, particularly when the emigration of a portion of the workforce reduces the excess supply of labor in the country of origin (Lucas, 2005). In this perspective, </w:t>
      </w:r>
      <w:proofErr w:type="spellStart"/>
      <w:r w:rsidRPr="005B7AEC">
        <w:t>Todaro</w:t>
      </w:r>
      <w:proofErr w:type="spellEnd"/>
      <w:r w:rsidRPr="005B7AEC">
        <w:t xml:space="preserve"> and Harris (1970) demonstrate that migration allows for the adjustment of labor market imbalances in developing economies where urban unemployment is high, while Stark (1991) emphasizes that it both reduces labor market tensions and improves household incomes. Similarly, </w:t>
      </w:r>
      <w:proofErr w:type="spellStart"/>
      <w:r w:rsidRPr="005B7AEC">
        <w:t>Brücker</w:t>
      </w:r>
      <w:proofErr w:type="spellEnd"/>
      <w:r w:rsidRPr="005B7AEC">
        <w:t xml:space="preserve"> (2011) confirms that the overall effects of migration on employment generally remain small, although a reduction in labor market pressure </w:t>
      </w:r>
      <w:proofErr w:type="gramStart"/>
      <w:r w:rsidRPr="005B7AEC">
        <w:t>can be observed</w:t>
      </w:r>
      <w:proofErr w:type="gramEnd"/>
      <w:r w:rsidRPr="005B7AEC">
        <w:t xml:space="preserve"> in certain specific contexts.</w:t>
      </w:r>
    </w:p>
    <w:p w:rsidR="00B17100" w:rsidRPr="005B7AEC" w:rsidRDefault="00B17100" w:rsidP="005B7AEC">
      <w:pPr>
        <w:pStyle w:val="Sansinterligne"/>
        <w:jc w:val="both"/>
      </w:pPr>
      <w:r w:rsidRPr="005B7AEC">
        <w:t xml:space="preserve">On the other hand, migration can lead to a loss of skilled labor, commonly referred to as brain drain, </w:t>
      </w:r>
      <w:proofErr w:type="gramStart"/>
      <w:r w:rsidRPr="005B7AEC">
        <w:t>which</w:t>
      </w:r>
      <w:proofErr w:type="gramEnd"/>
      <w:r w:rsidRPr="005B7AEC">
        <w:t xml:space="preserve"> corresponds to the emigration of highly skilled workers to countries offering better economic and professional opportunities. In this regard, </w:t>
      </w:r>
      <w:proofErr w:type="spellStart"/>
      <w:r w:rsidRPr="005B7AEC">
        <w:t>Docquier</w:t>
      </w:r>
      <w:proofErr w:type="spellEnd"/>
      <w:r w:rsidRPr="005B7AEC">
        <w:t xml:space="preserve"> and </w:t>
      </w:r>
      <w:proofErr w:type="spellStart"/>
      <w:r w:rsidRPr="005B7AEC">
        <w:t>Rapoport</w:t>
      </w:r>
      <w:proofErr w:type="spellEnd"/>
      <w:r w:rsidRPr="005B7AEC">
        <w:t xml:space="preserve"> (2012) show that this </w:t>
      </w:r>
      <w:r w:rsidRPr="005B7AEC">
        <w:lastRenderedPageBreak/>
        <w:t xml:space="preserve">phenomenon weakens the productive and institutional capacities of countries of origin by reducing their human capital in strategic sectors such as health, education, and research. Along these lines, </w:t>
      </w:r>
      <w:proofErr w:type="spellStart"/>
      <w:r w:rsidRPr="005B7AEC">
        <w:t>Bhagwati</w:t>
      </w:r>
      <w:proofErr w:type="spellEnd"/>
      <w:r w:rsidRPr="005B7AEC">
        <w:t xml:space="preserve"> and Hamada (1974) emphasize that the emigration of skilled workers can reduce collective well-being in developing countries by diminishing the returns to education and overall productivity. However, </w:t>
      </w:r>
      <w:proofErr w:type="gramStart"/>
      <w:r w:rsidRPr="005B7AEC">
        <w:t xml:space="preserve">this view is nuanced by </w:t>
      </w:r>
      <w:proofErr w:type="spellStart"/>
      <w:r w:rsidRPr="005B7AEC">
        <w:t>Beine</w:t>
      </w:r>
      <w:proofErr w:type="spellEnd"/>
      <w:r w:rsidRPr="005B7AEC">
        <w:t xml:space="preserve">, </w:t>
      </w:r>
      <w:proofErr w:type="spellStart"/>
      <w:r w:rsidRPr="005B7AEC">
        <w:t>Docquier</w:t>
      </w:r>
      <w:proofErr w:type="spellEnd"/>
      <w:r w:rsidRPr="005B7AEC">
        <w:t xml:space="preserve">, and </w:t>
      </w:r>
      <w:proofErr w:type="spellStart"/>
      <w:r w:rsidRPr="005B7AEC">
        <w:t>Rapoport</w:t>
      </w:r>
      <w:proofErr w:type="spellEnd"/>
      <w:r w:rsidRPr="005B7AEC">
        <w:t xml:space="preserve"> (2008), who introduce the notion of brain gain, according to which the prospect of migration can incentivize increased investment in education, partially compensating for the loss of human capital</w:t>
      </w:r>
      <w:proofErr w:type="gramEnd"/>
      <w:r w:rsidRPr="005B7AEC">
        <w:t>.</w:t>
      </w:r>
    </w:p>
    <w:p w:rsidR="00B17100" w:rsidRPr="005B7AEC" w:rsidRDefault="00B17100" w:rsidP="005B7AEC">
      <w:pPr>
        <w:pStyle w:val="Sansinterligne"/>
        <w:jc w:val="both"/>
      </w:pPr>
      <w:r w:rsidRPr="005B7AEC">
        <w:t xml:space="preserve">Furthermore, remittances play a major role in the economic development of countries of origin. They contribute to improving household incomes, stimulating consumption, and encouraging investment, particularly in rural areas. Finally, returning migrants also constitute an important driver of development. Indeed, Black and </w:t>
      </w:r>
      <w:proofErr w:type="spellStart"/>
      <w:r w:rsidRPr="005B7AEC">
        <w:t>Castaldo</w:t>
      </w:r>
      <w:proofErr w:type="spellEnd"/>
      <w:r w:rsidRPr="005B7AEC">
        <w:t xml:space="preserve"> (2009) show that </w:t>
      </w:r>
      <w:proofErr w:type="gramStart"/>
      <w:r w:rsidRPr="005B7AEC">
        <w:t>the return of migrants is often accompanied by a transfer of skills and knowledge, fostering innovation and business creation</w:t>
      </w:r>
      <w:proofErr w:type="gramEnd"/>
      <w:r w:rsidRPr="005B7AEC">
        <w:t xml:space="preserve">. Similarly, </w:t>
      </w:r>
      <w:proofErr w:type="spellStart"/>
      <w:r w:rsidRPr="005B7AEC">
        <w:t>Dustmann</w:t>
      </w:r>
      <w:proofErr w:type="spellEnd"/>
      <w:r w:rsidRPr="005B7AEC">
        <w:t xml:space="preserve"> and </w:t>
      </w:r>
      <w:proofErr w:type="spellStart"/>
      <w:r w:rsidRPr="005B7AEC">
        <w:t>Kirchkamp</w:t>
      </w:r>
      <w:proofErr w:type="spellEnd"/>
      <w:r w:rsidRPr="005B7AEC">
        <w:t xml:space="preserve"> (2002) emphasize that returning migrants frequently invest in productive activities using savings and experience acquired abroad. However, De Haas (2010) stresses that these positive effects are highly dependent on the institutional context and economic opportunities in the country of origin.</w:t>
      </w:r>
    </w:p>
    <w:p w:rsidR="00196079" w:rsidRPr="005B7AEC" w:rsidRDefault="00B17100" w:rsidP="005B7AEC">
      <w:pPr>
        <w:pStyle w:val="Sansinterligne"/>
        <w:jc w:val="both"/>
      </w:pPr>
      <w:r w:rsidRPr="005B7AEC">
        <w:t xml:space="preserve">Building on these theoretical analyses, empirical studies show contrasting results regarding the impact </w:t>
      </w:r>
      <w:proofErr w:type="gramStart"/>
      <w:r w:rsidRPr="005B7AEC">
        <w:t>of</w:t>
      </w:r>
      <w:proofErr w:type="gramEnd"/>
      <w:r w:rsidRPr="005B7AEC">
        <w:t xml:space="preserve"> migration on the labor market, particularly in Africa. Indeed, several studies indicate that migration can help alleviate labor shortages and modify the employment structure. For example, </w:t>
      </w:r>
      <w:proofErr w:type="spellStart"/>
      <w:proofErr w:type="gramStart"/>
      <w:r w:rsidR="00196079" w:rsidRPr="005B7AEC">
        <w:t>Oláh</w:t>
      </w:r>
      <w:proofErr w:type="spellEnd"/>
      <w:r w:rsidR="00196079" w:rsidRPr="005B7AEC">
        <w:t xml:space="preserve"> ,</w:t>
      </w:r>
      <w:proofErr w:type="gramEnd"/>
      <w:r w:rsidR="00196079" w:rsidRPr="005B7AEC">
        <w:t xml:space="preserve"> J., </w:t>
      </w:r>
      <w:proofErr w:type="spellStart"/>
      <w:r w:rsidR="00196079" w:rsidRPr="005B7AEC">
        <w:t>Halasi</w:t>
      </w:r>
      <w:proofErr w:type="spellEnd"/>
      <w:r w:rsidR="00196079" w:rsidRPr="005B7AEC">
        <w:t xml:space="preserve"> , G., </w:t>
      </w:r>
      <w:proofErr w:type="spellStart"/>
      <w:r w:rsidR="00196079" w:rsidRPr="005B7AEC">
        <w:t>Szakály</w:t>
      </w:r>
      <w:proofErr w:type="spellEnd"/>
      <w:r w:rsidR="00196079" w:rsidRPr="005B7AEC">
        <w:t xml:space="preserve"> , Z., Popp , J., &amp; </w:t>
      </w:r>
      <w:proofErr w:type="spellStart"/>
      <w:r w:rsidR="00196079" w:rsidRPr="005B7AEC">
        <w:t>Balogh</w:t>
      </w:r>
      <w:proofErr w:type="spellEnd"/>
      <w:r w:rsidR="00196079" w:rsidRPr="005B7AEC">
        <w:t xml:space="preserve"> , P. (2017) analyze the effects of international migration on the Hungarian labor market through an empirical case study. Their method relies on the use of national statistical data to assess the impact of migration flows on employment and the labor force structure. The results show that migration can help alleviate labor shortages in certain sectors, while having differentiated effects depending on skill levels and labor market segments. </w:t>
      </w:r>
      <w:proofErr w:type="spellStart"/>
      <w:r w:rsidR="00196079" w:rsidRPr="005B7AEC">
        <w:t>Nwankwo</w:t>
      </w:r>
      <w:proofErr w:type="spellEnd"/>
      <w:r w:rsidR="00196079" w:rsidRPr="005B7AEC">
        <w:t xml:space="preserve"> and </w:t>
      </w:r>
      <w:proofErr w:type="spellStart"/>
      <w:r w:rsidR="00196079" w:rsidRPr="005B7AEC">
        <w:t>Okolocha</w:t>
      </w:r>
      <w:proofErr w:type="spellEnd"/>
      <w:r w:rsidR="00196079" w:rsidRPr="005B7AEC">
        <w:t xml:space="preserve"> (2021) analyze the effects of migration on labor market dynamics from a legal perspective. Their method relies on a doctrinal and institutional analysis of the legal frameworks governing migration and employment, with a focus on migration policies and labor regulations. The results show that migration significantly influences the structure and functioning of labor markets, particularly by affecting labor supply, employment conditions, and the protection of migrant workers. Al- </w:t>
      </w:r>
      <w:proofErr w:type="spellStart"/>
      <w:r w:rsidR="00196079" w:rsidRPr="005B7AEC">
        <w:t>Dalahmeh</w:t>
      </w:r>
      <w:proofErr w:type="spellEnd"/>
      <w:r w:rsidR="00196079" w:rsidRPr="005B7AEC">
        <w:t xml:space="preserve"> and </w:t>
      </w:r>
      <w:proofErr w:type="spellStart"/>
      <w:r w:rsidR="00196079" w:rsidRPr="005B7AEC">
        <w:t>Dajnoki</w:t>
      </w:r>
      <w:proofErr w:type="spellEnd"/>
      <w:r w:rsidR="00196079" w:rsidRPr="005B7AEC">
        <w:t xml:space="preserve"> (2021) examine the impact of international migration on the labor markets of developed countries through a systematic literature review. Their method involves a structured analysis of a set of empirical and theoretical studies to identify general trends and recurring findings regarding the effects of migration on employment and wages. The results show that the impact of migration is generally limited and heterogeneous: it can fill labor shortages and support certain economic sectors, while exerting varying pressures on the wages and employment of certain groups, particularly low-skilled workers. </w:t>
      </w:r>
      <w:proofErr w:type="spellStart"/>
      <w:r w:rsidR="00196079" w:rsidRPr="005B7AEC">
        <w:t>Gündoğmuş</w:t>
      </w:r>
      <w:proofErr w:type="spellEnd"/>
      <w:r w:rsidR="00196079" w:rsidRPr="005B7AEC">
        <w:t xml:space="preserve"> and </w:t>
      </w:r>
      <w:proofErr w:type="spellStart"/>
      <w:r w:rsidR="00196079" w:rsidRPr="005B7AEC">
        <w:t>Bayır</w:t>
      </w:r>
      <w:proofErr w:type="spellEnd"/>
      <w:r w:rsidR="00196079" w:rsidRPr="005B7AEC">
        <w:t xml:space="preserve"> (2021) analyze the impact of international migration on unemployment in European countries. Their study adopts a quantitative method based on a panel regression analysis covering 27 European countries over the period 2000–2017. The empirical results show that international migration does not have a statistically significant effect on unemployment rates, thus challenging the idea that immigration systematically worsens unemployment. On the other hand, other macroeconomic factors such as GDP growth, public spending, education spending, and wage increases contribute to reducing unemployment. The authors conclude that economic and structural policies play a more decisive role than migration in labor market dynamics.</w:t>
      </w:r>
    </w:p>
    <w:p w:rsidR="00B17100" w:rsidRPr="005B7AEC" w:rsidRDefault="00B17100" w:rsidP="005B7AEC">
      <w:pPr>
        <w:pStyle w:val="Sansinterligne"/>
        <w:jc w:val="both"/>
      </w:pPr>
      <w:r w:rsidRPr="005B7AEC">
        <w:t xml:space="preserve">In Africa, migration thus has ambivalent effects on the labor market. On the one hand, it fosters the creation of indirect jobs through remittances, which stimulate local demand and encourage investment in economic activities </w:t>
      </w:r>
      <w:proofErr w:type="gramStart"/>
      <w:r w:rsidRPr="005B7AEC">
        <w:t xml:space="preserve">( </w:t>
      </w:r>
      <w:proofErr w:type="spellStart"/>
      <w:r w:rsidRPr="005B7AEC">
        <w:t>Ratha</w:t>
      </w:r>
      <w:proofErr w:type="spellEnd"/>
      <w:proofErr w:type="gramEnd"/>
      <w:r w:rsidRPr="005B7AEC">
        <w:t xml:space="preserve"> , 2013). Similarly, </w:t>
      </w:r>
      <w:proofErr w:type="spellStart"/>
      <w:r w:rsidRPr="005B7AEC">
        <w:t>Gubert</w:t>
      </w:r>
      <w:proofErr w:type="spellEnd"/>
      <w:r w:rsidRPr="005B7AEC">
        <w:t xml:space="preserve"> and </w:t>
      </w:r>
      <w:proofErr w:type="spellStart"/>
      <w:r w:rsidRPr="005B7AEC">
        <w:t>Nordman</w:t>
      </w:r>
      <w:proofErr w:type="spellEnd"/>
      <w:r w:rsidRPr="005B7AEC">
        <w:t xml:space="preserve"> (2011) show that </w:t>
      </w:r>
      <w:proofErr w:type="gramStart"/>
      <w:r w:rsidRPr="005B7AEC">
        <w:t>these</w:t>
      </w:r>
      <w:proofErr w:type="gramEnd"/>
      <w:r w:rsidRPr="005B7AEC">
        <w:t xml:space="preserve"> remittances facilitate access to capital and promote the diversification of household economic activities. However, some authors, such as Chami et al. (2005), emphasize that these remittances can also create economic dependence and reduce the incentive to participate in the labor market. Furthermore, these dynamics </w:t>
      </w:r>
      <w:proofErr w:type="gramStart"/>
      <w:r w:rsidRPr="005B7AEC">
        <w:t>are complicated</w:t>
      </w:r>
      <w:proofErr w:type="gramEnd"/>
      <w:r w:rsidRPr="005B7AEC">
        <w:t xml:space="preserve"> by the strong dominance of the informal sector in Africa, which makes it difficult to measure and regulate the effects of migration (ILO, 2020).</w:t>
      </w:r>
    </w:p>
    <w:p w:rsidR="00B17100" w:rsidRPr="005B7AEC" w:rsidRDefault="00B17100" w:rsidP="005B7AEC">
      <w:pPr>
        <w:pStyle w:val="Sansinterligne"/>
        <w:jc w:val="both"/>
      </w:pPr>
      <w:r w:rsidRPr="005B7AEC">
        <w:lastRenderedPageBreak/>
        <w:t>Ultimately, the literature highlights that the link between international migration and the labor market in Africa remains complex and debated. On the one hand, several studies emphasize positive effects related to reduced labor market pressures, remittances, and the development of human capital and entrepreneurship. On the other hand, some authors point to negative effects such as brain drain, remittance dependency, and disincentives to work. Thus, empirical findings remain mixed and highly dependent on economic and institutional contexts, as well as skill levels.</w:t>
      </w:r>
    </w:p>
    <w:p w:rsidR="00B17100" w:rsidRPr="005B7AEC" w:rsidRDefault="00B17100" w:rsidP="005B7AEC">
      <w:pPr>
        <w:pStyle w:val="Sansinterligne"/>
        <w:jc w:val="both"/>
      </w:pPr>
      <w:r w:rsidRPr="005B7AEC">
        <w:t xml:space="preserve">These findings highlight several significant gaps in the literature on the African case. First, studies remain fragmented and do not always offer an integrated analysis of the various mechanisms by which migration influences the labor market. Second, empirical research remains limited and does not always reflect the diversity of African realities, particularly the prevalence of informality. Therefore, it appears necessary to conduct more empirical and contextualized research </w:t>
      </w:r>
      <w:proofErr w:type="gramStart"/>
      <w:r w:rsidRPr="005B7AEC">
        <w:t>to better understand</w:t>
      </w:r>
      <w:proofErr w:type="gramEnd"/>
      <w:r w:rsidRPr="005B7AEC">
        <w:t xml:space="preserve"> the real effects of migration on the labor market in Africa and to provide a more solid foundation for developing policies tailored to local realities.</w:t>
      </w:r>
    </w:p>
    <w:p w:rsidR="005B7AEC" w:rsidRDefault="005B7AEC" w:rsidP="005B7AEC">
      <w:pPr>
        <w:pStyle w:val="Sansinterligne"/>
        <w:jc w:val="both"/>
      </w:pPr>
    </w:p>
    <w:p w:rsidR="002E135C" w:rsidRPr="005B7AEC" w:rsidRDefault="00196079" w:rsidP="005B7AEC">
      <w:pPr>
        <w:pStyle w:val="Sansinterligne"/>
        <w:jc w:val="both"/>
        <w:rPr>
          <w:b/>
        </w:rPr>
      </w:pPr>
      <w:r w:rsidRPr="005B7AEC">
        <w:rPr>
          <w:b/>
        </w:rPr>
        <w:t>3. Methodology</w:t>
      </w:r>
    </w:p>
    <w:p w:rsidR="00E75FDB" w:rsidRPr="005B7AEC" w:rsidRDefault="00E75FDB" w:rsidP="005B7AEC">
      <w:pPr>
        <w:pStyle w:val="Sansinterligne"/>
        <w:jc w:val="both"/>
        <w:rPr>
          <w:b/>
        </w:rPr>
      </w:pPr>
      <w:r w:rsidRPr="005B7AEC">
        <w:rPr>
          <w:b/>
        </w:rPr>
        <w:t xml:space="preserve">3.1. </w:t>
      </w:r>
      <w:r w:rsidR="005B7AEC">
        <w:rPr>
          <w:b/>
        </w:rPr>
        <w:t>Model Specification</w:t>
      </w:r>
    </w:p>
    <w:p w:rsidR="00E75FDB" w:rsidRDefault="00E75FDB" w:rsidP="005B7AEC">
      <w:pPr>
        <w:pStyle w:val="Sansinterligne"/>
        <w:jc w:val="both"/>
      </w:pPr>
      <w:r>
        <w:t xml:space="preserve">To examine the effect of international migration on labor supply growth in Africa, this study adopts a panel data approach. This method, widely used in applied econometrics </w:t>
      </w:r>
      <w:proofErr w:type="gramStart"/>
      <w:r>
        <w:t xml:space="preserve">( </w:t>
      </w:r>
      <w:proofErr w:type="spellStart"/>
      <w:r>
        <w:t>Baltagi</w:t>
      </w:r>
      <w:proofErr w:type="spellEnd"/>
      <w:proofErr w:type="gramEnd"/>
      <w:r>
        <w:t xml:space="preserve"> , 2008; Wooldridge , 2016), allows for the simultaneous control of country-specific characteristics and temporal changes that may influence the labor market. The basic model </w:t>
      </w:r>
      <w:proofErr w:type="gramStart"/>
      <w:r>
        <w:t>is formulated</w:t>
      </w:r>
      <w:proofErr w:type="gramEnd"/>
      <w:r>
        <w:t xml:space="preserve"> as follows:</w:t>
      </w:r>
    </w:p>
    <w:p w:rsidR="00E75FDB" w:rsidRPr="00E75FDB" w:rsidRDefault="00371CCF" w:rsidP="005B7AEC">
      <w:pPr>
        <w:pStyle w:val="Sansinterligne"/>
        <w:jc w:val="both"/>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OFF</m:t>
            </m:r>
          </m:e>
          <m:sub>
            <m:r>
              <w:rPr>
                <w:rFonts w:ascii="Cambria Math" w:eastAsia="Times New Roman" w:hAnsi="Cambria Math" w:cs="Times New Roman"/>
                <w:sz w:val="24"/>
                <w:szCs w:val="24"/>
                <w:lang w:eastAsia="fr-FR"/>
              </w:rPr>
              <m:t>it</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β</m:t>
                </m:r>
              </m:e>
              <m:sub>
                <m:r>
                  <w:rPr>
                    <w:rFonts w:ascii="Cambria Math" w:eastAsia="Times New Roman" w:hAnsi="Cambria Math" w:cs="Times New Roman"/>
                    <w:sz w:val="24"/>
                    <w:szCs w:val="24"/>
                    <w:lang w:eastAsia="fr-FR"/>
                  </w:rPr>
                  <m:t>0</m:t>
                </m:r>
              </m:sub>
            </m:sSub>
            <m:r>
              <w:rPr>
                <w:rFonts w:ascii="Cambria Math" w:eastAsia="Times New Roman" w:hAnsi="Cambria Math" w:cs="Times New Roman"/>
                <w:sz w:val="24"/>
                <w:szCs w:val="24"/>
                <w:lang w:eastAsia="fr-FR"/>
              </w:rPr>
              <m:t>+β</m:t>
            </m:r>
          </m:e>
          <m:sub>
            <m:r>
              <w:rPr>
                <w:rFonts w:ascii="Cambria Math" w:eastAsia="Times New Roman" w:hAnsi="Cambria Math" w:cs="Times New Roman"/>
                <w:sz w:val="24"/>
                <w:szCs w:val="24"/>
                <w:lang w:eastAsia="fr-FR"/>
              </w:rPr>
              <m:t>1</m:t>
            </m:r>
          </m:sub>
        </m:s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MIG</m:t>
            </m:r>
          </m:e>
          <m:sub>
            <m:r>
              <w:rPr>
                <w:rFonts w:ascii="Cambria Math" w:eastAsia="Times New Roman" w:hAnsi="Cambria Math" w:cs="Times New Roman"/>
                <w:sz w:val="24"/>
                <w:szCs w:val="24"/>
                <w:lang w:eastAsia="fr-FR"/>
              </w:rPr>
              <m:t>it</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β</m:t>
            </m:r>
          </m:e>
          <m:sub>
            <m:r>
              <w:rPr>
                <w:rFonts w:ascii="Cambria Math" w:eastAsia="Times New Roman" w:hAnsi="Cambria Math" w:cs="Times New Roman"/>
                <w:sz w:val="24"/>
                <w:szCs w:val="24"/>
                <w:lang w:eastAsia="fr-FR"/>
              </w:rPr>
              <m:t>2</m:t>
            </m:r>
          </m:sub>
        </m:s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PIB</m:t>
            </m:r>
          </m:e>
          <m:sub>
            <m:r>
              <w:rPr>
                <w:rFonts w:ascii="Cambria Math" w:eastAsia="Times New Roman" w:hAnsi="Cambria Math" w:cs="Times New Roman"/>
                <w:sz w:val="24"/>
                <w:szCs w:val="24"/>
                <w:lang w:eastAsia="fr-FR"/>
              </w:rPr>
              <m:t>it</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β</m:t>
            </m:r>
          </m:e>
          <m:sub>
            <m:r>
              <w:rPr>
                <w:rFonts w:ascii="Cambria Math" w:eastAsia="Times New Roman" w:hAnsi="Cambria Math" w:cs="Times New Roman"/>
                <w:sz w:val="24"/>
                <w:szCs w:val="24"/>
                <w:lang w:eastAsia="fr-FR"/>
              </w:rPr>
              <m:t>3</m:t>
            </m:r>
          </m:sub>
        </m:s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EDU</m:t>
            </m:r>
          </m:e>
          <m:sub>
            <m:r>
              <w:rPr>
                <w:rFonts w:ascii="Cambria Math" w:eastAsia="Times New Roman" w:hAnsi="Cambria Math" w:cs="Times New Roman"/>
                <w:sz w:val="24"/>
                <w:szCs w:val="24"/>
                <w:lang w:eastAsia="fr-FR"/>
              </w:rPr>
              <m:t>it</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β</m:t>
            </m:r>
          </m:e>
          <m:sub>
            <m:r>
              <w:rPr>
                <w:rFonts w:ascii="Cambria Math" w:eastAsia="Times New Roman" w:hAnsi="Cambria Math" w:cs="Times New Roman"/>
                <w:sz w:val="24"/>
                <w:szCs w:val="24"/>
                <w:lang w:eastAsia="fr-FR"/>
              </w:rPr>
              <m:t>4</m:t>
            </m:r>
          </m:sub>
        </m:sSub>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URB</m:t>
            </m:r>
          </m:e>
          <m:sub>
            <m:r>
              <w:rPr>
                <w:rFonts w:ascii="Cambria Math" w:eastAsia="Times New Roman" w:hAnsi="Cambria Math" w:cs="Times New Roman"/>
                <w:sz w:val="24"/>
                <w:szCs w:val="24"/>
                <w:lang w:eastAsia="fr-FR"/>
              </w:rPr>
              <m:t>it</m:t>
            </m:r>
          </m:sub>
        </m:sSub>
        <m: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 xml:space="preserve"> λ </m:t>
            </m:r>
          </m:e>
          <m:sub>
            <m:r>
              <w:rPr>
                <w:rFonts w:ascii="Cambria Math" w:eastAsia="Times New Roman" w:hAnsi="Cambria Math" w:cs="Times New Roman"/>
                <w:sz w:val="24"/>
                <w:szCs w:val="24"/>
                <w:lang w:eastAsia="fr-FR"/>
              </w:rPr>
              <m:t>t</m:t>
            </m:r>
          </m:sub>
        </m:sSub>
        <m: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ε</m:t>
            </m:r>
          </m:e>
          <m:sub>
            <m:r>
              <w:rPr>
                <w:rFonts w:ascii="Cambria Math" w:eastAsia="Times New Roman" w:hAnsi="Cambria Math" w:cs="Times New Roman"/>
                <w:sz w:val="24"/>
                <w:szCs w:val="24"/>
                <w:lang w:eastAsia="fr-FR"/>
              </w:rPr>
              <m:t>it</m:t>
            </m:r>
          </m:sub>
        </m:sSub>
        <m:r>
          <w:rPr>
            <w:rFonts w:ascii="Cambria Math" w:eastAsia="Times New Roman" w:hAnsi="Cambria Math" w:cs="Times New Roman"/>
            <w:sz w:val="24"/>
            <w:szCs w:val="24"/>
            <w:lang w:eastAsia="fr-FR"/>
          </w:rPr>
          <m:t xml:space="preserve"> (2)</m:t>
        </m:r>
      </m:oMath>
      <w:r w:rsidR="00E75FDB" w:rsidRPr="00E75FDB">
        <w:rPr>
          <w:rFonts w:ascii="Times New Roman" w:eastAsia="Times New Roman" w:hAnsi="Times New Roman" w:cs="Times New Roman"/>
          <w:sz w:val="24"/>
          <w:szCs w:val="24"/>
          <w:lang w:eastAsia="fr-FR"/>
        </w:rPr>
        <w:t xml:space="preserve"> </w:t>
      </w:r>
    </w:p>
    <w:p w:rsidR="00E75FDB" w:rsidRPr="00E75FDB" w:rsidRDefault="00E75FDB" w:rsidP="005B7AEC">
      <w:pPr>
        <w:pStyle w:val="Sansinterligne"/>
        <w:jc w:val="both"/>
        <w:rPr>
          <w:lang w:eastAsia="fr-FR"/>
        </w:rPr>
      </w:pPr>
      <w:proofErr w:type="gramStart"/>
      <w:r w:rsidRPr="00E75FDB">
        <w:rPr>
          <w:color w:val="000000"/>
          <w:lang w:eastAsia="fr-FR"/>
        </w:rPr>
        <w:t>With</w:t>
      </w:r>
      <w:r w:rsidRPr="00E75FDB">
        <w:rPr>
          <w:i/>
          <w:color w:val="000000"/>
          <w:lang w:eastAsia="fr-FR"/>
        </w:rPr>
        <w:t xml:space="preserve"> </w:t>
      </w:r>
      <w:proofErr w:type="gramEnd"/>
      <m:oMath>
        <m:sSub>
          <m:sSubPr>
            <m:ctrlPr>
              <w:rPr>
                <w:rFonts w:ascii="Cambria Math" w:hAnsi="Cambria Math"/>
                <w:i/>
                <w:color w:val="000000"/>
                <w:lang w:eastAsia="fr-FR"/>
              </w:rPr>
            </m:ctrlPr>
          </m:sSubPr>
          <m:e>
            <m:r>
              <w:rPr>
                <w:rFonts w:ascii="Cambria Math" w:hAnsi="Cambria Math"/>
                <w:color w:val="000000"/>
                <w:lang w:eastAsia="fr-FR"/>
              </w:rPr>
              <m:t>β</m:t>
            </m:r>
          </m:e>
          <m:sub>
            <m:r>
              <w:rPr>
                <w:rFonts w:ascii="Cambria Math" w:hAnsi="Cambria Math"/>
                <w:color w:val="000000"/>
                <w:lang w:eastAsia="fr-FR"/>
              </w:rPr>
              <m:t>i</m:t>
            </m:r>
          </m:sub>
        </m:sSub>
      </m:oMath>
      <w:r w:rsidRPr="00E75FDB">
        <w:rPr>
          <w:color w:val="000000"/>
          <w:lang w:eastAsia="fr-FR"/>
        </w:rPr>
        <w:t>, the parameters to be estimated, i refers to the countries, and t designates the period.</w:t>
      </w:r>
      <w:r w:rsidRPr="00E75FDB">
        <w:rPr>
          <w:lang w:eastAsia="fr-FR"/>
        </w:rPr>
        <w:t xml:space="preserve"> </w:t>
      </w:r>
      <m:oMath>
        <m:sSub>
          <m:sSubPr>
            <m:ctrlPr>
              <w:rPr>
                <w:rFonts w:ascii="Cambria Math" w:hAnsi="Cambria Math"/>
                <w:i/>
                <w:lang w:eastAsia="fr-FR"/>
              </w:rPr>
            </m:ctrlPr>
          </m:sSubPr>
          <m:e>
            <m:r>
              <m:rPr>
                <m:sty m:val="p"/>
              </m:rPr>
              <w:rPr>
                <w:rFonts w:ascii="Cambria Math" w:hAnsi="Cambria Math"/>
                <w:lang w:eastAsia="fr-FR"/>
              </w:rPr>
              <m:t>μ</m:t>
            </m:r>
          </m:e>
          <m:sub>
            <m:r>
              <w:rPr>
                <w:rFonts w:ascii="Cambria Math" w:hAnsi="Cambria Math"/>
                <w:lang w:eastAsia="fr-FR"/>
              </w:rPr>
              <m:t>i</m:t>
            </m:r>
          </m:sub>
        </m:sSub>
        <m:r>
          <w:rPr>
            <w:rFonts w:ascii="Cambria Math" w:hAnsi="Cambria Math"/>
            <w:lang w:eastAsia="fr-FR"/>
          </w:rPr>
          <m:t xml:space="preserve"> </m:t>
        </m:r>
      </m:oMath>
      <w:proofErr w:type="gramStart"/>
      <w:r w:rsidRPr="00E75FDB">
        <w:rPr>
          <w:color w:val="000000"/>
          <w:lang w:eastAsia="fr-FR"/>
        </w:rPr>
        <w:t>and</w:t>
      </w:r>
      <w:proofErr w:type="gramEnd"/>
      <w:r w:rsidRPr="00E75FDB">
        <w:rPr>
          <w:color w:val="000000"/>
          <w:lang w:eastAsia="fr-FR"/>
        </w:rPr>
        <w:t xml:space="preserve"> </w:t>
      </w:r>
      <m:oMath>
        <m:sSub>
          <m:sSubPr>
            <m:ctrlPr>
              <w:rPr>
                <w:rFonts w:ascii="Cambria Math" w:hAnsi="Cambria Math"/>
                <w:i/>
                <w:lang w:eastAsia="fr-FR"/>
              </w:rPr>
            </m:ctrlPr>
          </m:sSubPr>
          <m:e>
            <m:r>
              <m:rPr>
                <m:sty m:val="p"/>
              </m:rPr>
              <w:rPr>
                <w:rFonts w:ascii="Cambria Math" w:hAnsi="Cambria Math"/>
                <w:lang w:eastAsia="fr-FR"/>
              </w:rPr>
              <m:t xml:space="preserve">λ </m:t>
            </m:r>
          </m:e>
          <m:sub>
            <m:r>
              <w:rPr>
                <w:rFonts w:ascii="Cambria Math" w:hAnsi="Cambria Math"/>
                <w:lang w:eastAsia="fr-FR"/>
              </w:rPr>
              <m:t>t</m:t>
            </m:r>
          </m:sub>
        </m:sSub>
      </m:oMath>
      <w:r w:rsidRPr="00E75FDB">
        <w:rPr>
          <w:lang w:eastAsia="fr-FR"/>
        </w:rPr>
        <w:t xml:space="preserve">respectively capture </w:t>
      </w:r>
      <w:r w:rsidRPr="00E75FDB">
        <w:rPr>
          <w:bCs/>
          <w:lang w:eastAsia="fr-FR"/>
        </w:rPr>
        <w:t xml:space="preserve">country fixed effects </w:t>
      </w:r>
      <w:r w:rsidRPr="00E75FDB">
        <w:rPr>
          <w:lang w:eastAsia="fr-FR"/>
        </w:rPr>
        <w:t xml:space="preserve">and </w:t>
      </w:r>
      <w:r w:rsidRPr="00E75FDB">
        <w:rPr>
          <w:bCs/>
          <w:lang w:eastAsia="fr-FR"/>
        </w:rPr>
        <w:t xml:space="preserve">time fixed effects </w:t>
      </w:r>
      <w:r w:rsidRPr="00E75FDB">
        <w:rPr>
          <w:lang w:eastAsia="fr-FR"/>
        </w:rPr>
        <w:t xml:space="preserve">, allowing for the consideration of unobserved heterogeneities at the country level and over time ( </w:t>
      </w:r>
      <w:proofErr w:type="spellStart"/>
      <w:r w:rsidRPr="00E75FDB">
        <w:rPr>
          <w:lang w:eastAsia="fr-FR"/>
        </w:rPr>
        <w:t>Baltagi</w:t>
      </w:r>
      <w:proofErr w:type="spellEnd"/>
      <w:r w:rsidRPr="00E75FDB">
        <w:rPr>
          <w:lang w:eastAsia="fr-FR"/>
        </w:rPr>
        <w:t xml:space="preserve"> , 2008) </w:t>
      </w:r>
      <w:r w:rsidRPr="00E75FDB">
        <w:rPr>
          <w:color w:val="000000"/>
          <w:lang w:eastAsia="fr-FR"/>
        </w:rPr>
        <w:t>.</w:t>
      </w:r>
      <w:r w:rsidRPr="00E75FDB">
        <w:rPr>
          <w:bCs/>
          <w:lang w:eastAsia="fr-FR"/>
        </w:rPr>
        <w:t xml:space="preserve"> </w:t>
      </w:r>
      <m:oMath>
        <m:sSub>
          <m:sSubPr>
            <m:ctrlPr>
              <w:rPr>
                <w:rFonts w:ascii="Cambria Math" w:hAnsi="Cambria Math"/>
                <w:i/>
                <w:lang w:eastAsia="fr-FR"/>
              </w:rPr>
            </m:ctrlPr>
          </m:sSubPr>
          <m:e>
            <m:r>
              <m:rPr>
                <m:sty m:val="p"/>
              </m:rPr>
              <w:rPr>
                <w:rFonts w:ascii="Cambria Math" w:hAnsi="Cambria Math"/>
                <w:lang w:eastAsia="fr-FR"/>
              </w:rPr>
              <m:t>ε</m:t>
            </m:r>
          </m:e>
          <m:sub>
            <m:r>
              <w:rPr>
                <w:rFonts w:ascii="Cambria Math" w:hAnsi="Cambria Math"/>
                <w:lang w:eastAsia="fr-FR"/>
              </w:rPr>
              <m:t>it</m:t>
            </m:r>
          </m:sub>
        </m:sSub>
      </m:oMath>
      <w:proofErr w:type="gramStart"/>
      <w:r w:rsidRPr="00E75FDB">
        <w:rPr>
          <w:lang w:eastAsia="fr-FR"/>
        </w:rPr>
        <w:t>random</w:t>
      </w:r>
      <w:proofErr w:type="gramEnd"/>
      <w:r w:rsidRPr="00E75FDB">
        <w:rPr>
          <w:lang w:eastAsia="fr-FR"/>
        </w:rPr>
        <w:t xml:space="preserve"> error, assumed to be independent and identically distributed.</w:t>
      </w:r>
    </w:p>
    <w:p w:rsidR="005B7AEC" w:rsidRPr="005B7AEC" w:rsidRDefault="00E75FDB" w:rsidP="005B7AEC">
      <w:pPr>
        <w:pStyle w:val="Sansinterligne"/>
        <w:jc w:val="both"/>
        <w:rPr>
          <w:b/>
          <w:lang w:eastAsia="fr-FR"/>
        </w:rPr>
      </w:pPr>
      <w:r w:rsidRPr="005B7AEC">
        <w:rPr>
          <w:b/>
          <w:lang w:eastAsia="fr-FR"/>
        </w:rPr>
        <w:t>3.2. Characteristics of the variables</w:t>
      </w:r>
    </w:p>
    <w:p w:rsidR="00E75FDB" w:rsidRDefault="00E75FDB" w:rsidP="005B7AEC">
      <w:pPr>
        <w:pStyle w:val="Sansinterligne"/>
        <w:jc w:val="both"/>
        <w:rPr>
          <w:lang w:eastAsia="fr-FR"/>
        </w:rPr>
      </w:pPr>
      <w:r w:rsidRPr="00E75FDB">
        <w:rPr>
          <w:lang w:eastAsia="fr-FR"/>
        </w:rPr>
        <w:t xml:space="preserve">Labor supply (LS) is the dependent variable in this study. It </w:t>
      </w:r>
      <w:proofErr w:type="gramStart"/>
      <w:r w:rsidRPr="00E75FDB">
        <w:rPr>
          <w:lang w:eastAsia="fr-FR"/>
        </w:rPr>
        <w:t>is measured</w:t>
      </w:r>
      <w:proofErr w:type="gramEnd"/>
      <w:r w:rsidRPr="00E75FDB">
        <w:rPr>
          <w:lang w:eastAsia="fr-FR"/>
        </w:rPr>
        <w:t xml:space="preserve"> by the labor force participation rate, which is the ratio of the labor force to the working-age population. This indicator assesses the availability of labor and the dynamics of the labor market (Blanchard, 2000; Layard et al., 1991). International migration (IM) </w:t>
      </w:r>
      <w:proofErr w:type="gramStart"/>
      <w:r w:rsidRPr="00E75FDB">
        <w:rPr>
          <w:lang w:eastAsia="fr-FR"/>
        </w:rPr>
        <w:t>is measured</w:t>
      </w:r>
      <w:proofErr w:type="gramEnd"/>
      <w:r w:rsidRPr="00E75FDB">
        <w:rPr>
          <w:lang w:eastAsia="fr-FR"/>
        </w:rPr>
        <w:t xml:space="preserve"> by the net migration rate, defined as the ratio of the difference between inflows and outflows to the total population. This indicator measures the intensity of migration flows and their potential effects on the economies of origin </w:t>
      </w:r>
      <w:proofErr w:type="gramStart"/>
      <w:r w:rsidRPr="00E75FDB">
        <w:rPr>
          <w:lang w:eastAsia="fr-FR"/>
        </w:rPr>
        <w:t xml:space="preserve">( </w:t>
      </w:r>
      <w:proofErr w:type="spellStart"/>
      <w:r w:rsidR="00ED192E">
        <w:rPr>
          <w:lang w:eastAsia="fr-FR"/>
        </w:rPr>
        <w:t>Docquier</w:t>
      </w:r>
      <w:proofErr w:type="spellEnd"/>
      <w:proofErr w:type="gramEnd"/>
      <w:r w:rsidR="00ED192E">
        <w:rPr>
          <w:lang w:eastAsia="fr-FR"/>
        </w:rPr>
        <w:t xml:space="preserve"> et al., 2006; Beine et al., 2008). The control variables are GDP per capita (GDP), education (EDU), and urbanization (URB). GDP per capita measures the level of economic development (Lucas, 1988; Barro, 1991). Urbanization is measured by the proportion of the population living in urban areas (Henderson, 2003; </w:t>
      </w:r>
      <w:proofErr w:type="spellStart"/>
      <w:proofErr w:type="gramStart"/>
      <w:r w:rsidRPr="00E75FDB">
        <w:rPr>
          <w:lang w:eastAsia="fr-FR"/>
        </w:rPr>
        <w:t>Todaro</w:t>
      </w:r>
      <w:proofErr w:type="spellEnd"/>
      <w:r w:rsidRPr="00E75FDB">
        <w:rPr>
          <w:lang w:eastAsia="fr-FR"/>
        </w:rPr>
        <w:t xml:space="preserve"> ,</w:t>
      </w:r>
      <w:proofErr w:type="gramEnd"/>
      <w:r w:rsidRPr="00E75FDB">
        <w:rPr>
          <w:lang w:eastAsia="fr-FR"/>
        </w:rPr>
        <w:t xml:space="preserve"> 1997).</w:t>
      </w:r>
    </w:p>
    <w:p w:rsidR="00ED192E" w:rsidRPr="005B7AEC" w:rsidRDefault="00ED192E" w:rsidP="005B7AEC">
      <w:pPr>
        <w:pStyle w:val="Sansinterligne"/>
        <w:jc w:val="both"/>
        <w:rPr>
          <w:b/>
          <w:lang w:eastAsia="fr-FR"/>
        </w:rPr>
      </w:pPr>
      <w:r w:rsidRPr="005B7AEC">
        <w:rPr>
          <w:b/>
          <w:lang w:eastAsia="fr-FR"/>
        </w:rPr>
        <w:t>3.3. Data</w:t>
      </w:r>
    </w:p>
    <w:p w:rsidR="00ED192E" w:rsidRPr="00ED192E" w:rsidRDefault="00ED192E" w:rsidP="005B7AEC">
      <w:pPr>
        <w:pStyle w:val="Sansinterligne"/>
        <w:jc w:val="both"/>
        <w:rPr>
          <w:lang w:eastAsia="fr-FR"/>
        </w:rPr>
      </w:pPr>
      <w:r w:rsidRPr="00ED192E">
        <w:rPr>
          <w:lang w:eastAsia="fr-FR"/>
        </w:rPr>
        <w:t xml:space="preserve">This study </w:t>
      </w:r>
      <w:proofErr w:type="gramStart"/>
      <w:r w:rsidRPr="00ED192E">
        <w:rPr>
          <w:lang w:eastAsia="fr-FR"/>
        </w:rPr>
        <w:t>is based</w:t>
      </w:r>
      <w:proofErr w:type="gramEnd"/>
      <w:r w:rsidRPr="00ED192E">
        <w:rPr>
          <w:lang w:eastAsia="fr-FR"/>
        </w:rPr>
        <w:t xml:space="preserve"> on secondary quantitative panel data covering 37 African countries over the period 2000–2024 (up to 925 country-year observations). Data on international migration come from the United Nations Department of Economic and Social Affairs (UN DESA), GDP per capita data from the World Bank, education indicators from the UNESCO Institute for </w:t>
      </w:r>
      <w:proofErr w:type="gramStart"/>
      <w:r w:rsidRPr="00ED192E">
        <w:rPr>
          <w:lang w:eastAsia="fr-FR"/>
        </w:rPr>
        <w:t>Statistics ,</w:t>
      </w:r>
      <w:proofErr w:type="gramEnd"/>
      <w:r w:rsidRPr="00ED192E">
        <w:rPr>
          <w:lang w:eastAsia="fr-FR"/>
        </w:rPr>
        <w:t xml:space="preserve"> and urbanization data from UN DESA.</w:t>
      </w:r>
    </w:p>
    <w:p w:rsidR="00ED192E" w:rsidRPr="005B7AEC" w:rsidRDefault="00ED192E" w:rsidP="005B7AEC">
      <w:pPr>
        <w:pStyle w:val="Sansinterligne"/>
        <w:jc w:val="both"/>
        <w:rPr>
          <w:b/>
          <w:lang w:eastAsia="fr-FR"/>
        </w:rPr>
      </w:pPr>
      <w:r w:rsidRPr="005B7AEC">
        <w:rPr>
          <w:b/>
          <w:lang w:eastAsia="fr-FR"/>
        </w:rPr>
        <w:t>3.4. Estimation Techniques</w:t>
      </w:r>
    </w:p>
    <w:p w:rsidR="00ED192E" w:rsidRPr="00ED192E" w:rsidRDefault="00ED192E" w:rsidP="005B7AEC">
      <w:pPr>
        <w:pStyle w:val="Sansinterligne"/>
        <w:jc w:val="both"/>
        <w:rPr>
          <w:lang w:eastAsia="fr-FR"/>
        </w:rPr>
      </w:pPr>
      <w:r w:rsidRPr="00ED192E">
        <w:rPr>
          <w:lang w:eastAsia="fr-FR"/>
        </w:rPr>
        <w:t xml:space="preserve">Before estimating the model, several diagnostic tests </w:t>
      </w:r>
      <w:proofErr w:type="gramStart"/>
      <w:r w:rsidRPr="00ED192E">
        <w:rPr>
          <w:lang w:eastAsia="fr-FR"/>
        </w:rPr>
        <w:t>are performed</w:t>
      </w:r>
      <w:proofErr w:type="gramEnd"/>
      <w:r w:rsidRPr="00ED192E">
        <w:rPr>
          <w:lang w:eastAsia="fr-FR"/>
        </w:rPr>
        <w:t xml:space="preserve"> to ensure the reliability of the results. The Levin-Lin-Chu (2002) and </w:t>
      </w:r>
      <w:proofErr w:type="spellStart"/>
      <w:r w:rsidRPr="00ED192E">
        <w:rPr>
          <w:lang w:eastAsia="fr-FR"/>
        </w:rPr>
        <w:t>Im</w:t>
      </w:r>
      <w:proofErr w:type="spellEnd"/>
      <w:r w:rsidRPr="00ED192E">
        <w:rPr>
          <w:lang w:eastAsia="fr-FR"/>
        </w:rPr>
        <w:t xml:space="preserve">- </w:t>
      </w:r>
      <w:proofErr w:type="spellStart"/>
      <w:r w:rsidRPr="00ED192E">
        <w:rPr>
          <w:lang w:eastAsia="fr-FR"/>
        </w:rPr>
        <w:t>Pesaran</w:t>
      </w:r>
      <w:proofErr w:type="spellEnd"/>
      <w:r w:rsidRPr="00ED192E">
        <w:rPr>
          <w:lang w:eastAsia="fr-FR"/>
        </w:rPr>
        <w:t xml:space="preserve"> -Shin (2003) tests verify the stationarity of the series, while the VIF test detects multicollinearity among the explanatory variables (Gujarati &amp; Porter, 2009). The </w:t>
      </w:r>
      <w:proofErr w:type="spellStart"/>
      <w:r w:rsidRPr="00ED192E">
        <w:rPr>
          <w:lang w:eastAsia="fr-FR"/>
        </w:rPr>
        <w:t>Breusch</w:t>
      </w:r>
      <w:proofErr w:type="spellEnd"/>
      <w:r w:rsidRPr="00ED192E">
        <w:rPr>
          <w:lang w:eastAsia="fr-FR"/>
        </w:rPr>
        <w:t xml:space="preserve"> -Pagan (1979) and Wooldridge (2002) tests examine heteroscedasticity and autocorrelation of the errors, respectively. Finally, the Hausman test guides the choice between fixed and random effects, while GMM estimation is used to test the robustness of the results to endogeneity issues </w:t>
      </w:r>
      <w:proofErr w:type="gramStart"/>
      <w:r w:rsidRPr="00ED192E">
        <w:rPr>
          <w:lang w:eastAsia="fr-FR"/>
        </w:rPr>
        <w:t>( Arellano</w:t>
      </w:r>
      <w:proofErr w:type="gramEnd"/>
      <w:r w:rsidRPr="00ED192E">
        <w:rPr>
          <w:lang w:eastAsia="fr-FR"/>
        </w:rPr>
        <w:t xml:space="preserve"> &amp; Bond, 1991; Blundell &amp; Bond, 1998).</w:t>
      </w:r>
    </w:p>
    <w:p w:rsidR="00ED192E" w:rsidRPr="00E75FDB" w:rsidRDefault="00ED192E" w:rsidP="005B7AEC">
      <w:pPr>
        <w:pStyle w:val="Sansinterligne"/>
        <w:jc w:val="both"/>
        <w:rPr>
          <w:lang w:eastAsia="fr-FR"/>
        </w:rPr>
      </w:pPr>
    </w:p>
    <w:p w:rsidR="008904B9" w:rsidRPr="005B7AEC" w:rsidRDefault="002D6793" w:rsidP="005B7AEC">
      <w:pPr>
        <w:pStyle w:val="Sansinterligne"/>
        <w:jc w:val="both"/>
        <w:rPr>
          <w:b/>
        </w:rPr>
      </w:pPr>
      <w:r w:rsidRPr="005B7AEC">
        <w:rPr>
          <w:b/>
        </w:rPr>
        <w:t>4. Stylized Facts, Results, and Discussion</w:t>
      </w:r>
    </w:p>
    <w:p w:rsidR="004E65D8" w:rsidRPr="005B7AEC" w:rsidRDefault="002D6793" w:rsidP="005B7AEC">
      <w:pPr>
        <w:pStyle w:val="Sansinterligne"/>
        <w:jc w:val="both"/>
        <w:rPr>
          <w:b/>
        </w:rPr>
      </w:pPr>
      <w:r w:rsidRPr="005B7AEC">
        <w:rPr>
          <w:b/>
        </w:rPr>
        <w:lastRenderedPageBreak/>
        <w:t>4.1. Stylized facts and descriptive statistics</w:t>
      </w:r>
    </w:p>
    <w:p w:rsidR="004E65D8" w:rsidRPr="004E65D8" w:rsidRDefault="004E65D8" w:rsidP="005B7AEC">
      <w:pPr>
        <w:pStyle w:val="Sansinterligne"/>
        <w:jc w:val="both"/>
        <w:rPr>
          <w:lang w:eastAsia="fr-FR"/>
        </w:rPr>
      </w:pPr>
      <w:r w:rsidRPr="004E65D8">
        <w:rPr>
          <w:lang w:eastAsia="fr-FR"/>
        </w:rPr>
        <w:t xml:space="preserve">Figure 4.1 highlights a negative correlation between international migration flows and labor supply in African countries. The downward slope of the regression line suggests that an increase in migration flows is generally associated with a decrease in labor supply, which is consistent with the hypothesis that emigration reduces the availability of labor in countries of origin. Observations show that countries such as Gabon and Libya, characterized by high migration flows, have relatively low labor supply. Conversely, Madagascar, Tanzania, and Mozambique, where migration flows are limited, have a larger labor supply. However, countries like Côte d'Ivoire and Congo exhibit a relatively strong labor supply despite moderate migration flows, suggesting that this relationship </w:t>
      </w:r>
      <w:proofErr w:type="gramStart"/>
      <w:r w:rsidRPr="004E65D8">
        <w:rPr>
          <w:lang w:eastAsia="fr-FR"/>
        </w:rPr>
        <w:t>is also influenced</w:t>
      </w:r>
      <w:proofErr w:type="gramEnd"/>
      <w:r w:rsidRPr="004E65D8">
        <w:rPr>
          <w:lang w:eastAsia="fr-FR"/>
        </w:rPr>
        <w:t xml:space="preserve"> by demographic, economic, and institutional factors. Ultimately, these stylized facts highlight a negative association between international migration and labor supply. They provide an initial empirical indication that justifies a more in-depth econometric analysis.</w:t>
      </w:r>
    </w:p>
    <w:p w:rsidR="004E65D8" w:rsidRPr="004E65D8" w:rsidRDefault="008904B9" w:rsidP="005B7AEC">
      <w:pPr>
        <w:jc w:val="both"/>
        <w:rPr>
          <w:rFonts w:ascii="Times New Roman" w:eastAsia="Calibri" w:hAnsi="Times New Roman" w:cs="Times New Roman"/>
          <w:sz w:val="24"/>
        </w:rPr>
      </w:pPr>
      <w:r>
        <w:rPr>
          <w:rFonts w:ascii="Times New Roman" w:eastAsia="Calibri" w:hAnsi="Times New Roman" w:cs="Times New Roman"/>
          <w:sz w:val="24"/>
        </w:rPr>
        <w:t>Figure 1: Correlation between international migration and labor supply</w:t>
      </w:r>
    </w:p>
    <w:p w:rsidR="004E65D8" w:rsidRPr="004E65D8" w:rsidRDefault="004E65D8" w:rsidP="00BC5305">
      <w:pPr>
        <w:spacing w:line="360" w:lineRule="auto"/>
        <w:jc w:val="both"/>
        <w:rPr>
          <w:rFonts w:ascii="Calibri" w:eastAsia="Calibri" w:hAnsi="Calibri" w:cs="Times New Roman"/>
        </w:rPr>
      </w:pPr>
      <w:r w:rsidRPr="004E65D8">
        <w:rPr>
          <w:rFonts w:ascii="Calibri" w:eastAsia="Calibri" w:hAnsi="Calibri" w:cs="Times New Roman"/>
          <w:noProof/>
          <w:kern w:val="2"/>
          <w:lang w:val="fr-FR" w:eastAsia="fr-FR"/>
          <w14:ligatures w14:val="standardContextual"/>
        </w:rPr>
        <w:drawing>
          <wp:inline distT="0" distB="0" distL="0" distR="0" wp14:anchorId="4CC919E3" wp14:editId="59F2E84A">
            <wp:extent cx="5023270" cy="2090928"/>
            <wp:effectExtent l="0" t="0" r="635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151" cy="2097955"/>
                    </a:xfrm>
                    <a:prstGeom prst="rect">
                      <a:avLst/>
                    </a:prstGeom>
                    <a:noFill/>
                    <a:ln>
                      <a:noFill/>
                    </a:ln>
                  </pic:spPr>
                </pic:pic>
              </a:graphicData>
            </a:graphic>
          </wp:inline>
        </w:drawing>
      </w:r>
    </w:p>
    <w:p w:rsidR="004E65D8" w:rsidRPr="004E65D8" w:rsidRDefault="004E65D8" w:rsidP="00BC5305">
      <w:pPr>
        <w:pStyle w:val="Sansinterligne"/>
        <w:jc w:val="both"/>
        <w:rPr>
          <w:lang w:eastAsia="fr-FR"/>
        </w:rPr>
      </w:pPr>
      <w:r>
        <w:rPr>
          <w:lang w:eastAsia="fr-FR"/>
        </w:rPr>
        <w:t>Source: Authors</w:t>
      </w:r>
    </w:p>
    <w:p w:rsidR="008904B9" w:rsidRPr="008904B9" w:rsidRDefault="008904B9" w:rsidP="00BC5305">
      <w:pPr>
        <w:spacing w:after="0" w:line="240" w:lineRule="auto"/>
        <w:jc w:val="both"/>
        <w:rPr>
          <w:rFonts w:ascii="Times New Roman" w:eastAsia="Times New Roman" w:hAnsi="Times New Roman" w:cs="Times New Roman"/>
          <w:sz w:val="24"/>
          <w:szCs w:val="24"/>
          <w:lang w:eastAsia="fr-FR"/>
        </w:rPr>
      </w:pPr>
    </w:p>
    <w:p w:rsidR="008904B9" w:rsidRPr="008904B9" w:rsidRDefault="001C0B99" w:rsidP="00BC5305">
      <w:pPr>
        <w:pStyle w:val="Sansinterligne"/>
        <w:jc w:val="both"/>
        <w:rPr>
          <w:sz w:val="24"/>
          <w:szCs w:val="24"/>
          <w:lang w:eastAsia="fr-FR"/>
        </w:rPr>
      </w:pPr>
      <w:r>
        <w:rPr>
          <w:lang w:eastAsia="fr-FR"/>
        </w:rPr>
        <w:t xml:space="preserve"> </w:t>
      </w:r>
      <w:r w:rsidR="008904B9" w:rsidRPr="008904B9">
        <w:rPr>
          <w:sz w:val="24"/>
          <w:szCs w:val="24"/>
          <w:lang w:eastAsia="fr-FR"/>
        </w:rPr>
        <w:t xml:space="preserve">Table 1 presents descriptive statistics for the main variables of the study, based on a sample of 875 to 925 observations. The results reveal significant heterogeneity among African countries. Labor supply averages 0.49 (standard deviation = 0.76), reflecting a wide dispersion in employment levels. The international migration rate averages 3.10%, with marked variations (0.13% to 15.88%), reflecting the diversity of migration patterns across the continent. </w:t>
      </w:r>
      <w:r w:rsidR="008904B9">
        <w:rPr>
          <w:sz w:val="24"/>
          <w:szCs w:val="24"/>
          <w:lang w:eastAsia="fr-FR"/>
        </w:rPr>
        <w:t xml:space="preserve">GDP per capita averages 11.81, while the education level (18.63) and the urbanization rate (42.62%) also show considerable variation. These differences indicate substantial disparities in economic development, human capital, and structural transformation among the countries studied. Ultimately, these statistics highlight the diversity of African socio-economic contexts and underline the need to </w:t>
      </w:r>
      <w:proofErr w:type="gramStart"/>
      <w:r w:rsidR="008904B9">
        <w:rPr>
          <w:sz w:val="24"/>
          <w:szCs w:val="24"/>
          <w:lang w:eastAsia="fr-FR"/>
        </w:rPr>
        <w:t>take this heterogeneity into account</w:t>
      </w:r>
      <w:proofErr w:type="gramEnd"/>
      <w:r w:rsidR="008904B9">
        <w:rPr>
          <w:sz w:val="24"/>
          <w:szCs w:val="24"/>
          <w:lang w:eastAsia="fr-FR"/>
        </w:rPr>
        <w:t xml:space="preserve"> in the analysis of the relationship between international migration and labor market competitiveness.</w:t>
      </w:r>
    </w:p>
    <w:p w:rsidR="008904B9" w:rsidRPr="008904B9" w:rsidRDefault="008904B9" w:rsidP="000C3274">
      <w:pPr>
        <w:pStyle w:val="Sansinterligne"/>
        <w:jc w:val="center"/>
        <w:rPr>
          <w:lang w:val="fr-CM" w:eastAsia="fr-FR"/>
        </w:rPr>
      </w:pPr>
      <w:r>
        <w:rPr>
          <w:color w:val="171615"/>
          <w:szCs w:val="24"/>
        </w:rPr>
        <w:t xml:space="preserve">Table 1: </w:t>
      </w:r>
      <w:r w:rsidRPr="008904B9">
        <w:rPr>
          <w:lang w:val="fr-CM" w:eastAsia="fr-FR"/>
        </w:rPr>
        <w:t>Descriptive Statistics</w:t>
      </w:r>
    </w:p>
    <w:tbl>
      <w:tblPr>
        <w:tblStyle w:val="Grilledutableau"/>
        <w:tblW w:w="0" w:type="auto"/>
        <w:tblLook w:val="04A0" w:firstRow="1" w:lastRow="0" w:firstColumn="1" w:lastColumn="0" w:noHBand="0" w:noVBand="1"/>
      </w:tblPr>
      <w:tblGrid>
        <w:gridCol w:w="2830"/>
        <w:gridCol w:w="1111"/>
        <w:gridCol w:w="1163"/>
        <w:gridCol w:w="1416"/>
        <w:gridCol w:w="1274"/>
        <w:gridCol w:w="1268"/>
      </w:tblGrid>
      <w:tr w:rsidR="008904B9" w:rsidRPr="008904B9" w:rsidTr="000C3274">
        <w:tc>
          <w:tcPr>
            <w:tcW w:w="2830" w:type="dxa"/>
            <w:vAlign w:val="center"/>
          </w:tcPr>
          <w:p w:rsidR="008904B9" w:rsidRPr="008904B9" w:rsidRDefault="008904B9" w:rsidP="000C3274">
            <w:pPr>
              <w:pStyle w:val="Sansinterligne"/>
              <w:jc w:val="center"/>
              <w:rPr>
                <w:bCs/>
                <w:color w:val="000000"/>
                <w:lang w:val="fr-CM" w:eastAsia="fr-FR"/>
              </w:rPr>
            </w:pPr>
            <w:r w:rsidRPr="008904B9">
              <w:rPr>
                <w:lang w:eastAsia="fr-FR"/>
              </w:rPr>
              <w:t>Variables</w:t>
            </w:r>
          </w:p>
        </w:tc>
        <w:tc>
          <w:tcPr>
            <w:tcW w:w="1111" w:type="dxa"/>
            <w:vAlign w:val="center"/>
          </w:tcPr>
          <w:p w:rsidR="008904B9" w:rsidRPr="008904B9" w:rsidRDefault="008904B9" w:rsidP="000C3274">
            <w:pPr>
              <w:pStyle w:val="Sansinterligne"/>
              <w:jc w:val="center"/>
              <w:rPr>
                <w:bCs/>
                <w:color w:val="000000"/>
                <w:lang w:val="fr-CM" w:eastAsia="fr-FR"/>
              </w:rPr>
            </w:pPr>
            <w:r w:rsidRPr="008904B9">
              <w:rPr>
                <w:lang w:eastAsia="fr-FR"/>
              </w:rPr>
              <w:t>Obs.</w:t>
            </w:r>
          </w:p>
        </w:tc>
        <w:tc>
          <w:tcPr>
            <w:tcW w:w="1163" w:type="dxa"/>
            <w:vAlign w:val="center"/>
          </w:tcPr>
          <w:p w:rsidR="008904B9" w:rsidRPr="008904B9" w:rsidRDefault="008904B9" w:rsidP="000C3274">
            <w:pPr>
              <w:pStyle w:val="Sansinterligne"/>
              <w:jc w:val="center"/>
              <w:rPr>
                <w:bCs/>
                <w:color w:val="000000"/>
                <w:lang w:val="fr-CM" w:eastAsia="fr-FR"/>
              </w:rPr>
            </w:pPr>
            <w:r w:rsidRPr="008904B9">
              <w:rPr>
                <w:lang w:eastAsia="fr-FR"/>
              </w:rPr>
              <w:t>Average</w:t>
            </w:r>
          </w:p>
        </w:tc>
        <w:tc>
          <w:tcPr>
            <w:tcW w:w="1416" w:type="dxa"/>
            <w:vAlign w:val="center"/>
          </w:tcPr>
          <w:p w:rsidR="008904B9" w:rsidRPr="008904B9" w:rsidRDefault="008904B9" w:rsidP="000C3274">
            <w:pPr>
              <w:pStyle w:val="Sansinterligne"/>
              <w:jc w:val="center"/>
              <w:rPr>
                <w:bCs/>
                <w:color w:val="000000"/>
                <w:lang w:val="fr-CM" w:eastAsia="fr-FR"/>
              </w:rPr>
            </w:pPr>
            <w:r w:rsidRPr="008904B9">
              <w:rPr>
                <w:lang w:eastAsia="fr-FR"/>
              </w:rPr>
              <w:t>Standard deviation</w:t>
            </w:r>
          </w:p>
        </w:tc>
        <w:tc>
          <w:tcPr>
            <w:tcW w:w="1274"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Min.</w:t>
            </w:r>
          </w:p>
        </w:tc>
        <w:tc>
          <w:tcPr>
            <w:tcW w:w="1268"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Max.</w:t>
            </w:r>
          </w:p>
        </w:tc>
      </w:tr>
      <w:tr w:rsidR="008904B9" w:rsidRPr="008904B9" w:rsidTr="000C3274">
        <w:tc>
          <w:tcPr>
            <w:tcW w:w="2830" w:type="dxa"/>
            <w:vAlign w:val="center"/>
          </w:tcPr>
          <w:p w:rsidR="008904B9" w:rsidRPr="008904B9" w:rsidRDefault="008904B9" w:rsidP="000C3274">
            <w:pPr>
              <w:pStyle w:val="Sansinterligne"/>
              <w:jc w:val="center"/>
              <w:rPr>
                <w:lang w:eastAsia="fr-FR"/>
              </w:rPr>
            </w:pPr>
            <w:r w:rsidRPr="008904B9">
              <w:rPr>
                <w:lang w:eastAsia="fr-FR"/>
              </w:rPr>
              <w:t>Job offer</w:t>
            </w:r>
          </w:p>
        </w:tc>
        <w:tc>
          <w:tcPr>
            <w:tcW w:w="1111"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888</w:t>
            </w:r>
          </w:p>
        </w:tc>
        <w:tc>
          <w:tcPr>
            <w:tcW w:w="1163"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0.485661</w:t>
            </w:r>
          </w:p>
        </w:tc>
        <w:tc>
          <w:tcPr>
            <w:tcW w:w="1416"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0.7611126</w:t>
            </w:r>
          </w:p>
        </w:tc>
        <w:tc>
          <w:tcPr>
            <w:tcW w:w="1274"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0</w:t>
            </w:r>
          </w:p>
        </w:tc>
        <w:tc>
          <w:tcPr>
            <w:tcW w:w="1268"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7.688995</w:t>
            </w:r>
          </w:p>
        </w:tc>
      </w:tr>
      <w:tr w:rsidR="008904B9" w:rsidRPr="008904B9" w:rsidTr="000C3274">
        <w:tc>
          <w:tcPr>
            <w:tcW w:w="2830" w:type="dxa"/>
            <w:vAlign w:val="center"/>
          </w:tcPr>
          <w:p w:rsidR="008904B9" w:rsidRPr="008904B9" w:rsidRDefault="008904B9" w:rsidP="000C3274">
            <w:pPr>
              <w:pStyle w:val="Sansinterligne"/>
              <w:jc w:val="center"/>
              <w:rPr>
                <w:lang w:val="en-US" w:eastAsia="fr-FR"/>
              </w:rPr>
            </w:pPr>
            <w:r w:rsidRPr="008904B9">
              <w:rPr>
                <w:lang w:eastAsia="fr-FR"/>
              </w:rPr>
              <w:t>International migration</w:t>
            </w:r>
            <w:r w:rsidRPr="008904B9">
              <w:rPr>
                <w:lang w:val="en-US" w:eastAsia="fr-FR"/>
              </w:rPr>
              <w:t>​</w:t>
            </w:r>
          </w:p>
        </w:tc>
        <w:tc>
          <w:tcPr>
            <w:tcW w:w="1111"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925</w:t>
            </w:r>
          </w:p>
        </w:tc>
        <w:tc>
          <w:tcPr>
            <w:tcW w:w="1163"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3.09581</w:t>
            </w:r>
          </w:p>
        </w:tc>
        <w:tc>
          <w:tcPr>
            <w:tcW w:w="1416"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3.44567</w:t>
            </w:r>
          </w:p>
        </w:tc>
        <w:tc>
          <w:tcPr>
            <w:tcW w:w="1274"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0.132347</w:t>
            </w:r>
          </w:p>
        </w:tc>
        <w:tc>
          <w:tcPr>
            <w:tcW w:w="1268"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15.8801</w:t>
            </w:r>
          </w:p>
        </w:tc>
      </w:tr>
      <w:tr w:rsidR="008904B9" w:rsidRPr="008904B9" w:rsidTr="000C3274">
        <w:tc>
          <w:tcPr>
            <w:tcW w:w="2830" w:type="dxa"/>
            <w:vAlign w:val="center"/>
          </w:tcPr>
          <w:p w:rsidR="008904B9" w:rsidRPr="008904B9" w:rsidRDefault="008904B9" w:rsidP="000C3274">
            <w:pPr>
              <w:pStyle w:val="Sansinterligne"/>
              <w:jc w:val="center"/>
              <w:rPr>
                <w:bCs/>
                <w:color w:val="000000"/>
                <w:lang w:val="en-US" w:eastAsia="fr-FR"/>
              </w:rPr>
            </w:pPr>
            <w:r w:rsidRPr="008904B9">
              <w:rPr>
                <w:bCs/>
                <w:color w:val="000000"/>
                <w:lang w:val="en-US" w:eastAsia="fr-FR"/>
              </w:rPr>
              <w:t>GDP per dwelling</w:t>
            </w:r>
          </w:p>
        </w:tc>
        <w:tc>
          <w:tcPr>
            <w:tcW w:w="1111" w:type="dxa"/>
            <w:vAlign w:val="center"/>
          </w:tcPr>
          <w:p w:rsidR="008904B9" w:rsidRPr="008904B9" w:rsidRDefault="008904B9" w:rsidP="000C3274">
            <w:pPr>
              <w:pStyle w:val="Sansinterligne"/>
              <w:jc w:val="center"/>
              <w:rPr>
                <w:kern w:val="2"/>
                <w14:ligatures w14:val="standardContextual"/>
              </w:rPr>
            </w:pPr>
            <w:r w:rsidRPr="008904B9">
              <w:rPr>
                <w:kern w:val="2"/>
                <w14:ligatures w14:val="standardContextual"/>
              </w:rPr>
              <w:t>925</w:t>
            </w:r>
          </w:p>
        </w:tc>
        <w:tc>
          <w:tcPr>
            <w:tcW w:w="1163"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11.80794</w:t>
            </w:r>
          </w:p>
        </w:tc>
        <w:tc>
          <w:tcPr>
            <w:tcW w:w="1416"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1.988643</w:t>
            </w:r>
          </w:p>
        </w:tc>
        <w:tc>
          <w:tcPr>
            <w:tcW w:w="1274"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6.337576</w:t>
            </w:r>
          </w:p>
        </w:tc>
        <w:tc>
          <w:tcPr>
            <w:tcW w:w="1268"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15.56389</w:t>
            </w:r>
          </w:p>
        </w:tc>
      </w:tr>
      <w:tr w:rsidR="008904B9" w:rsidRPr="008904B9" w:rsidTr="000C3274">
        <w:tc>
          <w:tcPr>
            <w:tcW w:w="2830" w:type="dxa"/>
            <w:vAlign w:val="center"/>
          </w:tcPr>
          <w:p w:rsidR="008904B9" w:rsidRPr="008904B9" w:rsidRDefault="008904B9" w:rsidP="000C3274">
            <w:pPr>
              <w:pStyle w:val="Sansinterligne"/>
              <w:jc w:val="center"/>
              <w:rPr>
                <w:lang w:val="en-US" w:eastAsia="fr-FR"/>
              </w:rPr>
            </w:pPr>
            <w:r w:rsidRPr="008904B9">
              <w:rPr>
                <w:bCs/>
                <w:lang w:val="en-US" w:eastAsia="fr-FR"/>
              </w:rPr>
              <w:t>Education</w:t>
            </w:r>
          </w:p>
        </w:tc>
        <w:tc>
          <w:tcPr>
            <w:tcW w:w="1111" w:type="dxa"/>
            <w:vAlign w:val="center"/>
          </w:tcPr>
          <w:p w:rsidR="008904B9" w:rsidRPr="008904B9" w:rsidRDefault="008904B9" w:rsidP="000C3274">
            <w:pPr>
              <w:pStyle w:val="Sansinterligne"/>
              <w:jc w:val="center"/>
              <w:rPr>
                <w:kern w:val="2"/>
                <w14:ligatures w14:val="standardContextual"/>
              </w:rPr>
            </w:pPr>
            <w:r w:rsidRPr="008904B9">
              <w:rPr>
                <w:kern w:val="2"/>
                <w14:ligatures w14:val="standardContextual"/>
              </w:rPr>
              <w:t>875</w:t>
            </w:r>
          </w:p>
        </w:tc>
        <w:tc>
          <w:tcPr>
            <w:tcW w:w="1163"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18.63468</w:t>
            </w:r>
          </w:p>
        </w:tc>
        <w:tc>
          <w:tcPr>
            <w:tcW w:w="1416"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14.80049</w:t>
            </w:r>
          </w:p>
        </w:tc>
        <w:tc>
          <w:tcPr>
            <w:tcW w:w="1274"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0.5</w:t>
            </w:r>
          </w:p>
        </w:tc>
        <w:tc>
          <w:tcPr>
            <w:tcW w:w="1268"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73.29</w:t>
            </w:r>
          </w:p>
        </w:tc>
      </w:tr>
      <w:tr w:rsidR="008904B9" w:rsidRPr="008904B9" w:rsidTr="000C3274">
        <w:tc>
          <w:tcPr>
            <w:tcW w:w="2830"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Urbanization</w:t>
            </w:r>
          </w:p>
        </w:tc>
        <w:tc>
          <w:tcPr>
            <w:tcW w:w="1111" w:type="dxa"/>
            <w:vAlign w:val="center"/>
          </w:tcPr>
          <w:p w:rsidR="008904B9" w:rsidRPr="008904B9" w:rsidRDefault="008904B9" w:rsidP="000C3274">
            <w:pPr>
              <w:pStyle w:val="Sansinterligne"/>
              <w:jc w:val="center"/>
              <w:rPr>
                <w:kern w:val="2"/>
                <w14:ligatures w14:val="standardContextual"/>
              </w:rPr>
            </w:pPr>
            <w:r w:rsidRPr="008904B9">
              <w:rPr>
                <w:kern w:val="2"/>
                <w14:ligatures w14:val="standardContextual"/>
              </w:rPr>
              <w:t>925</w:t>
            </w:r>
          </w:p>
        </w:tc>
        <w:tc>
          <w:tcPr>
            <w:tcW w:w="1163"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42.61517</w:t>
            </w:r>
          </w:p>
        </w:tc>
        <w:tc>
          <w:tcPr>
            <w:tcW w:w="1416"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18.68924</w:t>
            </w:r>
          </w:p>
        </w:tc>
        <w:tc>
          <w:tcPr>
            <w:tcW w:w="1274"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8.246</w:t>
            </w:r>
          </w:p>
        </w:tc>
        <w:tc>
          <w:tcPr>
            <w:tcW w:w="1268" w:type="dxa"/>
            <w:vAlign w:val="center"/>
          </w:tcPr>
          <w:p w:rsidR="008904B9" w:rsidRPr="008904B9" w:rsidRDefault="008904B9" w:rsidP="000C3274">
            <w:pPr>
              <w:pStyle w:val="Sansinterligne"/>
              <w:jc w:val="center"/>
              <w:rPr>
                <w:bCs/>
                <w:color w:val="000000"/>
                <w:lang w:val="fr-CM" w:eastAsia="fr-FR"/>
              </w:rPr>
            </w:pPr>
            <w:r w:rsidRPr="008904B9">
              <w:rPr>
                <w:bCs/>
                <w:color w:val="000000"/>
                <w:lang w:val="fr-CM" w:eastAsia="fr-FR"/>
              </w:rPr>
              <w:t>91.029</w:t>
            </w:r>
          </w:p>
        </w:tc>
      </w:tr>
    </w:tbl>
    <w:p w:rsidR="008904B9" w:rsidRPr="008904B9" w:rsidRDefault="008904B9" w:rsidP="000C3274">
      <w:pPr>
        <w:pStyle w:val="Sansinterligne"/>
        <w:jc w:val="center"/>
        <w:rPr>
          <w:rFonts w:eastAsia="Times New Roman"/>
          <w:bCs/>
          <w:i/>
          <w:iCs/>
          <w:color w:val="000000"/>
          <w:szCs w:val="24"/>
          <w:lang w:eastAsia="fr-FR"/>
        </w:rPr>
      </w:pPr>
      <w:r>
        <w:rPr>
          <w:rFonts w:eastAsia="Times New Roman"/>
          <w:bCs/>
          <w:i/>
          <w:iCs/>
          <w:color w:val="000000"/>
          <w:szCs w:val="24"/>
          <w:lang w:eastAsia="fr-FR"/>
        </w:rPr>
        <w:t>Source: Authors</w:t>
      </w:r>
    </w:p>
    <w:p w:rsidR="002225CB" w:rsidRDefault="002D6793" w:rsidP="00BC5305">
      <w:pPr>
        <w:pStyle w:val="Sansinterligne"/>
        <w:jc w:val="both"/>
        <w:rPr>
          <w:b/>
          <w:lang w:eastAsia="fr-FR"/>
        </w:rPr>
      </w:pPr>
      <w:r>
        <w:rPr>
          <w:b/>
          <w:lang w:eastAsia="fr-FR"/>
        </w:rPr>
        <w:lastRenderedPageBreak/>
        <w:t>4.2. Results of tests prior to estimation</w:t>
      </w:r>
    </w:p>
    <w:p w:rsidR="008904B9" w:rsidRPr="008904B9" w:rsidRDefault="008904B9" w:rsidP="00BC5305">
      <w:pPr>
        <w:pStyle w:val="Sansinterligne"/>
        <w:jc w:val="both"/>
        <w:rPr>
          <w:sz w:val="24"/>
          <w:szCs w:val="24"/>
          <w:lang w:eastAsia="fr-FR"/>
        </w:rPr>
      </w:pPr>
      <w:r w:rsidRPr="008904B9">
        <w:rPr>
          <w:sz w:val="24"/>
          <w:szCs w:val="24"/>
          <w:lang w:eastAsia="fr-FR"/>
        </w:rPr>
        <w:t xml:space="preserve">Table 2 presents the results of the </w:t>
      </w:r>
      <w:proofErr w:type="spellStart"/>
      <w:r w:rsidRPr="008904B9">
        <w:rPr>
          <w:sz w:val="24"/>
          <w:szCs w:val="24"/>
          <w:lang w:eastAsia="fr-FR"/>
        </w:rPr>
        <w:t>Im</w:t>
      </w:r>
      <w:proofErr w:type="spellEnd"/>
      <w:r w:rsidRPr="008904B9">
        <w:rPr>
          <w:sz w:val="24"/>
          <w:szCs w:val="24"/>
          <w:lang w:eastAsia="fr-FR"/>
        </w:rPr>
        <w:t xml:space="preserve">- </w:t>
      </w:r>
      <w:proofErr w:type="spellStart"/>
      <w:r w:rsidRPr="008904B9">
        <w:rPr>
          <w:sz w:val="24"/>
          <w:szCs w:val="24"/>
          <w:lang w:eastAsia="fr-FR"/>
        </w:rPr>
        <w:t>Pesaran</w:t>
      </w:r>
      <w:proofErr w:type="spellEnd"/>
      <w:r w:rsidRPr="008904B9">
        <w:rPr>
          <w:sz w:val="24"/>
          <w:szCs w:val="24"/>
          <w:lang w:eastAsia="fr-FR"/>
        </w:rPr>
        <w:t xml:space="preserve"> -Shin (IPS) and Levin-Lin-Chu (LLC) stationarity tests applied to the model variables at their respective levels. The results indicate that the entire set of variables is stationary at levels. Indeed, the IPS and LLC test statistics are significant for all variables, with p-values less than 5%, and in most cases, less than 1%. This property </w:t>
      </w:r>
      <w:proofErr w:type="gramStart"/>
      <w:r w:rsidRPr="008904B9">
        <w:rPr>
          <w:sz w:val="24"/>
          <w:szCs w:val="24"/>
          <w:lang w:eastAsia="fr-FR"/>
        </w:rPr>
        <w:t>is observed</w:t>
      </w:r>
      <w:proofErr w:type="gramEnd"/>
      <w:r w:rsidRPr="008904B9">
        <w:rPr>
          <w:sz w:val="24"/>
          <w:szCs w:val="24"/>
          <w:lang w:eastAsia="fr-FR"/>
        </w:rPr>
        <w:t xml:space="preserve"> for labor supply, international migration, GDP per capita, education level, and urbanization rate.</w:t>
      </w:r>
    </w:p>
    <w:p w:rsidR="008904B9" w:rsidRPr="008904B9" w:rsidRDefault="008904B9" w:rsidP="00BC5305">
      <w:pPr>
        <w:pStyle w:val="Sansinterligne"/>
        <w:jc w:val="both"/>
        <w:rPr>
          <w:sz w:val="24"/>
          <w:szCs w:val="24"/>
          <w:lang w:eastAsia="fr-FR"/>
        </w:rPr>
      </w:pPr>
      <w:r w:rsidRPr="008904B9">
        <w:rPr>
          <w:sz w:val="24"/>
          <w:szCs w:val="24"/>
          <w:lang w:eastAsia="fr-FR"/>
        </w:rPr>
        <w:t xml:space="preserve">These results lead to the rejection of the null hypothesis of the presence of a unit root and confirm that the variables are integrated of order zero, </w:t>
      </w:r>
      <w:proofErr w:type="gramStart"/>
      <w:r w:rsidRPr="008904B9">
        <w:rPr>
          <w:sz w:val="24"/>
          <w:szCs w:val="24"/>
          <w:lang w:eastAsia="fr-FR"/>
        </w:rPr>
        <w:t>I(</w:t>
      </w:r>
      <w:proofErr w:type="gramEnd"/>
      <w:r w:rsidRPr="008904B9">
        <w:rPr>
          <w:sz w:val="24"/>
          <w:szCs w:val="24"/>
          <w:lang w:eastAsia="fr-FR"/>
        </w:rPr>
        <w:t xml:space="preserve"> 0). Consequently, they </w:t>
      </w:r>
      <w:proofErr w:type="gramStart"/>
      <w:r w:rsidRPr="008904B9">
        <w:rPr>
          <w:sz w:val="24"/>
          <w:szCs w:val="24"/>
          <w:lang w:eastAsia="fr-FR"/>
        </w:rPr>
        <w:t>can be used</w:t>
      </w:r>
      <w:proofErr w:type="gramEnd"/>
      <w:r w:rsidRPr="008904B9">
        <w:rPr>
          <w:sz w:val="24"/>
          <w:szCs w:val="24"/>
          <w:lang w:eastAsia="fr-FR"/>
        </w:rPr>
        <w:t xml:space="preserve"> directly in econometric estimations, without prior differentiation, which strengthens the reliability of the empirical analyses that follow.</w:t>
      </w:r>
    </w:p>
    <w:p w:rsidR="00BC03A8" w:rsidRPr="000C3274" w:rsidRDefault="00BC03A8" w:rsidP="000C3274">
      <w:pPr>
        <w:pStyle w:val="Sansinterligne"/>
        <w:jc w:val="center"/>
        <w:rPr>
          <w:lang w:val="en-US" w:eastAsia="fr-FR"/>
        </w:rPr>
      </w:pPr>
      <w:r w:rsidRPr="000C3274">
        <w:rPr>
          <w:lang w:val="en-US" w:eastAsia="fr-FR"/>
        </w:rPr>
        <w:t>Table 2: Results of IPS and LLC stationarity tests at level</w:t>
      </w:r>
    </w:p>
    <w:tbl>
      <w:tblPr>
        <w:tblStyle w:val="Grilledutableau"/>
        <w:tblW w:w="0" w:type="auto"/>
        <w:jc w:val="center"/>
        <w:tblLook w:val="04A0" w:firstRow="1" w:lastRow="0" w:firstColumn="1" w:lastColumn="0" w:noHBand="0" w:noVBand="1"/>
      </w:tblPr>
      <w:tblGrid>
        <w:gridCol w:w="2297"/>
        <w:gridCol w:w="1626"/>
        <w:gridCol w:w="1105"/>
        <w:gridCol w:w="1501"/>
        <w:gridCol w:w="878"/>
      </w:tblGrid>
      <w:tr w:rsidR="00BC03A8" w:rsidRPr="00BC03A8" w:rsidTr="00BC03A8">
        <w:trPr>
          <w:jc w:val="center"/>
        </w:trPr>
        <w:tc>
          <w:tcPr>
            <w:tcW w:w="0" w:type="auto"/>
            <w:vMerge w:val="restart"/>
            <w:vAlign w:val="center"/>
          </w:tcPr>
          <w:p w:rsidR="00BC03A8" w:rsidRPr="00BC03A8" w:rsidRDefault="00BC03A8" w:rsidP="000C3274">
            <w:pPr>
              <w:pStyle w:val="Sansinterligne"/>
              <w:jc w:val="center"/>
              <w:rPr>
                <w:bCs/>
                <w:color w:val="000000"/>
                <w:szCs w:val="24"/>
                <w:lang w:val="fr-CM" w:eastAsia="fr-FR"/>
              </w:rPr>
            </w:pPr>
            <w:r w:rsidRPr="00BC03A8">
              <w:rPr>
                <w:lang w:eastAsia="fr-FR"/>
              </w:rPr>
              <w:t>Variables</w:t>
            </w:r>
          </w:p>
        </w:tc>
        <w:tc>
          <w:tcPr>
            <w:tcW w:w="0" w:type="auto"/>
            <w:gridSpan w:val="2"/>
            <w:vAlign w:val="center"/>
          </w:tcPr>
          <w:p w:rsidR="00BC03A8" w:rsidRPr="00CC0175" w:rsidRDefault="00BC03A8" w:rsidP="000C3274">
            <w:pPr>
              <w:pStyle w:val="Sansinterligne"/>
              <w:jc w:val="center"/>
              <w:rPr>
                <w:kern w:val="2"/>
                <w:szCs w:val="24"/>
                <w:lang w:val="en-US"/>
                <w14:ligatures w14:val="standardContextual"/>
              </w:rPr>
            </w:pPr>
            <w:proofErr w:type="spellStart"/>
            <w:r w:rsidRPr="00CC0175">
              <w:rPr>
                <w:kern w:val="2"/>
                <w:szCs w:val="24"/>
                <w:lang w:val="en-US"/>
                <w14:ligatures w14:val="standardContextual"/>
              </w:rPr>
              <w:t>Im</w:t>
            </w:r>
            <w:proofErr w:type="spellEnd"/>
            <w:r w:rsidRPr="00CC0175">
              <w:rPr>
                <w:kern w:val="2"/>
                <w:szCs w:val="24"/>
                <w:lang w:val="en-US"/>
                <w14:ligatures w14:val="standardContextual"/>
              </w:rPr>
              <w:t xml:space="preserve"> Test - </w:t>
            </w:r>
            <w:proofErr w:type="spellStart"/>
            <w:r w:rsidRPr="00CC0175">
              <w:rPr>
                <w:kern w:val="2"/>
                <w:szCs w:val="24"/>
                <w:lang w:val="en-US"/>
                <w14:ligatures w14:val="standardContextual"/>
              </w:rPr>
              <w:t>Pesaran</w:t>
            </w:r>
            <w:proofErr w:type="spellEnd"/>
            <w:r w:rsidRPr="00CC0175">
              <w:rPr>
                <w:kern w:val="2"/>
                <w:szCs w:val="24"/>
                <w:lang w:val="en-US"/>
                <w14:ligatures w14:val="standardContextual"/>
              </w:rPr>
              <w:t xml:space="preserve"> -Shin (IPS).</w:t>
            </w:r>
          </w:p>
        </w:tc>
        <w:tc>
          <w:tcPr>
            <w:tcW w:w="0" w:type="auto"/>
            <w:gridSpan w:val="2"/>
            <w:vAlign w:val="center"/>
          </w:tcPr>
          <w:p w:rsidR="00BC03A8" w:rsidRPr="00BC03A8" w:rsidRDefault="00BC03A8" w:rsidP="000C3274">
            <w:pPr>
              <w:pStyle w:val="Sansinterligne"/>
              <w:jc w:val="center"/>
              <w:rPr>
                <w:kern w:val="2"/>
                <w:szCs w:val="24"/>
                <w14:ligatures w14:val="standardContextual"/>
              </w:rPr>
            </w:pPr>
            <w:r w:rsidRPr="00BC03A8">
              <w:rPr>
                <w:kern w:val="2"/>
                <w:szCs w:val="24"/>
                <w14:ligatures w14:val="standardContextual"/>
              </w:rPr>
              <w:t>Levin-Lin-Chu (LLC) test</w:t>
            </w:r>
          </w:p>
        </w:tc>
      </w:tr>
      <w:tr w:rsidR="00BC03A8" w:rsidRPr="00BC03A8" w:rsidTr="00BC03A8">
        <w:trPr>
          <w:jc w:val="center"/>
        </w:trPr>
        <w:tc>
          <w:tcPr>
            <w:tcW w:w="0" w:type="auto"/>
            <w:vMerge/>
            <w:vAlign w:val="center"/>
          </w:tcPr>
          <w:p w:rsidR="00BC03A8" w:rsidRPr="00BC03A8" w:rsidRDefault="00BC03A8" w:rsidP="000C3274">
            <w:pPr>
              <w:pStyle w:val="Sansinterligne"/>
              <w:jc w:val="center"/>
              <w:rPr>
                <w:lang w:eastAsia="fr-FR"/>
              </w:rPr>
            </w:pPr>
          </w:p>
        </w:tc>
        <w:tc>
          <w:tcPr>
            <w:tcW w:w="0" w:type="auto"/>
            <w:vAlign w:val="center"/>
          </w:tcPr>
          <w:p w:rsidR="00BC03A8" w:rsidRPr="00BC03A8" w:rsidRDefault="00BC03A8" w:rsidP="000C3274">
            <w:pPr>
              <w:pStyle w:val="Sansinterligne"/>
              <w:jc w:val="center"/>
              <w:rPr>
                <w:kern w:val="2"/>
                <w:szCs w:val="24"/>
                <w14:ligatures w14:val="standardContextual"/>
              </w:rPr>
            </w:pPr>
            <w:proofErr w:type="spellStart"/>
            <w:r w:rsidRPr="00BC03A8">
              <w:rPr>
                <w:kern w:val="2"/>
                <w:szCs w:val="24"/>
                <w14:ligatures w14:val="standardContextual"/>
              </w:rPr>
              <w:t>t-bar</w:t>
            </w:r>
            <w:proofErr w:type="spellEnd"/>
            <w:r w:rsidRPr="00BC03A8">
              <w:rPr>
                <w:kern w:val="2"/>
                <w:szCs w:val="24"/>
                <w14:ligatures w14:val="standardContextual"/>
              </w:rPr>
              <w:t xml:space="preserve"> stat</w:t>
            </w:r>
          </w:p>
        </w:tc>
        <w:tc>
          <w:tcPr>
            <w:tcW w:w="0" w:type="auto"/>
            <w:vAlign w:val="center"/>
          </w:tcPr>
          <w:p w:rsidR="00BC03A8" w:rsidRPr="00BC03A8" w:rsidRDefault="00BC03A8" w:rsidP="000C3274">
            <w:pPr>
              <w:pStyle w:val="Sansinterligne"/>
              <w:jc w:val="center"/>
              <w:rPr>
                <w:kern w:val="2"/>
                <w:szCs w:val="24"/>
                <w14:ligatures w14:val="standardContextual"/>
              </w:rPr>
            </w:pPr>
            <w:r w:rsidRPr="00BC03A8">
              <w:rPr>
                <w:kern w:val="2"/>
                <w:szCs w:val="24"/>
                <w14:ligatures w14:val="standardContextual"/>
              </w:rPr>
              <w:t>P-value</w:t>
            </w:r>
          </w:p>
        </w:tc>
        <w:tc>
          <w:tcPr>
            <w:tcW w:w="0" w:type="auto"/>
            <w:vAlign w:val="center"/>
          </w:tcPr>
          <w:p w:rsidR="00BC03A8" w:rsidRPr="00BC03A8" w:rsidRDefault="00BC03A8" w:rsidP="000C3274">
            <w:pPr>
              <w:pStyle w:val="Sansinterligne"/>
              <w:jc w:val="center"/>
              <w:rPr>
                <w:kern w:val="2"/>
                <w:szCs w:val="24"/>
                <w14:ligatures w14:val="standardContextual"/>
              </w:rPr>
            </w:pPr>
            <w:r w:rsidRPr="00BC03A8">
              <w:rPr>
                <w:kern w:val="2"/>
                <w:szCs w:val="24"/>
                <w14:ligatures w14:val="standardContextual"/>
              </w:rPr>
              <w:t>adjusted t-stat</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eastAsia="fr-FR"/>
              </w:rPr>
              <w:t>P-value</w:t>
            </w:r>
          </w:p>
        </w:tc>
      </w:tr>
      <w:tr w:rsidR="00BC03A8" w:rsidRPr="00BC03A8" w:rsidTr="00BC03A8">
        <w:trPr>
          <w:jc w:val="center"/>
        </w:trPr>
        <w:tc>
          <w:tcPr>
            <w:tcW w:w="0" w:type="auto"/>
            <w:vAlign w:val="center"/>
          </w:tcPr>
          <w:p w:rsidR="00BC03A8" w:rsidRPr="00BC03A8" w:rsidRDefault="00BC03A8" w:rsidP="000C3274">
            <w:pPr>
              <w:pStyle w:val="Sansinterligne"/>
              <w:jc w:val="center"/>
              <w:rPr>
                <w:szCs w:val="24"/>
                <w:lang w:val="en-US" w:eastAsia="fr-FR"/>
              </w:rPr>
            </w:pPr>
            <w:r w:rsidRPr="00BC03A8">
              <w:rPr>
                <w:szCs w:val="24"/>
                <w:lang w:val="en-US" w:eastAsia="fr-FR"/>
              </w:rPr>
              <w:t xml:space="preserve">Job </w:t>
            </w:r>
            <w:r w:rsidRPr="00BC03A8">
              <w:rPr>
                <w:szCs w:val="24"/>
                <w:lang w:eastAsia="fr-FR"/>
              </w:rPr>
              <w:t>offer</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-3.2911***</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0.0000</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-4.0130***</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0.0000</w:t>
            </w:r>
          </w:p>
        </w:tc>
      </w:tr>
      <w:tr w:rsidR="00BC03A8" w:rsidRPr="00BC03A8" w:rsidTr="00BC03A8">
        <w:trPr>
          <w:jc w:val="center"/>
        </w:trPr>
        <w:tc>
          <w:tcPr>
            <w:tcW w:w="0" w:type="auto"/>
            <w:vAlign w:val="center"/>
          </w:tcPr>
          <w:p w:rsidR="00BC03A8" w:rsidRPr="00BC03A8" w:rsidRDefault="00BC03A8" w:rsidP="000C3274">
            <w:pPr>
              <w:pStyle w:val="Sansinterligne"/>
              <w:jc w:val="center"/>
              <w:rPr>
                <w:szCs w:val="24"/>
                <w:lang w:val="en-US" w:eastAsia="fr-FR"/>
              </w:rPr>
            </w:pPr>
            <w:r w:rsidRPr="00BC03A8">
              <w:rPr>
                <w:szCs w:val="24"/>
                <w:lang w:val="en-US" w:eastAsia="fr-FR"/>
              </w:rPr>
              <w:t>International migration</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-1.8975***</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0.0014</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-1.9171**</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0.0276</w:t>
            </w:r>
          </w:p>
        </w:tc>
      </w:tr>
      <w:tr w:rsidR="00BC03A8" w:rsidRPr="00BC03A8" w:rsidTr="00BC03A8">
        <w:trPr>
          <w:jc w:val="center"/>
        </w:trPr>
        <w:tc>
          <w:tcPr>
            <w:tcW w:w="0" w:type="auto"/>
            <w:vAlign w:val="center"/>
          </w:tcPr>
          <w:p w:rsidR="00BC03A8" w:rsidRPr="00BC03A8" w:rsidRDefault="00BC03A8" w:rsidP="000C3274">
            <w:pPr>
              <w:pStyle w:val="Sansinterligne"/>
              <w:jc w:val="center"/>
              <w:rPr>
                <w:bCs/>
                <w:color w:val="000000"/>
                <w:szCs w:val="24"/>
                <w:lang w:val="en-US" w:eastAsia="fr-FR"/>
              </w:rPr>
            </w:pPr>
            <w:r w:rsidRPr="00BC03A8">
              <w:rPr>
                <w:bCs/>
                <w:color w:val="000000"/>
                <w:szCs w:val="24"/>
                <w:lang w:val="en-US" w:eastAsia="fr-FR"/>
              </w:rPr>
              <w:t>GDP per capita</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 xml:space="preserve">-4.7446 </w:t>
            </w:r>
            <w:r w:rsidRPr="00BC03A8">
              <w:rPr>
                <w:bCs/>
                <w:kern w:val="2"/>
                <w:lang w:val="fr-CM"/>
                <w14:ligatures w14:val="standardContextual"/>
              </w:rPr>
              <w:t>***</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0.0000</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-7.3872***</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0.0000</w:t>
            </w:r>
          </w:p>
        </w:tc>
      </w:tr>
      <w:tr w:rsidR="00BC03A8" w:rsidRPr="00BC03A8" w:rsidTr="00BC03A8">
        <w:trPr>
          <w:jc w:val="center"/>
        </w:trPr>
        <w:tc>
          <w:tcPr>
            <w:tcW w:w="0" w:type="auto"/>
            <w:vAlign w:val="center"/>
          </w:tcPr>
          <w:p w:rsidR="00BC03A8" w:rsidRPr="00BC03A8" w:rsidRDefault="00BC03A8" w:rsidP="000C3274">
            <w:pPr>
              <w:pStyle w:val="Sansinterligne"/>
              <w:jc w:val="center"/>
              <w:rPr>
                <w:szCs w:val="24"/>
                <w:lang w:val="en-US" w:eastAsia="fr-FR"/>
              </w:rPr>
            </w:pPr>
            <w:r w:rsidRPr="00BC03A8">
              <w:rPr>
                <w:bCs/>
                <w:szCs w:val="24"/>
                <w:lang w:val="en-US" w:eastAsia="fr-FR"/>
              </w:rPr>
              <w:t>Education</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 xml:space="preserve">-2.8602 </w:t>
            </w:r>
            <w:r w:rsidRPr="00BC03A8">
              <w:rPr>
                <w:bCs/>
                <w:kern w:val="2"/>
                <w:lang w:val="fr-CM"/>
                <w14:ligatures w14:val="standardContextual"/>
              </w:rPr>
              <w:t>***</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0.0000</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-2.6831***</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0.0036</w:t>
            </w:r>
          </w:p>
        </w:tc>
      </w:tr>
      <w:tr w:rsidR="00BC03A8" w:rsidRPr="00BC03A8" w:rsidTr="00BC03A8">
        <w:trPr>
          <w:jc w:val="center"/>
        </w:trPr>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Urbanization</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 xml:space="preserve">-3.4862 </w:t>
            </w:r>
            <w:r w:rsidRPr="00BC03A8">
              <w:rPr>
                <w:bCs/>
                <w:kern w:val="2"/>
                <w:lang w:val="fr-CM"/>
                <w14:ligatures w14:val="standardContextual"/>
              </w:rPr>
              <w:t>***</w:t>
            </w:r>
          </w:p>
        </w:tc>
        <w:tc>
          <w:tcPr>
            <w:tcW w:w="0" w:type="auto"/>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0.0000</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-4.8450***</w:t>
            </w:r>
          </w:p>
        </w:tc>
        <w:tc>
          <w:tcPr>
            <w:tcW w:w="0" w:type="auto"/>
            <w:vAlign w:val="center"/>
          </w:tcPr>
          <w:p w:rsidR="00BC03A8" w:rsidRPr="00BC03A8" w:rsidRDefault="00BC03A8" w:rsidP="000C3274">
            <w:pPr>
              <w:pStyle w:val="Sansinterligne"/>
              <w:jc w:val="center"/>
              <w:rPr>
                <w:bCs/>
                <w:color w:val="000000"/>
                <w:szCs w:val="24"/>
                <w:lang w:val="fr-CM" w:eastAsia="fr-FR"/>
              </w:rPr>
            </w:pPr>
            <w:r w:rsidRPr="00BC03A8">
              <w:rPr>
                <w:bCs/>
                <w:color w:val="000000"/>
                <w:szCs w:val="24"/>
                <w:lang w:val="fr-CM" w:eastAsia="fr-FR"/>
              </w:rPr>
              <w:t>0.0000</w:t>
            </w:r>
          </w:p>
        </w:tc>
      </w:tr>
    </w:tbl>
    <w:p w:rsidR="00BC03A8" w:rsidRPr="00BC03A8" w:rsidRDefault="00BC03A8" w:rsidP="000C3274">
      <w:pPr>
        <w:spacing w:after="0" w:line="360" w:lineRule="auto"/>
        <w:jc w:val="center"/>
        <w:rPr>
          <w:rFonts w:ascii="Times New Roman" w:eastAsia="Calibri" w:hAnsi="Times New Roman" w:cs="Times New Roman"/>
          <w:b/>
          <w:bCs/>
          <w:i/>
          <w:sz w:val="24"/>
          <w:szCs w:val="24"/>
        </w:rPr>
      </w:pPr>
      <w:proofErr w:type="gramStart"/>
      <w:r>
        <w:rPr>
          <w:rFonts w:ascii="Times New Roman" w:eastAsia="Calibri" w:hAnsi="Times New Roman" w:cs="Times New Roman"/>
          <w:b/>
          <w:bCs/>
          <w:i/>
          <w:sz w:val="24"/>
          <w:szCs w:val="24"/>
        </w:rPr>
        <w:t>Source</w:t>
      </w:r>
      <w:r w:rsidRPr="00BC03A8">
        <w:rPr>
          <w:rFonts w:ascii="Times New Roman" w:eastAsia="Calibri" w:hAnsi="Times New Roman" w:cs="Times New Roman"/>
          <w:b/>
          <w:bCs/>
          <w:sz w:val="24"/>
          <w:szCs w:val="24"/>
        </w:rPr>
        <w:t> </w:t>
      </w:r>
      <w:r>
        <w:rPr>
          <w:rFonts w:ascii="Times New Roman" w:eastAsia="Calibri" w:hAnsi="Times New Roman" w:cs="Times New Roman"/>
          <w:b/>
          <w:bCs/>
          <w:i/>
          <w:sz w:val="24"/>
          <w:szCs w:val="24"/>
        </w:rPr>
        <w:t>:</w:t>
      </w:r>
      <w:proofErr w:type="gramEnd"/>
      <w:r>
        <w:rPr>
          <w:rFonts w:ascii="Times New Roman" w:eastAsia="Calibri" w:hAnsi="Times New Roman" w:cs="Times New Roman"/>
          <w:b/>
          <w:bCs/>
          <w:i/>
          <w:sz w:val="24"/>
          <w:szCs w:val="24"/>
        </w:rPr>
        <w:t xml:space="preserve"> Authors </w:t>
      </w:r>
      <w:r w:rsidRPr="00BC03A8">
        <w:rPr>
          <w:rFonts w:ascii="Times New Roman" w:eastAsia="Calibri" w:hAnsi="Times New Roman" w:cs="Times New Roman"/>
          <w:sz w:val="24"/>
          <w:szCs w:val="24"/>
        </w:rPr>
        <w:t>; Significant at: *** 1%, ** 5%, * 10%.</w:t>
      </w:r>
    </w:p>
    <w:p w:rsidR="005B7AEC" w:rsidRPr="00BC03A8" w:rsidRDefault="00BC03A8" w:rsidP="00BC5305">
      <w:pPr>
        <w:pStyle w:val="Sansinterligne"/>
        <w:jc w:val="both"/>
        <w:rPr>
          <w:sz w:val="24"/>
          <w:szCs w:val="24"/>
          <w:lang w:eastAsia="fr-FR"/>
        </w:rPr>
      </w:pPr>
      <w:r w:rsidRPr="00BC03A8">
        <w:rPr>
          <w:sz w:val="24"/>
          <w:szCs w:val="24"/>
          <w:lang w:eastAsia="fr-FR"/>
        </w:rPr>
        <w:t>Table 3 presents the results of the variance inflation factor (VIF) test, used to assess the presence of multicollinearity among the explanatory variables. The VIF values obtained range from 1.01 to 1.17, with a mean of 1.09, significantly lower than the critical thresholds generally used in the literature (5 or 10). These results indicate an absence of significant multicollinearity among the explanatory variables. Each variable thus contributes unique information to the model, which ensures stable estimates and strengthens the robustness and reliability of the econometric results.</w:t>
      </w:r>
    </w:p>
    <w:p w:rsidR="00BC03A8" w:rsidRPr="005B7AEC" w:rsidRDefault="000C3274" w:rsidP="000C3274">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Table 3: </w:t>
      </w:r>
      <w:proofErr w:type="spellStart"/>
      <w:r w:rsidR="00BC03A8" w:rsidRPr="005B7AEC">
        <w:rPr>
          <w:rFonts w:ascii="Times New Roman" w:eastAsia="Calibri" w:hAnsi="Times New Roman" w:cs="Times New Roman"/>
          <w:sz w:val="24"/>
        </w:rPr>
        <w:t>Multicollinearity</w:t>
      </w:r>
      <w:proofErr w:type="spellEnd"/>
      <w:r w:rsidR="00BC03A8" w:rsidRPr="005B7AEC">
        <w:rPr>
          <w:rFonts w:ascii="Times New Roman" w:eastAsia="Calibri" w:hAnsi="Times New Roman" w:cs="Times New Roman"/>
          <w:sz w:val="24"/>
        </w:rPr>
        <w:t xml:space="preserve"> </w:t>
      </w:r>
      <w:r w:rsidR="005B7AEC" w:rsidRPr="005B7AEC">
        <w:rPr>
          <w:rFonts w:ascii="Times New Roman" w:eastAsia="Calibri" w:hAnsi="Times New Roman" w:cs="Times New Roman"/>
          <w:sz w:val="24"/>
        </w:rPr>
        <w:t>Test Results</w:t>
      </w:r>
    </w:p>
    <w:tbl>
      <w:tblPr>
        <w:tblStyle w:val="Grilledutableau"/>
        <w:tblW w:w="0" w:type="auto"/>
        <w:jc w:val="center"/>
        <w:tblLook w:val="04A0" w:firstRow="1" w:lastRow="0" w:firstColumn="1" w:lastColumn="0" w:noHBand="0" w:noVBand="1"/>
      </w:tblPr>
      <w:tblGrid>
        <w:gridCol w:w="2297"/>
        <w:gridCol w:w="796"/>
        <w:gridCol w:w="1053"/>
      </w:tblGrid>
      <w:tr w:rsidR="00BC03A8" w:rsidRPr="00BC03A8" w:rsidTr="00BC03A8">
        <w:trPr>
          <w:jc w:val="center"/>
        </w:trPr>
        <w:tc>
          <w:tcPr>
            <w:tcW w:w="0" w:type="auto"/>
            <w:vAlign w:val="center"/>
          </w:tcPr>
          <w:p w:rsidR="00BC03A8" w:rsidRPr="00BC03A8" w:rsidRDefault="00BC03A8" w:rsidP="000C3274">
            <w:pPr>
              <w:pStyle w:val="Sansinterligne"/>
              <w:jc w:val="center"/>
            </w:pPr>
            <w:r w:rsidRPr="00BC03A8">
              <w:t>Variables</w:t>
            </w:r>
          </w:p>
        </w:tc>
        <w:tc>
          <w:tcPr>
            <w:tcW w:w="0" w:type="auto"/>
            <w:vAlign w:val="center"/>
          </w:tcPr>
          <w:p w:rsidR="00BC03A8" w:rsidRPr="00BC03A8" w:rsidRDefault="00BC03A8" w:rsidP="000C3274">
            <w:pPr>
              <w:pStyle w:val="Sansinterligne"/>
              <w:jc w:val="center"/>
            </w:pPr>
            <w:r w:rsidRPr="00BC03A8">
              <w:t>LIVELY</w:t>
            </w:r>
          </w:p>
        </w:tc>
        <w:tc>
          <w:tcPr>
            <w:tcW w:w="0" w:type="auto"/>
            <w:vAlign w:val="center"/>
          </w:tcPr>
          <w:p w:rsidR="00BC03A8" w:rsidRPr="00BC03A8" w:rsidRDefault="00BC03A8" w:rsidP="000C3274">
            <w:pPr>
              <w:pStyle w:val="Sansinterligne"/>
              <w:jc w:val="center"/>
            </w:pPr>
            <w:r w:rsidRPr="00BC03A8">
              <w:t>1/ VIF</w:t>
            </w:r>
          </w:p>
        </w:tc>
      </w:tr>
      <w:tr w:rsidR="00BC03A8" w:rsidRPr="00BC03A8" w:rsidTr="00BC03A8">
        <w:trPr>
          <w:jc w:val="center"/>
        </w:trPr>
        <w:tc>
          <w:tcPr>
            <w:tcW w:w="0" w:type="auto"/>
            <w:vAlign w:val="center"/>
          </w:tcPr>
          <w:p w:rsidR="00BC03A8" w:rsidRPr="00BC03A8" w:rsidRDefault="00BC03A8" w:rsidP="000C3274">
            <w:pPr>
              <w:pStyle w:val="Sansinterligne"/>
              <w:jc w:val="center"/>
              <w:rPr>
                <w:rFonts w:eastAsia="Times New Roman"/>
                <w:szCs w:val="24"/>
                <w:lang w:val="en-US" w:eastAsia="fr-FR"/>
              </w:rPr>
            </w:pPr>
            <w:r w:rsidRPr="00BC03A8">
              <w:rPr>
                <w:rFonts w:eastAsia="Times New Roman"/>
                <w:szCs w:val="24"/>
                <w:lang w:val="en-US" w:eastAsia="fr-FR"/>
              </w:rPr>
              <w:t>International migration</w:t>
            </w:r>
          </w:p>
        </w:tc>
        <w:tc>
          <w:tcPr>
            <w:tcW w:w="0" w:type="auto"/>
            <w:vAlign w:val="center"/>
          </w:tcPr>
          <w:p w:rsidR="00BC03A8" w:rsidRPr="00BC03A8" w:rsidRDefault="00BC03A8" w:rsidP="000C3274">
            <w:pPr>
              <w:pStyle w:val="Sansinterligne"/>
              <w:jc w:val="center"/>
            </w:pPr>
            <w:r w:rsidRPr="00BC03A8">
              <w:t>1.01</w:t>
            </w:r>
          </w:p>
        </w:tc>
        <w:tc>
          <w:tcPr>
            <w:tcW w:w="0" w:type="auto"/>
            <w:vAlign w:val="center"/>
          </w:tcPr>
          <w:p w:rsidR="00BC03A8" w:rsidRPr="00BC03A8" w:rsidRDefault="00BC03A8" w:rsidP="000C3274">
            <w:pPr>
              <w:pStyle w:val="Sansinterligne"/>
              <w:jc w:val="center"/>
            </w:pPr>
            <w:r w:rsidRPr="00BC03A8">
              <w:t>0.988641</w:t>
            </w:r>
          </w:p>
        </w:tc>
      </w:tr>
      <w:tr w:rsidR="00BC03A8" w:rsidRPr="00BC03A8" w:rsidTr="00BC03A8">
        <w:trPr>
          <w:jc w:val="center"/>
        </w:trPr>
        <w:tc>
          <w:tcPr>
            <w:tcW w:w="0" w:type="auto"/>
            <w:vAlign w:val="center"/>
          </w:tcPr>
          <w:p w:rsidR="00BC03A8" w:rsidRPr="00BC03A8" w:rsidRDefault="00BC03A8" w:rsidP="000C3274">
            <w:pPr>
              <w:pStyle w:val="Sansinterligne"/>
              <w:jc w:val="center"/>
              <w:rPr>
                <w:rFonts w:eastAsia="Times New Roman"/>
                <w:bCs/>
                <w:color w:val="000000"/>
                <w:szCs w:val="24"/>
                <w:lang w:val="en-US" w:eastAsia="fr-FR"/>
              </w:rPr>
            </w:pPr>
            <w:r w:rsidRPr="00BC03A8">
              <w:rPr>
                <w:rFonts w:eastAsia="Times New Roman"/>
                <w:bCs/>
                <w:color w:val="000000"/>
                <w:szCs w:val="24"/>
                <w:lang w:val="en-US" w:eastAsia="fr-FR"/>
              </w:rPr>
              <w:t>GDP per capita</w:t>
            </w:r>
          </w:p>
        </w:tc>
        <w:tc>
          <w:tcPr>
            <w:tcW w:w="0" w:type="auto"/>
            <w:vAlign w:val="center"/>
          </w:tcPr>
          <w:p w:rsidR="00BC03A8" w:rsidRPr="00BC03A8" w:rsidRDefault="00BC03A8" w:rsidP="000C3274">
            <w:pPr>
              <w:pStyle w:val="Sansinterligne"/>
              <w:jc w:val="center"/>
            </w:pPr>
            <w:r w:rsidRPr="00BC03A8">
              <w:t>1.01</w:t>
            </w:r>
          </w:p>
        </w:tc>
        <w:tc>
          <w:tcPr>
            <w:tcW w:w="0" w:type="auto"/>
            <w:vAlign w:val="center"/>
          </w:tcPr>
          <w:p w:rsidR="00BC03A8" w:rsidRPr="00BC03A8" w:rsidRDefault="00BC03A8" w:rsidP="000C3274">
            <w:pPr>
              <w:pStyle w:val="Sansinterligne"/>
              <w:jc w:val="center"/>
            </w:pPr>
            <w:r w:rsidRPr="00BC03A8">
              <w:t>0.986597</w:t>
            </w:r>
          </w:p>
        </w:tc>
      </w:tr>
      <w:tr w:rsidR="00BC03A8" w:rsidRPr="00BC03A8" w:rsidTr="00BC03A8">
        <w:trPr>
          <w:jc w:val="center"/>
        </w:trPr>
        <w:tc>
          <w:tcPr>
            <w:tcW w:w="0" w:type="auto"/>
            <w:vAlign w:val="center"/>
          </w:tcPr>
          <w:p w:rsidR="00BC03A8" w:rsidRPr="00BC03A8" w:rsidRDefault="00BC03A8" w:rsidP="000C3274">
            <w:pPr>
              <w:pStyle w:val="Sansinterligne"/>
              <w:jc w:val="center"/>
              <w:rPr>
                <w:rFonts w:eastAsia="Times New Roman"/>
                <w:szCs w:val="24"/>
                <w:lang w:val="en-US" w:eastAsia="fr-FR"/>
              </w:rPr>
            </w:pPr>
            <w:r w:rsidRPr="00BC03A8">
              <w:rPr>
                <w:rFonts w:eastAsia="Times New Roman"/>
                <w:bCs/>
                <w:szCs w:val="24"/>
                <w:lang w:val="en-US" w:eastAsia="fr-FR"/>
              </w:rPr>
              <w:t>Education</w:t>
            </w:r>
          </w:p>
        </w:tc>
        <w:tc>
          <w:tcPr>
            <w:tcW w:w="0" w:type="auto"/>
            <w:vAlign w:val="center"/>
          </w:tcPr>
          <w:p w:rsidR="00BC03A8" w:rsidRPr="00BC03A8" w:rsidRDefault="00BC03A8" w:rsidP="000C3274">
            <w:pPr>
              <w:pStyle w:val="Sansinterligne"/>
              <w:jc w:val="center"/>
            </w:pPr>
            <w:r w:rsidRPr="00BC03A8">
              <w:t>1.17</w:t>
            </w:r>
          </w:p>
        </w:tc>
        <w:tc>
          <w:tcPr>
            <w:tcW w:w="0" w:type="auto"/>
            <w:vAlign w:val="center"/>
          </w:tcPr>
          <w:p w:rsidR="00BC03A8" w:rsidRPr="00BC03A8" w:rsidRDefault="00BC03A8" w:rsidP="000C3274">
            <w:pPr>
              <w:pStyle w:val="Sansinterligne"/>
              <w:jc w:val="center"/>
            </w:pPr>
            <w:r w:rsidRPr="00BC03A8">
              <w:t>0.857816</w:t>
            </w:r>
          </w:p>
        </w:tc>
      </w:tr>
      <w:tr w:rsidR="00BC03A8" w:rsidRPr="00BC03A8" w:rsidTr="00BC03A8">
        <w:trPr>
          <w:jc w:val="center"/>
        </w:trPr>
        <w:tc>
          <w:tcPr>
            <w:tcW w:w="0" w:type="auto"/>
            <w:vAlign w:val="center"/>
          </w:tcPr>
          <w:p w:rsidR="00BC03A8" w:rsidRPr="00BC03A8" w:rsidRDefault="00BC03A8" w:rsidP="000C3274">
            <w:pPr>
              <w:pStyle w:val="Sansinterligne"/>
              <w:jc w:val="center"/>
              <w:rPr>
                <w:rFonts w:eastAsia="Times New Roman"/>
                <w:bCs/>
                <w:color w:val="000000"/>
                <w:szCs w:val="24"/>
                <w:lang w:val="fr-CM" w:eastAsia="fr-FR"/>
              </w:rPr>
            </w:pPr>
            <w:r w:rsidRPr="00BC03A8">
              <w:rPr>
                <w:rFonts w:eastAsia="Times New Roman"/>
                <w:bCs/>
                <w:color w:val="000000"/>
                <w:szCs w:val="24"/>
                <w:lang w:val="fr-CM" w:eastAsia="fr-FR"/>
              </w:rPr>
              <w:t>Urbanization</w:t>
            </w:r>
          </w:p>
        </w:tc>
        <w:tc>
          <w:tcPr>
            <w:tcW w:w="0" w:type="auto"/>
            <w:vAlign w:val="center"/>
          </w:tcPr>
          <w:p w:rsidR="00BC03A8" w:rsidRPr="00BC03A8" w:rsidRDefault="00BC03A8" w:rsidP="000C3274">
            <w:pPr>
              <w:pStyle w:val="Sansinterligne"/>
              <w:jc w:val="center"/>
            </w:pPr>
            <w:r w:rsidRPr="00BC03A8">
              <w:t>1.17</w:t>
            </w:r>
          </w:p>
        </w:tc>
        <w:tc>
          <w:tcPr>
            <w:tcW w:w="0" w:type="auto"/>
            <w:vAlign w:val="center"/>
          </w:tcPr>
          <w:p w:rsidR="00BC03A8" w:rsidRPr="00BC03A8" w:rsidRDefault="00BC03A8" w:rsidP="000C3274">
            <w:pPr>
              <w:pStyle w:val="Sansinterligne"/>
              <w:jc w:val="center"/>
            </w:pPr>
            <w:r w:rsidRPr="00BC03A8">
              <w:t>0.851131</w:t>
            </w:r>
          </w:p>
        </w:tc>
      </w:tr>
      <w:tr w:rsidR="00BC03A8" w:rsidRPr="00BC03A8" w:rsidTr="00BC03A8">
        <w:trPr>
          <w:jc w:val="center"/>
        </w:trPr>
        <w:tc>
          <w:tcPr>
            <w:tcW w:w="0" w:type="auto"/>
            <w:vAlign w:val="center"/>
          </w:tcPr>
          <w:p w:rsidR="00BC03A8" w:rsidRPr="00BC03A8" w:rsidRDefault="005B7AEC" w:rsidP="000C3274">
            <w:pPr>
              <w:pStyle w:val="Sansinterligne"/>
              <w:jc w:val="center"/>
            </w:pPr>
            <w:r>
              <w:t>Average VIF</w:t>
            </w:r>
          </w:p>
        </w:tc>
        <w:tc>
          <w:tcPr>
            <w:tcW w:w="0" w:type="auto"/>
            <w:gridSpan w:val="2"/>
            <w:vAlign w:val="center"/>
          </w:tcPr>
          <w:p w:rsidR="00BC03A8" w:rsidRPr="00BC03A8" w:rsidRDefault="00BC03A8" w:rsidP="000C3274">
            <w:pPr>
              <w:pStyle w:val="Sansinterligne"/>
              <w:jc w:val="center"/>
            </w:pPr>
            <w:r w:rsidRPr="00BC03A8">
              <w:t>1.09</w:t>
            </w:r>
          </w:p>
        </w:tc>
      </w:tr>
    </w:tbl>
    <w:p w:rsidR="00BC03A8" w:rsidRPr="00BC03A8" w:rsidRDefault="00BC03A8" w:rsidP="000C3274">
      <w:pPr>
        <w:spacing w:after="0" w:line="360" w:lineRule="auto"/>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Source</w:t>
      </w:r>
      <w:r w:rsidRPr="00BC03A8">
        <w:rPr>
          <w:rFonts w:ascii="Times New Roman" w:eastAsia="Calibri" w:hAnsi="Times New Roman" w:cs="Times New Roman"/>
          <w:b/>
          <w:bCs/>
          <w:sz w:val="24"/>
          <w:szCs w:val="24"/>
        </w:rPr>
        <w:t> </w:t>
      </w:r>
      <w:r>
        <w:rPr>
          <w:rFonts w:ascii="Times New Roman" w:eastAsia="Calibri" w:hAnsi="Times New Roman" w:cs="Times New Roman"/>
          <w:b/>
          <w:bCs/>
          <w:i/>
          <w:sz w:val="24"/>
          <w:szCs w:val="24"/>
        </w:rPr>
        <w:t>Authors</w:t>
      </w:r>
    </w:p>
    <w:p w:rsidR="00BC03A8" w:rsidRPr="00BC03A8" w:rsidRDefault="00BC03A8" w:rsidP="00BC5305">
      <w:pPr>
        <w:pStyle w:val="Sansinterligne"/>
        <w:jc w:val="both"/>
        <w:rPr>
          <w:sz w:val="24"/>
          <w:szCs w:val="24"/>
          <w:lang w:eastAsia="fr-FR"/>
        </w:rPr>
      </w:pPr>
      <w:r w:rsidRPr="00BC03A8">
        <w:rPr>
          <w:sz w:val="24"/>
          <w:szCs w:val="24"/>
          <w:lang w:eastAsia="fr-FR"/>
        </w:rPr>
        <w:t xml:space="preserve">Table 4 presents the results of the Breusch-Pagan heteroscedasticity </w:t>
      </w:r>
      <w:proofErr w:type="gramStart"/>
      <w:r w:rsidRPr="00BC03A8">
        <w:rPr>
          <w:sz w:val="24"/>
          <w:szCs w:val="24"/>
          <w:lang w:eastAsia="fr-FR"/>
        </w:rPr>
        <w:t>test .</w:t>
      </w:r>
      <w:proofErr w:type="gramEnd"/>
      <w:r w:rsidRPr="00BC03A8">
        <w:rPr>
          <w:sz w:val="24"/>
          <w:szCs w:val="24"/>
          <w:lang w:eastAsia="fr-FR"/>
        </w:rPr>
        <w:t xml:space="preserve"> The test statistic is 0.09, with a p-value of 0.7676, well above the usual significance thresholds. Therefore, the null hypothesis of homoscedasticity </w:t>
      </w:r>
      <w:proofErr w:type="gramStart"/>
      <w:r w:rsidRPr="00BC03A8">
        <w:rPr>
          <w:sz w:val="24"/>
          <w:szCs w:val="24"/>
          <w:lang w:eastAsia="fr-FR"/>
        </w:rPr>
        <w:t>cannot be rejected</w:t>
      </w:r>
      <w:proofErr w:type="gramEnd"/>
      <w:r w:rsidRPr="00BC03A8">
        <w:rPr>
          <w:sz w:val="24"/>
          <w:szCs w:val="24"/>
          <w:lang w:eastAsia="fr-FR"/>
        </w:rPr>
        <w:t>.</w:t>
      </w:r>
    </w:p>
    <w:p w:rsidR="004E65D8" w:rsidRPr="00BC03A8" w:rsidRDefault="00BC03A8" w:rsidP="00BC5305">
      <w:pPr>
        <w:pStyle w:val="Sansinterligne"/>
        <w:jc w:val="both"/>
        <w:rPr>
          <w:sz w:val="24"/>
          <w:szCs w:val="24"/>
          <w:lang w:eastAsia="fr-FR"/>
        </w:rPr>
      </w:pPr>
      <w:r w:rsidRPr="00BC03A8">
        <w:rPr>
          <w:sz w:val="24"/>
          <w:szCs w:val="24"/>
          <w:lang w:eastAsia="fr-FR"/>
        </w:rPr>
        <w:t>These results indicate that the variance of the errors is constant across observations, suggesting the absence of heteroscedasticity in the model. This property strengthens the validity of the statistical inferences and the reliability of the econometric estimates obtained.</w:t>
      </w:r>
    </w:p>
    <w:p w:rsidR="00BC03A8" w:rsidRPr="00BC03A8" w:rsidRDefault="005B7AEC" w:rsidP="000C3274">
      <w:pPr>
        <w:spacing w:after="0" w:line="240" w:lineRule="auto"/>
        <w:jc w:val="center"/>
        <w:rPr>
          <w:rFonts w:ascii="Times New Roman" w:eastAsia="Calibri" w:hAnsi="Times New Roman" w:cs="Times New Roman"/>
          <w:sz w:val="24"/>
          <w:szCs w:val="24"/>
          <w:lang w:eastAsia="fr-FR"/>
        </w:rPr>
      </w:pPr>
      <w:r>
        <w:rPr>
          <w:rFonts w:ascii="Times New Roman" w:eastAsia="Calibri" w:hAnsi="Times New Roman" w:cs="Times New Roman"/>
          <w:sz w:val="24"/>
          <w:lang w:val="fr-CM" w:eastAsia="fr-FR"/>
        </w:rPr>
        <w:t xml:space="preserve">Table 4: </w:t>
      </w:r>
      <w:r w:rsidR="00BC03A8" w:rsidRPr="00BC03A8">
        <w:rPr>
          <w:rFonts w:ascii="Times New Roman" w:eastAsia="Calibri" w:hAnsi="Times New Roman" w:cs="Times New Roman"/>
          <w:sz w:val="24"/>
          <w:lang w:eastAsia="fr-FR"/>
        </w:rPr>
        <w:t>Heteroscedasticity test results</w:t>
      </w:r>
    </w:p>
    <w:tbl>
      <w:tblPr>
        <w:tblStyle w:val="Grilledutableau"/>
        <w:tblW w:w="0" w:type="auto"/>
        <w:jc w:val="center"/>
        <w:tblLook w:val="04A0" w:firstRow="1" w:lastRow="0" w:firstColumn="1" w:lastColumn="0" w:noHBand="0" w:noVBand="1"/>
      </w:tblPr>
      <w:tblGrid>
        <w:gridCol w:w="2571"/>
        <w:gridCol w:w="1684"/>
      </w:tblGrid>
      <w:tr w:rsidR="00BC03A8" w:rsidRPr="00BC03A8" w:rsidTr="00BC03A8">
        <w:trPr>
          <w:trHeight w:val="228"/>
          <w:jc w:val="center"/>
        </w:trPr>
        <w:tc>
          <w:tcPr>
            <w:tcW w:w="0" w:type="auto"/>
            <w:gridSpan w:val="2"/>
            <w:vAlign w:val="center"/>
          </w:tcPr>
          <w:p w:rsidR="00BC03A8" w:rsidRPr="00BC03A8" w:rsidRDefault="00BC03A8" w:rsidP="000C3274">
            <w:pPr>
              <w:spacing w:line="360" w:lineRule="auto"/>
              <w:jc w:val="center"/>
              <w:rPr>
                <w:rFonts w:ascii="Times New Roman" w:eastAsia="Calibri" w:hAnsi="Times New Roman" w:cs="Times New Roman"/>
                <w:sz w:val="24"/>
              </w:rPr>
            </w:pPr>
            <w:r w:rsidRPr="00BC03A8">
              <w:rPr>
                <w:rFonts w:ascii="Times New Roman" w:eastAsia="Calibri" w:hAnsi="Times New Roman" w:cs="Times New Roman"/>
                <w:sz w:val="24"/>
              </w:rPr>
              <w:t>H0: homoscedasticity (constant variance).</w:t>
            </w:r>
          </w:p>
        </w:tc>
      </w:tr>
      <w:tr w:rsidR="00BC03A8" w:rsidRPr="00BC03A8" w:rsidTr="00BC03A8">
        <w:trPr>
          <w:jc w:val="center"/>
        </w:trPr>
        <w:tc>
          <w:tcPr>
            <w:tcW w:w="0" w:type="auto"/>
            <w:vAlign w:val="center"/>
          </w:tcPr>
          <w:p w:rsidR="00BC03A8" w:rsidRPr="00BC03A8" w:rsidRDefault="00BC03A8" w:rsidP="000C3274">
            <w:pPr>
              <w:spacing w:line="360" w:lineRule="auto"/>
              <w:jc w:val="center"/>
              <w:rPr>
                <w:rFonts w:ascii="Times New Roman" w:eastAsia="Calibri" w:hAnsi="Times New Roman" w:cs="Times New Roman"/>
                <w:sz w:val="24"/>
              </w:rPr>
            </w:pPr>
            <w:r w:rsidRPr="00BC03A8">
              <w:rPr>
                <w:rFonts w:ascii="Times New Roman" w:eastAsia="Calibri" w:hAnsi="Times New Roman" w:cs="Times New Roman"/>
                <w:sz w:val="24"/>
              </w:rPr>
              <w:t>chi2(1)</w:t>
            </w:r>
          </w:p>
        </w:tc>
        <w:tc>
          <w:tcPr>
            <w:tcW w:w="0" w:type="auto"/>
            <w:vAlign w:val="center"/>
          </w:tcPr>
          <w:p w:rsidR="00BC03A8" w:rsidRPr="00BC03A8" w:rsidRDefault="00BC03A8" w:rsidP="000C3274">
            <w:pPr>
              <w:spacing w:line="360" w:lineRule="auto"/>
              <w:jc w:val="center"/>
              <w:rPr>
                <w:rFonts w:ascii="Times New Roman" w:eastAsia="Calibri" w:hAnsi="Times New Roman" w:cs="Times New Roman"/>
                <w:sz w:val="24"/>
              </w:rPr>
            </w:pPr>
            <w:r w:rsidRPr="00BC03A8">
              <w:rPr>
                <w:rFonts w:ascii="Times New Roman" w:eastAsia="Calibri" w:hAnsi="Times New Roman" w:cs="Times New Roman"/>
                <w:sz w:val="24"/>
              </w:rPr>
              <w:t>0.09</w:t>
            </w:r>
          </w:p>
        </w:tc>
      </w:tr>
      <w:tr w:rsidR="00BC03A8" w:rsidRPr="00BC03A8" w:rsidTr="00BC03A8">
        <w:trPr>
          <w:jc w:val="center"/>
        </w:trPr>
        <w:tc>
          <w:tcPr>
            <w:tcW w:w="0" w:type="auto"/>
            <w:vAlign w:val="center"/>
          </w:tcPr>
          <w:p w:rsidR="00BC03A8" w:rsidRPr="00BC03A8" w:rsidRDefault="00BC03A8" w:rsidP="000C3274">
            <w:pPr>
              <w:spacing w:line="360" w:lineRule="auto"/>
              <w:jc w:val="center"/>
              <w:rPr>
                <w:rFonts w:ascii="Times New Roman" w:eastAsia="Calibri" w:hAnsi="Times New Roman" w:cs="Times New Roman"/>
                <w:sz w:val="24"/>
              </w:rPr>
            </w:pPr>
            <w:proofErr w:type="spellStart"/>
            <w:r w:rsidRPr="00BC03A8">
              <w:rPr>
                <w:rFonts w:ascii="Times New Roman" w:eastAsia="Calibri" w:hAnsi="Times New Roman" w:cs="Times New Roman"/>
                <w:sz w:val="24"/>
              </w:rPr>
              <w:t>Prob</w:t>
            </w:r>
            <w:proofErr w:type="spellEnd"/>
            <w:r w:rsidRPr="00BC03A8">
              <w:rPr>
                <w:rFonts w:ascii="Times New Roman" w:eastAsia="Calibri" w:hAnsi="Times New Roman" w:cs="Times New Roman"/>
                <w:sz w:val="24"/>
              </w:rPr>
              <w:t xml:space="preserve"> &gt; chi2</w:t>
            </w:r>
          </w:p>
        </w:tc>
        <w:tc>
          <w:tcPr>
            <w:tcW w:w="0" w:type="auto"/>
            <w:vAlign w:val="center"/>
          </w:tcPr>
          <w:p w:rsidR="00BC03A8" w:rsidRPr="00BC03A8" w:rsidRDefault="00BC03A8" w:rsidP="000C3274">
            <w:pPr>
              <w:spacing w:line="360" w:lineRule="auto"/>
              <w:jc w:val="center"/>
              <w:rPr>
                <w:rFonts w:ascii="Times New Roman" w:eastAsia="Calibri" w:hAnsi="Times New Roman" w:cs="Times New Roman"/>
                <w:sz w:val="24"/>
              </w:rPr>
            </w:pPr>
            <w:r w:rsidRPr="00BC03A8">
              <w:rPr>
                <w:rFonts w:ascii="Times New Roman" w:eastAsia="Calibri" w:hAnsi="Times New Roman" w:cs="Times New Roman"/>
                <w:sz w:val="24"/>
              </w:rPr>
              <w:t>0.7676</w:t>
            </w:r>
          </w:p>
        </w:tc>
      </w:tr>
    </w:tbl>
    <w:p w:rsidR="00BC03A8" w:rsidRPr="00BC03A8" w:rsidRDefault="005B7AEC" w:rsidP="000C3274">
      <w:pPr>
        <w:spacing w:after="0"/>
        <w:jc w:val="center"/>
        <w:rPr>
          <w:rFonts w:ascii="Calibri" w:eastAsia="Calibri" w:hAnsi="Calibri" w:cs="Times New Roman"/>
          <w:kern w:val="2"/>
          <w14:ligatures w14:val="standardContextual"/>
        </w:rPr>
      </w:pPr>
      <w:proofErr w:type="gramStart"/>
      <w:r>
        <w:rPr>
          <w:rFonts w:ascii="Times New Roman" w:eastAsia="Calibri" w:hAnsi="Times New Roman" w:cs="Times New Roman"/>
          <w:bCs/>
          <w:i/>
          <w:sz w:val="24"/>
          <w:szCs w:val="24"/>
        </w:rPr>
        <w:t>Source</w:t>
      </w:r>
      <w:r w:rsidR="00BC03A8" w:rsidRPr="00BC03A8">
        <w:rPr>
          <w:rFonts w:ascii="Times New Roman" w:eastAsia="Calibri" w:hAnsi="Times New Roman" w:cs="Times New Roman"/>
          <w:bCs/>
          <w:sz w:val="24"/>
          <w:szCs w:val="24"/>
        </w:rPr>
        <w:t> </w:t>
      </w:r>
      <w:r w:rsidR="00BC03A8" w:rsidRPr="00BC03A8">
        <w:rPr>
          <w:rFonts w:ascii="Times New Roman" w:eastAsia="Calibri" w:hAnsi="Times New Roman" w:cs="Times New Roman"/>
          <w:bCs/>
          <w:i/>
          <w:sz w:val="24"/>
          <w:szCs w:val="24"/>
        </w:rPr>
        <w:t>:</w:t>
      </w:r>
      <w:proofErr w:type="gramEnd"/>
      <w:r w:rsidR="00BC03A8" w:rsidRPr="00BC03A8">
        <w:rPr>
          <w:rFonts w:ascii="Times New Roman" w:eastAsia="Calibri" w:hAnsi="Times New Roman" w:cs="Times New Roman"/>
          <w:bCs/>
          <w:i/>
          <w:sz w:val="24"/>
          <w:szCs w:val="24"/>
        </w:rPr>
        <w:t xml:space="preserve"> Authors </w:t>
      </w:r>
      <w:r w:rsidR="00BC03A8" w:rsidRPr="00BC03A8">
        <w:rPr>
          <w:rFonts w:ascii="Times New Roman" w:eastAsia="Calibri" w:hAnsi="Times New Roman" w:cs="Times New Roman"/>
          <w:sz w:val="24"/>
          <w:szCs w:val="24"/>
        </w:rPr>
        <w:t>; Significant at: *** 1%, ** 5%, * 10%.</w:t>
      </w:r>
    </w:p>
    <w:p w:rsidR="00BC03A8" w:rsidRPr="00BC03A8" w:rsidRDefault="00BC03A8" w:rsidP="00BC5305">
      <w:pPr>
        <w:pStyle w:val="Sansinterligne"/>
        <w:jc w:val="both"/>
        <w:rPr>
          <w:lang w:eastAsia="fr-FR"/>
        </w:rPr>
      </w:pPr>
    </w:p>
    <w:p w:rsidR="00BC03A8" w:rsidRPr="00BC03A8" w:rsidRDefault="00BC03A8" w:rsidP="00BC5305">
      <w:pPr>
        <w:pStyle w:val="Sansinterligne"/>
        <w:jc w:val="both"/>
        <w:rPr>
          <w:sz w:val="24"/>
          <w:szCs w:val="24"/>
          <w:lang w:eastAsia="fr-FR"/>
        </w:rPr>
      </w:pPr>
      <w:r w:rsidRPr="00BC03A8">
        <w:rPr>
          <w:sz w:val="24"/>
          <w:szCs w:val="24"/>
          <w:lang w:eastAsia="fr-FR"/>
        </w:rPr>
        <w:t xml:space="preserve">Table 5 presents the results of the Wooldridge autocorrelation </w:t>
      </w:r>
      <w:proofErr w:type="gramStart"/>
      <w:r w:rsidRPr="00BC03A8">
        <w:rPr>
          <w:sz w:val="24"/>
          <w:szCs w:val="24"/>
          <w:lang w:eastAsia="fr-FR"/>
        </w:rPr>
        <w:t>test .</w:t>
      </w:r>
      <w:proofErr w:type="gramEnd"/>
      <w:r w:rsidRPr="00BC03A8">
        <w:rPr>
          <w:sz w:val="24"/>
          <w:szCs w:val="24"/>
          <w:lang w:eastAsia="fr-FR"/>
        </w:rPr>
        <w:t xml:space="preserve"> The </w:t>
      </w:r>
      <w:proofErr w:type="gramStart"/>
      <w:r w:rsidRPr="00BC03A8">
        <w:rPr>
          <w:sz w:val="24"/>
          <w:szCs w:val="24"/>
          <w:lang w:eastAsia="fr-FR"/>
        </w:rPr>
        <w:t>F(</w:t>
      </w:r>
      <w:proofErr w:type="gramEnd"/>
      <w:r w:rsidRPr="00BC03A8">
        <w:rPr>
          <w:sz w:val="24"/>
          <w:szCs w:val="24"/>
          <w:lang w:eastAsia="fr-FR"/>
        </w:rPr>
        <w:t xml:space="preserve">1,34) statistic = 37.900 is significant at the 1% level (p-value = 0.000), leading to the rejection of the null hypothesis of no first- order autocorrelation . These results highlight within-group autocorrelation of the errors, indicating that the residuals </w:t>
      </w:r>
      <w:proofErr w:type="gramStart"/>
      <w:r w:rsidRPr="00BC03A8">
        <w:rPr>
          <w:sz w:val="24"/>
          <w:szCs w:val="24"/>
          <w:lang w:eastAsia="fr-FR"/>
        </w:rPr>
        <w:t>are correlated</w:t>
      </w:r>
      <w:proofErr w:type="gramEnd"/>
      <w:r w:rsidRPr="00BC03A8">
        <w:rPr>
          <w:sz w:val="24"/>
          <w:szCs w:val="24"/>
          <w:lang w:eastAsia="fr-FR"/>
        </w:rPr>
        <w:t xml:space="preserve"> over time. This situation can affect the validity of standard errors and significance tests. Therefore, it is necessary to use autocorrelation-robust estimators to ensure the reliability of econometric inferences.</w:t>
      </w:r>
    </w:p>
    <w:p w:rsidR="00BC03A8" w:rsidRPr="00BC03A8" w:rsidRDefault="005B7AEC" w:rsidP="000C3274">
      <w:pPr>
        <w:pStyle w:val="Sansinterligne"/>
        <w:jc w:val="center"/>
      </w:pPr>
      <w:r>
        <w:rPr>
          <w:lang w:val="fr-CM" w:eastAsia="fr-FR"/>
        </w:rPr>
        <w:t xml:space="preserve">Table 5: </w:t>
      </w:r>
      <w:r w:rsidR="00BC03A8" w:rsidRPr="00BC03A8">
        <w:rPr>
          <w:lang w:eastAsia="fr-FR"/>
        </w:rPr>
        <w:t>Autocorrelation Test Results</w:t>
      </w:r>
    </w:p>
    <w:tbl>
      <w:tblPr>
        <w:tblStyle w:val="Grilledutableau"/>
        <w:tblW w:w="0" w:type="auto"/>
        <w:jc w:val="center"/>
        <w:tblLook w:val="04A0" w:firstRow="1" w:lastRow="0" w:firstColumn="1" w:lastColumn="0" w:noHBand="0" w:noVBand="1"/>
      </w:tblPr>
      <w:tblGrid>
        <w:gridCol w:w="3020"/>
        <w:gridCol w:w="3021"/>
      </w:tblGrid>
      <w:tr w:rsidR="00BC03A8" w:rsidRPr="00BC03A8" w:rsidTr="00BC03A8">
        <w:trPr>
          <w:trHeight w:val="228"/>
          <w:jc w:val="center"/>
        </w:trPr>
        <w:tc>
          <w:tcPr>
            <w:tcW w:w="6041" w:type="dxa"/>
            <w:gridSpan w:val="2"/>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H0: absence of first-order autocorrelation</w:t>
            </w:r>
          </w:p>
        </w:tc>
      </w:tr>
      <w:tr w:rsidR="00BC03A8" w:rsidRPr="00BC03A8" w:rsidTr="00BC03A8">
        <w:trPr>
          <w:trHeight w:val="259"/>
          <w:jc w:val="center"/>
        </w:trPr>
        <w:tc>
          <w:tcPr>
            <w:tcW w:w="3020" w:type="dxa"/>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F(1, 34)</w:t>
            </w:r>
          </w:p>
        </w:tc>
        <w:tc>
          <w:tcPr>
            <w:tcW w:w="3021" w:type="dxa"/>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37,900***</w:t>
            </w:r>
          </w:p>
        </w:tc>
      </w:tr>
      <w:tr w:rsidR="00BC03A8" w:rsidRPr="00BC03A8" w:rsidTr="00BC03A8">
        <w:trPr>
          <w:trHeight w:val="50"/>
          <w:jc w:val="center"/>
        </w:trPr>
        <w:tc>
          <w:tcPr>
            <w:tcW w:w="3020" w:type="dxa"/>
            <w:vAlign w:val="center"/>
          </w:tcPr>
          <w:p w:rsidR="00BC03A8" w:rsidRPr="00BC03A8" w:rsidRDefault="00BC03A8" w:rsidP="000C3274">
            <w:pPr>
              <w:pStyle w:val="Sansinterligne"/>
              <w:jc w:val="center"/>
              <w:rPr>
                <w:kern w:val="2"/>
                <w14:ligatures w14:val="standardContextual"/>
              </w:rPr>
            </w:pPr>
            <w:proofErr w:type="spellStart"/>
            <w:r w:rsidRPr="00BC03A8">
              <w:rPr>
                <w:kern w:val="2"/>
                <w14:ligatures w14:val="standardContextual"/>
              </w:rPr>
              <w:t>Prob</w:t>
            </w:r>
            <w:proofErr w:type="spellEnd"/>
            <w:r w:rsidRPr="00BC03A8">
              <w:rPr>
                <w:kern w:val="2"/>
                <w14:ligatures w14:val="standardContextual"/>
              </w:rPr>
              <w:t xml:space="preserve"> &gt; F</w:t>
            </w:r>
          </w:p>
        </w:tc>
        <w:tc>
          <w:tcPr>
            <w:tcW w:w="3021" w:type="dxa"/>
            <w:vAlign w:val="center"/>
          </w:tcPr>
          <w:p w:rsidR="00BC03A8" w:rsidRPr="00BC03A8" w:rsidRDefault="00BC03A8" w:rsidP="000C3274">
            <w:pPr>
              <w:pStyle w:val="Sansinterligne"/>
              <w:jc w:val="center"/>
              <w:rPr>
                <w:kern w:val="2"/>
                <w14:ligatures w14:val="standardContextual"/>
              </w:rPr>
            </w:pPr>
            <w:r w:rsidRPr="00BC03A8">
              <w:rPr>
                <w:kern w:val="2"/>
                <w14:ligatures w14:val="standardContextual"/>
              </w:rPr>
              <w:t>0.000</w:t>
            </w:r>
          </w:p>
        </w:tc>
      </w:tr>
    </w:tbl>
    <w:p w:rsidR="00BC03A8" w:rsidRPr="00BC03A8" w:rsidRDefault="005B7AEC" w:rsidP="000C3274">
      <w:pPr>
        <w:pStyle w:val="Sansinterligne"/>
        <w:jc w:val="center"/>
        <w:rPr>
          <w:bCs/>
          <w:i/>
          <w:szCs w:val="24"/>
        </w:rPr>
      </w:pPr>
      <w:proofErr w:type="gramStart"/>
      <w:r>
        <w:rPr>
          <w:bCs/>
          <w:i/>
          <w:szCs w:val="24"/>
        </w:rPr>
        <w:t>Source</w:t>
      </w:r>
      <w:r w:rsidR="00BC03A8" w:rsidRPr="00BC03A8">
        <w:rPr>
          <w:bCs/>
          <w:szCs w:val="24"/>
        </w:rPr>
        <w:t> </w:t>
      </w:r>
      <w:r w:rsidR="00BC03A8">
        <w:rPr>
          <w:bCs/>
          <w:i/>
          <w:szCs w:val="24"/>
        </w:rPr>
        <w:t>:</w:t>
      </w:r>
      <w:proofErr w:type="gramEnd"/>
      <w:r w:rsidR="00BC03A8">
        <w:rPr>
          <w:bCs/>
          <w:i/>
          <w:szCs w:val="24"/>
        </w:rPr>
        <w:t xml:space="preserve"> Authors </w:t>
      </w:r>
      <w:r w:rsidR="00BC03A8" w:rsidRPr="00BC03A8">
        <w:rPr>
          <w:szCs w:val="24"/>
        </w:rPr>
        <w:t>; Significant at: *** 1%, ** 5%, * 10%.</w:t>
      </w:r>
    </w:p>
    <w:p w:rsidR="000625F4" w:rsidRPr="000625F4" w:rsidRDefault="000625F4" w:rsidP="00BC5305">
      <w:pPr>
        <w:pStyle w:val="Sansinterligne"/>
        <w:jc w:val="both"/>
        <w:rPr>
          <w:sz w:val="24"/>
          <w:szCs w:val="24"/>
          <w:lang w:eastAsia="fr-FR"/>
        </w:rPr>
      </w:pPr>
      <w:r w:rsidRPr="000625F4">
        <w:rPr>
          <w:sz w:val="24"/>
          <w:szCs w:val="24"/>
          <w:lang w:eastAsia="fr-FR"/>
        </w:rPr>
        <w:t>Table 6 presents the results of the Hausman test, used to determine the most appropriate panel model between fixed effects (FE) and random effects (RE). The test statistic is χ² = 0.47 with a p-value of 0.9763, well above the significance threshold of 5%.</w:t>
      </w:r>
    </w:p>
    <w:p w:rsidR="000625F4" w:rsidRPr="000625F4" w:rsidRDefault="000625F4" w:rsidP="00BC5305">
      <w:pPr>
        <w:pStyle w:val="Sansinterligne"/>
        <w:jc w:val="both"/>
        <w:rPr>
          <w:sz w:val="24"/>
          <w:szCs w:val="24"/>
          <w:lang w:eastAsia="fr-FR"/>
        </w:rPr>
      </w:pPr>
      <w:r w:rsidRPr="000625F4">
        <w:rPr>
          <w:sz w:val="24"/>
          <w:szCs w:val="24"/>
          <w:lang w:eastAsia="fr-FR"/>
        </w:rPr>
        <w:t>These results lead to the non-rejection of the null hypothesis, which states that the differences between the coefficients of the fixed-effects and random-effects models are not systematic. This suggests the absence of a significant correlation between the unobserved individual effects and the explanatory variables.</w:t>
      </w:r>
    </w:p>
    <w:p w:rsidR="005B7AEC" w:rsidRPr="000C3274" w:rsidRDefault="000625F4" w:rsidP="00BC5305">
      <w:pPr>
        <w:pStyle w:val="Sansinterligne"/>
        <w:jc w:val="both"/>
        <w:rPr>
          <w:sz w:val="24"/>
          <w:szCs w:val="24"/>
          <w:lang w:eastAsia="fr-FR"/>
        </w:rPr>
      </w:pPr>
      <w:r w:rsidRPr="000625F4">
        <w:rPr>
          <w:sz w:val="24"/>
          <w:szCs w:val="24"/>
          <w:lang w:eastAsia="fr-FR"/>
        </w:rPr>
        <w:t xml:space="preserve">Thus, the random effects (RE) model appears to be the most appropriate econometric choice, as it provides </w:t>
      </w:r>
      <w:proofErr w:type="gramStart"/>
      <w:r w:rsidRPr="000625F4">
        <w:rPr>
          <w:sz w:val="24"/>
          <w:szCs w:val="24"/>
          <w:lang w:eastAsia="fr-FR"/>
        </w:rPr>
        <w:t>more efficient estimates under this assumption</w:t>
      </w:r>
      <w:proofErr w:type="gramEnd"/>
      <w:r w:rsidRPr="000625F4">
        <w:rPr>
          <w:sz w:val="24"/>
          <w:szCs w:val="24"/>
          <w:lang w:eastAsia="fr-FR"/>
        </w:rPr>
        <w:t xml:space="preserve">. Empirical analyses </w:t>
      </w:r>
      <w:proofErr w:type="gramStart"/>
      <w:r w:rsidRPr="000625F4">
        <w:rPr>
          <w:sz w:val="24"/>
          <w:szCs w:val="24"/>
          <w:lang w:eastAsia="fr-FR"/>
        </w:rPr>
        <w:t>will therefore be conducted</w:t>
      </w:r>
      <w:proofErr w:type="gramEnd"/>
      <w:r w:rsidRPr="000625F4">
        <w:rPr>
          <w:sz w:val="24"/>
          <w:szCs w:val="24"/>
          <w:lang w:eastAsia="fr-FR"/>
        </w:rPr>
        <w:t xml:space="preserve"> based on this specification.</w:t>
      </w:r>
    </w:p>
    <w:p w:rsidR="000625F4" w:rsidRPr="000625F4" w:rsidRDefault="005B7AEC" w:rsidP="000C3274">
      <w:pPr>
        <w:pStyle w:val="Sansinterligne"/>
        <w:jc w:val="center"/>
        <w:rPr>
          <w:lang w:eastAsia="fr-FR"/>
        </w:rPr>
      </w:pPr>
      <w:r w:rsidRPr="000C3274">
        <w:rPr>
          <w:lang w:val="en-US" w:eastAsia="fr-FR"/>
        </w:rPr>
        <w:t xml:space="preserve">Table 6: Results of the </w:t>
      </w:r>
      <w:proofErr w:type="spellStart"/>
      <w:r w:rsidRPr="000C3274">
        <w:rPr>
          <w:lang w:val="en-US" w:eastAsia="fr-FR"/>
        </w:rPr>
        <w:t>Hausmann</w:t>
      </w:r>
      <w:proofErr w:type="spellEnd"/>
      <w:r w:rsidRPr="000C3274">
        <w:rPr>
          <w:lang w:val="en-US" w:eastAsia="fr-FR"/>
        </w:rPr>
        <w:t xml:space="preserve"> test</w:t>
      </w:r>
    </w:p>
    <w:tbl>
      <w:tblPr>
        <w:tblStyle w:val="Grilledutableau"/>
        <w:tblW w:w="0" w:type="auto"/>
        <w:jc w:val="center"/>
        <w:tblLook w:val="04A0" w:firstRow="1" w:lastRow="0" w:firstColumn="1" w:lastColumn="0" w:noHBand="0" w:noVBand="1"/>
      </w:tblPr>
      <w:tblGrid>
        <w:gridCol w:w="3020"/>
        <w:gridCol w:w="3021"/>
      </w:tblGrid>
      <w:tr w:rsidR="000625F4" w:rsidRPr="00CC0175" w:rsidTr="000625F4">
        <w:trPr>
          <w:trHeight w:val="228"/>
          <w:jc w:val="center"/>
        </w:trPr>
        <w:tc>
          <w:tcPr>
            <w:tcW w:w="6041" w:type="dxa"/>
            <w:gridSpan w:val="2"/>
            <w:vAlign w:val="center"/>
          </w:tcPr>
          <w:p w:rsidR="000625F4" w:rsidRPr="000625F4" w:rsidRDefault="000625F4" w:rsidP="000C3274">
            <w:pPr>
              <w:pStyle w:val="Sansinterligne"/>
              <w:jc w:val="center"/>
              <w:rPr>
                <w:lang w:val="en-US"/>
              </w:rPr>
            </w:pPr>
            <w:r w:rsidRPr="000625F4">
              <w:rPr>
                <w:lang w:val="en-US"/>
              </w:rPr>
              <w:t>H0: Difference in coefficients not systematic</w:t>
            </w:r>
          </w:p>
        </w:tc>
      </w:tr>
      <w:tr w:rsidR="000625F4" w:rsidRPr="000625F4" w:rsidTr="000625F4">
        <w:trPr>
          <w:jc w:val="center"/>
        </w:trPr>
        <w:tc>
          <w:tcPr>
            <w:tcW w:w="3020" w:type="dxa"/>
            <w:vAlign w:val="center"/>
          </w:tcPr>
          <w:p w:rsidR="000625F4" w:rsidRPr="000625F4" w:rsidRDefault="000625F4" w:rsidP="000C3274">
            <w:pPr>
              <w:pStyle w:val="Sansinterligne"/>
              <w:jc w:val="center"/>
            </w:pPr>
            <w:r w:rsidRPr="000625F4">
              <w:t>chi2(1)</w:t>
            </w:r>
          </w:p>
        </w:tc>
        <w:tc>
          <w:tcPr>
            <w:tcW w:w="3021" w:type="dxa"/>
            <w:vAlign w:val="center"/>
          </w:tcPr>
          <w:p w:rsidR="000625F4" w:rsidRPr="000625F4" w:rsidRDefault="000625F4" w:rsidP="000C3274">
            <w:pPr>
              <w:pStyle w:val="Sansinterligne"/>
              <w:jc w:val="center"/>
            </w:pPr>
            <w:r w:rsidRPr="000625F4">
              <w:t>0.047</w:t>
            </w:r>
          </w:p>
        </w:tc>
      </w:tr>
      <w:tr w:rsidR="000625F4" w:rsidRPr="000625F4" w:rsidTr="000625F4">
        <w:trPr>
          <w:jc w:val="center"/>
        </w:trPr>
        <w:tc>
          <w:tcPr>
            <w:tcW w:w="3020" w:type="dxa"/>
            <w:vAlign w:val="center"/>
          </w:tcPr>
          <w:p w:rsidR="000625F4" w:rsidRPr="000625F4" w:rsidRDefault="000625F4" w:rsidP="000C3274">
            <w:pPr>
              <w:pStyle w:val="Sansinterligne"/>
              <w:jc w:val="center"/>
            </w:pPr>
            <w:proofErr w:type="spellStart"/>
            <w:r w:rsidRPr="000625F4">
              <w:t>Prob</w:t>
            </w:r>
            <w:proofErr w:type="spellEnd"/>
            <w:r w:rsidRPr="000625F4">
              <w:t xml:space="preserve"> &gt; chi2</w:t>
            </w:r>
          </w:p>
        </w:tc>
        <w:tc>
          <w:tcPr>
            <w:tcW w:w="3021" w:type="dxa"/>
            <w:vAlign w:val="center"/>
          </w:tcPr>
          <w:p w:rsidR="000625F4" w:rsidRPr="000625F4" w:rsidRDefault="000625F4" w:rsidP="000C3274">
            <w:pPr>
              <w:pStyle w:val="Sansinterligne"/>
              <w:jc w:val="center"/>
            </w:pPr>
            <w:r w:rsidRPr="000625F4">
              <w:t>0.9763</w:t>
            </w:r>
          </w:p>
        </w:tc>
      </w:tr>
    </w:tbl>
    <w:p w:rsidR="000625F4" w:rsidRPr="000625F4" w:rsidRDefault="005B7AEC" w:rsidP="000C3274">
      <w:pPr>
        <w:pStyle w:val="Sansinterligne"/>
        <w:jc w:val="center"/>
        <w:rPr>
          <w:rFonts w:eastAsia="Times New Roman"/>
          <w:bCs/>
          <w:i/>
          <w:szCs w:val="24"/>
          <w:lang w:eastAsia="fr-FR"/>
        </w:rPr>
      </w:pPr>
      <w:r>
        <w:rPr>
          <w:rFonts w:eastAsia="Times New Roman"/>
          <w:bCs/>
          <w:i/>
          <w:szCs w:val="24"/>
          <w:lang w:eastAsia="fr-FR"/>
        </w:rPr>
        <w:t>Source: Authors</w:t>
      </w:r>
    </w:p>
    <w:p w:rsidR="000625F4" w:rsidRPr="000625F4" w:rsidRDefault="002D6793" w:rsidP="00BC5305">
      <w:pPr>
        <w:pStyle w:val="Sansinterligne"/>
        <w:jc w:val="both"/>
        <w:rPr>
          <w:b/>
          <w:lang w:eastAsia="fr-FR"/>
        </w:rPr>
      </w:pPr>
      <w:r>
        <w:rPr>
          <w:b/>
          <w:lang w:eastAsia="fr-FR"/>
        </w:rPr>
        <w:t>4.3. Estimation results of the random effects model</w:t>
      </w:r>
    </w:p>
    <w:p w:rsidR="000625F4" w:rsidRPr="000625F4" w:rsidRDefault="000625F4" w:rsidP="00BC5305">
      <w:pPr>
        <w:pStyle w:val="Sansinterligne"/>
        <w:jc w:val="both"/>
        <w:rPr>
          <w:sz w:val="24"/>
          <w:szCs w:val="24"/>
          <w:lang w:eastAsia="fr-FR"/>
        </w:rPr>
      </w:pPr>
      <w:r w:rsidRPr="000625F4">
        <w:rPr>
          <w:sz w:val="24"/>
          <w:szCs w:val="24"/>
          <w:lang w:eastAsia="fr-FR"/>
        </w:rPr>
        <w:t>Table 7 presents the results of the random-effects model estimation. The overall significance of the model is confirmed by the Wald statistic (χ² = 147.1; p-value = 0.000), indicating that the selected explanatory variables collectively explain the variations in labor supply. The coefficient of determination (R² = 0.199) reveals that the model explains approximately 19.9% of the variation in labor supply, which appears acceptable given the complexity of labor market determinants in African economies.</w:t>
      </w:r>
    </w:p>
    <w:p w:rsidR="000625F4" w:rsidRPr="000625F4" w:rsidRDefault="000625F4" w:rsidP="00BC5305">
      <w:pPr>
        <w:pStyle w:val="Sansinterligne"/>
        <w:jc w:val="both"/>
        <w:rPr>
          <w:sz w:val="24"/>
          <w:szCs w:val="24"/>
          <w:lang w:eastAsia="fr-FR"/>
        </w:rPr>
      </w:pPr>
      <w:r>
        <w:rPr>
          <w:sz w:val="24"/>
          <w:szCs w:val="24"/>
          <w:lang w:eastAsia="fr-FR"/>
        </w:rPr>
        <w:t xml:space="preserve">International migration has a positive and significant effect on labor supply at the 10% level (β = 0.252). This result suggests that international migration dynamics may be associated with an improvement in labor supply in the countries studied. This relationship can be explained by the mechanisms of skills, capital, and professional network transfer associated with migration, supporting the </w:t>
      </w:r>
      <w:proofErr w:type="gramStart"/>
      <w:r>
        <w:rPr>
          <w:sz w:val="24"/>
          <w:szCs w:val="24"/>
          <w:lang w:eastAsia="fr-FR"/>
        </w:rPr>
        <w:t xml:space="preserve">" </w:t>
      </w:r>
      <w:r w:rsidRPr="000625F4">
        <w:rPr>
          <w:sz w:val="24"/>
          <w:szCs w:val="24"/>
          <w:lang w:eastAsia="fr-FR"/>
        </w:rPr>
        <w:t>brain</w:t>
      </w:r>
      <w:proofErr w:type="gramEnd"/>
      <w:r w:rsidRPr="000625F4">
        <w:rPr>
          <w:sz w:val="24"/>
          <w:szCs w:val="24"/>
          <w:lang w:eastAsia="fr-FR"/>
        </w:rPr>
        <w:t xml:space="preserve"> gain" hypothesis developed by </w:t>
      </w:r>
      <w:proofErr w:type="spellStart"/>
      <w:r w:rsidRPr="000625F4">
        <w:rPr>
          <w:sz w:val="24"/>
          <w:szCs w:val="24"/>
          <w:lang w:eastAsia="fr-FR"/>
        </w:rPr>
        <w:t>Docquier</w:t>
      </w:r>
      <w:proofErr w:type="spellEnd"/>
      <w:r w:rsidRPr="000625F4">
        <w:rPr>
          <w:sz w:val="24"/>
          <w:szCs w:val="24"/>
          <w:lang w:eastAsia="fr-FR"/>
        </w:rPr>
        <w:t xml:space="preserve"> et al. (2012).</w:t>
      </w:r>
    </w:p>
    <w:p w:rsidR="000625F4" w:rsidRPr="000625F4" w:rsidRDefault="000625F4" w:rsidP="00BC5305">
      <w:pPr>
        <w:pStyle w:val="Sansinterligne"/>
        <w:jc w:val="both"/>
        <w:rPr>
          <w:sz w:val="24"/>
          <w:szCs w:val="24"/>
          <w:lang w:eastAsia="fr-FR"/>
        </w:rPr>
      </w:pPr>
      <w:r>
        <w:rPr>
          <w:sz w:val="24"/>
          <w:szCs w:val="24"/>
          <w:lang w:eastAsia="fr-FR"/>
        </w:rPr>
        <w:t xml:space="preserve">Urbanization has an </w:t>
      </w:r>
      <w:r w:rsidRPr="000625F4">
        <w:rPr>
          <w:sz w:val="24"/>
          <w:szCs w:val="24"/>
          <w:lang w:eastAsia="fr-FR"/>
        </w:rPr>
        <w:t xml:space="preserve">equal and statistically significant effect at the 1% level (β = -0.292). This result indicates that greater urbanization is associated with a decrease in the labor supply. In the African context, this relationship could reflect the difficulties urban markets face in absorbing rapid population growth, potentially leading to unemployment and underemployment, in line with the approach of Harris and </w:t>
      </w:r>
      <w:proofErr w:type="spellStart"/>
      <w:r w:rsidRPr="000625F4">
        <w:rPr>
          <w:sz w:val="24"/>
          <w:szCs w:val="24"/>
          <w:lang w:eastAsia="fr-FR"/>
        </w:rPr>
        <w:t>Todaro</w:t>
      </w:r>
      <w:proofErr w:type="spellEnd"/>
      <w:r w:rsidRPr="000625F4">
        <w:rPr>
          <w:sz w:val="24"/>
          <w:szCs w:val="24"/>
          <w:lang w:eastAsia="fr-FR"/>
        </w:rPr>
        <w:t xml:space="preserve"> (1970).</w:t>
      </w:r>
    </w:p>
    <w:p w:rsidR="000625F4" w:rsidRPr="000625F4" w:rsidRDefault="000625F4" w:rsidP="00BC5305">
      <w:pPr>
        <w:pStyle w:val="Sansinterligne"/>
        <w:jc w:val="both"/>
        <w:rPr>
          <w:sz w:val="24"/>
          <w:szCs w:val="24"/>
          <w:lang w:eastAsia="fr-FR"/>
        </w:rPr>
      </w:pPr>
      <w:r w:rsidRPr="000625F4">
        <w:rPr>
          <w:sz w:val="24"/>
          <w:szCs w:val="24"/>
          <w:lang w:eastAsia="fr-FR"/>
        </w:rPr>
        <w:t xml:space="preserve">GDP per capita has a positive but not statistically significant coefficient (β = 0.0246), suggesting that an increase in wealth does not automatically translate into an increase in the labor supply. </w:t>
      </w:r>
      <w:r w:rsidRPr="000625F4">
        <w:rPr>
          <w:sz w:val="24"/>
          <w:szCs w:val="24"/>
          <w:lang w:eastAsia="fr-FR"/>
        </w:rPr>
        <w:lastRenderedPageBreak/>
        <w:t>This result underscores the importance of other structural factors, particularly the capacity of economies to generate productive employment.</w:t>
      </w:r>
    </w:p>
    <w:p w:rsidR="005B7AEC" w:rsidRDefault="000625F4" w:rsidP="00BC5305">
      <w:pPr>
        <w:pStyle w:val="Sansinterligne"/>
        <w:jc w:val="both"/>
        <w:rPr>
          <w:sz w:val="24"/>
          <w:szCs w:val="24"/>
          <w:lang w:eastAsia="fr-FR"/>
        </w:rPr>
      </w:pPr>
      <w:r w:rsidRPr="000625F4">
        <w:rPr>
          <w:sz w:val="24"/>
          <w:szCs w:val="24"/>
          <w:lang w:eastAsia="fr-FR"/>
        </w:rPr>
        <w:t>Regarding education, the coefficient is negative but not significant (β = -0.00249). This relationship could reflect a mismatch between the accumulation of human capital and the opportunities offered by labor markets, particularly when education systems do not fully meet the needs of productive sectors.</w:t>
      </w:r>
    </w:p>
    <w:p w:rsidR="005B7AEC" w:rsidRDefault="005B7AEC" w:rsidP="00BC5305">
      <w:pPr>
        <w:pStyle w:val="Sansinterligne"/>
        <w:jc w:val="both"/>
        <w:rPr>
          <w:sz w:val="24"/>
          <w:szCs w:val="24"/>
          <w:lang w:eastAsia="fr-FR"/>
        </w:rPr>
      </w:pPr>
    </w:p>
    <w:p w:rsidR="000625F4" w:rsidRPr="000625F4" w:rsidRDefault="005B7AEC" w:rsidP="000C3274">
      <w:pPr>
        <w:pStyle w:val="Sansinterligne"/>
        <w:jc w:val="center"/>
        <w:rPr>
          <w:lang w:eastAsia="fr-FR"/>
        </w:rPr>
      </w:pPr>
      <w:r w:rsidRPr="000C3274">
        <w:rPr>
          <w:lang w:val="en-US" w:eastAsia="fr-FR"/>
        </w:rPr>
        <w:t xml:space="preserve">Table 7: Results of the </w:t>
      </w:r>
      <w:r w:rsidR="000625F4" w:rsidRPr="000625F4">
        <w:rPr>
          <w:lang w:eastAsia="fr-FR"/>
        </w:rPr>
        <w:t>random effects model estimations</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977"/>
      </w:tblGrid>
      <w:tr w:rsidR="000625F4" w:rsidRPr="000625F4" w:rsidTr="000B1CD4">
        <w:trPr>
          <w:trHeight w:val="300"/>
          <w:jc w:val="center"/>
        </w:trPr>
        <w:tc>
          <w:tcPr>
            <w:tcW w:w="2830" w:type="dxa"/>
            <w:shd w:val="clear" w:color="auto" w:fill="auto"/>
            <w:noWrap/>
            <w:vAlign w:val="center"/>
            <w:hideMark/>
          </w:tcPr>
          <w:p w:rsidR="000625F4" w:rsidRPr="000625F4" w:rsidRDefault="000625F4" w:rsidP="000C3274">
            <w:pPr>
              <w:pStyle w:val="Sansinterligne"/>
              <w:jc w:val="center"/>
            </w:pPr>
            <w:r w:rsidRPr="000625F4">
              <w:t>Variables</w:t>
            </w:r>
          </w:p>
        </w:tc>
        <w:tc>
          <w:tcPr>
            <w:tcW w:w="2977" w:type="dxa"/>
            <w:shd w:val="clear" w:color="auto" w:fill="auto"/>
            <w:vAlign w:val="center"/>
          </w:tcPr>
          <w:p w:rsidR="000625F4" w:rsidRPr="000625F4" w:rsidRDefault="000625F4" w:rsidP="000C3274">
            <w:pPr>
              <w:pStyle w:val="Sansinterligne"/>
              <w:jc w:val="center"/>
            </w:pPr>
            <w:r w:rsidRPr="000625F4">
              <w:t>Job offer</w:t>
            </w:r>
          </w:p>
        </w:tc>
      </w:tr>
      <w:tr w:rsidR="000625F4" w:rsidRPr="000625F4" w:rsidTr="000B1CD4">
        <w:trPr>
          <w:trHeight w:val="610"/>
          <w:jc w:val="center"/>
        </w:trPr>
        <w:tc>
          <w:tcPr>
            <w:tcW w:w="2830" w:type="dxa"/>
            <w:shd w:val="clear" w:color="auto" w:fill="auto"/>
            <w:noWrap/>
            <w:vAlign w:val="center"/>
            <w:hideMark/>
          </w:tcPr>
          <w:p w:rsidR="000625F4" w:rsidRPr="000625F4" w:rsidRDefault="000625F4" w:rsidP="000C3274">
            <w:pPr>
              <w:pStyle w:val="Sansinterligne"/>
              <w:jc w:val="center"/>
            </w:pPr>
            <w:r w:rsidRPr="000625F4">
              <w:t>International migration</w:t>
            </w:r>
          </w:p>
          <w:p w:rsidR="000625F4" w:rsidRPr="000625F4" w:rsidRDefault="000625F4" w:rsidP="000C3274">
            <w:pPr>
              <w:pStyle w:val="Sansinterligne"/>
              <w:jc w:val="center"/>
            </w:pPr>
          </w:p>
        </w:tc>
        <w:tc>
          <w:tcPr>
            <w:tcW w:w="2977" w:type="dxa"/>
            <w:shd w:val="clear" w:color="auto" w:fill="auto"/>
            <w:noWrap/>
            <w:vAlign w:val="center"/>
            <w:hideMark/>
          </w:tcPr>
          <w:p w:rsidR="000625F4" w:rsidRPr="000625F4" w:rsidRDefault="000625F4" w:rsidP="000C3274">
            <w:pPr>
              <w:pStyle w:val="Sansinterligne"/>
              <w:jc w:val="center"/>
            </w:pPr>
            <w:r w:rsidRPr="000625F4">
              <w:t>0.252*</w:t>
            </w:r>
          </w:p>
          <w:p w:rsidR="000625F4" w:rsidRPr="000625F4" w:rsidRDefault="000625F4" w:rsidP="000C3274">
            <w:pPr>
              <w:pStyle w:val="Sansinterligne"/>
              <w:jc w:val="center"/>
            </w:pPr>
            <w:r w:rsidRPr="000625F4">
              <w:t>(0.148)</w:t>
            </w:r>
          </w:p>
        </w:tc>
      </w:tr>
      <w:tr w:rsidR="000625F4" w:rsidRPr="000625F4" w:rsidTr="000B1CD4">
        <w:trPr>
          <w:trHeight w:val="610"/>
          <w:jc w:val="center"/>
        </w:trPr>
        <w:tc>
          <w:tcPr>
            <w:tcW w:w="2830" w:type="dxa"/>
            <w:shd w:val="clear" w:color="auto" w:fill="auto"/>
            <w:noWrap/>
            <w:vAlign w:val="center"/>
            <w:hideMark/>
          </w:tcPr>
          <w:p w:rsidR="000625F4" w:rsidRPr="000625F4" w:rsidRDefault="000625F4" w:rsidP="000C3274">
            <w:pPr>
              <w:pStyle w:val="Sansinterligne"/>
              <w:jc w:val="center"/>
            </w:pPr>
            <w:r w:rsidRPr="000625F4">
              <w:t>GDP per capita</w:t>
            </w:r>
          </w:p>
          <w:p w:rsidR="000625F4" w:rsidRPr="000625F4" w:rsidRDefault="000625F4" w:rsidP="000C3274">
            <w:pPr>
              <w:pStyle w:val="Sansinterligne"/>
              <w:jc w:val="center"/>
            </w:pPr>
          </w:p>
        </w:tc>
        <w:tc>
          <w:tcPr>
            <w:tcW w:w="2977" w:type="dxa"/>
            <w:shd w:val="clear" w:color="auto" w:fill="auto"/>
            <w:noWrap/>
            <w:vAlign w:val="center"/>
            <w:hideMark/>
          </w:tcPr>
          <w:p w:rsidR="000625F4" w:rsidRPr="000625F4" w:rsidRDefault="000625F4" w:rsidP="000C3274">
            <w:pPr>
              <w:pStyle w:val="Sansinterligne"/>
              <w:jc w:val="center"/>
            </w:pPr>
            <w:r w:rsidRPr="000625F4">
              <w:t>0.0246</w:t>
            </w:r>
          </w:p>
          <w:p w:rsidR="000625F4" w:rsidRPr="000625F4" w:rsidRDefault="000625F4" w:rsidP="000C3274">
            <w:pPr>
              <w:pStyle w:val="Sansinterligne"/>
              <w:jc w:val="center"/>
            </w:pPr>
            <w:r w:rsidRPr="000625F4">
              <w:t>(0.0261)</w:t>
            </w:r>
          </w:p>
        </w:tc>
      </w:tr>
      <w:tr w:rsidR="000625F4" w:rsidRPr="000625F4" w:rsidTr="000B1CD4">
        <w:trPr>
          <w:trHeight w:val="610"/>
          <w:jc w:val="center"/>
        </w:trPr>
        <w:tc>
          <w:tcPr>
            <w:tcW w:w="2830" w:type="dxa"/>
            <w:shd w:val="clear" w:color="auto" w:fill="auto"/>
            <w:noWrap/>
            <w:vAlign w:val="center"/>
            <w:hideMark/>
          </w:tcPr>
          <w:p w:rsidR="000625F4" w:rsidRPr="000625F4" w:rsidRDefault="000625F4" w:rsidP="000C3274">
            <w:pPr>
              <w:pStyle w:val="Sansinterligne"/>
              <w:jc w:val="center"/>
            </w:pPr>
            <w:r w:rsidRPr="000625F4">
              <w:t>Urbanization</w:t>
            </w:r>
          </w:p>
          <w:p w:rsidR="000625F4" w:rsidRPr="000625F4" w:rsidRDefault="000625F4" w:rsidP="000C3274">
            <w:pPr>
              <w:pStyle w:val="Sansinterligne"/>
              <w:jc w:val="center"/>
            </w:pPr>
          </w:p>
        </w:tc>
        <w:tc>
          <w:tcPr>
            <w:tcW w:w="2977" w:type="dxa"/>
            <w:shd w:val="clear" w:color="auto" w:fill="auto"/>
            <w:noWrap/>
            <w:vAlign w:val="center"/>
            <w:hideMark/>
          </w:tcPr>
          <w:p w:rsidR="000625F4" w:rsidRPr="000625F4" w:rsidRDefault="000625F4" w:rsidP="000C3274">
            <w:pPr>
              <w:pStyle w:val="Sansinterligne"/>
              <w:jc w:val="center"/>
            </w:pPr>
            <w:r w:rsidRPr="000625F4">
              <w:t>-0.292***</w:t>
            </w:r>
          </w:p>
          <w:p w:rsidR="000625F4" w:rsidRPr="000625F4" w:rsidRDefault="000625F4" w:rsidP="000C3274">
            <w:pPr>
              <w:pStyle w:val="Sansinterligne"/>
              <w:jc w:val="center"/>
            </w:pPr>
            <w:r w:rsidRPr="000625F4">
              <w:t>(0.0252)</w:t>
            </w:r>
          </w:p>
        </w:tc>
      </w:tr>
      <w:tr w:rsidR="000625F4" w:rsidRPr="000625F4" w:rsidTr="000B1CD4">
        <w:trPr>
          <w:trHeight w:val="610"/>
          <w:jc w:val="center"/>
        </w:trPr>
        <w:tc>
          <w:tcPr>
            <w:tcW w:w="2830" w:type="dxa"/>
            <w:shd w:val="clear" w:color="auto" w:fill="auto"/>
            <w:noWrap/>
            <w:vAlign w:val="center"/>
            <w:hideMark/>
          </w:tcPr>
          <w:p w:rsidR="000625F4" w:rsidRPr="000625F4" w:rsidRDefault="000625F4" w:rsidP="000C3274">
            <w:pPr>
              <w:pStyle w:val="Sansinterligne"/>
              <w:jc w:val="center"/>
            </w:pPr>
            <w:r w:rsidRPr="000625F4">
              <w:t>Education</w:t>
            </w:r>
          </w:p>
          <w:p w:rsidR="000625F4" w:rsidRPr="000625F4" w:rsidRDefault="000625F4" w:rsidP="000C3274">
            <w:pPr>
              <w:pStyle w:val="Sansinterligne"/>
              <w:jc w:val="center"/>
            </w:pPr>
          </w:p>
        </w:tc>
        <w:tc>
          <w:tcPr>
            <w:tcW w:w="2977" w:type="dxa"/>
            <w:shd w:val="clear" w:color="auto" w:fill="auto"/>
            <w:noWrap/>
            <w:vAlign w:val="center"/>
            <w:hideMark/>
          </w:tcPr>
          <w:p w:rsidR="000625F4" w:rsidRPr="000625F4" w:rsidRDefault="000625F4" w:rsidP="000C3274">
            <w:pPr>
              <w:pStyle w:val="Sansinterligne"/>
              <w:jc w:val="center"/>
            </w:pPr>
            <w:r w:rsidRPr="000625F4">
              <w:t>-0.00249</w:t>
            </w:r>
          </w:p>
          <w:p w:rsidR="000625F4" w:rsidRPr="000625F4" w:rsidRDefault="000625F4" w:rsidP="000C3274">
            <w:pPr>
              <w:pStyle w:val="Sansinterligne"/>
              <w:jc w:val="center"/>
            </w:pPr>
            <w:r w:rsidRPr="000625F4">
              <w:t>(0.0146)</w:t>
            </w:r>
          </w:p>
        </w:tc>
      </w:tr>
      <w:tr w:rsidR="000625F4" w:rsidRPr="000625F4" w:rsidTr="000B1CD4">
        <w:trPr>
          <w:trHeight w:val="610"/>
          <w:jc w:val="center"/>
        </w:trPr>
        <w:tc>
          <w:tcPr>
            <w:tcW w:w="2830" w:type="dxa"/>
            <w:shd w:val="clear" w:color="auto" w:fill="auto"/>
            <w:noWrap/>
            <w:vAlign w:val="center"/>
            <w:hideMark/>
          </w:tcPr>
          <w:p w:rsidR="000625F4" w:rsidRPr="000625F4" w:rsidRDefault="000625F4" w:rsidP="000C3274">
            <w:pPr>
              <w:pStyle w:val="Sansinterligne"/>
              <w:jc w:val="center"/>
            </w:pPr>
            <w:r w:rsidRPr="000625F4">
              <w:t>Constant</w:t>
            </w:r>
          </w:p>
          <w:p w:rsidR="000625F4" w:rsidRPr="000625F4" w:rsidRDefault="000625F4" w:rsidP="000C3274">
            <w:pPr>
              <w:pStyle w:val="Sansinterligne"/>
              <w:jc w:val="center"/>
            </w:pPr>
          </w:p>
        </w:tc>
        <w:tc>
          <w:tcPr>
            <w:tcW w:w="2977" w:type="dxa"/>
            <w:shd w:val="clear" w:color="auto" w:fill="auto"/>
            <w:noWrap/>
            <w:vAlign w:val="center"/>
            <w:hideMark/>
          </w:tcPr>
          <w:p w:rsidR="000625F4" w:rsidRPr="000625F4" w:rsidRDefault="000625F4" w:rsidP="000C3274">
            <w:pPr>
              <w:pStyle w:val="Sansinterligne"/>
              <w:jc w:val="center"/>
            </w:pPr>
            <w:r w:rsidRPr="000625F4">
              <w:t>77.33***</w:t>
            </w:r>
          </w:p>
          <w:p w:rsidR="000625F4" w:rsidRPr="000625F4" w:rsidRDefault="000625F4" w:rsidP="000C3274">
            <w:pPr>
              <w:pStyle w:val="Sansinterligne"/>
              <w:jc w:val="center"/>
            </w:pPr>
            <w:r w:rsidRPr="000625F4">
              <w:t>(2.228)</w:t>
            </w:r>
          </w:p>
        </w:tc>
      </w:tr>
      <w:tr w:rsidR="000625F4" w:rsidRPr="000625F4" w:rsidTr="000B1CD4">
        <w:trPr>
          <w:trHeight w:val="300"/>
          <w:jc w:val="center"/>
        </w:trPr>
        <w:tc>
          <w:tcPr>
            <w:tcW w:w="2830" w:type="dxa"/>
            <w:shd w:val="clear" w:color="auto" w:fill="auto"/>
            <w:noWrap/>
            <w:vAlign w:val="center"/>
            <w:hideMark/>
          </w:tcPr>
          <w:p w:rsidR="000625F4" w:rsidRPr="000625F4" w:rsidRDefault="000625F4" w:rsidP="000C3274">
            <w:pPr>
              <w:pStyle w:val="Sansinterligne"/>
              <w:jc w:val="center"/>
            </w:pPr>
            <w:r w:rsidRPr="000625F4">
              <w:t>Observations</w:t>
            </w:r>
          </w:p>
        </w:tc>
        <w:tc>
          <w:tcPr>
            <w:tcW w:w="2977" w:type="dxa"/>
            <w:shd w:val="clear" w:color="auto" w:fill="auto"/>
            <w:noWrap/>
            <w:vAlign w:val="center"/>
            <w:hideMark/>
          </w:tcPr>
          <w:p w:rsidR="000625F4" w:rsidRPr="000625F4" w:rsidRDefault="000625F4" w:rsidP="000C3274">
            <w:pPr>
              <w:pStyle w:val="Sansinterligne"/>
              <w:jc w:val="center"/>
            </w:pPr>
            <w:r w:rsidRPr="000625F4">
              <w:t>875</w:t>
            </w:r>
          </w:p>
        </w:tc>
      </w:tr>
      <w:tr w:rsidR="000625F4" w:rsidRPr="000625F4" w:rsidTr="000B1CD4">
        <w:trPr>
          <w:trHeight w:val="354"/>
          <w:jc w:val="center"/>
        </w:trPr>
        <w:tc>
          <w:tcPr>
            <w:tcW w:w="2830" w:type="dxa"/>
            <w:shd w:val="clear" w:color="auto" w:fill="auto"/>
            <w:noWrap/>
            <w:vAlign w:val="center"/>
          </w:tcPr>
          <w:p w:rsidR="000625F4" w:rsidRPr="000625F4" w:rsidRDefault="000625F4" w:rsidP="000C3274">
            <w:pPr>
              <w:pStyle w:val="Sansinterligne"/>
              <w:jc w:val="center"/>
            </w:pPr>
            <w:r w:rsidRPr="000625F4">
              <w:t>R-square</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0625F4" w:rsidRPr="000625F4" w:rsidRDefault="000625F4" w:rsidP="000C3274">
            <w:pPr>
              <w:pStyle w:val="Sansinterligne"/>
              <w:jc w:val="center"/>
            </w:pPr>
            <w:r w:rsidRPr="000625F4">
              <w:t>0.199</w:t>
            </w:r>
          </w:p>
        </w:tc>
      </w:tr>
      <w:tr w:rsidR="000625F4" w:rsidRPr="000625F4" w:rsidTr="000B1CD4">
        <w:trPr>
          <w:trHeight w:val="300"/>
          <w:jc w:val="center"/>
        </w:trPr>
        <w:tc>
          <w:tcPr>
            <w:tcW w:w="2830" w:type="dxa"/>
            <w:shd w:val="clear" w:color="auto" w:fill="auto"/>
            <w:noWrap/>
            <w:vAlign w:val="center"/>
            <w:hideMark/>
          </w:tcPr>
          <w:p w:rsidR="000625F4" w:rsidRPr="000625F4" w:rsidRDefault="000625F4" w:rsidP="000C3274">
            <w:pPr>
              <w:pStyle w:val="Sansinterligne"/>
              <w:jc w:val="center"/>
            </w:pPr>
            <w:r w:rsidRPr="000625F4">
              <w:t>Wald chi2(*)</w:t>
            </w:r>
          </w:p>
        </w:tc>
        <w:tc>
          <w:tcPr>
            <w:tcW w:w="2977" w:type="dxa"/>
            <w:shd w:val="clear" w:color="auto" w:fill="auto"/>
            <w:noWrap/>
            <w:vAlign w:val="center"/>
            <w:hideMark/>
          </w:tcPr>
          <w:p w:rsidR="000625F4" w:rsidRPr="000625F4" w:rsidRDefault="000625F4" w:rsidP="000C3274">
            <w:pPr>
              <w:pStyle w:val="Sansinterligne"/>
              <w:jc w:val="center"/>
            </w:pPr>
            <w:r w:rsidRPr="000625F4">
              <w:t>147.1</w:t>
            </w:r>
          </w:p>
        </w:tc>
      </w:tr>
      <w:tr w:rsidR="000625F4" w:rsidRPr="000625F4" w:rsidTr="000B1CD4">
        <w:trPr>
          <w:trHeight w:val="300"/>
          <w:jc w:val="center"/>
        </w:trPr>
        <w:tc>
          <w:tcPr>
            <w:tcW w:w="2830" w:type="dxa"/>
            <w:shd w:val="clear" w:color="auto" w:fill="auto"/>
            <w:noWrap/>
            <w:vAlign w:val="center"/>
            <w:hideMark/>
          </w:tcPr>
          <w:p w:rsidR="000625F4" w:rsidRPr="000625F4" w:rsidRDefault="000625F4" w:rsidP="000C3274">
            <w:pPr>
              <w:pStyle w:val="Sansinterligne"/>
              <w:jc w:val="center"/>
            </w:pPr>
            <w:r w:rsidRPr="000625F4">
              <w:t>P value</w:t>
            </w:r>
          </w:p>
        </w:tc>
        <w:tc>
          <w:tcPr>
            <w:tcW w:w="2977" w:type="dxa"/>
            <w:shd w:val="clear" w:color="auto" w:fill="auto"/>
            <w:noWrap/>
            <w:vAlign w:val="center"/>
            <w:hideMark/>
          </w:tcPr>
          <w:p w:rsidR="000625F4" w:rsidRPr="000625F4" w:rsidRDefault="000625F4" w:rsidP="000C3274">
            <w:pPr>
              <w:pStyle w:val="Sansinterligne"/>
              <w:jc w:val="center"/>
            </w:pPr>
            <w:r w:rsidRPr="000625F4">
              <w:t>0.0000</w:t>
            </w:r>
          </w:p>
        </w:tc>
      </w:tr>
    </w:tbl>
    <w:p w:rsidR="000625F4" w:rsidRPr="000625F4" w:rsidRDefault="000B1CD4" w:rsidP="000C3274">
      <w:pPr>
        <w:pStyle w:val="Sansinterligne"/>
        <w:jc w:val="center"/>
        <w:rPr>
          <w:bCs/>
          <w:i/>
          <w:szCs w:val="24"/>
        </w:rPr>
      </w:pPr>
      <w:proofErr w:type="gramStart"/>
      <w:r>
        <w:rPr>
          <w:bCs/>
          <w:i/>
          <w:szCs w:val="24"/>
        </w:rPr>
        <w:t>Source</w:t>
      </w:r>
      <w:r w:rsidR="000625F4" w:rsidRPr="000625F4">
        <w:rPr>
          <w:bCs/>
          <w:szCs w:val="24"/>
        </w:rPr>
        <w:t> </w:t>
      </w:r>
      <w:r w:rsidR="000625F4">
        <w:rPr>
          <w:bCs/>
          <w:i/>
          <w:szCs w:val="24"/>
        </w:rPr>
        <w:t>:</w:t>
      </w:r>
      <w:proofErr w:type="gramEnd"/>
      <w:r w:rsidR="000625F4">
        <w:rPr>
          <w:bCs/>
          <w:i/>
          <w:szCs w:val="24"/>
        </w:rPr>
        <w:t xml:space="preserve"> Authors </w:t>
      </w:r>
      <w:r w:rsidR="000625F4" w:rsidRPr="000625F4">
        <w:rPr>
          <w:szCs w:val="24"/>
        </w:rPr>
        <w:t>; Significant at: *** 1%, ** 5%, * 10%.</w:t>
      </w:r>
    </w:p>
    <w:p w:rsidR="000625F4" w:rsidRPr="000625F4" w:rsidRDefault="000625F4" w:rsidP="00BC5305">
      <w:pPr>
        <w:pStyle w:val="Sansinterligne"/>
        <w:jc w:val="both"/>
        <w:rPr>
          <w:sz w:val="24"/>
          <w:szCs w:val="24"/>
          <w:lang w:eastAsia="fr-FR"/>
        </w:rPr>
      </w:pPr>
    </w:p>
    <w:p w:rsidR="000625F4" w:rsidRPr="001C0B99" w:rsidRDefault="002D6793" w:rsidP="00BC5305">
      <w:pPr>
        <w:pStyle w:val="Sansinterligne"/>
        <w:jc w:val="both"/>
        <w:rPr>
          <w:b/>
          <w:lang w:eastAsia="fr-FR"/>
        </w:rPr>
      </w:pPr>
      <w:r>
        <w:rPr>
          <w:b/>
          <w:lang w:eastAsia="fr-FR"/>
        </w:rPr>
        <w:t>4.4. Robustness Test Results</w:t>
      </w:r>
    </w:p>
    <w:p w:rsidR="000625F4" w:rsidRDefault="000625F4" w:rsidP="00BC5305">
      <w:pPr>
        <w:pStyle w:val="Sansinterligne"/>
        <w:jc w:val="both"/>
      </w:pPr>
      <w:r w:rsidRPr="000625F4">
        <w:rPr>
          <w:lang w:eastAsia="fr-FR"/>
        </w:rPr>
        <w:t xml:space="preserve">To verify the robustness of the results obtained previously, a complementary estimation using the system Generalized Method of Moments (GMM system) </w:t>
      </w:r>
      <w:proofErr w:type="gramStart"/>
      <w:r w:rsidRPr="000625F4">
        <w:rPr>
          <w:lang w:eastAsia="fr-FR"/>
        </w:rPr>
        <w:t>was performed</w:t>
      </w:r>
      <w:proofErr w:type="gramEnd"/>
      <w:r w:rsidRPr="000625F4">
        <w:rPr>
          <w:lang w:eastAsia="fr-FR"/>
        </w:rPr>
        <w:t xml:space="preserve">. The results presented in Table 8 generally confirm the previous conclusions. International migration has a positive and significant effect at the 1% level on labor supply (β = 2.768); GDP per capita also has a positive and significant effect at the 1% level (β = 0.488). In contrast, the variables education (β = -0.0648) and urbanization (β = 0.0424) do not show a statistically significant effect. These results may reflect indirect or conditional effects, particularly related to the match between acquired skills and labor market needs, as well as the capacity of urban economies to generate productive jobs. The model validity tests confirm the reliability of the estimation. The Arellano -Bond autocorrelation test indicates the presence of first-order autocorrelation </w:t>
      </w:r>
      <w:proofErr w:type="gramStart"/>
      <w:r w:rsidRPr="000625F4">
        <w:rPr>
          <w:lang w:eastAsia="fr-FR"/>
        </w:rPr>
        <w:t>( AR</w:t>
      </w:r>
      <w:proofErr w:type="gramEnd"/>
      <w:r w:rsidRPr="000625F4">
        <w:rPr>
          <w:lang w:eastAsia="fr-FR"/>
        </w:rPr>
        <w:t xml:space="preserve">( 1), p = 0.0109), expected in dynamic models, but the absence of second-order autocorrelation (AR(2), p = 0.756) validates the model specification. Furthermore, the Hansen test (p = 0.342) confirms the overall validity </w:t>
      </w:r>
      <w:r w:rsidRPr="002225CB">
        <w:t>of the instruments used.</w:t>
      </w: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C3274" w:rsidRDefault="000C3274" w:rsidP="000B1CD4">
      <w:pPr>
        <w:pStyle w:val="Sansinterligne"/>
        <w:jc w:val="center"/>
        <w:rPr>
          <w:lang w:val="fr-CM"/>
        </w:rPr>
      </w:pPr>
    </w:p>
    <w:p w:rsidR="000B1CD4" w:rsidRPr="000B1CD4" w:rsidRDefault="000B1CD4" w:rsidP="000B1CD4">
      <w:pPr>
        <w:pStyle w:val="Sansinterligne"/>
        <w:jc w:val="center"/>
      </w:pPr>
      <w:r w:rsidRPr="000C3274">
        <w:rPr>
          <w:lang w:val="en-US"/>
        </w:rPr>
        <w:t xml:space="preserve">Table 8: </w:t>
      </w:r>
      <w:r w:rsidRPr="000B1CD4">
        <w:t>GMM system model estimation</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843"/>
      </w:tblGrid>
      <w:tr w:rsidR="000B1CD4" w:rsidRPr="000B1CD4" w:rsidTr="000B1CD4">
        <w:trPr>
          <w:trHeight w:val="300"/>
          <w:jc w:val="center"/>
        </w:trPr>
        <w:tc>
          <w:tcPr>
            <w:tcW w:w="2830" w:type="dxa"/>
            <w:shd w:val="clear" w:color="auto" w:fill="auto"/>
            <w:noWrap/>
            <w:vAlign w:val="center"/>
            <w:hideMark/>
          </w:tcPr>
          <w:p w:rsidR="000B1CD4" w:rsidRPr="000B1CD4" w:rsidRDefault="000B1CD4" w:rsidP="000B1CD4">
            <w:pPr>
              <w:pStyle w:val="Sansinterligne"/>
              <w:jc w:val="center"/>
            </w:pPr>
            <w:r w:rsidRPr="000B1CD4">
              <w:t>Variables</w:t>
            </w:r>
          </w:p>
        </w:tc>
        <w:tc>
          <w:tcPr>
            <w:tcW w:w="1843" w:type="dxa"/>
            <w:shd w:val="clear" w:color="auto" w:fill="auto"/>
            <w:noWrap/>
            <w:vAlign w:val="center"/>
            <w:hideMark/>
          </w:tcPr>
          <w:p w:rsidR="000B1CD4" w:rsidRPr="000B1CD4" w:rsidRDefault="000B1CD4" w:rsidP="000B1CD4">
            <w:pPr>
              <w:pStyle w:val="Sansinterligne"/>
              <w:jc w:val="center"/>
            </w:pPr>
            <w:r w:rsidRPr="000B1CD4">
              <w:t>Job offer</w:t>
            </w:r>
          </w:p>
        </w:tc>
      </w:tr>
      <w:tr w:rsidR="000B1CD4" w:rsidRPr="000B1CD4" w:rsidTr="000B1CD4">
        <w:trPr>
          <w:trHeight w:val="610"/>
          <w:jc w:val="center"/>
        </w:trPr>
        <w:tc>
          <w:tcPr>
            <w:tcW w:w="2830" w:type="dxa"/>
            <w:shd w:val="clear" w:color="auto" w:fill="auto"/>
            <w:noWrap/>
            <w:vAlign w:val="center"/>
            <w:hideMark/>
          </w:tcPr>
          <w:p w:rsidR="000B1CD4" w:rsidRPr="000B1CD4" w:rsidRDefault="000B1CD4" w:rsidP="000B1CD4">
            <w:pPr>
              <w:pStyle w:val="Sansinterligne"/>
              <w:jc w:val="center"/>
            </w:pPr>
            <w:r w:rsidRPr="000B1CD4">
              <w:t>International migration</w:t>
            </w:r>
          </w:p>
          <w:p w:rsidR="000B1CD4" w:rsidRPr="000B1CD4" w:rsidRDefault="000B1CD4" w:rsidP="000B1CD4">
            <w:pPr>
              <w:pStyle w:val="Sansinterligne"/>
              <w:jc w:val="center"/>
            </w:pPr>
          </w:p>
        </w:tc>
        <w:tc>
          <w:tcPr>
            <w:tcW w:w="1843" w:type="dxa"/>
            <w:shd w:val="clear" w:color="auto" w:fill="auto"/>
            <w:noWrap/>
            <w:vAlign w:val="center"/>
            <w:hideMark/>
          </w:tcPr>
          <w:p w:rsidR="000B1CD4" w:rsidRPr="000B1CD4" w:rsidRDefault="000B1CD4" w:rsidP="000B1CD4">
            <w:pPr>
              <w:pStyle w:val="Sansinterligne"/>
              <w:jc w:val="center"/>
            </w:pPr>
            <w:r w:rsidRPr="000B1CD4">
              <w:t>2.768***</w:t>
            </w:r>
          </w:p>
          <w:p w:rsidR="000B1CD4" w:rsidRPr="000B1CD4" w:rsidRDefault="000B1CD4" w:rsidP="000B1CD4">
            <w:pPr>
              <w:pStyle w:val="Sansinterligne"/>
              <w:jc w:val="center"/>
            </w:pPr>
            <w:r w:rsidRPr="000B1CD4">
              <w:t>(0.913)</w:t>
            </w:r>
          </w:p>
        </w:tc>
      </w:tr>
      <w:tr w:rsidR="000B1CD4" w:rsidRPr="000B1CD4" w:rsidTr="000B1CD4">
        <w:trPr>
          <w:trHeight w:val="610"/>
          <w:jc w:val="center"/>
        </w:trPr>
        <w:tc>
          <w:tcPr>
            <w:tcW w:w="2830" w:type="dxa"/>
            <w:shd w:val="clear" w:color="auto" w:fill="auto"/>
            <w:noWrap/>
            <w:vAlign w:val="center"/>
            <w:hideMark/>
          </w:tcPr>
          <w:p w:rsidR="000B1CD4" w:rsidRPr="000B1CD4" w:rsidRDefault="000B1CD4" w:rsidP="000B1CD4">
            <w:pPr>
              <w:pStyle w:val="Sansinterligne"/>
              <w:jc w:val="center"/>
            </w:pPr>
            <w:r w:rsidRPr="000B1CD4">
              <w:t>GDP per capita</w:t>
            </w:r>
          </w:p>
          <w:p w:rsidR="000B1CD4" w:rsidRPr="000B1CD4" w:rsidRDefault="000B1CD4" w:rsidP="000B1CD4">
            <w:pPr>
              <w:pStyle w:val="Sansinterligne"/>
              <w:jc w:val="center"/>
            </w:pPr>
          </w:p>
        </w:tc>
        <w:tc>
          <w:tcPr>
            <w:tcW w:w="1843" w:type="dxa"/>
            <w:shd w:val="clear" w:color="auto" w:fill="auto"/>
            <w:noWrap/>
            <w:vAlign w:val="center"/>
            <w:hideMark/>
          </w:tcPr>
          <w:p w:rsidR="000B1CD4" w:rsidRPr="000B1CD4" w:rsidRDefault="000B1CD4" w:rsidP="000B1CD4">
            <w:pPr>
              <w:pStyle w:val="Sansinterligne"/>
              <w:jc w:val="center"/>
            </w:pPr>
            <w:r w:rsidRPr="000B1CD4">
              <w:t>0.488***</w:t>
            </w:r>
          </w:p>
          <w:p w:rsidR="000B1CD4" w:rsidRPr="000B1CD4" w:rsidRDefault="000B1CD4" w:rsidP="000B1CD4">
            <w:pPr>
              <w:pStyle w:val="Sansinterligne"/>
              <w:jc w:val="center"/>
            </w:pPr>
            <w:r w:rsidRPr="000B1CD4">
              <w:t>(0.121)</w:t>
            </w:r>
          </w:p>
        </w:tc>
      </w:tr>
      <w:tr w:rsidR="000B1CD4" w:rsidRPr="000B1CD4" w:rsidTr="000B1CD4">
        <w:trPr>
          <w:trHeight w:val="610"/>
          <w:jc w:val="center"/>
        </w:trPr>
        <w:tc>
          <w:tcPr>
            <w:tcW w:w="2830" w:type="dxa"/>
            <w:shd w:val="clear" w:color="auto" w:fill="auto"/>
            <w:noWrap/>
            <w:vAlign w:val="center"/>
            <w:hideMark/>
          </w:tcPr>
          <w:p w:rsidR="000B1CD4" w:rsidRPr="000B1CD4" w:rsidRDefault="000B1CD4" w:rsidP="000B1CD4">
            <w:pPr>
              <w:pStyle w:val="Sansinterligne"/>
              <w:jc w:val="center"/>
            </w:pPr>
            <w:r w:rsidRPr="000B1CD4">
              <w:t>Urbanization</w:t>
            </w:r>
          </w:p>
          <w:p w:rsidR="000B1CD4" w:rsidRPr="000B1CD4" w:rsidRDefault="000B1CD4" w:rsidP="000B1CD4">
            <w:pPr>
              <w:pStyle w:val="Sansinterligne"/>
              <w:jc w:val="center"/>
            </w:pPr>
          </w:p>
        </w:tc>
        <w:tc>
          <w:tcPr>
            <w:tcW w:w="1843" w:type="dxa"/>
            <w:shd w:val="clear" w:color="auto" w:fill="auto"/>
            <w:noWrap/>
            <w:vAlign w:val="center"/>
            <w:hideMark/>
          </w:tcPr>
          <w:p w:rsidR="000B1CD4" w:rsidRPr="000B1CD4" w:rsidRDefault="000B1CD4" w:rsidP="000B1CD4">
            <w:pPr>
              <w:pStyle w:val="Sansinterligne"/>
              <w:jc w:val="center"/>
            </w:pPr>
            <w:r w:rsidRPr="000B1CD4">
              <w:t>0.0424</w:t>
            </w:r>
          </w:p>
          <w:p w:rsidR="000B1CD4" w:rsidRPr="000B1CD4" w:rsidRDefault="000B1CD4" w:rsidP="000B1CD4">
            <w:pPr>
              <w:pStyle w:val="Sansinterligne"/>
              <w:jc w:val="center"/>
            </w:pPr>
            <w:r w:rsidRPr="000B1CD4">
              <w:t>(0.0639)</w:t>
            </w:r>
          </w:p>
        </w:tc>
      </w:tr>
      <w:tr w:rsidR="000B1CD4" w:rsidRPr="000B1CD4" w:rsidTr="000B1CD4">
        <w:trPr>
          <w:trHeight w:val="610"/>
          <w:jc w:val="center"/>
        </w:trPr>
        <w:tc>
          <w:tcPr>
            <w:tcW w:w="2830" w:type="dxa"/>
            <w:shd w:val="clear" w:color="auto" w:fill="auto"/>
            <w:noWrap/>
            <w:vAlign w:val="center"/>
            <w:hideMark/>
          </w:tcPr>
          <w:p w:rsidR="000B1CD4" w:rsidRPr="000B1CD4" w:rsidRDefault="000B1CD4" w:rsidP="000B1CD4">
            <w:pPr>
              <w:pStyle w:val="Sansinterligne"/>
              <w:jc w:val="center"/>
            </w:pPr>
            <w:r w:rsidRPr="000B1CD4">
              <w:t>Education</w:t>
            </w:r>
          </w:p>
          <w:p w:rsidR="000B1CD4" w:rsidRPr="000B1CD4" w:rsidRDefault="000B1CD4" w:rsidP="000B1CD4">
            <w:pPr>
              <w:pStyle w:val="Sansinterligne"/>
              <w:jc w:val="center"/>
            </w:pPr>
          </w:p>
        </w:tc>
        <w:tc>
          <w:tcPr>
            <w:tcW w:w="1843" w:type="dxa"/>
            <w:shd w:val="clear" w:color="auto" w:fill="auto"/>
            <w:noWrap/>
            <w:vAlign w:val="center"/>
            <w:hideMark/>
          </w:tcPr>
          <w:p w:rsidR="000B1CD4" w:rsidRPr="000B1CD4" w:rsidRDefault="000B1CD4" w:rsidP="000B1CD4">
            <w:pPr>
              <w:pStyle w:val="Sansinterligne"/>
              <w:jc w:val="center"/>
            </w:pPr>
            <w:r w:rsidRPr="000B1CD4">
              <w:t>-0.0648</w:t>
            </w:r>
          </w:p>
          <w:p w:rsidR="000B1CD4" w:rsidRPr="000B1CD4" w:rsidRDefault="000B1CD4" w:rsidP="000B1CD4">
            <w:pPr>
              <w:pStyle w:val="Sansinterligne"/>
              <w:jc w:val="center"/>
            </w:pPr>
            <w:r w:rsidRPr="000B1CD4">
              <w:t>(0.0413)</w:t>
            </w:r>
          </w:p>
        </w:tc>
      </w:tr>
      <w:tr w:rsidR="000B1CD4" w:rsidRPr="000B1CD4" w:rsidTr="000B1CD4">
        <w:trPr>
          <w:trHeight w:val="610"/>
          <w:jc w:val="center"/>
        </w:trPr>
        <w:tc>
          <w:tcPr>
            <w:tcW w:w="2830" w:type="dxa"/>
            <w:shd w:val="clear" w:color="auto" w:fill="auto"/>
            <w:noWrap/>
            <w:vAlign w:val="center"/>
            <w:hideMark/>
          </w:tcPr>
          <w:p w:rsidR="000B1CD4" w:rsidRPr="000B1CD4" w:rsidRDefault="000B1CD4" w:rsidP="000B1CD4">
            <w:pPr>
              <w:pStyle w:val="Sansinterligne"/>
              <w:jc w:val="center"/>
            </w:pPr>
            <w:r w:rsidRPr="000B1CD4">
              <w:t>Constant</w:t>
            </w:r>
          </w:p>
          <w:p w:rsidR="000B1CD4" w:rsidRPr="000B1CD4" w:rsidRDefault="000B1CD4" w:rsidP="000B1CD4">
            <w:pPr>
              <w:pStyle w:val="Sansinterligne"/>
              <w:jc w:val="center"/>
            </w:pPr>
          </w:p>
        </w:tc>
        <w:tc>
          <w:tcPr>
            <w:tcW w:w="1843" w:type="dxa"/>
            <w:shd w:val="clear" w:color="auto" w:fill="auto"/>
            <w:noWrap/>
            <w:vAlign w:val="center"/>
            <w:hideMark/>
          </w:tcPr>
          <w:p w:rsidR="000B1CD4" w:rsidRPr="000B1CD4" w:rsidRDefault="000B1CD4" w:rsidP="000B1CD4">
            <w:pPr>
              <w:pStyle w:val="Sansinterligne"/>
              <w:jc w:val="center"/>
            </w:pPr>
            <w:r w:rsidRPr="000B1CD4">
              <w:t>57.23***</w:t>
            </w:r>
          </w:p>
          <w:p w:rsidR="000B1CD4" w:rsidRPr="000B1CD4" w:rsidRDefault="000B1CD4" w:rsidP="000B1CD4">
            <w:pPr>
              <w:pStyle w:val="Sansinterligne"/>
              <w:jc w:val="center"/>
            </w:pPr>
            <w:r w:rsidRPr="000B1CD4">
              <w:t>(2.544)</w:t>
            </w:r>
          </w:p>
        </w:tc>
      </w:tr>
      <w:tr w:rsidR="000B1CD4" w:rsidRPr="000B1CD4" w:rsidTr="000B1CD4">
        <w:trPr>
          <w:trHeight w:val="300"/>
          <w:jc w:val="center"/>
        </w:trPr>
        <w:tc>
          <w:tcPr>
            <w:tcW w:w="2830" w:type="dxa"/>
            <w:shd w:val="clear" w:color="auto" w:fill="auto"/>
            <w:noWrap/>
            <w:vAlign w:val="center"/>
            <w:hideMark/>
          </w:tcPr>
          <w:p w:rsidR="000B1CD4" w:rsidRPr="000B1CD4" w:rsidRDefault="000B1CD4" w:rsidP="000B1CD4">
            <w:pPr>
              <w:pStyle w:val="Sansinterligne"/>
              <w:jc w:val="center"/>
            </w:pPr>
            <w:r w:rsidRPr="000B1CD4">
              <w:t>Observations</w:t>
            </w:r>
          </w:p>
        </w:tc>
        <w:tc>
          <w:tcPr>
            <w:tcW w:w="1843" w:type="dxa"/>
            <w:shd w:val="clear" w:color="auto" w:fill="auto"/>
            <w:noWrap/>
            <w:vAlign w:val="center"/>
            <w:hideMark/>
          </w:tcPr>
          <w:p w:rsidR="000B1CD4" w:rsidRPr="000B1CD4" w:rsidRDefault="000B1CD4" w:rsidP="000B1CD4">
            <w:pPr>
              <w:pStyle w:val="Sansinterligne"/>
              <w:jc w:val="center"/>
            </w:pPr>
            <w:r w:rsidRPr="000B1CD4">
              <w:t>840</w:t>
            </w:r>
          </w:p>
        </w:tc>
      </w:tr>
      <w:tr w:rsidR="000B1CD4" w:rsidRPr="000B1CD4" w:rsidTr="000B1CD4">
        <w:trPr>
          <w:trHeight w:val="300"/>
          <w:jc w:val="center"/>
        </w:trPr>
        <w:tc>
          <w:tcPr>
            <w:tcW w:w="2830" w:type="dxa"/>
            <w:shd w:val="clear" w:color="auto" w:fill="auto"/>
            <w:noWrap/>
            <w:vAlign w:val="center"/>
          </w:tcPr>
          <w:p w:rsidR="000B1CD4" w:rsidRPr="000B1CD4" w:rsidRDefault="000B1CD4" w:rsidP="000B1CD4">
            <w:pPr>
              <w:pStyle w:val="Sansinterligne"/>
              <w:jc w:val="center"/>
            </w:pPr>
            <w:r w:rsidRPr="000B1CD4">
              <w:t>AR 1</w:t>
            </w:r>
          </w:p>
        </w:tc>
        <w:tc>
          <w:tcPr>
            <w:tcW w:w="1843" w:type="dxa"/>
            <w:shd w:val="clear" w:color="auto" w:fill="auto"/>
            <w:noWrap/>
            <w:vAlign w:val="center"/>
          </w:tcPr>
          <w:p w:rsidR="000B1CD4" w:rsidRPr="000B1CD4" w:rsidRDefault="000B1CD4" w:rsidP="000B1CD4">
            <w:pPr>
              <w:pStyle w:val="Sansinterligne"/>
              <w:jc w:val="center"/>
            </w:pPr>
            <w:r w:rsidRPr="000B1CD4">
              <w:t>0.0109</w:t>
            </w:r>
          </w:p>
        </w:tc>
      </w:tr>
      <w:tr w:rsidR="000B1CD4" w:rsidRPr="000B1CD4" w:rsidTr="000B1CD4">
        <w:trPr>
          <w:trHeight w:val="300"/>
          <w:jc w:val="center"/>
        </w:trPr>
        <w:tc>
          <w:tcPr>
            <w:tcW w:w="2830" w:type="dxa"/>
            <w:shd w:val="clear" w:color="auto" w:fill="auto"/>
            <w:noWrap/>
            <w:vAlign w:val="center"/>
          </w:tcPr>
          <w:p w:rsidR="000B1CD4" w:rsidRPr="000B1CD4" w:rsidRDefault="000B1CD4" w:rsidP="000B1CD4">
            <w:pPr>
              <w:pStyle w:val="Sansinterligne"/>
              <w:jc w:val="center"/>
            </w:pPr>
            <w:r w:rsidRPr="000B1CD4">
              <w:t>AR 2</w:t>
            </w:r>
          </w:p>
        </w:tc>
        <w:tc>
          <w:tcPr>
            <w:tcW w:w="1843" w:type="dxa"/>
            <w:shd w:val="clear" w:color="auto" w:fill="auto"/>
            <w:noWrap/>
            <w:vAlign w:val="center"/>
          </w:tcPr>
          <w:p w:rsidR="000B1CD4" w:rsidRPr="000B1CD4" w:rsidRDefault="000B1CD4" w:rsidP="000B1CD4">
            <w:pPr>
              <w:pStyle w:val="Sansinterligne"/>
              <w:jc w:val="center"/>
            </w:pPr>
            <w:r w:rsidRPr="000B1CD4">
              <w:t>0.756</w:t>
            </w:r>
          </w:p>
        </w:tc>
      </w:tr>
      <w:tr w:rsidR="000B1CD4" w:rsidRPr="000B1CD4" w:rsidTr="000B1CD4">
        <w:trPr>
          <w:trHeight w:val="300"/>
          <w:jc w:val="center"/>
        </w:trPr>
        <w:tc>
          <w:tcPr>
            <w:tcW w:w="2830" w:type="dxa"/>
            <w:shd w:val="clear" w:color="auto" w:fill="auto"/>
            <w:noWrap/>
            <w:vAlign w:val="center"/>
          </w:tcPr>
          <w:p w:rsidR="000B1CD4" w:rsidRPr="000B1CD4" w:rsidRDefault="000B1CD4" w:rsidP="000B1CD4">
            <w:pPr>
              <w:pStyle w:val="Sansinterligne"/>
              <w:jc w:val="center"/>
            </w:pPr>
            <w:r w:rsidRPr="000B1CD4">
              <w:t>Hansen</w:t>
            </w:r>
          </w:p>
        </w:tc>
        <w:tc>
          <w:tcPr>
            <w:tcW w:w="1843" w:type="dxa"/>
            <w:shd w:val="clear" w:color="auto" w:fill="auto"/>
            <w:noWrap/>
            <w:vAlign w:val="center"/>
          </w:tcPr>
          <w:p w:rsidR="000B1CD4" w:rsidRPr="000B1CD4" w:rsidRDefault="000B1CD4" w:rsidP="000B1CD4">
            <w:pPr>
              <w:pStyle w:val="Sansinterligne"/>
              <w:jc w:val="center"/>
            </w:pPr>
            <w:r w:rsidRPr="000B1CD4">
              <w:t>0.342</w:t>
            </w:r>
          </w:p>
        </w:tc>
      </w:tr>
      <w:tr w:rsidR="000B1CD4" w:rsidRPr="000B1CD4" w:rsidTr="000B1CD4">
        <w:trPr>
          <w:trHeight w:val="300"/>
          <w:jc w:val="center"/>
        </w:trPr>
        <w:tc>
          <w:tcPr>
            <w:tcW w:w="2830" w:type="dxa"/>
            <w:shd w:val="clear" w:color="auto" w:fill="auto"/>
            <w:noWrap/>
            <w:vAlign w:val="center"/>
          </w:tcPr>
          <w:p w:rsidR="000B1CD4" w:rsidRPr="000B1CD4" w:rsidRDefault="000B1CD4" w:rsidP="000B1CD4">
            <w:pPr>
              <w:pStyle w:val="Sansinterligne"/>
              <w:jc w:val="center"/>
            </w:pPr>
            <w:proofErr w:type="spellStart"/>
            <w:r w:rsidRPr="000B1CD4">
              <w:t>Sargan</w:t>
            </w:r>
            <w:proofErr w:type="spellEnd"/>
          </w:p>
        </w:tc>
        <w:tc>
          <w:tcPr>
            <w:tcW w:w="1843" w:type="dxa"/>
            <w:shd w:val="clear" w:color="auto" w:fill="auto"/>
            <w:noWrap/>
            <w:vAlign w:val="center"/>
          </w:tcPr>
          <w:p w:rsidR="000B1CD4" w:rsidRPr="000B1CD4" w:rsidRDefault="000B1CD4" w:rsidP="000B1CD4">
            <w:pPr>
              <w:pStyle w:val="Sansinterligne"/>
              <w:jc w:val="center"/>
            </w:pPr>
            <w:r w:rsidRPr="000B1CD4">
              <w:t>0.000</w:t>
            </w:r>
          </w:p>
        </w:tc>
      </w:tr>
    </w:tbl>
    <w:p w:rsidR="000B1CD4" w:rsidRPr="000B1CD4" w:rsidRDefault="000B1CD4" w:rsidP="000B1CD4">
      <w:pPr>
        <w:spacing w:after="0" w:line="360" w:lineRule="auto"/>
        <w:jc w:val="center"/>
        <w:rPr>
          <w:rFonts w:ascii="Times New Roman" w:eastAsia="Calibri" w:hAnsi="Times New Roman" w:cs="Times New Roman"/>
          <w:sz w:val="24"/>
          <w:szCs w:val="24"/>
        </w:rPr>
      </w:pPr>
      <w:proofErr w:type="gramStart"/>
      <w:r w:rsidRPr="000B1CD4">
        <w:rPr>
          <w:rFonts w:ascii="Times New Roman" w:eastAsia="Calibri" w:hAnsi="Times New Roman" w:cs="Times New Roman"/>
          <w:bCs/>
          <w:i/>
          <w:sz w:val="24"/>
          <w:szCs w:val="24"/>
        </w:rPr>
        <w:t>Source</w:t>
      </w:r>
      <w:r w:rsidRPr="000B1CD4">
        <w:rPr>
          <w:rFonts w:ascii="Times New Roman" w:eastAsia="Calibri" w:hAnsi="Times New Roman" w:cs="Times New Roman"/>
          <w:bCs/>
          <w:sz w:val="24"/>
          <w:szCs w:val="24"/>
        </w:rPr>
        <w:t> </w:t>
      </w:r>
      <w:r w:rsidRPr="000B1CD4">
        <w:rPr>
          <w:rFonts w:ascii="Times New Roman" w:eastAsia="Calibri" w:hAnsi="Times New Roman" w:cs="Times New Roman"/>
          <w:bCs/>
          <w:i/>
          <w:sz w:val="24"/>
          <w:szCs w:val="24"/>
        </w:rPr>
        <w:t>:</w:t>
      </w:r>
      <w:proofErr w:type="gramEnd"/>
      <w:r w:rsidRPr="000B1CD4">
        <w:rPr>
          <w:rFonts w:ascii="Times New Roman" w:eastAsia="Calibri" w:hAnsi="Times New Roman" w:cs="Times New Roman"/>
          <w:bCs/>
          <w:i/>
          <w:sz w:val="24"/>
          <w:szCs w:val="24"/>
        </w:rPr>
        <w:t xml:space="preserve"> Author </w:t>
      </w:r>
      <w:r w:rsidRPr="000B1CD4">
        <w:rPr>
          <w:rFonts w:ascii="Times New Roman" w:eastAsia="Calibri" w:hAnsi="Times New Roman" w:cs="Times New Roman"/>
          <w:sz w:val="24"/>
          <w:szCs w:val="24"/>
        </w:rPr>
        <w:t>; Significant at: *** 1%, ** 5%, * 10%.</w:t>
      </w:r>
    </w:p>
    <w:p w:rsidR="002225CB" w:rsidRPr="001C0B99" w:rsidRDefault="002D6793" w:rsidP="00BC5305">
      <w:pPr>
        <w:pStyle w:val="Sansinterligne"/>
        <w:jc w:val="both"/>
        <w:rPr>
          <w:b/>
        </w:rPr>
      </w:pPr>
      <w:r>
        <w:rPr>
          <w:b/>
        </w:rPr>
        <w:t>4.5. Discussion of results</w:t>
      </w:r>
    </w:p>
    <w:p w:rsidR="002225CB" w:rsidRPr="002225CB" w:rsidRDefault="002225CB" w:rsidP="00BC5305">
      <w:pPr>
        <w:pStyle w:val="Sansinterligne"/>
        <w:jc w:val="both"/>
      </w:pPr>
      <w:r w:rsidRPr="002225CB">
        <w:t xml:space="preserve">The positive effect of international migration on labor supply (β = 0.252; significant at the 10% level) suggests that international mobility can be a favorable factor for labor market dynamics in countries of origin. This finding aligns with recent literature on the productive effects of migration, particularly the </w:t>
      </w:r>
      <w:proofErr w:type="gramStart"/>
      <w:r w:rsidRPr="002225CB">
        <w:t>" brain</w:t>
      </w:r>
      <w:proofErr w:type="gramEnd"/>
      <w:r w:rsidRPr="002225CB">
        <w:t xml:space="preserve"> gain" approach developed by </w:t>
      </w:r>
      <w:proofErr w:type="spellStart"/>
      <w:r w:rsidRPr="002225CB">
        <w:t>Frédéric</w:t>
      </w:r>
      <w:proofErr w:type="spellEnd"/>
      <w:r w:rsidRPr="002225CB">
        <w:t xml:space="preserve"> </w:t>
      </w:r>
      <w:proofErr w:type="spellStart"/>
      <w:r w:rsidRPr="002225CB">
        <w:t>Docquier</w:t>
      </w:r>
      <w:proofErr w:type="spellEnd"/>
      <w:r w:rsidRPr="002225CB">
        <w:t xml:space="preserve"> et al. (2012), which posits that emigration can generate positive externalities through skills transfers, professional networks, and investments from migrants. In the African context, where remittances represent a significant source of external financing, these mechanisms can contribute to supporting economic activity and strengthening local productive capacities. This interpretation also resonates with the work of Hein de Haas (2010), who emphasizes that migration should not be viewed solely as a loss of labor, but also as a </w:t>
      </w:r>
      <w:proofErr w:type="gramStart"/>
      <w:r w:rsidRPr="002225CB">
        <w:t>process</w:t>
      </w:r>
      <w:proofErr w:type="gramEnd"/>
      <w:r w:rsidRPr="002225CB">
        <w:t xml:space="preserve"> that can generate development opportunities.</w:t>
      </w:r>
    </w:p>
    <w:p w:rsidR="002225CB" w:rsidRPr="002225CB" w:rsidRDefault="002225CB" w:rsidP="00BC5305">
      <w:pPr>
        <w:pStyle w:val="Sansinterligne"/>
        <w:jc w:val="both"/>
      </w:pPr>
      <w:r w:rsidRPr="002225CB">
        <w:t xml:space="preserve">The negative and highly significant effect of urbanization on labor supply (β = -0.292; significant at the 1% level) highlights the challenges associated with the structural transformation of African economies. This finding is consistent with the migration-development model of John R. Harris and Michael </w:t>
      </w:r>
      <w:proofErr w:type="spellStart"/>
      <w:r w:rsidRPr="002225CB">
        <w:t>Todaro</w:t>
      </w:r>
      <w:proofErr w:type="spellEnd"/>
      <w:r w:rsidRPr="002225CB">
        <w:t xml:space="preserve"> (1970), which shows that rapid </w:t>
      </w:r>
      <w:proofErr w:type="gramStart"/>
      <w:r w:rsidRPr="002225CB">
        <w:t>urbanization</w:t>
      </w:r>
      <w:proofErr w:type="gramEnd"/>
      <w:r w:rsidRPr="002225CB">
        <w:t xml:space="preserve"> can lead to an accumulation of urban unemployment when the creation of modern jobs does not keep pace with internal migration. This situation remains particularly relevant in sub-Saharan Africa, where urban expansion </w:t>
      </w:r>
      <w:proofErr w:type="gramStart"/>
      <w:r w:rsidRPr="002225CB">
        <w:t>is often accompanied</w:t>
      </w:r>
      <w:proofErr w:type="gramEnd"/>
      <w:r w:rsidRPr="002225CB">
        <w:t xml:space="preserve"> by strong growth in the informal sector and a limited capacity to absorb new entrants into the labor market. Analyses by Joseph E. Stiglitz (2016) also emphasize that Africa's structural transformation remains characterized by low levels of industrialization, limiting the expected positive effects of urbanization on productive employment.</w:t>
      </w:r>
    </w:p>
    <w:p w:rsidR="002225CB" w:rsidRPr="002225CB" w:rsidRDefault="002225CB" w:rsidP="00BC5305">
      <w:pPr>
        <w:pStyle w:val="Sansinterligne"/>
        <w:jc w:val="both"/>
      </w:pPr>
      <w:r w:rsidRPr="002225CB">
        <w:t xml:space="preserve">The coefficient associated with GDP per capita is positive but not significant (β = 0.0246), indicating that improvements in national income levels are not necessarily sufficient to increase the labor supply. This result reflects the complex relationship between economic growth and job creation in Africa. As shown by Dani </w:t>
      </w:r>
      <w:proofErr w:type="spellStart"/>
      <w:r w:rsidRPr="002225CB">
        <w:t>Rodrik</w:t>
      </w:r>
      <w:proofErr w:type="spellEnd"/>
      <w:r w:rsidRPr="002225CB">
        <w:t xml:space="preserve"> (2016) and Margaret McMillan et al. (2014), several African economies are </w:t>
      </w:r>
      <w:r w:rsidRPr="002225CB">
        <w:lastRenderedPageBreak/>
        <w:t>experiencing growth driven by labor-intensive sectors, particularly natural resources, which limits the capacity of growth to generate sufficient employment opportunities.</w:t>
      </w:r>
    </w:p>
    <w:p w:rsidR="002225CB" w:rsidRPr="002225CB" w:rsidRDefault="002225CB" w:rsidP="00BC5305">
      <w:pPr>
        <w:pStyle w:val="Sansinterligne"/>
        <w:jc w:val="both"/>
      </w:pPr>
      <w:r w:rsidRPr="002225CB">
        <w:t xml:space="preserve">Finally, education has a negative but not statistically significant coefficient (β = -0.00249). This result, although counterintuitive, </w:t>
      </w:r>
      <w:proofErr w:type="gramStart"/>
      <w:r w:rsidRPr="002225CB">
        <w:t>can be explained</w:t>
      </w:r>
      <w:proofErr w:type="gramEnd"/>
      <w:r w:rsidRPr="002225CB">
        <w:t xml:space="preserve"> by a mismatch between the accumulation of human capital and the absorption capacity of labor markets. In several African countries, the quantitative expansion of education </w:t>
      </w:r>
      <w:proofErr w:type="gramStart"/>
      <w:r w:rsidRPr="002225CB">
        <w:t>has not always been accompanied</w:t>
      </w:r>
      <w:proofErr w:type="gramEnd"/>
      <w:r w:rsidRPr="002225CB">
        <w:t xml:space="preserve"> by a corresponding improvement in the quality of training or by productive diversification capable of utilizing these skills. This issue echoes the conclusions of Paul </w:t>
      </w:r>
      <w:proofErr w:type="spellStart"/>
      <w:r w:rsidRPr="002225CB">
        <w:t>Bennell</w:t>
      </w:r>
      <w:proofErr w:type="spellEnd"/>
      <w:r w:rsidRPr="002225CB">
        <w:t xml:space="preserve"> and Samir Al- </w:t>
      </w:r>
      <w:proofErr w:type="spellStart"/>
      <w:r w:rsidRPr="002225CB">
        <w:t>Samarrai</w:t>
      </w:r>
      <w:proofErr w:type="spellEnd"/>
      <w:r w:rsidRPr="002225CB">
        <w:t xml:space="preserve"> (2007), who highlight the difficulties in aligning African education systems with the needs of national economies.</w:t>
      </w:r>
    </w:p>
    <w:p w:rsidR="000B1CD4" w:rsidRDefault="000B1CD4" w:rsidP="002D6793">
      <w:pPr>
        <w:pStyle w:val="Sansinterligne"/>
        <w:jc w:val="both"/>
        <w:rPr>
          <w:lang w:eastAsia="fr-FR"/>
        </w:rPr>
      </w:pPr>
    </w:p>
    <w:p w:rsidR="002D6793" w:rsidRPr="000B1CD4" w:rsidRDefault="002D6793" w:rsidP="002D6793">
      <w:pPr>
        <w:pStyle w:val="Sansinterligne"/>
        <w:jc w:val="both"/>
        <w:rPr>
          <w:b/>
          <w:lang w:eastAsia="fr-FR"/>
        </w:rPr>
      </w:pPr>
      <w:r w:rsidRPr="000B1CD4">
        <w:rPr>
          <w:b/>
          <w:lang w:eastAsia="fr-FR"/>
        </w:rPr>
        <w:t>5. Conclusion and recommendations</w:t>
      </w:r>
    </w:p>
    <w:p w:rsidR="002D6793" w:rsidRDefault="002D6793" w:rsidP="002D6793">
      <w:pPr>
        <w:pStyle w:val="Sansinterligne"/>
        <w:jc w:val="both"/>
        <w:rPr>
          <w:lang w:eastAsia="fr-FR"/>
        </w:rPr>
      </w:pPr>
      <w:r w:rsidRPr="002D6793">
        <w:rPr>
          <w:lang w:eastAsia="fr-FR"/>
        </w:rPr>
        <w:t>This study aimed to analyze the effect of international migration on labor supply in 37 African countries over the period 2000–2024, using panel data. The estimation results, confirmed by the GMM robustness test, show that international migration has a positive and significant effect on labor supply. This result suggests that the benefits of remittances, skills acquired abroad, and migrants' networks can contribute to strengthening the productive capacities of countries of origin. Conversely, urbanization has a negative effect on labor supply, while GDP per capita and education do not show statistically significant effects. These results highlight that the impact of migration largely depends on the structural characteristics of African economies and their capacity to transform international mobility into development opportunities.</w:t>
      </w:r>
    </w:p>
    <w:p w:rsidR="000C3274" w:rsidRDefault="002D6793" w:rsidP="000B1CD4">
      <w:pPr>
        <w:pStyle w:val="Sansinterligne"/>
        <w:jc w:val="both"/>
        <w:rPr>
          <w:lang w:eastAsia="fr-FR"/>
        </w:rPr>
      </w:pPr>
      <w:r w:rsidRPr="002D6793">
        <w:rPr>
          <w:lang w:eastAsia="fr-FR"/>
        </w:rPr>
        <w:t xml:space="preserve">From a public policy perspective, these findings suggest that African governments should implement mechanisms that promote the mobilization of diaspora skills, knowledge transfer, and the channeling of remittances toward productive investments that can stimulate employment. The results also highlight the need to improve urbanization management by developing economic infrastructure and strengthening cities' capacity to create productive jobs, in order to mitigate the adverse effects of rapid urbanization on the labor market. Future research could incorporate institutional variables, such as the quality of governance or migration policies, </w:t>
      </w:r>
      <w:proofErr w:type="gramStart"/>
      <w:r w:rsidRPr="002D6793">
        <w:rPr>
          <w:lang w:eastAsia="fr-FR"/>
        </w:rPr>
        <w:t>to better understand</w:t>
      </w:r>
      <w:proofErr w:type="gramEnd"/>
      <w:r w:rsidRPr="002D6793">
        <w:rPr>
          <w:lang w:eastAsia="fr-FR"/>
        </w:rPr>
        <w:t xml:space="preserve"> the mechanisms by which migration influences African labor markets.</w:t>
      </w:r>
    </w:p>
    <w:p w:rsidR="000C3274" w:rsidRDefault="000C3274" w:rsidP="000B1CD4">
      <w:pPr>
        <w:pStyle w:val="Sansinterligne"/>
        <w:jc w:val="both"/>
        <w:rPr>
          <w:lang w:eastAsia="fr-FR"/>
        </w:rPr>
      </w:pPr>
    </w:p>
    <w:p w:rsidR="000B1CD4" w:rsidRDefault="000B1CD4" w:rsidP="000B1CD4">
      <w:pPr>
        <w:pStyle w:val="Sansinterligne"/>
        <w:jc w:val="both"/>
        <w:rPr>
          <w:lang w:eastAsia="fr-FR"/>
        </w:rPr>
      </w:pPr>
      <w:r>
        <w:rPr>
          <w:lang w:eastAsia="fr-FR"/>
        </w:rPr>
        <w:t>Bibliographical references</w:t>
      </w:r>
    </w:p>
    <w:p w:rsidR="000B1CD4" w:rsidRPr="00CC0175" w:rsidRDefault="000B1CD4" w:rsidP="000B1CD4">
      <w:pPr>
        <w:pStyle w:val="Sansinterligne"/>
        <w:jc w:val="both"/>
        <w:rPr>
          <w:lang w:val="en-US" w:eastAsia="fr-FR"/>
        </w:rPr>
      </w:pPr>
      <w:proofErr w:type="gramStart"/>
      <w:r w:rsidRPr="000B1CD4">
        <w:rPr>
          <w:lang w:eastAsia="fr-FR"/>
        </w:rPr>
        <w:t>Arellano ,</w:t>
      </w:r>
      <w:proofErr w:type="gramEnd"/>
      <w:r w:rsidRPr="000B1CD4">
        <w:rPr>
          <w:lang w:eastAsia="fr-FR"/>
        </w:rPr>
        <w:t xml:space="preserve"> M., &amp; Bond, S. (1991). </w:t>
      </w:r>
      <w:r w:rsidRPr="000B1CD4">
        <w:rPr>
          <w:i/>
          <w:iCs/>
          <w:lang w:val="en-US" w:eastAsia="fr-FR"/>
        </w:rPr>
        <w:t xml:space="preserve">Some tests of specification for panel data: Monte Carlo evidence and an application to employment </w:t>
      </w:r>
      <w:proofErr w:type="gramStart"/>
      <w:r w:rsidRPr="000B1CD4">
        <w:rPr>
          <w:i/>
          <w:iCs/>
          <w:lang w:val="en-US" w:eastAsia="fr-FR"/>
        </w:rPr>
        <w:t xml:space="preserve">equations </w:t>
      </w:r>
      <w:r w:rsidRPr="000B1CD4">
        <w:rPr>
          <w:lang w:val="en-US" w:eastAsia="fr-FR"/>
        </w:rPr>
        <w:t>.</w:t>
      </w:r>
      <w:proofErr w:type="gramEnd"/>
      <w:r w:rsidRPr="000B1CD4">
        <w:rPr>
          <w:lang w:val="en-US" w:eastAsia="fr-FR"/>
        </w:rPr>
        <w:t xml:space="preserve"> </w:t>
      </w:r>
      <w:r w:rsidRPr="000B1CD4">
        <w:rPr>
          <w:i/>
          <w:iCs/>
          <w:lang w:val="en-US" w:eastAsia="fr-FR"/>
        </w:rPr>
        <w:t xml:space="preserve">The Review of Economic Studies, 58 </w:t>
      </w:r>
      <w:r w:rsidRPr="000B1CD4">
        <w:rPr>
          <w:lang w:val="en-US" w:eastAsia="fr-FR"/>
        </w:rPr>
        <w:t xml:space="preserve">(2), 277–297. </w:t>
      </w:r>
      <w:hyperlink r:id="rId8" w:history="1">
        <w:r w:rsidRPr="000B1CD4">
          <w:rPr>
            <w:color w:val="0000FF"/>
            <w:u w:val="single"/>
            <w:lang w:val="en-US" w:eastAsia="fr-FR"/>
          </w:rPr>
          <w:t>https://doi.org/10.2307/2297968</w:t>
        </w:r>
      </w:hyperlink>
    </w:p>
    <w:p w:rsidR="000B1CD4" w:rsidRPr="000B1CD4" w:rsidRDefault="000B1CD4" w:rsidP="000B1CD4">
      <w:pPr>
        <w:pStyle w:val="Sansinterligne"/>
        <w:jc w:val="both"/>
        <w:rPr>
          <w:lang w:eastAsia="fr-FR"/>
        </w:rPr>
      </w:pPr>
      <w:r w:rsidRPr="000B1CD4">
        <w:rPr>
          <w:lang w:val="en-US" w:eastAsia="fr-FR"/>
        </w:rPr>
        <w:t xml:space="preserve">Arellano, M., &amp; </w:t>
      </w:r>
      <w:proofErr w:type="spellStart"/>
      <w:proofErr w:type="gramStart"/>
      <w:r w:rsidRPr="000B1CD4">
        <w:rPr>
          <w:lang w:val="en-US" w:eastAsia="fr-FR"/>
        </w:rPr>
        <w:t>Bover</w:t>
      </w:r>
      <w:proofErr w:type="spellEnd"/>
      <w:r w:rsidRPr="000B1CD4">
        <w:rPr>
          <w:lang w:val="en-US" w:eastAsia="fr-FR"/>
        </w:rPr>
        <w:t xml:space="preserve"> ,</w:t>
      </w:r>
      <w:proofErr w:type="gramEnd"/>
      <w:r w:rsidRPr="000B1CD4">
        <w:rPr>
          <w:lang w:val="en-US" w:eastAsia="fr-FR"/>
        </w:rPr>
        <w:t xml:space="preserve"> O. (1995). </w:t>
      </w:r>
      <w:r w:rsidRPr="000B1CD4">
        <w:rPr>
          <w:i/>
          <w:iCs/>
          <w:lang w:val="en-US" w:eastAsia="fr-FR"/>
        </w:rPr>
        <w:t xml:space="preserve">Another look at the instrumental variable estimation of error-components </w:t>
      </w:r>
      <w:proofErr w:type="gramStart"/>
      <w:r w:rsidRPr="000B1CD4">
        <w:rPr>
          <w:i/>
          <w:iCs/>
          <w:lang w:val="en-US" w:eastAsia="fr-FR"/>
        </w:rPr>
        <w:t xml:space="preserve">models </w:t>
      </w:r>
      <w:r w:rsidRPr="000B1CD4">
        <w:rPr>
          <w:lang w:val="en-US" w:eastAsia="fr-FR"/>
        </w:rPr>
        <w:t>.</w:t>
      </w:r>
      <w:proofErr w:type="gramEnd"/>
      <w:r w:rsidRPr="000B1CD4">
        <w:rPr>
          <w:lang w:val="en-US" w:eastAsia="fr-FR"/>
        </w:rPr>
        <w:t xml:space="preserve"> </w:t>
      </w:r>
      <w:r w:rsidRPr="000B1CD4">
        <w:rPr>
          <w:i/>
          <w:iCs/>
          <w:lang w:val="en-US" w:eastAsia="fr-FR"/>
        </w:rPr>
        <w:t xml:space="preserve">Journal of Econometrics, 68 </w:t>
      </w:r>
      <w:r w:rsidRPr="000B1CD4">
        <w:rPr>
          <w:lang w:val="en-US" w:eastAsia="fr-FR"/>
        </w:rPr>
        <w:t xml:space="preserve">(1), 29–51. </w:t>
      </w:r>
      <w:hyperlink r:id="rId9" w:history="1">
        <w:r w:rsidRPr="000B1CD4">
          <w:rPr>
            <w:color w:val="0000FF"/>
            <w:u w:val="single"/>
            <w:lang w:val="en-US" w:eastAsia="fr-FR"/>
          </w:rPr>
          <w:t>https://doi.org/10.1016/0304-4076(94)01642-D</w:t>
        </w:r>
      </w:hyperlink>
    </w:p>
    <w:p w:rsidR="000B1CD4" w:rsidRPr="000B1CD4" w:rsidRDefault="000B1CD4" w:rsidP="000B1CD4">
      <w:pPr>
        <w:pStyle w:val="Sansinterligne"/>
        <w:jc w:val="both"/>
        <w:rPr>
          <w:lang w:val="en-US" w:eastAsia="fr-FR"/>
        </w:rPr>
      </w:pPr>
      <w:proofErr w:type="spellStart"/>
      <w:proofErr w:type="gramStart"/>
      <w:r w:rsidRPr="000B1CD4">
        <w:rPr>
          <w:lang w:val="en-US" w:eastAsia="fr-FR"/>
        </w:rPr>
        <w:t>Baltagi</w:t>
      </w:r>
      <w:proofErr w:type="spellEnd"/>
      <w:r w:rsidRPr="000B1CD4">
        <w:rPr>
          <w:lang w:val="en-US" w:eastAsia="fr-FR"/>
        </w:rPr>
        <w:t xml:space="preserve"> ,</w:t>
      </w:r>
      <w:proofErr w:type="gramEnd"/>
      <w:r w:rsidRPr="000B1CD4">
        <w:rPr>
          <w:lang w:val="en-US" w:eastAsia="fr-FR"/>
        </w:rPr>
        <w:t xml:space="preserve"> B. H. (2008). </w:t>
      </w:r>
      <w:r w:rsidRPr="000B1CD4">
        <w:rPr>
          <w:i/>
          <w:iCs/>
          <w:lang w:val="en-US" w:eastAsia="fr-FR"/>
        </w:rPr>
        <w:t xml:space="preserve">Econometric analysis of panel data </w:t>
      </w:r>
      <w:r w:rsidRPr="000B1CD4">
        <w:rPr>
          <w:lang w:val="en-US" w:eastAsia="fr-FR"/>
        </w:rPr>
        <w:t xml:space="preserve">(4th </w:t>
      </w:r>
      <w:proofErr w:type="gramStart"/>
      <w:r w:rsidRPr="000B1CD4">
        <w:rPr>
          <w:lang w:val="en-US" w:eastAsia="fr-FR"/>
        </w:rPr>
        <w:t>ed .</w:t>
      </w:r>
      <w:proofErr w:type="gramEnd"/>
      <w:r w:rsidRPr="000B1CD4">
        <w:rPr>
          <w:lang w:val="en-US" w:eastAsia="fr-FR"/>
        </w:rPr>
        <w:t>). John Wiley &amp; Sons.</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Barro</w:t>
      </w:r>
      <w:proofErr w:type="spellEnd"/>
      <w:r w:rsidRPr="000B1CD4">
        <w:rPr>
          <w:lang w:val="en-US" w:eastAsia="fr-FR"/>
        </w:rPr>
        <w:t xml:space="preserve"> ,</w:t>
      </w:r>
      <w:proofErr w:type="gramEnd"/>
      <w:r w:rsidRPr="000B1CD4">
        <w:rPr>
          <w:lang w:val="en-US" w:eastAsia="fr-FR"/>
        </w:rPr>
        <w:t xml:space="preserve"> R. J. (1991). </w:t>
      </w:r>
      <w:r w:rsidRPr="000B1CD4">
        <w:rPr>
          <w:i/>
          <w:iCs/>
          <w:lang w:val="en-US" w:eastAsia="fr-FR"/>
        </w:rPr>
        <w:t xml:space="preserve">Economic growth in a cross section of </w:t>
      </w:r>
      <w:proofErr w:type="gramStart"/>
      <w:r w:rsidRPr="000B1CD4">
        <w:rPr>
          <w:i/>
          <w:iCs/>
          <w:lang w:val="en-US" w:eastAsia="fr-FR"/>
        </w:rPr>
        <w:t xml:space="preserve">countries </w:t>
      </w:r>
      <w:r w:rsidRPr="000B1CD4">
        <w:rPr>
          <w:lang w:val="en-US" w:eastAsia="fr-FR"/>
        </w:rPr>
        <w:t>.</w:t>
      </w:r>
      <w:proofErr w:type="gramEnd"/>
      <w:r w:rsidRPr="000B1CD4">
        <w:rPr>
          <w:lang w:val="en-US" w:eastAsia="fr-FR"/>
        </w:rPr>
        <w:t xml:space="preserve"> </w:t>
      </w:r>
      <w:r w:rsidRPr="000B1CD4">
        <w:rPr>
          <w:i/>
          <w:iCs/>
          <w:lang w:val="en-US" w:eastAsia="fr-FR"/>
        </w:rPr>
        <w:t xml:space="preserve">The Quarterly Journal of Economics, 106 </w:t>
      </w:r>
      <w:r w:rsidRPr="000B1CD4">
        <w:rPr>
          <w:lang w:val="en-US" w:eastAsia="fr-FR"/>
        </w:rPr>
        <w:t xml:space="preserve">(2), 407–443. </w:t>
      </w:r>
      <w:hyperlink r:id="rId10" w:history="1">
        <w:r w:rsidRPr="000B1CD4">
          <w:rPr>
            <w:color w:val="0000FF"/>
            <w:u w:val="single"/>
            <w:lang w:val="en-US" w:eastAsia="fr-FR"/>
          </w:rPr>
          <w:t>https://doi.org/10.2307/2937943</w:t>
        </w:r>
      </w:hyperlink>
    </w:p>
    <w:p w:rsidR="000B1CD4" w:rsidRDefault="000B1CD4" w:rsidP="000B1CD4">
      <w:pPr>
        <w:pStyle w:val="Sansinterligne"/>
        <w:jc w:val="both"/>
        <w:rPr>
          <w:lang w:val="en-US" w:eastAsia="fr-FR"/>
        </w:rPr>
      </w:pPr>
      <w:r w:rsidRPr="000B1CD4">
        <w:rPr>
          <w:lang w:val="en-US" w:eastAsia="fr-FR"/>
        </w:rPr>
        <w:t xml:space="preserve">Becker, G.S. (1964). </w:t>
      </w:r>
      <w:r w:rsidRPr="000B1CD4">
        <w:rPr>
          <w:i/>
          <w:iCs/>
          <w:lang w:val="en-US" w:eastAsia="fr-FR"/>
        </w:rPr>
        <w:t xml:space="preserve">Human capital: A theoretical and empirical analysis, with special reference to </w:t>
      </w:r>
      <w:proofErr w:type="gramStart"/>
      <w:r w:rsidRPr="000B1CD4">
        <w:rPr>
          <w:i/>
          <w:iCs/>
          <w:lang w:val="en-US" w:eastAsia="fr-FR"/>
        </w:rPr>
        <w:t xml:space="preserve">education </w:t>
      </w:r>
      <w:r w:rsidRPr="000B1CD4">
        <w:rPr>
          <w:lang w:val="en-US" w:eastAsia="fr-FR"/>
        </w:rPr>
        <w:t>.</w:t>
      </w:r>
      <w:proofErr w:type="gramEnd"/>
      <w:r w:rsidRPr="000B1CD4">
        <w:rPr>
          <w:lang w:val="en-US" w:eastAsia="fr-FR"/>
        </w:rPr>
        <w:t xml:space="preserve"> University of Chicago Press.</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Beine</w:t>
      </w:r>
      <w:proofErr w:type="spellEnd"/>
      <w:r w:rsidRPr="000B1CD4">
        <w:rPr>
          <w:lang w:val="en-US" w:eastAsia="fr-FR"/>
        </w:rPr>
        <w:t xml:space="preserve"> ,</w:t>
      </w:r>
      <w:proofErr w:type="gramEnd"/>
      <w:r w:rsidRPr="000B1CD4">
        <w:rPr>
          <w:lang w:val="en-US" w:eastAsia="fr-FR"/>
        </w:rPr>
        <w:t xml:space="preserve"> M., </w:t>
      </w:r>
      <w:proofErr w:type="spellStart"/>
      <w:r w:rsidRPr="000B1CD4">
        <w:rPr>
          <w:lang w:val="en-US" w:eastAsia="fr-FR"/>
        </w:rPr>
        <w:t>Docquier</w:t>
      </w:r>
      <w:proofErr w:type="spellEnd"/>
      <w:r w:rsidRPr="000B1CD4">
        <w:rPr>
          <w:lang w:val="en-US" w:eastAsia="fr-FR"/>
        </w:rPr>
        <w:t xml:space="preserve"> , F., &amp; </w:t>
      </w:r>
      <w:proofErr w:type="spellStart"/>
      <w:r w:rsidRPr="000B1CD4">
        <w:rPr>
          <w:lang w:val="en-US" w:eastAsia="fr-FR"/>
        </w:rPr>
        <w:t>Rapoport</w:t>
      </w:r>
      <w:proofErr w:type="spellEnd"/>
      <w:r w:rsidRPr="000B1CD4">
        <w:rPr>
          <w:lang w:val="en-US" w:eastAsia="fr-FR"/>
        </w:rPr>
        <w:t xml:space="preserve"> , H. (2008). </w:t>
      </w:r>
      <w:r w:rsidRPr="000B1CD4">
        <w:rPr>
          <w:i/>
          <w:iCs/>
          <w:lang w:val="en-US" w:eastAsia="fr-FR"/>
        </w:rPr>
        <w:t xml:space="preserve">Brain drain and human capital formation in developing countries: Winners and </w:t>
      </w:r>
      <w:proofErr w:type="gramStart"/>
      <w:r w:rsidRPr="000B1CD4">
        <w:rPr>
          <w:i/>
          <w:iCs/>
          <w:lang w:val="en-US" w:eastAsia="fr-FR"/>
        </w:rPr>
        <w:t xml:space="preserve">losers </w:t>
      </w:r>
      <w:r w:rsidRPr="000B1CD4">
        <w:rPr>
          <w:lang w:val="en-US" w:eastAsia="fr-FR"/>
        </w:rPr>
        <w:t>.</w:t>
      </w:r>
      <w:proofErr w:type="gramEnd"/>
      <w:r w:rsidRPr="000B1CD4">
        <w:rPr>
          <w:lang w:val="en-US" w:eastAsia="fr-FR"/>
        </w:rPr>
        <w:t xml:space="preserve"> </w:t>
      </w:r>
      <w:r w:rsidRPr="000B1CD4">
        <w:rPr>
          <w:i/>
          <w:iCs/>
          <w:lang w:val="en-US" w:eastAsia="fr-FR"/>
        </w:rPr>
        <w:t xml:space="preserve">The Economic Journal, 118 </w:t>
      </w:r>
      <w:r w:rsidRPr="000B1CD4">
        <w:rPr>
          <w:lang w:val="en-US" w:eastAsia="fr-FR"/>
        </w:rPr>
        <w:t xml:space="preserve">(528), 631–652. </w:t>
      </w:r>
      <w:hyperlink r:id="rId11" w:history="1">
        <w:r w:rsidRPr="000B1CD4">
          <w:rPr>
            <w:color w:val="0000FF"/>
            <w:u w:val="single"/>
            <w:lang w:val="en-US" w:eastAsia="fr-FR"/>
          </w:rPr>
          <w:t>https://doi.org/10.1111/j.1468-0297.2008.02159.x</w:t>
        </w:r>
      </w:hyperlink>
    </w:p>
    <w:p w:rsidR="000B1CD4" w:rsidRPr="000B1CD4" w:rsidRDefault="000B1CD4" w:rsidP="000B1CD4">
      <w:pPr>
        <w:pStyle w:val="Sansinterligne"/>
        <w:jc w:val="both"/>
        <w:rPr>
          <w:lang w:val="en-US" w:eastAsia="fr-FR"/>
        </w:rPr>
      </w:pPr>
      <w:proofErr w:type="spellStart"/>
      <w:proofErr w:type="gramStart"/>
      <w:r w:rsidRPr="000B1CD4">
        <w:rPr>
          <w:lang w:val="en-US" w:eastAsia="fr-FR"/>
        </w:rPr>
        <w:t>Bennell</w:t>
      </w:r>
      <w:proofErr w:type="spellEnd"/>
      <w:r w:rsidRPr="000B1CD4">
        <w:rPr>
          <w:lang w:val="en-US" w:eastAsia="fr-FR"/>
        </w:rPr>
        <w:t xml:space="preserve"> ,</w:t>
      </w:r>
      <w:proofErr w:type="gramEnd"/>
      <w:r w:rsidRPr="000B1CD4">
        <w:rPr>
          <w:lang w:val="en-US" w:eastAsia="fr-FR"/>
        </w:rPr>
        <w:t xml:space="preserve"> P., &amp; Al- </w:t>
      </w:r>
      <w:proofErr w:type="spellStart"/>
      <w:r w:rsidRPr="000B1CD4">
        <w:rPr>
          <w:lang w:val="en-US" w:eastAsia="fr-FR"/>
        </w:rPr>
        <w:t>Samarrai</w:t>
      </w:r>
      <w:proofErr w:type="spellEnd"/>
      <w:r w:rsidRPr="000B1CD4">
        <w:rPr>
          <w:lang w:val="en-US" w:eastAsia="fr-FR"/>
        </w:rPr>
        <w:t xml:space="preserve"> , S. (2007). </w:t>
      </w:r>
      <w:r w:rsidRPr="000B1CD4">
        <w:rPr>
          <w:i/>
          <w:iCs/>
          <w:lang w:val="en-US" w:eastAsia="fr-FR"/>
        </w:rPr>
        <w:t xml:space="preserve">Where has all the education gone in sub-Saharan Africa? Employment and other outcomes among secondary school and university </w:t>
      </w:r>
      <w:proofErr w:type="gramStart"/>
      <w:r w:rsidRPr="000B1CD4">
        <w:rPr>
          <w:i/>
          <w:iCs/>
          <w:lang w:val="en-US" w:eastAsia="fr-FR"/>
        </w:rPr>
        <w:t xml:space="preserve">leavers </w:t>
      </w:r>
      <w:r w:rsidRPr="000B1CD4">
        <w:rPr>
          <w:lang w:val="en-US" w:eastAsia="fr-FR"/>
        </w:rPr>
        <w:t>.</w:t>
      </w:r>
      <w:proofErr w:type="gramEnd"/>
      <w:r w:rsidRPr="000B1CD4">
        <w:rPr>
          <w:lang w:val="en-US" w:eastAsia="fr-FR"/>
        </w:rPr>
        <w:t xml:space="preserve"> </w:t>
      </w:r>
      <w:r w:rsidRPr="000B1CD4">
        <w:rPr>
          <w:i/>
          <w:iCs/>
          <w:lang w:val="en-US" w:eastAsia="fr-FR"/>
        </w:rPr>
        <w:t xml:space="preserve">Journal of Development Studies, 43 </w:t>
      </w:r>
      <w:r w:rsidRPr="000B1CD4">
        <w:rPr>
          <w:lang w:val="en-US" w:eastAsia="fr-FR"/>
        </w:rPr>
        <w:t xml:space="preserve">(7), 1271–1300. </w:t>
      </w:r>
      <w:hyperlink r:id="rId12" w:history="1">
        <w:r w:rsidRPr="000B1CD4">
          <w:rPr>
            <w:color w:val="0000FF"/>
            <w:u w:val="single"/>
            <w:lang w:val="en-US" w:eastAsia="fr-FR"/>
          </w:rPr>
          <w:t>https://doi.org/10.1080/00220380701526592</w:t>
        </w:r>
      </w:hyperlink>
    </w:p>
    <w:p w:rsidR="000B1CD4" w:rsidRPr="000B1CD4" w:rsidRDefault="000B1CD4" w:rsidP="000B1CD4">
      <w:pPr>
        <w:pStyle w:val="Sansinterligne"/>
        <w:jc w:val="both"/>
        <w:rPr>
          <w:lang w:val="en-US" w:eastAsia="fr-FR"/>
        </w:rPr>
      </w:pPr>
      <w:r w:rsidRPr="000B1CD4">
        <w:rPr>
          <w:lang w:val="en-US" w:eastAsia="fr-FR"/>
        </w:rPr>
        <w:t xml:space="preserve">Blanchard, O. (2000). </w:t>
      </w:r>
      <w:proofErr w:type="gramStart"/>
      <w:r w:rsidRPr="000B1CD4">
        <w:rPr>
          <w:i/>
          <w:iCs/>
          <w:lang w:val="en-US" w:eastAsia="fr-FR"/>
        </w:rPr>
        <w:t xml:space="preserve">Macroeconomics </w:t>
      </w:r>
      <w:r w:rsidRPr="000B1CD4">
        <w:rPr>
          <w:lang w:val="en-US" w:eastAsia="fr-FR"/>
        </w:rPr>
        <w:t>.</w:t>
      </w:r>
      <w:proofErr w:type="gramEnd"/>
      <w:r w:rsidRPr="000B1CD4">
        <w:rPr>
          <w:lang w:val="en-US" w:eastAsia="fr-FR"/>
        </w:rPr>
        <w:t xml:space="preserve"> Pearson Education.</w:t>
      </w:r>
    </w:p>
    <w:p w:rsidR="000B1CD4" w:rsidRPr="000B1CD4" w:rsidRDefault="000B1CD4" w:rsidP="000B1CD4">
      <w:pPr>
        <w:pStyle w:val="Sansinterligne"/>
        <w:jc w:val="both"/>
        <w:rPr>
          <w:lang w:val="en-US" w:eastAsia="fr-FR"/>
        </w:rPr>
      </w:pPr>
      <w:r w:rsidRPr="000B1CD4">
        <w:rPr>
          <w:lang w:val="en-US" w:eastAsia="fr-FR"/>
        </w:rPr>
        <w:t xml:space="preserve">Blundell, R., &amp; Bond, S. (1998). </w:t>
      </w:r>
      <w:r w:rsidRPr="000B1CD4">
        <w:rPr>
          <w:i/>
          <w:iCs/>
          <w:lang w:val="en-US" w:eastAsia="fr-FR"/>
        </w:rPr>
        <w:t xml:space="preserve">Initial conditions and moment restrictions in dynamic panel data </w:t>
      </w:r>
      <w:proofErr w:type="gramStart"/>
      <w:r w:rsidRPr="000B1CD4">
        <w:rPr>
          <w:i/>
          <w:iCs/>
          <w:lang w:val="en-US" w:eastAsia="fr-FR"/>
        </w:rPr>
        <w:t xml:space="preserve">models </w:t>
      </w:r>
      <w:r w:rsidRPr="000B1CD4">
        <w:rPr>
          <w:lang w:val="en-US" w:eastAsia="fr-FR"/>
        </w:rPr>
        <w:t>.</w:t>
      </w:r>
      <w:proofErr w:type="gramEnd"/>
      <w:r w:rsidRPr="000B1CD4">
        <w:rPr>
          <w:lang w:val="en-US" w:eastAsia="fr-FR"/>
        </w:rPr>
        <w:t xml:space="preserve"> </w:t>
      </w:r>
      <w:r w:rsidRPr="000B1CD4">
        <w:rPr>
          <w:i/>
          <w:iCs/>
          <w:lang w:val="en-US" w:eastAsia="fr-FR"/>
        </w:rPr>
        <w:t xml:space="preserve">Journal of Econometrics, 87 </w:t>
      </w:r>
      <w:r w:rsidRPr="000B1CD4">
        <w:rPr>
          <w:lang w:val="en-US" w:eastAsia="fr-FR"/>
        </w:rPr>
        <w:t xml:space="preserve">(1), 115–143. </w:t>
      </w:r>
      <w:hyperlink r:id="rId13" w:history="1">
        <w:r w:rsidRPr="000B1CD4">
          <w:rPr>
            <w:color w:val="0000FF"/>
            <w:u w:val="single"/>
            <w:lang w:val="en-US" w:eastAsia="fr-FR"/>
          </w:rPr>
          <w:t>https://doi.org/10.1016/S0304-4076(98)00009-8</w:t>
        </w:r>
      </w:hyperlink>
    </w:p>
    <w:p w:rsidR="000B1CD4" w:rsidRPr="000B1CD4" w:rsidRDefault="000B1CD4" w:rsidP="000B1CD4">
      <w:pPr>
        <w:pStyle w:val="Sansinterligne"/>
        <w:jc w:val="both"/>
        <w:rPr>
          <w:lang w:val="en-US" w:eastAsia="fr-FR"/>
        </w:rPr>
      </w:pPr>
      <w:proofErr w:type="spellStart"/>
      <w:proofErr w:type="gramStart"/>
      <w:r w:rsidRPr="000B1CD4">
        <w:rPr>
          <w:lang w:val="en-US" w:eastAsia="fr-FR"/>
        </w:rPr>
        <w:t>Breusch</w:t>
      </w:r>
      <w:proofErr w:type="spellEnd"/>
      <w:r w:rsidRPr="000B1CD4">
        <w:rPr>
          <w:lang w:val="en-US" w:eastAsia="fr-FR"/>
        </w:rPr>
        <w:t xml:space="preserve"> ,</w:t>
      </w:r>
      <w:proofErr w:type="gramEnd"/>
      <w:r w:rsidRPr="000B1CD4">
        <w:rPr>
          <w:lang w:val="en-US" w:eastAsia="fr-FR"/>
        </w:rPr>
        <w:t xml:space="preserve"> T. S., &amp; Pagan, A. R. (1979). </w:t>
      </w:r>
      <w:r w:rsidRPr="000B1CD4">
        <w:rPr>
          <w:i/>
          <w:iCs/>
          <w:lang w:val="en-US" w:eastAsia="fr-FR"/>
        </w:rPr>
        <w:t xml:space="preserve">A simple test for heteroscedasticity and random coefficient </w:t>
      </w:r>
      <w:proofErr w:type="gramStart"/>
      <w:r w:rsidRPr="000B1CD4">
        <w:rPr>
          <w:i/>
          <w:iCs/>
          <w:lang w:val="en-US" w:eastAsia="fr-FR"/>
        </w:rPr>
        <w:t xml:space="preserve">variation </w:t>
      </w:r>
      <w:r w:rsidRPr="000B1CD4">
        <w:rPr>
          <w:lang w:val="en-US" w:eastAsia="fr-FR"/>
        </w:rPr>
        <w:t>.</w:t>
      </w:r>
      <w:proofErr w:type="gramEnd"/>
      <w:r w:rsidRPr="000B1CD4">
        <w:rPr>
          <w:lang w:val="en-US" w:eastAsia="fr-FR"/>
        </w:rPr>
        <w:t xml:space="preserve"> </w:t>
      </w:r>
      <w:proofErr w:type="spellStart"/>
      <w:proofErr w:type="gramStart"/>
      <w:r w:rsidRPr="000B1CD4">
        <w:rPr>
          <w:i/>
          <w:iCs/>
          <w:lang w:val="en-US" w:eastAsia="fr-FR"/>
        </w:rPr>
        <w:t>Econometrica</w:t>
      </w:r>
      <w:proofErr w:type="spellEnd"/>
      <w:r w:rsidRPr="000B1CD4">
        <w:rPr>
          <w:i/>
          <w:iCs/>
          <w:lang w:val="en-US" w:eastAsia="fr-FR"/>
        </w:rPr>
        <w:t xml:space="preserve"> ,</w:t>
      </w:r>
      <w:proofErr w:type="gramEnd"/>
      <w:r w:rsidRPr="000B1CD4">
        <w:rPr>
          <w:i/>
          <w:iCs/>
          <w:lang w:val="en-US" w:eastAsia="fr-FR"/>
        </w:rPr>
        <w:t xml:space="preserve"> 47 </w:t>
      </w:r>
      <w:r w:rsidRPr="000B1CD4">
        <w:rPr>
          <w:lang w:val="en-US" w:eastAsia="fr-FR"/>
        </w:rPr>
        <w:t xml:space="preserve">(5), 1287–1294. </w:t>
      </w:r>
      <w:hyperlink r:id="rId14" w:history="1">
        <w:r w:rsidRPr="000B1CD4">
          <w:rPr>
            <w:color w:val="0000FF"/>
            <w:u w:val="single"/>
            <w:lang w:val="en-US" w:eastAsia="fr-FR"/>
          </w:rPr>
          <w:t>https://doi.org/10.2307/1911963</w:t>
        </w:r>
      </w:hyperlink>
    </w:p>
    <w:p w:rsidR="000B1CD4" w:rsidRPr="000B1CD4" w:rsidRDefault="000B1CD4" w:rsidP="000B1CD4">
      <w:pPr>
        <w:pStyle w:val="Sansinterligne"/>
        <w:jc w:val="both"/>
        <w:rPr>
          <w:lang w:val="en-US" w:eastAsia="fr-FR"/>
        </w:rPr>
      </w:pPr>
      <w:r w:rsidRPr="000B1CD4">
        <w:rPr>
          <w:lang w:val="en-US" w:eastAsia="fr-FR"/>
        </w:rPr>
        <w:lastRenderedPageBreak/>
        <w:t xml:space="preserve">Card, D., &amp; Krueger, A.B. (1994). </w:t>
      </w:r>
      <w:r w:rsidRPr="000B1CD4">
        <w:rPr>
          <w:i/>
          <w:iCs/>
          <w:lang w:val="en-US" w:eastAsia="fr-FR"/>
        </w:rPr>
        <w:t xml:space="preserve">Minimum wages and employment: A case study of the fast-food industry in New Jersey and </w:t>
      </w:r>
      <w:proofErr w:type="gramStart"/>
      <w:r w:rsidRPr="000B1CD4">
        <w:rPr>
          <w:i/>
          <w:iCs/>
          <w:lang w:val="en-US" w:eastAsia="fr-FR"/>
        </w:rPr>
        <w:t xml:space="preserve">Pennsylvania </w:t>
      </w:r>
      <w:r w:rsidRPr="000B1CD4">
        <w:rPr>
          <w:lang w:val="en-US" w:eastAsia="fr-FR"/>
        </w:rPr>
        <w:t>.</w:t>
      </w:r>
      <w:proofErr w:type="gramEnd"/>
      <w:r w:rsidRPr="000B1CD4">
        <w:rPr>
          <w:lang w:val="en-US" w:eastAsia="fr-FR"/>
        </w:rPr>
        <w:t xml:space="preserve"> </w:t>
      </w:r>
      <w:r w:rsidRPr="000B1CD4">
        <w:rPr>
          <w:i/>
          <w:iCs/>
          <w:lang w:val="en-US" w:eastAsia="fr-FR"/>
        </w:rPr>
        <w:t xml:space="preserve">American Economic Review, 84 </w:t>
      </w:r>
      <w:r w:rsidRPr="000B1CD4">
        <w:rPr>
          <w:lang w:val="en-US" w:eastAsia="fr-FR"/>
        </w:rPr>
        <w:t xml:space="preserve">(4), 772–793. </w:t>
      </w:r>
      <w:hyperlink r:id="rId15" w:history="1">
        <w:r w:rsidRPr="000B1CD4">
          <w:rPr>
            <w:color w:val="0000FF"/>
            <w:u w:val="single"/>
            <w:lang w:val="en-US" w:eastAsia="fr-FR"/>
          </w:rPr>
          <w:t>https://doi.org/10.1257/aer.84.4.772</w:t>
        </w:r>
      </w:hyperlink>
    </w:p>
    <w:p w:rsidR="000B1CD4" w:rsidRPr="000B1CD4" w:rsidRDefault="000B1CD4" w:rsidP="000B1CD4">
      <w:pPr>
        <w:pStyle w:val="Sansinterligne"/>
        <w:jc w:val="both"/>
        <w:rPr>
          <w:lang w:val="en-US" w:eastAsia="fr-FR"/>
        </w:rPr>
      </w:pPr>
      <w:proofErr w:type="gramStart"/>
      <w:r w:rsidRPr="000B1CD4">
        <w:rPr>
          <w:lang w:val="en-US" w:eastAsia="fr-FR"/>
        </w:rPr>
        <w:t>de</w:t>
      </w:r>
      <w:proofErr w:type="gramEnd"/>
      <w:r w:rsidRPr="000B1CD4">
        <w:rPr>
          <w:lang w:val="en-US" w:eastAsia="fr-FR"/>
        </w:rPr>
        <w:t xml:space="preserve"> Haas, H. (2010). </w:t>
      </w:r>
      <w:r w:rsidRPr="000B1CD4">
        <w:rPr>
          <w:i/>
          <w:iCs/>
          <w:lang w:val="en-US" w:eastAsia="fr-FR"/>
        </w:rPr>
        <w:t xml:space="preserve">Migration and development: A theoretical </w:t>
      </w:r>
      <w:proofErr w:type="gramStart"/>
      <w:r w:rsidRPr="000B1CD4">
        <w:rPr>
          <w:i/>
          <w:iCs/>
          <w:lang w:val="en-US" w:eastAsia="fr-FR"/>
        </w:rPr>
        <w:t xml:space="preserve">perspective </w:t>
      </w:r>
      <w:r w:rsidRPr="000B1CD4">
        <w:rPr>
          <w:lang w:val="en-US" w:eastAsia="fr-FR"/>
        </w:rPr>
        <w:t>.</w:t>
      </w:r>
      <w:proofErr w:type="gramEnd"/>
      <w:r w:rsidRPr="000B1CD4">
        <w:rPr>
          <w:lang w:val="en-US" w:eastAsia="fr-FR"/>
        </w:rPr>
        <w:t xml:space="preserve"> </w:t>
      </w:r>
      <w:r w:rsidRPr="000B1CD4">
        <w:rPr>
          <w:i/>
          <w:iCs/>
          <w:lang w:val="en-US" w:eastAsia="fr-FR"/>
        </w:rPr>
        <w:t xml:space="preserve">International Migration Review, 44 </w:t>
      </w:r>
      <w:r w:rsidRPr="000B1CD4">
        <w:rPr>
          <w:lang w:val="en-US" w:eastAsia="fr-FR"/>
        </w:rPr>
        <w:t xml:space="preserve">(1), 227–264. </w:t>
      </w:r>
      <w:hyperlink r:id="rId16" w:history="1">
        <w:r w:rsidRPr="000B1CD4">
          <w:rPr>
            <w:color w:val="0000FF"/>
            <w:u w:val="single"/>
            <w:lang w:val="en-US" w:eastAsia="fr-FR"/>
          </w:rPr>
          <w:t>https://doi.org/10.1111/j.1747-7379.2009.00804.x</w:t>
        </w:r>
      </w:hyperlink>
    </w:p>
    <w:p w:rsidR="000B1CD4" w:rsidRPr="000B1CD4" w:rsidRDefault="000B1CD4" w:rsidP="000B1CD4">
      <w:pPr>
        <w:pStyle w:val="Sansinterligne"/>
        <w:jc w:val="both"/>
        <w:rPr>
          <w:lang w:val="en-US" w:eastAsia="fr-FR"/>
        </w:rPr>
      </w:pPr>
      <w:proofErr w:type="spellStart"/>
      <w:proofErr w:type="gramStart"/>
      <w:r w:rsidRPr="000B1CD4">
        <w:rPr>
          <w:lang w:val="en-US" w:eastAsia="fr-FR"/>
        </w:rPr>
        <w:t>Docquier</w:t>
      </w:r>
      <w:proofErr w:type="spellEnd"/>
      <w:r w:rsidRPr="000B1CD4">
        <w:rPr>
          <w:lang w:val="en-US" w:eastAsia="fr-FR"/>
        </w:rPr>
        <w:t xml:space="preserve"> ,</w:t>
      </w:r>
      <w:proofErr w:type="gramEnd"/>
      <w:r w:rsidRPr="000B1CD4">
        <w:rPr>
          <w:lang w:val="en-US" w:eastAsia="fr-FR"/>
        </w:rPr>
        <w:t xml:space="preserve"> F., &amp; </w:t>
      </w:r>
      <w:proofErr w:type="spellStart"/>
      <w:r w:rsidRPr="000B1CD4">
        <w:rPr>
          <w:lang w:val="en-US" w:eastAsia="fr-FR"/>
        </w:rPr>
        <w:t>Rapoport</w:t>
      </w:r>
      <w:proofErr w:type="spellEnd"/>
      <w:r w:rsidRPr="000B1CD4">
        <w:rPr>
          <w:lang w:val="en-US" w:eastAsia="fr-FR"/>
        </w:rPr>
        <w:t xml:space="preserve"> , H. (2006). </w:t>
      </w:r>
      <w:r w:rsidRPr="000B1CD4">
        <w:rPr>
          <w:i/>
          <w:iCs/>
          <w:lang w:val="en-US" w:eastAsia="fr-FR"/>
        </w:rPr>
        <w:t xml:space="preserve">The economics of migrants' </w:t>
      </w:r>
      <w:proofErr w:type="gramStart"/>
      <w:r w:rsidRPr="000B1CD4">
        <w:rPr>
          <w:i/>
          <w:iCs/>
          <w:lang w:val="en-US" w:eastAsia="fr-FR"/>
        </w:rPr>
        <w:t xml:space="preserve">remittances </w:t>
      </w:r>
      <w:r w:rsidRPr="000B1CD4">
        <w:rPr>
          <w:lang w:val="en-US" w:eastAsia="fr-FR"/>
        </w:rPr>
        <w:t>.</w:t>
      </w:r>
      <w:proofErr w:type="gramEnd"/>
      <w:r w:rsidRPr="000B1CD4">
        <w:rPr>
          <w:lang w:val="en-US" w:eastAsia="fr-FR"/>
        </w:rPr>
        <w:t xml:space="preserve"> In SC </w:t>
      </w:r>
      <w:proofErr w:type="spellStart"/>
      <w:r w:rsidRPr="000B1CD4">
        <w:rPr>
          <w:lang w:val="en-US" w:eastAsia="fr-FR"/>
        </w:rPr>
        <w:t>Kolm</w:t>
      </w:r>
      <w:proofErr w:type="spellEnd"/>
      <w:r w:rsidRPr="000B1CD4">
        <w:rPr>
          <w:lang w:val="en-US" w:eastAsia="fr-FR"/>
        </w:rPr>
        <w:t xml:space="preserve"> &amp; JM </w:t>
      </w:r>
      <w:proofErr w:type="spellStart"/>
      <w:r w:rsidRPr="000B1CD4">
        <w:rPr>
          <w:lang w:val="en-US" w:eastAsia="fr-FR"/>
        </w:rPr>
        <w:t>Ythier</w:t>
      </w:r>
      <w:proofErr w:type="spellEnd"/>
      <w:r w:rsidRPr="000B1CD4">
        <w:rPr>
          <w:lang w:val="en-US" w:eastAsia="fr-FR"/>
        </w:rPr>
        <w:t xml:space="preserve"> (Eds.), </w:t>
      </w:r>
      <w:r w:rsidRPr="000B1CD4">
        <w:rPr>
          <w:i/>
          <w:iCs/>
          <w:lang w:val="en-US" w:eastAsia="fr-FR"/>
        </w:rPr>
        <w:t xml:space="preserve">Handbook of the economics of giving, altruism and reciprocity </w:t>
      </w:r>
      <w:r w:rsidRPr="000B1CD4">
        <w:rPr>
          <w:lang w:val="en-US" w:eastAsia="fr-FR"/>
        </w:rPr>
        <w:t>(pp. 1135–1198). Elsevier.</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Docquier</w:t>
      </w:r>
      <w:proofErr w:type="spellEnd"/>
      <w:r w:rsidRPr="000B1CD4">
        <w:rPr>
          <w:lang w:val="en-US" w:eastAsia="fr-FR"/>
        </w:rPr>
        <w:t xml:space="preserve"> ,</w:t>
      </w:r>
      <w:proofErr w:type="gramEnd"/>
      <w:r w:rsidRPr="000B1CD4">
        <w:rPr>
          <w:lang w:val="en-US" w:eastAsia="fr-FR"/>
        </w:rPr>
        <w:t xml:space="preserve"> F., &amp; </w:t>
      </w:r>
      <w:proofErr w:type="spellStart"/>
      <w:r w:rsidRPr="000B1CD4">
        <w:rPr>
          <w:lang w:val="en-US" w:eastAsia="fr-FR"/>
        </w:rPr>
        <w:t>Rapoport</w:t>
      </w:r>
      <w:proofErr w:type="spellEnd"/>
      <w:r w:rsidRPr="000B1CD4">
        <w:rPr>
          <w:lang w:val="en-US" w:eastAsia="fr-FR"/>
        </w:rPr>
        <w:t xml:space="preserve"> , H. (2012). </w:t>
      </w:r>
      <w:r w:rsidRPr="000B1CD4">
        <w:rPr>
          <w:i/>
          <w:iCs/>
          <w:lang w:val="en-US" w:eastAsia="fr-FR"/>
        </w:rPr>
        <w:t xml:space="preserve">Globalization, brain drain, and </w:t>
      </w:r>
      <w:proofErr w:type="gramStart"/>
      <w:r w:rsidRPr="000B1CD4">
        <w:rPr>
          <w:i/>
          <w:iCs/>
          <w:lang w:val="en-US" w:eastAsia="fr-FR"/>
        </w:rPr>
        <w:t xml:space="preserve">development </w:t>
      </w:r>
      <w:r w:rsidRPr="000B1CD4">
        <w:rPr>
          <w:lang w:val="en-US" w:eastAsia="fr-FR"/>
        </w:rPr>
        <w:t>.</w:t>
      </w:r>
      <w:proofErr w:type="gramEnd"/>
      <w:r w:rsidRPr="000B1CD4">
        <w:rPr>
          <w:lang w:val="en-US" w:eastAsia="fr-FR"/>
        </w:rPr>
        <w:t xml:space="preserve"> </w:t>
      </w:r>
      <w:r w:rsidRPr="000B1CD4">
        <w:rPr>
          <w:i/>
          <w:iCs/>
          <w:lang w:val="en-US" w:eastAsia="fr-FR"/>
        </w:rPr>
        <w:t xml:space="preserve">Journal of Economic Literature, 50 </w:t>
      </w:r>
      <w:r w:rsidRPr="000B1CD4">
        <w:rPr>
          <w:lang w:val="en-US" w:eastAsia="fr-FR"/>
        </w:rPr>
        <w:t>(3), 681–730.</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Docquier</w:t>
      </w:r>
      <w:proofErr w:type="spellEnd"/>
      <w:r w:rsidRPr="000B1CD4">
        <w:rPr>
          <w:lang w:val="en-US" w:eastAsia="fr-FR"/>
        </w:rPr>
        <w:t xml:space="preserve"> ,</w:t>
      </w:r>
      <w:proofErr w:type="gramEnd"/>
      <w:r w:rsidRPr="000B1CD4">
        <w:rPr>
          <w:lang w:val="en-US" w:eastAsia="fr-FR"/>
        </w:rPr>
        <w:t xml:space="preserve"> F., </w:t>
      </w:r>
      <w:proofErr w:type="spellStart"/>
      <w:r w:rsidRPr="000B1CD4">
        <w:rPr>
          <w:lang w:val="en-US" w:eastAsia="fr-FR"/>
        </w:rPr>
        <w:t>Rapoport</w:t>
      </w:r>
      <w:proofErr w:type="spellEnd"/>
      <w:r w:rsidRPr="000B1CD4">
        <w:rPr>
          <w:lang w:val="en-US" w:eastAsia="fr-FR"/>
        </w:rPr>
        <w:t xml:space="preserve"> , H., &amp; </w:t>
      </w:r>
      <w:proofErr w:type="spellStart"/>
      <w:r w:rsidRPr="000B1CD4">
        <w:rPr>
          <w:lang w:val="en-US" w:eastAsia="fr-FR"/>
        </w:rPr>
        <w:t>Salomone</w:t>
      </w:r>
      <w:proofErr w:type="spellEnd"/>
      <w:r w:rsidRPr="000B1CD4">
        <w:rPr>
          <w:lang w:val="en-US" w:eastAsia="fr-FR"/>
        </w:rPr>
        <w:t xml:space="preserve"> , S. (2012). </w:t>
      </w:r>
      <w:r w:rsidRPr="000B1CD4">
        <w:rPr>
          <w:i/>
          <w:iCs/>
          <w:lang w:val="en-US" w:eastAsia="fr-FR"/>
        </w:rPr>
        <w:t xml:space="preserve">Remittances, migrants' education and immigration policy: Theory and evidence from developing </w:t>
      </w:r>
      <w:proofErr w:type="gramStart"/>
      <w:r w:rsidRPr="000B1CD4">
        <w:rPr>
          <w:i/>
          <w:iCs/>
          <w:lang w:val="en-US" w:eastAsia="fr-FR"/>
        </w:rPr>
        <w:t xml:space="preserve">countries </w:t>
      </w:r>
      <w:r w:rsidRPr="000B1CD4">
        <w:rPr>
          <w:lang w:val="en-US" w:eastAsia="fr-FR"/>
        </w:rPr>
        <w:t>.</w:t>
      </w:r>
      <w:proofErr w:type="gramEnd"/>
      <w:r w:rsidRPr="000B1CD4">
        <w:rPr>
          <w:lang w:val="en-US" w:eastAsia="fr-FR"/>
        </w:rPr>
        <w:t xml:space="preserve"> </w:t>
      </w:r>
      <w:r w:rsidRPr="000B1CD4">
        <w:rPr>
          <w:i/>
          <w:iCs/>
          <w:lang w:val="en-US" w:eastAsia="fr-FR"/>
        </w:rPr>
        <w:t xml:space="preserve">Regional Science and Urban Economics, 42 </w:t>
      </w:r>
      <w:r w:rsidRPr="000B1CD4">
        <w:rPr>
          <w:lang w:val="en-US" w:eastAsia="fr-FR"/>
        </w:rPr>
        <w:t xml:space="preserve">(5), 817–828. </w:t>
      </w:r>
      <w:hyperlink r:id="rId17" w:history="1">
        <w:r w:rsidRPr="000B1CD4">
          <w:rPr>
            <w:color w:val="0000FF"/>
            <w:u w:val="single"/>
            <w:lang w:val="en-US" w:eastAsia="fr-FR"/>
          </w:rPr>
          <w:t>https://doi.org/10.1016/j.regsciurbeco.2012.04.001</w:t>
        </w:r>
      </w:hyperlink>
    </w:p>
    <w:p w:rsidR="000B1CD4" w:rsidRPr="000B1CD4" w:rsidRDefault="000B1CD4" w:rsidP="000B1CD4">
      <w:pPr>
        <w:pStyle w:val="Sansinterligne"/>
        <w:jc w:val="both"/>
        <w:rPr>
          <w:lang w:val="en-US" w:eastAsia="fr-FR"/>
        </w:rPr>
      </w:pPr>
      <w:proofErr w:type="spellStart"/>
      <w:proofErr w:type="gramStart"/>
      <w:r w:rsidRPr="000B1CD4">
        <w:rPr>
          <w:lang w:val="en-US" w:eastAsia="fr-FR"/>
        </w:rPr>
        <w:t>Drukker</w:t>
      </w:r>
      <w:proofErr w:type="spellEnd"/>
      <w:r w:rsidRPr="000B1CD4">
        <w:rPr>
          <w:lang w:val="en-US" w:eastAsia="fr-FR"/>
        </w:rPr>
        <w:t xml:space="preserve"> ,</w:t>
      </w:r>
      <w:proofErr w:type="gramEnd"/>
      <w:r w:rsidRPr="000B1CD4">
        <w:rPr>
          <w:lang w:val="en-US" w:eastAsia="fr-FR"/>
        </w:rPr>
        <w:t xml:space="preserve"> D. M. (2003). </w:t>
      </w:r>
      <w:r w:rsidRPr="000B1CD4">
        <w:rPr>
          <w:i/>
          <w:iCs/>
          <w:lang w:val="en-US" w:eastAsia="fr-FR"/>
        </w:rPr>
        <w:t xml:space="preserve">Testing for serial correlation in linear panel-data </w:t>
      </w:r>
      <w:proofErr w:type="gramStart"/>
      <w:r w:rsidRPr="000B1CD4">
        <w:rPr>
          <w:i/>
          <w:iCs/>
          <w:lang w:val="en-US" w:eastAsia="fr-FR"/>
        </w:rPr>
        <w:t xml:space="preserve">models </w:t>
      </w:r>
      <w:r w:rsidRPr="000B1CD4">
        <w:rPr>
          <w:lang w:val="en-US" w:eastAsia="fr-FR"/>
        </w:rPr>
        <w:t>.</w:t>
      </w:r>
      <w:proofErr w:type="gramEnd"/>
      <w:r w:rsidRPr="000B1CD4">
        <w:rPr>
          <w:lang w:val="en-US" w:eastAsia="fr-FR"/>
        </w:rPr>
        <w:t xml:space="preserve"> </w:t>
      </w:r>
      <w:r w:rsidRPr="000B1CD4">
        <w:rPr>
          <w:i/>
          <w:iCs/>
          <w:lang w:val="en-US" w:eastAsia="fr-FR"/>
        </w:rPr>
        <w:t xml:space="preserve">The Stata Journal, 3 </w:t>
      </w:r>
      <w:r w:rsidRPr="000B1CD4">
        <w:rPr>
          <w:lang w:val="en-US" w:eastAsia="fr-FR"/>
        </w:rPr>
        <w:t>(2), 168–177.</w:t>
      </w:r>
    </w:p>
    <w:p w:rsidR="000B1CD4" w:rsidRPr="000B1CD4" w:rsidRDefault="000B1CD4" w:rsidP="000B1CD4">
      <w:pPr>
        <w:pStyle w:val="Sansinterligne"/>
        <w:jc w:val="both"/>
        <w:rPr>
          <w:lang w:val="en-US" w:eastAsia="fr-FR"/>
        </w:rPr>
      </w:pPr>
      <w:r w:rsidRPr="000B1CD4">
        <w:rPr>
          <w:lang w:val="en-US" w:eastAsia="fr-FR"/>
        </w:rPr>
        <w:t xml:space="preserve">Greene, W. H. (2012). </w:t>
      </w:r>
      <w:r w:rsidRPr="000B1CD4">
        <w:rPr>
          <w:i/>
          <w:iCs/>
          <w:lang w:val="en-US" w:eastAsia="fr-FR"/>
        </w:rPr>
        <w:t xml:space="preserve">Econometric analysis </w:t>
      </w:r>
      <w:r w:rsidRPr="000B1CD4">
        <w:rPr>
          <w:lang w:val="en-US" w:eastAsia="fr-FR"/>
        </w:rPr>
        <w:t xml:space="preserve">(7th </w:t>
      </w:r>
      <w:proofErr w:type="gramStart"/>
      <w:r w:rsidRPr="000B1CD4">
        <w:rPr>
          <w:lang w:val="en-US" w:eastAsia="fr-FR"/>
        </w:rPr>
        <w:t>ed .</w:t>
      </w:r>
      <w:proofErr w:type="gramEnd"/>
      <w:r w:rsidRPr="000B1CD4">
        <w:rPr>
          <w:lang w:val="en-US" w:eastAsia="fr-FR"/>
        </w:rPr>
        <w:t>). Pearson Education.</w:t>
      </w:r>
    </w:p>
    <w:p w:rsidR="000B1CD4" w:rsidRPr="000B1CD4" w:rsidRDefault="000B1CD4" w:rsidP="000B1CD4">
      <w:pPr>
        <w:pStyle w:val="Sansinterligne"/>
        <w:jc w:val="both"/>
        <w:rPr>
          <w:lang w:val="en-US" w:eastAsia="fr-FR"/>
        </w:rPr>
      </w:pPr>
      <w:r w:rsidRPr="00CC0175">
        <w:rPr>
          <w:lang w:eastAsia="fr-FR"/>
        </w:rPr>
        <w:t xml:space="preserve">Gujarati, D.N., &amp; Porter, D.C. (2009). </w:t>
      </w:r>
      <w:r w:rsidRPr="000B1CD4">
        <w:rPr>
          <w:i/>
          <w:iCs/>
          <w:lang w:val="en-US" w:eastAsia="fr-FR"/>
        </w:rPr>
        <w:t xml:space="preserve">Basic econometrics </w:t>
      </w:r>
      <w:r w:rsidRPr="000B1CD4">
        <w:rPr>
          <w:lang w:val="en-US" w:eastAsia="fr-FR"/>
        </w:rPr>
        <w:t xml:space="preserve">(5th </w:t>
      </w:r>
      <w:proofErr w:type="gramStart"/>
      <w:r w:rsidRPr="000B1CD4">
        <w:rPr>
          <w:lang w:val="en-US" w:eastAsia="fr-FR"/>
        </w:rPr>
        <w:t>ed .</w:t>
      </w:r>
      <w:proofErr w:type="gramEnd"/>
      <w:r w:rsidRPr="000B1CD4">
        <w:rPr>
          <w:lang w:val="en-US" w:eastAsia="fr-FR"/>
        </w:rPr>
        <w:t>). McGraw-Hill.</w:t>
      </w:r>
    </w:p>
    <w:p w:rsidR="000B1CD4" w:rsidRPr="000B1CD4" w:rsidRDefault="000B1CD4" w:rsidP="000B1CD4">
      <w:pPr>
        <w:pStyle w:val="Sansinterligne"/>
        <w:jc w:val="both"/>
        <w:rPr>
          <w:lang w:val="en-US" w:eastAsia="fr-FR"/>
        </w:rPr>
      </w:pPr>
      <w:r w:rsidRPr="000B1CD4">
        <w:rPr>
          <w:lang w:val="en-US" w:eastAsia="fr-FR"/>
        </w:rPr>
        <w:t xml:space="preserve">Harris, J.R., &amp; </w:t>
      </w:r>
      <w:proofErr w:type="spellStart"/>
      <w:proofErr w:type="gramStart"/>
      <w:r w:rsidRPr="000B1CD4">
        <w:rPr>
          <w:lang w:val="en-US" w:eastAsia="fr-FR"/>
        </w:rPr>
        <w:t>Todaro</w:t>
      </w:r>
      <w:proofErr w:type="spellEnd"/>
      <w:r w:rsidRPr="000B1CD4">
        <w:rPr>
          <w:lang w:val="en-US" w:eastAsia="fr-FR"/>
        </w:rPr>
        <w:t xml:space="preserve"> ,</w:t>
      </w:r>
      <w:proofErr w:type="gramEnd"/>
      <w:r w:rsidRPr="000B1CD4">
        <w:rPr>
          <w:lang w:val="en-US" w:eastAsia="fr-FR"/>
        </w:rPr>
        <w:t xml:space="preserve"> M.P. (1970). </w:t>
      </w:r>
      <w:r w:rsidRPr="000B1CD4">
        <w:rPr>
          <w:i/>
          <w:iCs/>
          <w:lang w:val="en-US" w:eastAsia="fr-FR"/>
        </w:rPr>
        <w:t xml:space="preserve">Migration, unemployment and development: A two-sector </w:t>
      </w:r>
      <w:proofErr w:type="gramStart"/>
      <w:r w:rsidRPr="000B1CD4">
        <w:rPr>
          <w:i/>
          <w:iCs/>
          <w:lang w:val="en-US" w:eastAsia="fr-FR"/>
        </w:rPr>
        <w:t xml:space="preserve">analysis </w:t>
      </w:r>
      <w:r w:rsidRPr="000B1CD4">
        <w:rPr>
          <w:lang w:val="en-US" w:eastAsia="fr-FR"/>
        </w:rPr>
        <w:t>.</w:t>
      </w:r>
      <w:proofErr w:type="gramEnd"/>
      <w:r w:rsidRPr="000B1CD4">
        <w:rPr>
          <w:lang w:val="en-US" w:eastAsia="fr-FR"/>
        </w:rPr>
        <w:t xml:space="preserve"> </w:t>
      </w:r>
      <w:r w:rsidRPr="000B1CD4">
        <w:rPr>
          <w:i/>
          <w:iCs/>
          <w:lang w:val="en-US" w:eastAsia="fr-FR"/>
        </w:rPr>
        <w:t xml:space="preserve">American Economic Review, 60 </w:t>
      </w:r>
      <w:r w:rsidRPr="000B1CD4">
        <w:rPr>
          <w:lang w:val="en-US" w:eastAsia="fr-FR"/>
        </w:rPr>
        <w:t>(1), 126–142.</w:t>
      </w:r>
    </w:p>
    <w:p w:rsidR="000B1CD4" w:rsidRPr="000B1CD4" w:rsidRDefault="000B1CD4" w:rsidP="000B1CD4">
      <w:pPr>
        <w:pStyle w:val="Sansinterligne"/>
        <w:jc w:val="both"/>
        <w:rPr>
          <w:lang w:val="en-US" w:eastAsia="fr-FR"/>
        </w:rPr>
      </w:pPr>
      <w:r w:rsidRPr="000B1CD4">
        <w:rPr>
          <w:lang w:val="en-US" w:eastAsia="fr-FR"/>
        </w:rPr>
        <w:t xml:space="preserve">Henderson, J. V. (2003). </w:t>
      </w:r>
      <w:r w:rsidRPr="000B1CD4">
        <w:rPr>
          <w:i/>
          <w:iCs/>
          <w:lang w:val="en-US" w:eastAsia="fr-FR"/>
        </w:rPr>
        <w:t xml:space="preserve">The urbanization process and economic growth: The so-what </w:t>
      </w:r>
      <w:proofErr w:type="gramStart"/>
      <w:r w:rsidRPr="000B1CD4">
        <w:rPr>
          <w:i/>
          <w:iCs/>
          <w:lang w:val="en-US" w:eastAsia="fr-FR"/>
        </w:rPr>
        <w:t xml:space="preserve">question </w:t>
      </w:r>
      <w:r w:rsidRPr="000B1CD4">
        <w:rPr>
          <w:lang w:val="en-US" w:eastAsia="fr-FR"/>
        </w:rPr>
        <w:t>.</w:t>
      </w:r>
      <w:proofErr w:type="gramEnd"/>
      <w:r w:rsidRPr="000B1CD4">
        <w:rPr>
          <w:lang w:val="en-US" w:eastAsia="fr-FR"/>
        </w:rPr>
        <w:t xml:space="preserve"> </w:t>
      </w:r>
      <w:r w:rsidRPr="000B1CD4">
        <w:rPr>
          <w:i/>
          <w:iCs/>
          <w:lang w:val="en-US" w:eastAsia="fr-FR"/>
        </w:rPr>
        <w:t xml:space="preserve">Journal of Economic Growth, 8 </w:t>
      </w:r>
      <w:r w:rsidRPr="000B1CD4">
        <w:rPr>
          <w:lang w:val="en-US" w:eastAsia="fr-FR"/>
        </w:rPr>
        <w:t xml:space="preserve">(1), 47–71. </w:t>
      </w:r>
      <w:hyperlink r:id="rId18" w:history="1">
        <w:r w:rsidRPr="000B1CD4">
          <w:rPr>
            <w:color w:val="0000FF"/>
            <w:u w:val="single"/>
            <w:lang w:val="en-US" w:eastAsia="fr-FR"/>
          </w:rPr>
          <w:t>https://doi.org/10.1023/A:1022860800744</w:t>
        </w:r>
      </w:hyperlink>
    </w:p>
    <w:p w:rsidR="000B1CD4" w:rsidRPr="000B1CD4" w:rsidRDefault="000B1CD4" w:rsidP="000B1CD4">
      <w:pPr>
        <w:pStyle w:val="Sansinterligne"/>
        <w:jc w:val="both"/>
        <w:rPr>
          <w:lang w:val="en-US" w:eastAsia="fr-FR"/>
        </w:rPr>
      </w:pPr>
      <w:proofErr w:type="spellStart"/>
      <w:proofErr w:type="gramStart"/>
      <w:r w:rsidRPr="000B1CD4">
        <w:rPr>
          <w:lang w:val="en-US" w:eastAsia="fr-FR"/>
        </w:rPr>
        <w:t>Im</w:t>
      </w:r>
      <w:proofErr w:type="spellEnd"/>
      <w:r w:rsidRPr="000B1CD4">
        <w:rPr>
          <w:lang w:val="en-US" w:eastAsia="fr-FR"/>
        </w:rPr>
        <w:t xml:space="preserve"> ,</w:t>
      </w:r>
      <w:proofErr w:type="gramEnd"/>
      <w:r w:rsidRPr="000B1CD4">
        <w:rPr>
          <w:lang w:val="en-US" w:eastAsia="fr-FR"/>
        </w:rPr>
        <w:t xml:space="preserve"> K. S., </w:t>
      </w:r>
      <w:proofErr w:type="spellStart"/>
      <w:r w:rsidRPr="000B1CD4">
        <w:rPr>
          <w:lang w:val="en-US" w:eastAsia="fr-FR"/>
        </w:rPr>
        <w:t>Pesaran</w:t>
      </w:r>
      <w:proofErr w:type="spellEnd"/>
      <w:r w:rsidRPr="000B1CD4">
        <w:rPr>
          <w:lang w:val="en-US" w:eastAsia="fr-FR"/>
        </w:rPr>
        <w:t xml:space="preserve"> , M. H., &amp; Shin, Y. (2003). </w:t>
      </w:r>
      <w:r w:rsidRPr="000B1CD4">
        <w:rPr>
          <w:i/>
          <w:iCs/>
          <w:lang w:val="en-US" w:eastAsia="fr-FR"/>
        </w:rPr>
        <w:t xml:space="preserve">Testing for unit roots in heterogeneous </w:t>
      </w:r>
      <w:proofErr w:type="gramStart"/>
      <w:r w:rsidRPr="000B1CD4">
        <w:rPr>
          <w:i/>
          <w:iCs/>
          <w:lang w:val="en-US" w:eastAsia="fr-FR"/>
        </w:rPr>
        <w:t xml:space="preserve">panels </w:t>
      </w:r>
      <w:r w:rsidRPr="000B1CD4">
        <w:rPr>
          <w:lang w:val="en-US" w:eastAsia="fr-FR"/>
        </w:rPr>
        <w:t>.</w:t>
      </w:r>
      <w:proofErr w:type="gramEnd"/>
      <w:r w:rsidRPr="000B1CD4">
        <w:rPr>
          <w:lang w:val="en-US" w:eastAsia="fr-FR"/>
        </w:rPr>
        <w:t xml:space="preserve"> </w:t>
      </w:r>
      <w:r w:rsidRPr="000B1CD4">
        <w:rPr>
          <w:i/>
          <w:iCs/>
          <w:lang w:val="en-US" w:eastAsia="fr-FR"/>
        </w:rPr>
        <w:t xml:space="preserve">Journal of Econometrics, 115 </w:t>
      </w:r>
      <w:r w:rsidRPr="000B1CD4">
        <w:rPr>
          <w:lang w:val="en-US" w:eastAsia="fr-FR"/>
        </w:rPr>
        <w:t xml:space="preserve">(1), 53–74. </w:t>
      </w:r>
      <w:hyperlink r:id="rId19" w:history="1">
        <w:r w:rsidRPr="000B1CD4">
          <w:rPr>
            <w:color w:val="0000FF"/>
            <w:u w:val="single"/>
            <w:lang w:val="en-US" w:eastAsia="fr-FR"/>
          </w:rPr>
          <w:t>https://doi.org/10.1016/S0304-4076(03)00092-7</w:t>
        </w:r>
      </w:hyperlink>
    </w:p>
    <w:p w:rsidR="000B1CD4" w:rsidRPr="000B1CD4" w:rsidRDefault="000B1CD4" w:rsidP="000B1CD4">
      <w:pPr>
        <w:pStyle w:val="Sansinterligne"/>
        <w:jc w:val="both"/>
        <w:rPr>
          <w:lang w:val="en-US" w:eastAsia="fr-FR"/>
        </w:rPr>
      </w:pPr>
      <w:r w:rsidRPr="000B1CD4">
        <w:rPr>
          <w:lang w:val="en-US" w:eastAsia="fr-FR"/>
        </w:rPr>
        <w:t xml:space="preserve">Kennedy, P. (2008). </w:t>
      </w:r>
      <w:r w:rsidRPr="000B1CD4">
        <w:rPr>
          <w:i/>
          <w:iCs/>
          <w:lang w:val="en-US" w:eastAsia="fr-FR"/>
        </w:rPr>
        <w:t xml:space="preserve">A guide to econometrics </w:t>
      </w:r>
      <w:r w:rsidRPr="000B1CD4">
        <w:rPr>
          <w:lang w:val="en-US" w:eastAsia="fr-FR"/>
        </w:rPr>
        <w:t xml:space="preserve">(6th </w:t>
      </w:r>
      <w:proofErr w:type="gramStart"/>
      <w:r w:rsidRPr="000B1CD4">
        <w:rPr>
          <w:lang w:val="en-US" w:eastAsia="fr-FR"/>
        </w:rPr>
        <w:t>ed .</w:t>
      </w:r>
      <w:proofErr w:type="gramEnd"/>
      <w:r w:rsidRPr="000B1CD4">
        <w:rPr>
          <w:lang w:val="en-US" w:eastAsia="fr-FR"/>
        </w:rPr>
        <w:t>). Blackwell Publishing.</w:t>
      </w:r>
    </w:p>
    <w:p w:rsidR="000B1CD4" w:rsidRPr="000B1CD4" w:rsidRDefault="000B1CD4" w:rsidP="000B1CD4">
      <w:pPr>
        <w:pStyle w:val="Sansinterligne"/>
        <w:jc w:val="both"/>
        <w:rPr>
          <w:lang w:val="en-US" w:eastAsia="fr-FR"/>
        </w:rPr>
      </w:pPr>
      <w:r w:rsidRPr="000B1CD4">
        <w:rPr>
          <w:lang w:val="en-US" w:eastAsia="fr-FR"/>
        </w:rPr>
        <w:t xml:space="preserve">Layard, R., Nickell, S., &amp; Jackman, R. (1991). </w:t>
      </w:r>
      <w:r w:rsidRPr="000B1CD4">
        <w:rPr>
          <w:i/>
          <w:iCs/>
          <w:lang w:val="en-US" w:eastAsia="fr-FR"/>
        </w:rPr>
        <w:t xml:space="preserve">Unemployment: Macroeconomic performance and the labor </w:t>
      </w:r>
      <w:proofErr w:type="gramStart"/>
      <w:r w:rsidRPr="000B1CD4">
        <w:rPr>
          <w:i/>
          <w:iCs/>
          <w:lang w:val="en-US" w:eastAsia="fr-FR"/>
        </w:rPr>
        <w:t xml:space="preserve">market </w:t>
      </w:r>
      <w:r w:rsidRPr="000B1CD4">
        <w:rPr>
          <w:lang w:val="en-US" w:eastAsia="fr-FR"/>
        </w:rPr>
        <w:t>.</w:t>
      </w:r>
      <w:proofErr w:type="gramEnd"/>
      <w:r w:rsidRPr="000B1CD4">
        <w:rPr>
          <w:lang w:val="en-US" w:eastAsia="fr-FR"/>
        </w:rPr>
        <w:t xml:space="preserve"> Oxford University Press.</w:t>
      </w:r>
    </w:p>
    <w:p w:rsidR="000B1CD4" w:rsidRPr="000B1CD4" w:rsidRDefault="000B1CD4" w:rsidP="000B1CD4">
      <w:pPr>
        <w:pStyle w:val="Sansinterligne"/>
        <w:jc w:val="both"/>
        <w:rPr>
          <w:lang w:val="en-US" w:eastAsia="fr-FR"/>
        </w:rPr>
      </w:pPr>
      <w:r w:rsidRPr="000B1CD4">
        <w:rPr>
          <w:lang w:val="en-US" w:eastAsia="fr-FR"/>
        </w:rPr>
        <w:t xml:space="preserve">Levin, A., Lin, C.F., &amp; Chu, CSJ (2002). </w:t>
      </w:r>
      <w:r w:rsidRPr="000B1CD4">
        <w:rPr>
          <w:i/>
          <w:iCs/>
          <w:lang w:val="en-US" w:eastAsia="fr-FR"/>
        </w:rPr>
        <w:t xml:space="preserve">Unit root tests in panel data: Asymptotic and finite-sample </w:t>
      </w:r>
      <w:proofErr w:type="gramStart"/>
      <w:r w:rsidRPr="000B1CD4">
        <w:rPr>
          <w:i/>
          <w:iCs/>
          <w:lang w:val="en-US" w:eastAsia="fr-FR"/>
        </w:rPr>
        <w:t xml:space="preserve">properties </w:t>
      </w:r>
      <w:r w:rsidRPr="000B1CD4">
        <w:rPr>
          <w:lang w:val="en-US" w:eastAsia="fr-FR"/>
        </w:rPr>
        <w:t>.</w:t>
      </w:r>
      <w:proofErr w:type="gramEnd"/>
      <w:r w:rsidRPr="000B1CD4">
        <w:rPr>
          <w:lang w:val="en-US" w:eastAsia="fr-FR"/>
        </w:rPr>
        <w:t xml:space="preserve"> </w:t>
      </w:r>
      <w:r w:rsidRPr="000B1CD4">
        <w:rPr>
          <w:i/>
          <w:iCs/>
          <w:lang w:val="en-US" w:eastAsia="fr-FR"/>
        </w:rPr>
        <w:t xml:space="preserve">Journal of Econometrics, 108 </w:t>
      </w:r>
      <w:r w:rsidRPr="000B1CD4">
        <w:rPr>
          <w:lang w:val="en-US" w:eastAsia="fr-FR"/>
        </w:rPr>
        <w:t xml:space="preserve">(1), 1–24. </w:t>
      </w:r>
      <w:hyperlink r:id="rId20" w:history="1">
        <w:r w:rsidRPr="000B1CD4">
          <w:rPr>
            <w:color w:val="0000FF"/>
            <w:u w:val="single"/>
            <w:lang w:val="en-US" w:eastAsia="fr-FR"/>
          </w:rPr>
          <w:t>https://doi.org/10.1016/S0304-4076(01)00098-7</w:t>
        </w:r>
      </w:hyperlink>
    </w:p>
    <w:p w:rsidR="000B1CD4" w:rsidRPr="000B1CD4" w:rsidRDefault="000B1CD4" w:rsidP="000B1CD4">
      <w:pPr>
        <w:pStyle w:val="Sansinterligne"/>
        <w:jc w:val="both"/>
        <w:rPr>
          <w:lang w:val="en-US" w:eastAsia="fr-FR"/>
        </w:rPr>
      </w:pPr>
      <w:r w:rsidRPr="000B1CD4">
        <w:rPr>
          <w:lang w:val="en-US" w:eastAsia="fr-FR"/>
        </w:rPr>
        <w:t xml:space="preserve">Lucas, R.E. (1988). </w:t>
      </w:r>
      <w:r w:rsidRPr="000B1CD4">
        <w:rPr>
          <w:i/>
          <w:iCs/>
          <w:lang w:val="en-US" w:eastAsia="fr-FR"/>
        </w:rPr>
        <w:t xml:space="preserve">On the mechanics of economic </w:t>
      </w:r>
      <w:proofErr w:type="gramStart"/>
      <w:r w:rsidRPr="000B1CD4">
        <w:rPr>
          <w:i/>
          <w:iCs/>
          <w:lang w:val="en-US" w:eastAsia="fr-FR"/>
        </w:rPr>
        <w:t xml:space="preserve">development </w:t>
      </w:r>
      <w:r w:rsidRPr="000B1CD4">
        <w:rPr>
          <w:lang w:val="en-US" w:eastAsia="fr-FR"/>
        </w:rPr>
        <w:t>.</w:t>
      </w:r>
      <w:proofErr w:type="gramEnd"/>
      <w:r w:rsidRPr="000B1CD4">
        <w:rPr>
          <w:lang w:val="en-US" w:eastAsia="fr-FR"/>
        </w:rPr>
        <w:t xml:space="preserve"> </w:t>
      </w:r>
      <w:r w:rsidRPr="000B1CD4">
        <w:rPr>
          <w:i/>
          <w:iCs/>
          <w:lang w:val="en-US" w:eastAsia="fr-FR"/>
        </w:rPr>
        <w:t xml:space="preserve">Journal of Monetary Economics, 22 </w:t>
      </w:r>
      <w:r w:rsidRPr="000B1CD4">
        <w:rPr>
          <w:lang w:val="en-US" w:eastAsia="fr-FR"/>
        </w:rPr>
        <w:t xml:space="preserve">(1), 3–42. </w:t>
      </w:r>
      <w:hyperlink r:id="rId21" w:history="1">
        <w:r w:rsidRPr="000B1CD4">
          <w:rPr>
            <w:color w:val="0000FF"/>
            <w:u w:val="single"/>
            <w:lang w:val="en-US" w:eastAsia="fr-FR"/>
          </w:rPr>
          <w:t>https://doi.org/10.1016/0304-3932(88)90168-7</w:t>
        </w:r>
      </w:hyperlink>
    </w:p>
    <w:p w:rsidR="000B1CD4" w:rsidRPr="000B1CD4" w:rsidRDefault="000B1CD4" w:rsidP="000B1CD4">
      <w:pPr>
        <w:pStyle w:val="Sansinterligne"/>
        <w:jc w:val="both"/>
        <w:rPr>
          <w:lang w:val="en-US" w:eastAsia="fr-FR"/>
        </w:rPr>
      </w:pPr>
      <w:proofErr w:type="spellStart"/>
      <w:proofErr w:type="gramStart"/>
      <w:r w:rsidRPr="000B1CD4">
        <w:rPr>
          <w:lang w:val="en-US" w:eastAsia="fr-FR"/>
        </w:rPr>
        <w:t>Mankiw</w:t>
      </w:r>
      <w:proofErr w:type="spellEnd"/>
      <w:r w:rsidRPr="000B1CD4">
        <w:rPr>
          <w:lang w:val="en-US" w:eastAsia="fr-FR"/>
        </w:rPr>
        <w:t xml:space="preserve"> ,</w:t>
      </w:r>
      <w:proofErr w:type="gramEnd"/>
      <w:r w:rsidRPr="000B1CD4">
        <w:rPr>
          <w:lang w:val="en-US" w:eastAsia="fr-FR"/>
        </w:rPr>
        <w:t xml:space="preserve"> N.G., </w:t>
      </w:r>
      <w:proofErr w:type="spellStart"/>
      <w:r w:rsidRPr="000B1CD4">
        <w:rPr>
          <w:lang w:val="en-US" w:eastAsia="fr-FR"/>
        </w:rPr>
        <w:t>Romer</w:t>
      </w:r>
      <w:proofErr w:type="spellEnd"/>
      <w:r w:rsidRPr="000B1CD4">
        <w:rPr>
          <w:lang w:val="en-US" w:eastAsia="fr-FR"/>
        </w:rPr>
        <w:t xml:space="preserve"> , D., &amp; Weil, D.N. (1992). </w:t>
      </w:r>
      <w:r w:rsidRPr="000B1CD4">
        <w:rPr>
          <w:i/>
          <w:iCs/>
          <w:lang w:val="en-US" w:eastAsia="fr-FR"/>
        </w:rPr>
        <w:t xml:space="preserve">A contribution to the empirics of economic </w:t>
      </w:r>
      <w:proofErr w:type="gramStart"/>
      <w:r w:rsidRPr="000B1CD4">
        <w:rPr>
          <w:i/>
          <w:iCs/>
          <w:lang w:val="en-US" w:eastAsia="fr-FR"/>
        </w:rPr>
        <w:t xml:space="preserve">growth </w:t>
      </w:r>
      <w:r w:rsidRPr="000B1CD4">
        <w:rPr>
          <w:lang w:val="en-US" w:eastAsia="fr-FR"/>
        </w:rPr>
        <w:t>.</w:t>
      </w:r>
      <w:proofErr w:type="gramEnd"/>
      <w:r w:rsidRPr="000B1CD4">
        <w:rPr>
          <w:lang w:val="en-US" w:eastAsia="fr-FR"/>
        </w:rPr>
        <w:t xml:space="preserve"> </w:t>
      </w:r>
      <w:r w:rsidRPr="000B1CD4">
        <w:rPr>
          <w:i/>
          <w:iCs/>
          <w:lang w:val="en-US" w:eastAsia="fr-FR"/>
        </w:rPr>
        <w:t xml:space="preserve">The Quarterly Journal of Economics, 107 </w:t>
      </w:r>
      <w:r w:rsidRPr="000B1CD4">
        <w:rPr>
          <w:lang w:val="en-US" w:eastAsia="fr-FR"/>
        </w:rPr>
        <w:t xml:space="preserve">(2), 407–437. </w:t>
      </w:r>
      <w:hyperlink r:id="rId22" w:history="1">
        <w:r w:rsidRPr="000B1CD4">
          <w:rPr>
            <w:color w:val="0000FF"/>
            <w:u w:val="single"/>
            <w:lang w:val="en-US" w:eastAsia="fr-FR"/>
          </w:rPr>
          <w:t>https://doi.org/10.2307/2118477</w:t>
        </w:r>
      </w:hyperlink>
    </w:p>
    <w:p w:rsidR="000B1CD4" w:rsidRPr="000B1CD4" w:rsidRDefault="000B1CD4" w:rsidP="000B1CD4">
      <w:pPr>
        <w:pStyle w:val="Sansinterligne"/>
        <w:jc w:val="both"/>
        <w:rPr>
          <w:lang w:val="en-US" w:eastAsia="fr-FR"/>
        </w:rPr>
      </w:pPr>
      <w:r w:rsidRPr="000B1CD4">
        <w:rPr>
          <w:lang w:val="en-US" w:eastAsia="fr-FR"/>
        </w:rPr>
        <w:t xml:space="preserve">Massey, DS, </w:t>
      </w:r>
      <w:proofErr w:type="spellStart"/>
      <w:proofErr w:type="gramStart"/>
      <w:r w:rsidRPr="000B1CD4">
        <w:rPr>
          <w:lang w:val="en-US" w:eastAsia="fr-FR"/>
        </w:rPr>
        <w:t>Arango</w:t>
      </w:r>
      <w:proofErr w:type="spellEnd"/>
      <w:r w:rsidRPr="000B1CD4">
        <w:rPr>
          <w:lang w:val="en-US" w:eastAsia="fr-FR"/>
        </w:rPr>
        <w:t xml:space="preserve"> ,</w:t>
      </w:r>
      <w:proofErr w:type="gramEnd"/>
      <w:r w:rsidRPr="000B1CD4">
        <w:rPr>
          <w:lang w:val="en-US" w:eastAsia="fr-FR"/>
        </w:rPr>
        <w:t xml:space="preserve"> J., Hugo, G., </w:t>
      </w:r>
      <w:proofErr w:type="spellStart"/>
      <w:r w:rsidRPr="000B1CD4">
        <w:rPr>
          <w:lang w:val="en-US" w:eastAsia="fr-FR"/>
        </w:rPr>
        <w:t>Kouaouci</w:t>
      </w:r>
      <w:proofErr w:type="spellEnd"/>
      <w:r w:rsidRPr="000B1CD4">
        <w:rPr>
          <w:lang w:val="en-US" w:eastAsia="fr-FR"/>
        </w:rPr>
        <w:t xml:space="preserve"> , A., Pellegrino, A., &amp; Taylor, JE (1993). </w:t>
      </w:r>
      <w:r w:rsidRPr="000B1CD4">
        <w:rPr>
          <w:i/>
          <w:iCs/>
          <w:lang w:val="en-US" w:eastAsia="fr-FR"/>
        </w:rPr>
        <w:t xml:space="preserve">Theories of international migration: A review and </w:t>
      </w:r>
      <w:proofErr w:type="gramStart"/>
      <w:r w:rsidRPr="000B1CD4">
        <w:rPr>
          <w:i/>
          <w:iCs/>
          <w:lang w:val="en-US" w:eastAsia="fr-FR"/>
        </w:rPr>
        <w:t xml:space="preserve">appraisal </w:t>
      </w:r>
      <w:r w:rsidRPr="000B1CD4">
        <w:rPr>
          <w:lang w:val="en-US" w:eastAsia="fr-FR"/>
        </w:rPr>
        <w:t>.</w:t>
      </w:r>
      <w:proofErr w:type="gramEnd"/>
      <w:r w:rsidRPr="000B1CD4">
        <w:rPr>
          <w:lang w:val="en-US" w:eastAsia="fr-FR"/>
        </w:rPr>
        <w:t xml:space="preserve"> </w:t>
      </w:r>
      <w:r w:rsidRPr="000B1CD4">
        <w:rPr>
          <w:i/>
          <w:iCs/>
          <w:lang w:val="en-US" w:eastAsia="fr-FR"/>
        </w:rPr>
        <w:t xml:space="preserve">Population and Development Review, 19 </w:t>
      </w:r>
      <w:r w:rsidRPr="000B1CD4">
        <w:rPr>
          <w:lang w:val="en-US" w:eastAsia="fr-FR"/>
        </w:rPr>
        <w:t>(3), 431–466.</w:t>
      </w:r>
    </w:p>
    <w:p w:rsidR="000B1CD4" w:rsidRPr="000B1CD4" w:rsidRDefault="000B1CD4" w:rsidP="000B1CD4">
      <w:pPr>
        <w:pStyle w:val="Sansinterligne"/>
        <w:jc w:val="both"/>
        <w:rPr>
          <w:lang w:val="en-US" w:eastAsia="fr-FR"/>
        </w:rPr>
      </w:pPr>
      <w:r w:rsidRPr="000B1CD4">
        <w:rPr>
          <w:lang w:val="en-US" w:eastAsia="fr-FR"/>
        </w:rPr>
        <w:t xml:space="preserve">McMillan, MS, </w:t>
      </w:r>
      <w:proofErr w:type="spellStart"/>
      <w:proofErr w:type="gramStart"/>
      <w:r w:rsidRPr="000B1CD4">
        <w:rPr>
          <w:lang w:val="en-US" w:eastAsia="fr-FR"/>
        </w:rPr>
        <w:t>Rodrik</w:t>
      </w:r>
      <w:proofErr w:type="spellEnd"/>
      <w:r w:rsidRPr="000B1CD4">
        <w:rPr>
          <w:lang w:val="en-US" w:eastAsia="fr-FR"/>
        </w:rPr>
        <w:t xml:space="preserve"> ,</w:t>
      </w:r>
      <w:proofErr w:type="gramEnd"/>
      <w:r w:rsidRPr="000B1CD4">
        <w:rPr>
          <w:lang w:val="en-US" w:eastAsia="fr-FR"/>
        </w:rPr>
        <w:t xml:space="preserve"> D., &amp; </w:t>
      </w:r>
      <w:proofErr w:type="spellStart"/>
      <w:r w:rsidRPr="000B1CD4">
        <w:rPr>
          <w:lang w:val="en-US" w:eastAsia="fr-FR"/>
        </w:rPr>
        <w:t>Verduzco</w:t>
      </w:r>
      <w:proofErr w:type="spellEnd"/>
      <w:r w:rsidRPr="000B1CD4">
        <w:rPr>
          <w:lang w:val="en-US" w:eastAsia="fr-FR"/>
        </w:rPr>
        <w:t xml:space="preserve"> -Gallo, Í. (2014). </w:t>
      </w:r>
      <w:r w:rsidRPr="000B1CD4">
        <w:rPr>
          <w:i/>
          <w:iCs/>
          <w:lang w:val="en-US" w:eastAsia="fr-FR"/>
        </w:rPr>
        <w:t xml:space="preserve">Globalization, structural change, and productivity growth, with an update on </w:t>
      </w:r>
      <w:proofErr w:type="gramStart"/>
      <w:r w:rsidRPr="000B1CD4">
        <w:rPr>
          <w:i/>
          <w:iCs/>
          <w:lang w:val="en-US" w:eastAsia="fr-FR"/>
        </w:rPr>
        <w:t xml:space="preserve">Africa </w:t>
      </w:r>
      <w:r w:rsidRPr="000B1CD4">
        <w:rPr>
          <w:lang w:val="en-US" w:eastAsia="fr-FR"/>
        </w:rPr>
        <w:t>.</w:t>
      </w:r>
      <w:proofErr w:type="gramEnd"/>
      <w:r w:rsidRPr="000B1CD4">
        <w:rPr>
          <w:lang w:val="en-US" w:eastAsia="fr-FR"/>
        </w:rPr>
        <w:t xml:space="preserve"> </w:t>
      </w:r>
      <w:r w:rsidRPr="000B1CD4">
        <w:rPr>
          <w:i/>
          <w:iCs/>
          <w:lang w:val="en-US" w:eastAsia="fr-FR"/>
        </w:rPr>
        <w:t xml:space="preserve">World Development, </w:t>
      </w:r>
      <w:proofErr w:type="gramStart"/>
      <w:r w:rsidRPr="000B1CD4">
        <w:rPr>
          <w:i/>
          <w:iCs/>
          <w:lang w:val="en-US" w:eastAsia="fr-FR"/>
        </w:rPr>
        <w:t xml:space="preserve">63 </w:t>
      </w:r>
      <w:r w:rsidRPr="000B1CD4">
        <w:rPr>
          <w:lang w:val="en-US" w:eastAsia="fr-FR"/>
        </w:rPr>
        <w:t>,</w:t>
      </w:r>
      <w:proofErr w:type="gramEnd"/>
      <w:r w:rsidRPr="000B1CD4">
        <w:rPr>
          <w:lang w:val="en-US" w:eastAsia="fr-FR"/>
        </w:rPr>
        <w:t xml:space="preserve"> 11–32. </w:t>
      </w:r>
      <w:hyperlink r:id="rId23" w:history="1">
        <w:r w:rsidRPr="000B1CD4">
          <w:rPr>
            <w:color w:val="0000FF"/>
            <w:u w:val="single"/>
            <w:lang w:val="en-US" w:eastAsia="fr-FR"/>
          </w:rPr>
          <w:t>https://doi.org/10.1016/j.worlddev.2013.10.012</w:t>
        </w:r>
      </w:hyperlink>
    </w:p>
    <w:p w:rsidR="000B1CD4" w:rsidRPr="000B1CD4" w:rsidRDefault="000B1CD4" w:rsidP="000B1CD4">
      <w:pPr>
        <w:pStyle w:val="Sansinterligne"/>
        <w:jc w:val="both"/>
        <w:rPr>
          <w:lang w:eastAsia="fr-FR"/>
        </w:rPr>
      </w:pPr>
      <w:r w:rsidRPr="000B1CD4">
        <w:rPr>
          <w:lang w:val="en-US" w:eastAsia="fr-FR"/>
        </w:rPr>
        <w:t xml:space="preserve">O’Brien, R. M. (2007). </w:t>
      </w:r>
      <w:r w:rsidRPr="000B1CD4">
        <w:rPr>
          <w:i/>
          <w:iCs/>
          <w:lang w:val="en-US" w:eastAsia="fr-FR"/>
        </w:rPr>
        <w:t xml:space="preserve">A caution regarding rules of thumb for variance inflation </w:t>
      </w:r>
      <w:proofErr w:type="gramStart"/>
      <w:r w:rsidRPr="000B1CD4">
        <w:rPr>
          <w:i/>
          <w:iCs/>
          <w:lang w:val="en-US" w:eastAsia="fr-FR"/>
        </w:rPr>
        <w:t xml:space="preserve">factors </w:t>
      </w:r>
      <w:r w:rsidRPr="000B1CD4">
        <w:rPr>
          <w:lang w:val="en-US" w:eastAsia="fr-FR"/>
        </w:rPr>
        <w:t>.</w:t>
      </w:r>
      <w:proofErr w:type="gramEnd"/>
      <w:r w:rsidRPr="000B1CD4">
        <w:rPr>
          <w:lang w:val="en-US" w:eastAsia="fr-FR"/>
        </w:rPr>
        <w:t xml:space="preserve"> </w:t>
      </w:r>
      <w:r w:rsidRPr="000B1CD4">
        <w:rPr>
          <w:i/>
          <w:iCs/>
          <w:lang w:eastAsia="fr-FR"/>
        </w:rPr>
        <w:t xml:space="preserve">Quality &amp; </w:t>
      </w:r>
      <w:proofErr w:type="gramStart"/>
      <w:r w:rsidRPr="000B1CD4">
        <w:rPr>
          <w:i/>
          <w:iCs/>
          <w:lang w:eastAsia="fr-FR"/>
        </w:rPr>
        <w:t>Quantity ,</w:t>
      </w:r>
      <w:proofErr w:type="gramEnd"/>
      <w:r w:rsidRPr="000B1CD4">
        <w:rPr>
          <w:i/>
          <w:iCs/>
          <w:lang w:eastAsia="fr-FR"/>
        </w:rPr>
        <w:t xml:space="preserve"> 41 </w:t>
      </w:r>
      <w:r w:rsidRPr="000B1CD4">
        <w:rPr>
          <w:lang w:eastAsia="fr-FR"/>
        </w:rPr>
        <w:t xml:space="preserve">(5), 673–690. </w:t>
      </w:r>
      <w:hyperlink r:id="rId24" w:history="1">
        <w:r w:rsidRPr="000B1CD4">
          <w:rPr>
            <w:color w:val="0000FF"/>
            <w:u w:val="single"/>
            <w:lang w:eastAsia="fr-FR"/>
          </w:rPr>
          <w:t>https://doi.org/10.1007/s11135-006-9018-6</w:t>
        </w:r>
      </w:hyperlink>
    </w:p>
    <w:p w:rsidR="000B1CD4" w:rsidRPr="000B1CD4" w:rsidRDefault="000B1CD4" w:rsidP="000B1CD4">
      <w:pPr>
        <w:pStyle w:val="Sansinterligne"/>
        <w:jc w:val="both"/>
        <w:rPr>
          <w:lang w:val="en-US" w:eastAsia="fr-FR"/>
        </w:rPr>
      </w:pPr>
      <w:r w:rsidRPr="000B1CD4">
        <w:rPr>
          <w:lang w:eastAsia="fr-FR"/>
        </w:rPr>
        <w:t xml:space="preserve">International Labor Organization. </w:t>
      </w:r>
      <w:r w:rsidRPr="000B1CD4">
        <w:rPr>
          <w:lang w:val="en-US" w:eastAsia="fr-FR"/>
        </w:rPr>
        <w:t xml:space="preserve">(2020). </w:t>
      </w:r>
      <w:r w:rsidRPr="000B1CD4">
        <w:rPr>
          <w:i/>
          <w:iCs/>
          <w:lang w:val="en-US" w:eastAsia="fr-FR"/>
        </w:rPr>
        <w:t xml:space="preserve">World employment and social outlook: Trends </w:t>
      </w:r>
      <w:proofErr w:type="gramStart"/>
      <w:r w:rsidRPr="000B1CD4">
        <w:rPr>
          <w:i/>
          <w:iCs/>
          <w:lang w:val="en-US" w:eastAsia="fr-FR"/>
        </w:rPr>
        <w:t xml:space="preserve">2020 </w:t>
      </w:r>
      <w:r w:rsidRPr="000B1CD4">
        <w:rPr>
          <w:lang w:val="en-US" w:eastAsia="fr-FR"/>
        </w:rPr>
        <w:t>.</w:t>
      </w:r>
      <w:proofErr w:type="gramEnd"/>
      <w:r w:rsidRPr="000B1CD4">
        <w:rPr>
          <w:lang w:val="en-US" w:eastAsia="fr-FR"/>
        </w:rPr>
        <w:t xml:space="preserve"> International Labor Organization.</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Ratha</w:t>
      </w:r>
      <w:proofErr w:type="spellEnd"/>
      <w:r w:rsidRPr="000B1CD4">
        <w:rPr>
          <w:lang w:val="en-US" w:eastAsia="fr-FR"/>
        </w:rPr>
        <w:t xml:space="preserve"> ,</w:t>
      </w:r>
      <w:proofErr w:type="gramEnd"/>
      <w:r w:rsidRPr="000B1CD4">
        <w:rPr>
          <w:lang w:val="en-US" w:eastAsia="fr-FR"/>
        </w:rPr>
        <w:t xml:space="preserve"> D. (2013). </w:t>
      </w:r>
      <w:r w:rsidRPr="000B1CD4">
        <w:rPr>
          <w:i/>
          <w:iCs/>
          <w:lang w:val="en-US" w:eastAsia="fr-FR"/>
        </w:rPr>
        <w:t xml:space="preserve">The impact of remittances on economic growth and poverty </w:t>
      </w:r>
      <w:proofErr w:type="gramStart"/>
      <w:r w:rsidRPr="000B1CD4">
        <w:rPr>
          <w:i/>
          <w:iCs/>
          <w:lang w:val="en-US" w:eastAsia="fr-FR"/>
        </w:rPr>
        <w:t xml:space="preserve">reduction </w:t>
      </w:r>
      <w:r w:rsidRPr="000B1CD4">
        <w:rPr>
          <w:lang w:val="en-US" w:eastAsia="fr-FR"/>
        </w:rPr>
        <w:t>.</w:t>
      </w:r>
      <w:proofErr w:type="gramEnd"/>
      <w:r w:rsidRPr="000B1CD4">
        <w:rPr>
          <w:lang w:val="en-US" w:eastAsia="fr-FR"/>
        </w:rPr>
        <w:t xml:space="preserve"> World Bank.</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Rodrik</w:t>
      </w:r>
      <w:proofErr w:type="spellEnd"/>
      <w:r w:rsidRPr="000B1CD4">
        <w:rPr>
          <w:lang w:val="en-US" w:eastAsia="fr-FR"/>
        </w:rPr>
        <w:t xml:space="preserve"> ,</w:t>
      </w:r>
      <w:proofErr w:type="gramEnd"/>
      <w:r w:rsidRPr="000B1CD4">
        <w:rPr>
          <w:lang w:val="en-US" w:eastAsia="fr-FR"/>
        </w:rPr>
        <w:t xml:space="preserve"> D. (2016). </w:t>
      </w:r>
      <w:r w:rsidRPr="000B1CD4">
        <w:rPr>
          <w:i/>
          <w:iCs/>
          <w:lang w:val="en-US" w:eastAsia="fr-FR"/>
        </w:rPr>
        <w:t>An African growth miracle?</w:t>
      </w:r>
      <w:r w:rsidRPr="000B1CD4">
        <w:rPr>
          <w:lang w:val="en-US" w:eastAsia="fr-FR"/>
        </w:rPr>
        <w:t xml:space="preserve"> </w:t>
      </w:r>
      <w:r w:rsidRPr="000B1CD4">
        <w:rPr>
          <w:i/>
          <w:iCs/>
          <w:lang w:val="en-US" w:eastAsia="fr-FR"/>
        </w:rPr>
        <w:t xml:space="preserve">Journal of African Economies, 25 </w:t>
      </w:r>
      <w:r w:rsidRPr="000B1CD4">
        <w:rPr>
          <w:lang w:val="en-US" w:eastAsia="fr-FR"/>
        </w:rPr>
        <w:t xml:space="preserve">(5), 747–764. </w:t>
      </w:r>
      <w:hyperlink r:id="rId25" w:history="1">
        <w:r w:rsidRPr="000B1CD4">
          <w:rPr>
            <w:color w:val="0000FF"/>
            <w:u w:val="single"/>
            <w:lang w:val="en-US" w:eastAsia="fr-FR"/>
          </w:rPr>
          <w:t>https://doi.org/10.1093/jae/ejw027</w:t>
        </w:r>
      </w:hyperlink>
    </w:p>
    <w:p w:rsidR="000B1CD4" w:rsidRPr="000B1CD4" w:rsidRDefault="000B1CD4" w:rsidP="000B1CD4">
      <w:pPr>
        <w:pStyle w:val="Sansinterligne"/>
        <w:jc w:val="both"/>
        <w:rPr>
          <w:lang w:val="en-US" w:eastAsia="fr-FR"/>
        </w:rPr>
      </w:pPr>
      <w:r w:rsidRPr="000B1CD4">
        <w:rPr>
          <w:lang w:val="en-US" w:eastAsia="fr-FR"/>
        </w:rPr>
        <w:t xml:space="preserve">Stark, O. (1991). </w:t>
      </w:r>
      <w:r w:rsidRPr="000B1CD4">
        <w:rPr>
          <w:i/>
          <w:iCs/>
          <w:lang w:val="en-US" w:eastAsia="fr-FR"/>
        </w:rPr>
        <w:t xml:space="preserve">The migration of </w:t>
      </w:r>
      <w:proofErr w:type="gramStart"/>
      <w:r w:rsidRPr="000B1CD4">
        <w:rPr>
          <w:i/>
          <w:iCs/>
          <w:lang w:val="en-US" w:eastAsia="fr-FR"/>
        </w:rPr>
        <w:t xml:space="preserve">labor </w:t>
      </w:r>
      <w:r w:rsidRPr="000B1CD4">
        <w:rPr>
          <w:lang w:val="en-US" w:eastAsia="fr-FR"/>
        </w:rPr>
        <w:t>.</w:t>
      </w:r>
      <w:proofErr w:type="gramEnd"/>
      <w:r w:rsidRPr="000B1CD4">
        <w:rPr>
          <w:lang w:val="en-US" w:eastAsia="fr-FR"/>
        </w:rPr>
        <w:t xml:space="preserve"> Basil Blackwell.</w:t>
      </w:r>
    </w:p>
    <w:p w:rsidR="000B1CD4" w:rsidRPr="000B1CD4" w:rsidRDefault="000B1CD4" w:rsidP="000B1CD4">
      <w:pPr>
        <w:pStyle w:val="Sansinterligne"/>
        <w:jc w:val="both"/>
        <w:rPr>
          <w:lang w:val="en-US" w:eastAsia="fr-FR"/>
        </w:rPr>
      </w:pPr>
      <w:proofErr w:type="gramStart"/>
      <w:r w:rsidRPr="000B1CD4">
        <w:rPr>
          <w:lang w:val="en-US" w:eastAsia="fr-FR"/>
        </w:rPr>
        <w:t>Stiglitz ,</w:t>
      </w:r>
      <w:proofErr w:type="gramEnd"/>
      <w:r w:rsidRPr="000B1CD4">
        <w:rPr>
          <w:lang w:val="en-US" w:eastAsia="fr-FR"/>
        </w:rPr>
        <w:t xml:space="preserve"> J.E. (2016). </w:t>
      </w:r>
      <w:r w:rsidRPr="000B1CD4">
        <w:rPr>
          <w:i/>
          <w:iCs/>
          <w:lang w:val="en-US" w:eastAsia="fr-FR"/>
        </w:rPr>
        <w:t xml:space="preserve">The great divide: Unequal societies and what we can do about </w:t>
      </w:r>
      <w:proofErr w:type="gramStart"/>
      <w:r w:rsidRPr="000B1CD4">
        <w:rPr>
          <w:i/>
          <w:iCs/>
          <w:lang w:val="en-US" w:eastAsia="fr-FR"/>
        </w:rPr>
        <w:t xml:space="preserve">them </w:t>
      </w:r>
      <w:r w:rsidRPr="000B1CD4">
        <w:rPr>
          <w:lang w:val="en-US" w:eastAsia="fr-FR"/>
        </w:rPr>
        <w:t>.</w:t>
      </w:r>
      <w:proofErr w:type="gramEnd"/>
      <w:r w:rsidRPr="000B1CD4">
        <w:rPr>
          <w:lang w:val="en-US" w:eastAsia="fr-FR"/>
        </w:rPr>
        <w:t xml:space="preserve"> WW Norton &amp; Company.</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Todaro</w:t>
      </w:r>
      <w:proofErr w:type="spellEnd"/>
      <w:r w:rsidRPr="000B1CD4">
        <w:rPr>
          <w:lang w:val="en-US" w:eastAsia="fr-FR"/>
        </w:rPr>
        <w:t xml:space="preserve"> ,</w:t>
      </w:r>
      <w:proofErr w:type="gramEnd"/>
      <w:r w:rsidRPr="000B1CD4">
        <w:rPr>
          <w:lang w:val="en-US" w:eastAsia="fr-FR"/>
        </w:rPr>
        <w:t xml:space="preserve"> M. P. (1969). </w:t>
      </w:r>
      <w:r w:rsidRPr="000B1CD4">
        <w:rPr>
          <w:i/>
          <w:iCs/>
          <w:lang w:val="en-US" w:eastAsia="fr-FR"/>
        </w:rPr>
        <w:t xml:space="preserve">A model of labor migration and urban unemployment in less developed </w:t>
      </w:r>
      <w:proofErr w:type="gramStart"/>
      <w:r w:rsidRPr="000B1CD4">
        <w:rPr>
          <w:i/>
          <w:iCs/>
          <w:lang w:val="en-US" w:eastAsia="fr-FR"/>
        </w:rPr>
        <w:t xml:space="preserve">countries </w:t>
      </w:r>
      <w:r w:rsidRPr="000B1CD4">
        <w:rPr>
          <w:lang w:val="en-US" w:eastAsia="fr-FR"/>
        </w:rPr>
        <w:t>.</w:t>
      </w:r>
      <w:proofErr w:type="gramEnd"/>
      <w:r w:rsidRPr="000B1CD4">
        <w:rPr>
          <w:lang w:val="en-US" w:eastAsia="fr-FR"/>
        </w:rPr>
        <w:t xml:space="preserve"> </w:t>
      </w:r>
      <w:r w:rsidRPr="000B1CD4">
        <w:rPr>
          <w:i/>
          <w:iCs/>
          <w:lang w:val="en-US" w:eastAsia="fr-FR"/>
        </w:rPr>
        <w:t xml:space="preserve">American Economic Review, 59 </w:t>
      </w:r>
      <w:r w:rsidRPr="000B1CD4">
        <w:rPr>
          <w:lang w:val="en-US" w:eastAsia="fr-FR"/>
        </w:rPr>
        <w:t>(1), 138–148.</w:t>
      </w:r>
    </w:p>
    <w:p w:rsidR="000B1CD4" w:rsidRPr="000B1CD4" w:rsidRDefault="000B1CD4" w:rsidP="000B1CD4">
      <w:pPr>
        <w:pStyle w:val="Sansinterligne"/>
        <w:jc w:val="both"/>
        <w:rPr>
          <w:lang w:val="en-US" w:eastAsia="fr-FR"/>
        </w:rPr>
      </w:pPr>
      <w:proofErr w:type="spellStart"/>
      <w:proofErr w:type="gramStart"/>
      <w:r w:rsidRPr="000B1CD4">
        <w:rPr>
          <w:lang w:val="en-US" w:eastAsia="fr-FR"/>
        </w:rPr>
        <w:t>Todaro</w:t>
      </w:r>
      <w:proofErr w:type="spellEnd"/>
      <w:r w:rsidRPr="000B1CD4">
        <w:rPr>
          <w:lang w:val="en-US" w:eastAsia="fr-FR"/>
        </w:rPr>
        <w:t xml:space="preserve"> ,</w:t>
      </w:r>
      <w:proofErr w:type="gramEnd"/>
      <w:r w:rsidRPr="000B1CD4">
        <w:rPr>
          <w:lang w:val="en-US" w:eastAsia="fr-FR"/>
        </w:rPr>
        <w:t xml:space="preserve"> M. P. (1997). </w:t>
      </w:r>
      <w:r w:rsidRPr="000B1CD4">
        <w:rPr>
          <w:i/>
          <w:iCs/>
          <w:lang w:val="en-US" w:eastAsia="fr-FR"/>
        </w:rPr>
        <w:t xml:space="preserve">Economic development </w:t>
      </w:r>
      <w:r w:rsidRPr="000B1CD4">
        <w:rPr>
          <w:lang w:val="en-US" w:eastAsia="fr-FR"/>
        </w:rPr>
        <w:t xml:space="preserve">(6th </w:t>
      </w:r>
      <w:proofErr w:type="gramStart"/>
      <w:r w:rsidRPr="000B1CD4">
        <w:rPr>
          <w:lang w:val="en-US" w:eastAsia="fr-FR"/>
        </w:rPr>
        <w:t>ed .</w:t>
      </w:r>
      <w:proofErr w:type="gramEnd"/>
      <w:r w:rsidRPr="000B1CD4">
        <w:rPr>
          <w:lang w:val="en-US" w:eastAsia="fr-FR"/>
        </w:rPr>
        <w:t>). Addison Wesley.</w:t>
      </w:r>
    </w:p>
    <w:p w:rsidR="000B1CD4" w:rsidRPr="000B1CD4" w:rsidRDefault="000B1CD4" w:rsidP="000B1CD4">
      <w:pPr>
        <w:pStyle w:val="Sansinterligne"/>
        <w:jc w:val="both"/>
        <w:rPr>
          <w:lang w:val="en-US" w:eastAsia="fr-FR"/>
        </w:rPr>
      </w:pPr>
      <w:r w:rsidRPr="000B1CD4">
        <w:rPr>
          <w:lang w:val="en-US" w:eastAsia="fr-FR"/>
        </w:rPr>
        <w:t xml:space="preserve">United Nations, Department of Economic and Social Affairs. (2019). </w:t>
      </w:r>
      <w:r w:rsidRPr="000B1CD4">
        <w:rPr>
          <w:i/>
          <w:iCs/>
          <w:lang w:val="en-US" w:eastAsia="fr-FR"/>
        </w:rPr>
        <w:t xml:space="preserve">International migrant stock </w:t>
      </w:r>
      <w:proofErr w:type="gramStart"/>
      <w:r w:rsidRPr="000B1CD4">
        <w:rPr>
          <w:i/>
          <w:iCs/>
          <w:lang w:val="en-US" w:eastAsia="fr-FR"/>
        </w:rPr>
        <w:t xml:space="preserve">2019 </w:t>
      </w:r>
      <w:r w:rsidRPr="000B1CD4">
        <w:rPr>
          <w:lang w:val="en-US" w:eastAsia="fr-FR"/>
        </w:rPr>
        <w:t>.</w:t>
      </w:r>
      <w:proofErr w:type="gramEnd"/>
      <w:r w:rsidRPr="000B1CD4">
        <w:rPr>
          <w:lang w:val="en-US" w:eastAsia="fr-FR"/>
        </w:rPr>
        <w:t xml:space="preserve"> United Nations.</w:t>
      </w:r>
    </w:p>
    <w:p w:rsidR="000B1CD4" w:rsidRPr="000B1CD4" w:rsidRDefault="000B1CD4" w:rsidP="000B1CD4">
      <w:pPr>
        <w:pStyle w:val="Sansinterligne"/>
        <w:jc w:val="both"/>
        <w:rPr>
          <w:lang w:val="en-US" w:eastAsia="fr-FR"/>
        </w:rPr>
      </w:pPr>
      <w:r w:rsidRPr="000B1CD4">
        <w:rPr>
          <w:lang w:val="en-US" w:eastAsia="fr-FR"/>
        </w:rPr>
        <w:lastRenderedPageBreak/>
        <w:t xml:space="preserve">United Nations, Department of Economic and Social Affairs. (2022). </w:t>
      </w:r>
      <w:r w:rsidRPr="000B1CD4">
        <w:rPr>
          <w:i/>
          <w:iCs/>
          <w:lang w:val="en-US" w:eastAsia="fr-FR"/>
        </w:rPr>
        <w:t xml:space="preserve">International migration 2022 </w:t>
      </w:r>
      <w:proofErr w:type="gramStart"/>
      <w:r w:rsidRPr="000B1CD4">
        <w:rPr>
          <w:i/>
          <w:iCs/>
          <w:lang w:val="en-US" w:eastAsia="fr-FR"/>
        </w:rPr>
        <w:t xml:space="preserve">report </w:t>
      </w:r>
      <w:r w:rsidRPr="000B1CD4">
        <w:rPr>
          <w:lang w:val="en-US" w:eastAsia="fr-FR"/>
        </w:rPr>
        <w:t>.</w:t>
      </w:r>
      <w:proofErr w:type="gramEnd"/>
      <w:r w:rsidRPr="000B1CD4">
        <w:rPr>
          <w:lang w:val="en-US" w:eastAsia="fr-FR"/>
        </w:rPr>
        <w:t xml:space="preserve"> United Nations.</w:t>
      </w:r>
    </w:p>
    <w:p w:rsidR="000B1CD4" w:rsidRPr="000B1CD4" w:rsidRDefault="000B1CD4" w:rsidP="000B1CD4">
      <w:pPr>
        <w:pStyle w:val="Sansinterligne"/>
        <w:jc w:val="both"/>
        <w:rPr>
          <w:lang w:val="en-US" w:eastAsia="fr-FR"/>
        </w:rPr>
      </w:pPr>
      <w:r w:rsidRPr="000B1CD4">
        <w:rPr>
          <w:lang w:val="en-US" w:eastAsia="fr-FR"/>
        </w:rPr>
        <w:t xml:space="preserve">World Bank. (2020). </w:t>
      </w:r>
      <w:r w:rsidRPr="000B1CD4">
        <w:rPr>
          <w:i/>
          <w:iCs/>
          <w:lang w:val="en-US" w:eastAsia="fr-FR"/>
        </w:rPr>
        <w:t xml:space="preserve">World development indicators </w:t>
      </w:r>
      <w:proofErr w:type="gramStart"/>
      <w:r w:rsidRPr="000B1CD4">
        <w:rPr>
          <w:i/>
          <w:iCs/>
          <w:lang w:val="en-US" w:eastAsia="fr-FR"/>
        </w:rPr>
        <w:t xml:space="preserve">2020 </w:t>
      </w:r>
      <w:r w:rsidRPr="000B1CD4">
        <w:rPr>
          <w:lang w:val="en-US" w:eastAsia="fr-FR"/>
        </w:rPr>
        <w:t>.</w:t>
      </w:r>
      <w:proofErr w:type="gramEnd"/>
      <w:r w:rsidRPr="000B1CD4">
        <w:rPr>
          <w:lang w:val="en-US" w:eastAsia="fr-FR"/>
        </w:rPr>
        <w:t xml:space="preserve"> World Bank.</w:t>
      </w:r>
    </w:p>
    <w:p w:rsidR="000B1CD4" w:rsidRPr="000B1CD4" w:rsidRDefault="000B1CD4" w:rsidP="000B1CD4">
      <w:pPr>
        <w:pStyle w:val="Sansinterligne"/>
        <w:jc w:val="both"/>
        <w:rPr>
          <w:lang w:val="en-US" w:eastAsia="fr-FR"/>
        </w:rPr>
      </w:pPr>
      <w:r w:rsidRPr="000B1CD4">
        <w:rPr>
          <w:lang w:val="en-US" w:eastAsia="fr-FR"/>
        </w:rPr>
        <w:t xml:space="preserve">World Bank. (2023). </w:t>
      </w:r>
      <w:r w:rsidRPr="000B1CD4">
        <w:rPr>
          <w:i/>
          <w:iCs/>
          <w:lang w:val="en-US" w:eastAsia="fr-FR"/>
        </w:rPr>
        <w:t xml:space="preserve">World development indicators </w:t>
      </w:r>
      <w:proofErr w:type="gramStart"/>
      <w:r w:rsidRPr="000B1CD4">
        <w:rPr>
          <w:i/>
          <w:iCs/>
          <w:lang w:val="en-US" w:eastAsia="fr-FR"/>
        </w:rPr>
        <w:t xml:space="preserve">2023 </w:t>
      </w:r>
      <w:r w:rsidRPr="000B1CD4">
        <w:rPr>
          <w:lang w:val="en-US" w:eastAsia="fr-FR"/>
        </w:rPr>
        <w:t>.</w:t>
      </w:r>
      <w:proofErr w:type="gramEnd"/>
      <w:r w:rsidRPr="000B1CD4">
        <w:rPr>
          <w:lang w:val="en-US" w:eastAsia="fr-FR"/>
        </w:rPr>
        <w:t xml:space="preserve"> World Bank.</w:t>
      </w:r>
    </w:p>
    <w:p w:rsidR="000B1CD4" w:rsidRPr="000B1CD4" w:rsidRDefault="000B1CD4" w:rsidP="000B1CD4">
      <w:pPr>
        <w:pStyle w:val="Sansinterligne"/>
        <w:jc w:val="both"/>
        <w:rPr>
          <w:lang w:val="en-US" w:eastAsia="fr-FR"/>
        </w:rPr>
      </w:pPr>
      <w:r>
        <w:rPr>
          <w:lang w:val="en-US" w:eastAsia="fr-FR"/>
        </w:rPr>
        <w:t xml:space="preserve">Wooldridge, J.M. (2016). </w:t>
      </w:r>
      <w:r w:rsidRPr="000B1CD4">
        <w:rPr>
          <w:i/>
          <w:iCs/>
          <w:lang w:val="en-US" w:eastAsia="fr-FR"/>
        </w:rPr>
        <w:t xml:space="preserve">Econometric analysis of cross section and panel </w:t>
      </w:r>
      <w:proofErr w:type="gramStart"/>
      <w:r w:rsidRPr="000B1CD4">
        <w:rPr>
          <w:i/>
          <w:iCs/>
          <w:lang w:val="en-US" w:eastAsia="fr-FR"/>
        </w:rPr>
        <w:t xml:space="preserve">data </w:t>
      </w:r>
      <w:r w:rsidRPr="000B1CD4">
        <w:rPr>
          <w:lang w:val="en-US" w:eastAsia="fr-FR"/>
        </w:rPr>
        <w:t>.</w:t>
      </w:r>
      <w:proofErr w:type="gramEnd"/>
      <w:r w:rsidRPr="000B1CD4">
        <w:rPr>
          <w:lang w:val="en-US" w:eastAsia="fr-FR"/>
        </w:rPr>
        <w:t xml:space="preserve"> MIT Press.</w:t>
      </w:r>
    </w:p>
    <w:p w:rsidR="000B1CD4" w:rsidRPr="000B1CD4" w:rsidRDefault="000B1CD4" w:rsidP="000B1CD4">
      <w:pPr>
        <w:pStyle w:val="Sansinterligne"/>
        <w:jc w:val="both"/>
      </w:pPr>
    </w:p>
    <w:p w:rsidR="000B1CD4" w:rsidRPr="00023354" w:rsidRDefault="000B1CD4" w:rsidP="000B1CD4">
      <w:pPr>
        <w:pStyle w:val="Sansinterligne"/>
        <w:jc w:val="both"/>
        <w:rPr>
          <w:lang w:eastAsia="fr-FR"/>
        </w:rPr>
      </w:pPr>
    </w:p>
    <w:p w:rsidR="00196079" w:rsidRPr="00196079" w:rsidRDefault="00196079" w:rsidP="000B1CD4">
      <w:pPr>
        <w:pStyle w:val="Sansinterligne"/>
        <w:jc w:val="both"/>
        <w:rPr>
          <w:b/>
        </w:rPr>
      </w:pPr>
    </w:p>
    <w:sectPr w:rsidR="00196079" w:rsidRPr="00196079">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CF" w:rsidRDefault="00371CCF" w:rsidP="00240F8E">
      <w:pPr>
        <w:spacing w:after="0" w:line="240" w:lineRule="auto"/>
      </w:pPr>
      <w:r>
        <w:separator/>
      </w:r>
    </w:p>
  </w:endnote>
  <w:endnote w:type="continuationSeparator" w:id="0">
    <w:p w:rsidR="00371CCF" w:rsidRDefault="00371CCF" w:rsidP="0024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28175"/>
      <w:docPartObj>
        <w:docPartGallery w:val="Page Numbers (Bottom of Page)"/>
        <w:docPartUnique/>
      </w:docPartObj>
    </w:sdtPr>
    <w:sdtEndPr/>
    <w:sdtContent>
      <w:p w:rsidR="00240F8E" w:rsidRDefault="00240F8E">
        <w:pPr>
          <w:pStyle w:val="Pieddepage"/>
          <w:jc w:val="right"/>
        </w:pPr>
        <w:r>
          <w:fldChar w:fldCharType="begin"/>
        </w:r>
        <w:r>
          <w:instrText>PAGE   \* MERGEFORMAT</w:instrText>
        </w:r>
        <w:r>
          <w:fldChar w:fldCharType="separate"/>
        </w:r>
        <w:r w:rsidR="004C340D" w:rsidRPr="004C340D">
          <w:rPr>
            <w:noProof/>
            <w:lang w:val="fr-FR"/>
          </w:rPr>
          <w:t>2</w:t>
        </w:r>
        <w:r>
          <w:fldChar w:fldCharType="end"/>
        </w:r>
      </w:p>
    </w:sdtContent>
  </w:sdt>
  <w:p w:rsidR="00240F8E" w:rsidRDefault="00240F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CF" w:rsidRDefault="00371CCF" w:rsidP="00240F8E">
      <w:pPr>
        <w:spacing w:after="0" w:line="240" w:lineRule="auto"/>
      </w:pPr>
      <w:r>
        <w:separator/>
      </w:r>
    </w:p>
  </w:footnote>
  <w:footnote w:type="continuationSeparator" w:id="0">
    <w:p w:rsidR="00371CCF" w:rsidRDefault="00371CCF" w:rsidP="00240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E72CC"/>
    <w:multiLevelType w:val="hybridMultilevel"/>
    <w:tmpl w:val="8FDEB6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F446AE"/>
    <w:multiLevelType w:val="multilevel"/>
    <w:tmpl w:val="64A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75D01"/>
    <w:multiLevelType w:val="multilevel"/>
    <w:tmpl w:val="7D36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00915"/>
    <w:multiLevelType w:val="multilevel"/>
    <w:tmpl w:val="27C2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95E29"/>
    <w:multiLevelType w:val="multilevel"/>
    <w:tmpl w:val="16F2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00"/>
    <w:rsid w:val="000625F4"/>
    <w:rsid w:val="000B1CD4"/>
    <w:rsid w:val="000C3274"/>
    <w:rsid w:val="00196079"/>
    <w:rsid w:val="001B6736"/>
    <w:rsid w:val="001C0B99"/>
    <w:rsid w:val="002225CB"/>
    <w:rsid w:val="00240F8E"/>
    <w:rsid w:val="002D6793"/>
    <w:rsid w:val="002D687C"/>
    <w:rsid w:val="002E135C"/>
    <w:rsid w:val="00371CCF"/>
    <w:rsid w:val="0038114B"/>
    <w:rsid w:val="003E1B3D"/>
    <w:rsid w:val="004C340D"/>
    <w:rsid w:val="004E65D8"/>
    <w:rsid w:val="005B7AEC"/>
    <w:rsid w:val="006003E3"/>
    <w:rsid w:val="00615C15"/>
    <w:rsid w:val="007256E1"/>
    <w:rsid w:val="007D3534"/>
    <w:rsid w:val="008904B9"/>
    <w:rsid w:val="00B17100"/>
    <w:rsid w:val="00B47393"/>
    <w:rsid w:val="00B63E0F"/>
    <w:rsid w:val="00BC03A8"/>
    <w:rsid w:val="00BC5305"/>
    <w:rsid w:val="00CC0175"/>
    <w:rsid w:val="00D156D1"/>
    <w:rsid w:val="00D31FC0"/>
    <w:rsid w:val="00E75FDB"/>
    <w:rsid w:val="00ED192E"/>
    <w:rsid w:val="00FB5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5387"/>
  <w15:chartTrackingRefBased/>
  <w15:docId w15:val="{65830B04-9687-4361-9B94-8EB5E1EA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E3"/>
  </w:style>
  <w:style w:type="paragraph" w:styleId="Titre2">
    <w:name w:val="heading 2"/>
    <w:basedOn w:val="Normal"/>
    <w:next w:val="Normal"/>
    <w:link w:val="Titre2Car"/>
    <w:uiPriority w:val="9"/>
    <w:semiHidden/>
    <w:unhideWhenUsed/>
    <w:qFormat/>
    <w:rsid w:val="00D31F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C0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171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B17100"/>
    <w:pPr>
      <w:spacing w:after="0" w:line="240" w:lineRule="auto"/>
    </w:pPr>
  </w:style>
  <w:style w:type="character" w:styleId="lev">
    <w:name w:val="Strong"/>
    <w:basedOn w:val="Policepardfaut"/>
    <w:uiPriority w:val="22"/>
    <w:qFormat/>
    <w:rsid w:val="006003E3"/>
    <w:rPr>
      <w:b/>
      <w:bCs/>
    </w:rPr>
  </w:style>
  <w:style w:type="character" w:styleId="Accentuation">
    <w:name w:val="Emphasis"/>
    <w:basedOn w:val="Policepardfaut"/>
    <w:uiPriority w:val="20"/>
    <w:qFormat/>
    <w:rsid w:val="006003E3"/>
    <w:rPr>
      <w:i/>
      <w:iCs/>
    </w:rPr>
  </w:style>
  <w:style w:type="character" w:styleId="Lienhypertexte">
    <w:name w:val="Hyperlink"/>
    <w:basedOn w:val="Policepardfaut"/>
    <w:uiPriority w:val="99"/>
    <w:unhideWhenUsed/>
    <w:rsid w:val="006003E3"/>
    <w:rPr>
      <w:color w:val="0000FF"/>
      <w:u w:val="single"/>
    </w:rPr>
  </w:style>
  <w:style w:type="table" w:styleId="Grilledutableau">
    <w:name w:val="Table Grid"/>
    <w:basedOn w:val="TableauNormal"/>
    <w:uiPriority w:val="39"/>
    <w:rsid w:val="0089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BC03A8"/>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semiHidden/>
    <w:rsid w:val="00D31FC0"/>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240F8E"/>
    <w:pPr>
      <w:tabs>
        <w:tab w:val="center" w:pos="4536"/>
        <w:tab w:val="right" w:pos="9072"/>
      </w:tabs>
      <w:spacing w:after="0" w:line="240" w:lineRule="auto"/>
    </w:pPr>
  </w:style>
  <w:style w:type="character" w:customStyle="1" w:styleId="En-tteCar">
    <w:name w:val="En-tête Car"/>
    <w:basedOn w:val="Policepardfaut"/>
    <w:link w:val="En-tte"/>
    <w:uiPriority w:val="99"/>
    <w:rsid w:val="00240F8E"/>
  </w:style>
  <w:style w:type="paragraph" w:styleId="Pieddepage">
    <w:name w:val="footer"/>
    <w:basedOn w:val="Normal"/>
    <w:link w:val="PieddepageCar"/>
    <w:uiPriority w:val="99"/>
    <w:unhideWhenUsed/>
    <w:rsid w:val="00240F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1148">
      <w:bodyDiv w:val="1"/>
      <w:marLeft w:val="0"/>
      <w:marRight w:val="0"/>
      <w:marTop w:val="0"/>
      <w:marBottom w:val="0"/>
      <w:divBdr>
        <w:top w:val="none" w:sz="0" w:space="0" w:color="auto"/>
        <w:left w:val="none" w:sz="0" w:space="0" w:color="auto"/>
        <w:bottom w:val="none" w:sz="0" w:space="0" w:color="auto"/>
        <w:right w:val="none" w:sz="0" w:space="0" w:color="auto"/>
      </w:divBdr>
    </w:div>
    <w:div w:id="149297407">
      <w:bodyDiv w:val="1"/>
      <w:marLeft w:val="0"/>
      <w:marRight w:val="0"/>
      <w:marTop w:val="0"/>
      <w:marBottom w:val="0"/>
      <w:divBdr>
        <w:top w:val="none" w:sz="0" w:space="0" w:color="auto"/>
        <w:left w:val="none" w:sz="0" w:space="0" w:color="auto"/>
        <w:bottom w:val="none" w:sz="0" w:space="0" w:color="auto"/>
        <w:right w:val="none" w:sz="0" w:space="0" w:color="auto"/>
      </w:divBdr>
    </w:div>
    <w:div w:id="221717279">
      <w:bodyDiv w:val="1"/>
      <w:marLeft w:val="0"/>
      <w:marRight w:val="0"/>
      <w:marTop w:val="0"/>
      <w:marBottom w:val="0"/>
      <w:divBdr>
        <w:top w:val="none" w:sz="0" w:space="0" w:color="auto"/>
        <w:left w:val="none" w:sz="0" w:space="0" w:color="auto"/>
        <w:bottom w:val="none" w:sz="0" w:space="0" w:color="auto"/>
        <w:right w:val="none" w:sz="0" w:space="0" w:color="auto"/>
      </w:divBdr>
    </w:div>
    <w:div w:id="253786844">
      <w:bodyDiv w:val="1"/>
      <w:marLeft w:val="0"/>
      <w:marRight w:val="0"/>
      <w:marTop w:val="0"/>
      <w:marBottom w:val="0"/>
      <w:divBdr>
        <w:top w:val="none" w:sz="0" w:space="0" w:color="auto"/>
        <w:left w:val="none" w:sz="0" w:space="0" w:color="auto"/>
        <w:bottom w:val="none" w:sz="0" w:space="0" w:color="auto"/>
        <w:right w:val="none" w:sz="0" w:space="0" w:color="auto"/>
      </w:divBdr>
    </w:div>
    <w:div w:id="291601099">
      <w:bodyDiv w:val="1"/>
      <w:marLeft w:val="0"/>
      <w:marRight w:val="0"/>
      <w:marTop w:val="0"/>
      <w:marBottom w:val="0"/>
      <w:divBdr>
        <w:top w:val="none" w:sz="0" w:space="0" w:color="auto"/>
        <w:left w:val="none" w:sz="0" w:space="0" w:color="auto"/>
        <w:bottom w:val="none" w:sz="0" w:space="0" w:color="auto"/>
        <w:right w:val="none" w:sz="0" w:space="0" w:color="auto"/>
      </w:divBdr>
    </w:div>
    <w:div w:id="316034437">
      <w:bodyDiv w:val="1"/>
      <w:marLeft w:val="0"/>
      <w:marRight w:val="0"/>
      <w:marTop w:val="0"/>
      <w:marBottom w:val="0"/>
      <w:divBdr>
        <w:top w:val="none" w:sz="0" w:space="0" w:color="auto"/>
        <w:left w:val="none" w:sz="0" w:space="0" w:color="auto"/>
        <w:bottom w:val="none" w:sz="0" w:space="0" w:color="auto"/>
        <w:right w:val="none" w:sz="0" w:space="0" w:color="auto"/>
      </w:divBdr>
    </w:div>
    <w:div w:id="367334750">
      <w:bodyDiv w:val="1"/>
      <w:marLeft w:val="0"/>
      <w:marRight w:val="0"/>
      <w:marTop w:val="0"/>
      <w:marBottom w:val="0"/>
      <w:divBdr>
        <w:top w:val="none" w:sz="0" w:space="0" w:color="auto"/>
        <w:left w:val="none" w:sz="0" w:space="0" w:color="auto"/>
        <w:bottom w:val="none" w:sz="0" w:space="0" w:color="auto"/>
        <w:right w:val="none" w:sz="0" w:space="0" w:color="auto"/>
      </w:divBdr>
    </w:div>
    <w:div w:id="642806492">
      <w:bodyDiv w:val="1"/>
      <w:marLeft w:val="0"/>
      <w:marRight w:val="0"/>
      <w:marTop w:val="0"/>
      <w:marBottom w:val="0"/>
      <w:divBdr>
        <w:top w:val="none" w:sz="0" w:space="0" w:color="auto"/>
        <w:left w:val="none" w:sz="0" w:space="0" w:color="auto"/>
        <w:bottom w:val="none" w:sz="0" w:space="0" w:color="auto"/>
        <w:right w:val="none" w:sz="0" w:space="0" w:color="auto"/>
      </w:divBdr>
    </w:div>
    <w:div w:id="682905223">
      <w:bodyDiv w:val="1"/>
      <w:marLeft w:val="0"/>
      <w:marRight w:val="0"/>
      <w:marTop w:val="0"/>
      <w:marBottom w:val="0"/>
      <w:divBdr>
        <w:top w:val="none" w:sz="0" w:space="0" w:color="auto"/>
        <w:left w:val="none" w:sz="0" w:space="0" w:color="auto"/>
        <w:bottom w:val="none" w:sz="0" w:space="0" w:color="auto"/>
        <w:right w:val="none" w:sz="0" w:space="0" w:color="auto"/>
      </w:divBdr>
    </w:div>
    <w:div w:id="702365923">
      <w:bodyDiv w:val="1"/>
      <w:marLeft w:val="0"/>
      <w:marRight w:val="0"/>
      <w:marTop w:val="0"/>
      <w:marBottom w:val="0"/>
      <w:divBdr>
        <w:top w:val="none" w:sz="0" w:space="0" w:color="auto"/>
        <w:left w:val="none" w:sz="0" w:space="0" w:color="auto"/>
        <w:bottom w:val="none" w:sz="0" w:space="0" w:color="auto"/>
        <w:right w:val="none" w:sz="0" w:space="0" w:color="auto"/>
      </w:divBdr>
    </w:div>
    <w:div w:id="772743570">
      <w:bodyDiv w:val="1"/>
      <w:marLeft w:val="0"/>
      <w:marRight w:val="0"/>
      <w:marTop w:val="0"/>
      <w:marBottom w:val="0"/>
      <w:divBdr>
        <w:top w:val="none" w:sz="0" w:space="0" w:color="auto"/>
        <w:left w:val="none" w:sz="0" w:space="0" w:color="auto"/>
        <w:bottom w:val="none" w:sz="0" w:space="0" w:color="auto"/>
        <w:right w:val="none" w:sz="0" w:space="0" w:color="auto"/>
      </w:divBdr>
    </w:div>
    <w:div w:id="922765063">
      <w:bodyDiv w:val="1"/>
      <w:marLeft w:val="0"/>
      <w:marRight w:val="0"/>
      <w:marTop w:val="0"/>
      <w:marBottom w:val="0"/>
      <w:divBdr>
        <w:top w:val="none" w:sz="0" w:space="0" w:color="auto"/>
        <w:left w:val="none" w:sz="0" w:space="0" w:color="auto"/>
        <w:bottom w:val="none" w:sz="0" w:space="0" w:color="auto"/>
        <w:right w:val="none" w:sz="0" w:space="0" w:color="auto"/>
      </w:divBdr>
    </w:div>
    <w:div w:id="1057751071">
      <w:bodyDiv w:val="1"/>
      <w:marLeft w:val="0"/>
      <w:marRight w:val="0"/>
      <w:marTop w:val="0"/>
      <w:marBottom w:val="0"/>
      <w:divBdr>
        <w:top w:val="none" w:sz="0" w:space="0" w:color="auto"/>
        <w:left w:val="none" w:sz="0" w:space="0" w:color="auto"/>
        <w:bottom w:val="none" w:sz="0" w:space="0" w:color="auto"/>
        <w:right w:val="none" w:sz="0" w:space="0" w:color="auto"/>
      </w:divBdr>
      <w:divsChild>
        <w:div w:id="589968963">
          <w:marLeft w:val="0"/>
          <w:marRight w:val="0"/>
          <w:marTop w:val="0"/>
          <w:marBottom w:val="0"/>
          <w:divBdr>
            <w:top w:val="none" w:sz="0" w:space="0" w:color="auto"/>
            <w:left w:val="none" w:sz="0" w:space="0" w:color="auto"/>
            <w:bottom w:val="none" w:sz="0" w:space="0" w:color="auto"/>
            <w:right w:val="none" w:sz="0" w:space="0" w:color="auto"/>
          </w:divBdr>
          <w:divsChild>
            <w:div w:id="371660869">
              <w:marLeft w:val="0"/>
              <w:marRight w:val="0"/>
              <w:marTop w:val="0"/>
              <w:marBottom w:val="0"/>
              <w:divBdr>
                <w:top w:val="none" w:sz="0" w:space="0" w:color="auto"/>
                <w:left w:val="none" w:sz="0" w:space="0" w:color="auto"/>
                <w:bottom w:val="none" w:sz="0" w:space="0" w:color="auto"/>
                <w:right w:val="none" w:sz="0" w:space="0" w:color="auto"/>
              </w:divBdr>
              <w:divsChild>
                <w:div w:id="281691378">
                  <w:marLeft w:val="0"/>
                  <w:marRight w:val="0"/>
                  <w:marTop w:val="0"/>
                  <w:marBottom w:val="0"/>
                  <w:divBdr>
                    <w:top w:val="none" w:sz="0" w:space="0" w:color="auto"/>
                    <w:left w:val="none" w:sz="0" w:space="0" w:color="auto"/>
                    <w:bottom w:val="none" w:sz="0" w:space="0" w:color="auto"/>
                    <w:right w:val="none" w:sz="0" w:space="0" w:color="auto"/>
                  </w:divBdr>
                  <w:divsChild>
                    <w:div w:id="98062312">
                      <w:marLeft w:val="0"/>
                      <w:marRight w:val="0"/>
                      <w:marTop w:val="0"/>
                      <w:marBottom w:val="0"/>
                      <w:divBdr>
                        <w:top w:val="none" w:sz="0" w:space="0" w:color="auto"/>
                        <w:left w:val="none" w:sz="0" w:space="0" w:color="auto"/>
                        <w:bottom w:val="none" w:sz="0" w:space="0" w:color="auto"/>
                        <w:right w:val="none" w:sz="0" w:space="0" w:color="auto"/>
                      </w:divBdr>
                      <w:divsChild>
                        <w:div w:id="103579443">
                          <w:marLeft w:val="0"/>
                          <w:marRight w:val="0"/>
                          <w:marTop w:val="0"/>
                          <w:marBottom w:val="0"/>
                          <w:divBdr>
                            <w:top w:val="none" w:sz="0" w:space="0" w:color="auto"/>
                            <w:left w:val="none" w:sz="0" w:space="0" w:color="auto"/>
                            <w:bottom w:val="none" w:sz="0" w:space="0" w:color="auto"/>
                            <w:right w:val="none" w:sz="0" w:space="0" w:color="auto"/>
                          </w:divBdr>
                          <w:divsChild>
                            <w:div w:id="1227690048">
                              <w:marLeft w:val="0"/>
                              <w:marRight w:val="0"/>
                              <w:marTop w:val="0"/>
                              <w:marBottom w:val="0"/>
                              <w:divBdr>
                                <w:top w:val="none" w:sz="0" w:space="0" w:color="auto"/>
                                <w:left w:val="none" w:sz="0" w:space="0" w:color="auto"/>
                                <w:bottom w:val="none" w:sz="0" w:space="0" w:color="auto"/>
                                <w:right w:val="none" w:sz="0" w:space="0" w:color="auto"/>
                              </w:divBdr>
                              <w:divsChild>
                                <w:div w:id="1113017304">
                                  <w:marLeft w:val="0"/>
                                  <w:marRight w:val="0"/>
                                  <w:marTop w:val="0"/>
                                  <w:marBottom w:val="0"/>
                                  <w:divBdr>
                                    <w:top w:val="none" w:sz="0" w:space="0" w:color="auto"/>
                                    <w:left w:val="none" w:sz="0" w:space="0" w:color="auto"/>
                                    <w:bottom w:val="none" w:sz="0" w:space="0" w:color="auto"/>
                                    <w:right w:val="none" w:sz="0" w:space="0" w:color="auto"/>
                                  </w:divBdr>
                                  <w:divsChild>
                                    <w:div w:id="8045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364565">
      <w:bodyDiv w:val="1"/>
      <w:marLeft w:val="0"/>
      <w:marRight w:val="0"/>
      <w:marTop w:val="0"/>
      <w:marBottom w:val="0"/>
      <w:divBdr>
        <w:top w:val="none" w:sz="0" w:space="0" w:color="auto"/>
        <w:left w:val="none" w:sz="0" w:space="0" w:color="auto"/>
        <w:bottom w:val="none" w:sz="0" w:space="0" w:color="auto"/>
        <w:right w:val="none" w:sz="0" w:space="0" w:color="auto"/>
      </w:divBdr>
    </w:div>
    <w:div w:id="1428192222">
      <w:bodyDiv w:val="1"/>
      <w:marLeft w:val="0"/>
      <w:marRight w:val="0"/>
      <w:marTop w:val="0"/>
      <w:marBottom w:val="0"/>
      <w:divBdr>
        <w:top w:val="none" w:sz="0" w:space="0" w:color="auto"/>
        <w:left w:val="none" w:sz="0" w:space="0" w:color="auto"/>
        <w:bottom w:val="none" w:sz="0" w:space="0" w:color="auto"/>
        <w:right w:val="none" w:sz="0" w:space="0" w:color="auto"/>
      </w:divBdr>
    </w:div>
    <w:div w:id="1716541219">
      <w:bodyDiv w:val="1"/>
      <w:marLeft w:val="0"/>
      <w:marRight w:val="0"/>
      <w:marTop w:val="0"/>
      <w:marBottom w:val="0"/>
      <w:divBdr>
        <w:top w:val="none" w:sz="0" w:space="0" w:color="auto"/>
        <w:left w:val="none" w:sz="0" w:space="0" w:color="auto"/>
        <w:bottom w:val="none" w:sz="0" w:space="0" w:color="auto"/>
        <w:right w:val="none" w:sz="0" w:space="0" w:color="auto"/>
      </w:divBdr>
    </w:div>
    <w:div w:id="1727994806">
      <w:bodyDiv w:val="1"/>
      <w:marLeft w:val="0"/>
      <w:marRight w:val="0"/>
      <w:marTop w:val="0"/>
      <w:marBottom w:val="0"/>
      <w:divBdr>
        <w:top w:val="none" w:sz="0" w:space="0" w:color="auto"/>
        <w:left w:val="none" w:sz="0" w:space="0" w:color="auto"/>
        <w:bottom w:val="none" w:sz="0" w:space="0" w:color="auto"/>
        <w:right w:val="none" w:sz="0" w:space="0" w:color="auto"/>
      </w:divBdr>
    </w:div>
    <w:div w:id="1750232773">
      <w:bodyDiv w:val="1"/>
      <w:marLeft w:val="0"/>
      <w:marRight w:val="0"/>
      <w:marTop w:val="0"/>
      <w:marBottom w:val="0"/>
      <w:divBdr>
        <w:top w:val="none" w:sz="0" w:space="0" w:color="auto"/>
        <w:left w:val="none" w:sz="0" w:space="0" w:color="auto"/>
        <w:bottom w:val="none" w:sz="0" w:space="0" w:color="auto"/>
        <w:right w:val="none" w:sz="0" w:space="0" w:color="auto"/>
      </w:divBdr>
    </w:div>
    <w:div w:id="1822651985">
      <w:bodyDiv w:val="1"/>
      <w:marLeft w:val="0"/>
      <w:marRight w:val="0"/>
      <w:marTop w:val="0"/>
      <w:marBottom w:val="0"/>
      <w:divBdr>
        <w:top w:val="none" w:sz="0" w:space="0" w:color="auto"/>
        <w:left w:val="none" w:sz="0" w:space="0" w:color="auto"/>
        <w:bottom w:val="none" w:sz="0" w:space="0" w:color="auto"/>
        <w:right w:val="none" w:sz="0" w:space="0" w:color="auto"/>
      </w:divBdr>
    </w:div>
    <w:div w:id="1881891645">
      <w:bodyDiv w:val="1"/>
      <w:marLeft w:val="0"/>
      <w:marRight w:val="0"/>
      <w:marTop w:val="0"/>
      <w:marBottom w:val="0"/>
      <w:divBdr>
        <w:top w:val="none" w:sz="0" w:space="0" w:color="auto"/>
        <w:left w:val="none" w:sz="0" w:space="0" w:color="auto"/>
        <w:bottom w:val="none" w:sz="0" w:space="0" w:color="auto"/>
        <w:right w:val="none" w:sz="0" w:space="0" w:color="auto"/>
      </w:divBdr>
    </w:div>
    <w:div w:id="2022664646">
      <w:bodyDiv w:val="1"/>
      <w:marLeft w:val="0"/>
      <w:marRight w:val="0"/>
      <w:marTop w:val="0"/>
      <w:marBottom w:val="0"/>
      <w:divBdr>
        <w:top w:val="none" w:sz="0" w:space="0" w:color="auto"/>
        <w:left w:val="none" w:sz="0" w:space="0" w:color="auto"/>
        <w:bottom w:val="none" w:sz="0" w:space="0" w:color="auto"/>
        <w:right w:val="none" w:sz="0" w:space="0" w:color="auto"/>
      </w:divBdr>
    </w:div>
    <w:div w:id="2023820406">
      <w:bodyDiv w:val="1"/>
      <w:marLeft w:val="0"/>
      <w:marRight w:val="0"/>
      <w:marTop w:val="0"/>
      <w:marBottom w:val="0"/>
      <w:divBdr>
        <w:top w:val="none" w:sz="0" w:space="0" w:color="auto"/>
        <w:left w:val="none" w:sz="0" w:space="0" w:color="auto"/>
        <w:bottom w:val="none" w:sz="0" w:space="0" w:color="auto"/>
        <w:right w:val="none" w:sz="0" w:space="0" w:color="auto"/>
      </w:divBdr>
    </w:div>
    <w:div w:id="2104062549">
      <w:bodyDiv w:val="1"/>
      <w:marLeft w:val="0"/>
      <w:marRight w:val="0"/>
      <w:marTop w:val="0"/>
      <w:marBottom w:val="0"/>
      <w:divBdr>
        <w:top w:val="none" w:sz="0" w:space="0" w:color="auto"/>
        <w:left w:val="none" w:sz="0" w:space="0" w:color="auto"/>
        <w:bottom w:val="none" w:sz="0" w:space="0" w:color="auto"/>
        <w:right w:val="none" w:sz="0" w:space="0" w:color="auto"/>
      </w:divBdr>
    </w:div>
    <w:div w:id="21452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297968" TargetMode="External"/><Relationship Id="rId13" Type="http://schemas.openxmlformats.org/officeDocument/2006/relationships/hyperlink" Target="https://doi.org/10.1016/S0304-4076(98)00009-8" TargetMode="External"/><Relationship Id="rId18" Type="http://schemas.openxmlformats.org/officeDocument/2006/relationships/hyperlink" Target="https://doi.org/10.1023/A:102286080074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0304-3932(88)90168-7" TargetMode="External"/><Relationship Id="rId7" Type="http://schemas.openxmlformats.org/officeDocument/2006/relationships/image" Target="media/image1.emf"/><Relationship Id="rId12" Type="http://schemas.openxmlformats.org/officeDocument/2006/relationships/hyperlink" Target="https://doi.org/10.1080/00220380701526592" TargetMode="External"/><Relationship Id="rId17" Type="http://schemas.openxmlformats.org/officeDocument/2006/relationships/hyperlink" Target="https://doi.org/10.1016/j.regsciurbeco.2012.04.001" TargetMode="External"/><Relationship Id="rId25" Type="http://schemas.openxmlformats.org/officeDocument/2006/relationships/hyperlink" Target="https://doi.org/10.1093/jae/ejw027" TargetMode="External"/><Relationship Id="rId2" Type="http://schemas.openxmlformats.org/officeDocument/2006/relationships/styles" Target="styles.xml"/><Relationship Id="rId16" Type="http://schemas.openxmlformats.org/officeDocument/2006/relationships/hyperlink" Target="https://doi.org/10.1111/j.1747-7379.2009.00804.x" TargetMode="External"/><Relationship Id="rId20" Type="http://schemas.openxmlformats.org/officeDocument/2006/relationships/hyperlink" Target="https://doi.org/10.1016/S0304-4076(01)0009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8-0297.2008.02159.x" TargetMode="External"/><Relationship Id="rId24" Type="http://schemas.openxmlformats.org/officeDocument/2006/relationships/hyperlink" Target="https://doi.org/10.1007/s11135-006-9018-6" TargetMode="External"/><Relationship Id="rId5" Type="http://schemas.openxmlformats.org/officeDocument/2006/relationships/footnotes" Target="footnotes.xml"/><Relationship Id="rId15" Type="http://schemas.openxmlformats.org/officeDocument/2006/relationships/hyperlink" Target="https://doi.org/10.1257/aer.84.4.772" TargetMode="External"/><Relationship Id="rId23" Type="http://schemas.openxmlformats.org/officeDocument/2006/relationships/hyperlink" Target="https://doi.org/10.1016/j.worlddev.2013.10.012" TargetMode="External"/><Relationship Id="rId28" Type="http://schemas.openxmlformats.org/officeDocument/2006/relationships/theme" Target="theme/theme1.xml"/><Relationship Id="rId10" Type="http://schemas.openxmlformats.org/officeDocument/2006/relationships/hyperlink" Target="https://doi.org/10.2307/2937943" TargetMode="External"/><Relationship Id="rId19" Type="http://schemas.openxmlformats.org/officeDocument/2006/relationships/hyperlink" Target="https://doi.org/10.1016/S0304-4076(03)00092-7" TargetMode="External"/><Relationship Id="rId4" Type="http://schemas.openxmlformats.org/officeDocument/2006/relationships/webSettings" Target="webSettings.xml"/><Relationship Id="rId9" Type="http://schemas.openxmlformats.org/officeDocument/2006/relationships/hyperlink" Target="https://doi.org/10.1016/0304-4076(94)01642-D" TargetMode="External"/><Relationship Id="rId14" Type="http://schemas.openxmlformats.org/officeDocument/2006/relationships/hyperlink" Target="https://doi.org/10.2307/1911963" TargetMode="External"/><Relationship Id="rId22" Type="http://schemas.openxmlformats.org/officeDocument/2006/relationships/hyperlink" Target="https://doi.org/10.2307/2118477"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6525</Words>
  <Characters>35890</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SAMUEL</cp:lastModifiedBy>
  <cp:revision>3</cp:revision>
  <dcterms:created xsi:type="dcterms:W3CDTF">2026-07-06T21:28:00Z</dcterms:created>
  <dcterms:modified xsi:type="dcterms:W3CDTF">2026-07-06T22:13:00Z</dcterms:modified>
</cp:coreProperties>
</file>