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592B" w14:textId="77777777" w:rsidR="00FF04C1" w:rsidRDefault="00000000">
      <w:pPr>
        <w:jc w:val="center"/>
      </w:pPr>
      <w:r>
        <w:rPr>
          <w:b/>
          <w:sz w:val="36"/>
        </w:rPr>
        <w:t>COGNITIVE ENGAGEMENT AND CONCEPTUAL UNDERSTANDING IN CHEMISTRY THROUGH LEARNING RESOURCE CREATION</w:t>
      </w:r>
    </w:p>
    <w:p w14:paraId="280B7959" w14:textId="77777777" w:rsidR="00FF04C1" w:rsidRDefault="00000000">
      <w:pPr>
        <w:jc w:val="center"/>
      </w:pPr>
      <w:r>
        <w:rPr>
          <w:b/>
        </w:rPr>
        <w:t/>
      </w:r>
    </w:p>
    <w:p w14:paraId="5B3B240C" w14:textId="77777777" w:rsidR="00FF04C1" w:rsidRDefault="00000000">
      <w:pPr>
        <w:jc w:val="center"/>
      </w:pPr>
      <w:r>
        <w:t/>
      </w:r>
    </w:p>
    <w:p w14:paraId="06E2CA3D" w14:textId="77777777" w:rsidR="00FF04C1" w:rsidRDefault="00000000">
      <w:pPr>
        <w:jc w:val="center"/>
      </w:pPr>
      <w:r>
        <w:t/>
      </w:r>
    </w:p>
    <w:p w14:paraId="45752C86" w14:textId="77777777" w:rsidR="00FF04C1" w:rsidRDefault="00000000">
      <w:r>
        <w:rPr>
          <w:b/>
          <w:sz w:val="28"/>
        </w:rPr>
        <w:t>ABSTRACT</w:t>
      </w:r>
    </w:p>
    <w:p w14:paraId="3B39EA85" w14:textId="77777777" w:rsidR="00FF04C1" w:rsidRDefault="00000000">
      <w:pPr>
        <w:jc w:val="both"/>
      </w:pPr>
      <w:bookmarkStart w:id="0" w:name="OLE_LINK1"/>
      <w:r>
        <w:t>This study examined the effectiveness of Nearpod-facilitated instruction in improving Grade 8 students' cognitive engagement, conceptual understanding, and metacognitive learning in Chemistry. Anchored on Constructivist Learning Theory, Self-Determination Theory, and the ARCS Model of Motivation, the investigation used an explanatory sequential mixed-methods design. The quantitative phase involved Grade 8 students and science teachers from selected public secondary schools in Tago District, Surigao del Sur, Philippines, while the qualitative phase gathered lived experiences from selected student and teacher informants to explain the quantitative results. Findings showed that science teachers were generally moderately competent in implementing Nearpod (M = 3.438), and enabling conditions were present to a great extent overall (M = 3.409), although student digital access remained a recurring constraint. Students reported a very high level of cognitive engagement (M = 4.504), and conceptual understanding improved from a pre-intervention mean of 3.668 to a post-intervention mean of 4.350. The strategic use of Nearpod also supported metacognitive learning to a great extent (M = 4.147). Qualitative results reaffirmed that Nearpod promoted interactive participation, collaborative learning, confidence, and clearer understanding of abstract Chemistry concepts through multimedia, simulations, quizzes, and real-time feedback. The study concludes that Nearpod is an effective digital platform for learner-centered Chemistry instruction in public-school settings and recommends sustained ICT support, teacher capacity building, and the use of contextualized digital learning resources such as EduCheMix.</w:t>
      </w:r>
    </w:p>
    <w:bookmarkEnd w:id="0"/>
    <w:p w14:paraId="37E6C1FD" w14:textId="77777777" w:rsidR="00FF04C1" w:rsidRDefault="00000000">
      <w:pPr>
        <w:jc w:val="both"/>
      </w:pPr>
      <w:r>
        <w:rPr>
          <w:b/>
        </w:rPr>
        <w:t xml:space="preserve">Keywords: </w:t>
      </w:r>
      <w:r>
        <w:t>Nearpod; chemistry education; cognitive engagement; conceptual understanding; metacognitive learning</w:t>
      </w:r>
    </w:p>
    <w:p w14:paraId="2AACE04D" w14:textId="77777777" w:rsidR="00FF04C1" w:rsidRDefault="00000000">
      <w:r>
        <w:rPr>
          <w:b/>
          <w:sz w:val="28"/>
        </w:rPr>
        <w:t>INTRODUCTION</w:t>
      </w:r>
    </w:p>
    <w:p w14:paraId="4525B833" w14:textId="77777777" w:rsidR="00FF04C1" w:rsidRDefault="00000000">
      <w:pPr>
        <w:jc w:val="both"/>
      </w:pPr>
      <w:r>
        <w:t>Chemistry is widely regarded as one of the most challenging disciplines in basic science education because many of its central ideas are abstract, microscopic, and symbolically represented. In many public-school classrooms, these concepts are still taught predominantly through lecture and textbook-based instruction, which may lead to passive participation and limited conceptual development. Such conditions are especially problematic in rural and resource-constrained contexts, where students often struggle to visualize and connect abstract ideas to real-world phenomena.</w:t>
      </w:r>
    </w:p>
    <w:p w14:paraId="53184847" w14:textId="77777777" w:rsidR="00FF04C1" w:rsidRDefault="00000000">
      <w:pPr>
        <w:jc w:val="both"/>
      </w:pPr>
      <w:r>
        <w:t>The integration of interactive digital platforms has become an increasingly important response to these challenges. Nearpod is a technology-enhanced instructional platform that allows teachers to combine multimedia presentation, formative assessment, collaboration, and real-time feedback within a single lesson environment. Prior research has shown that Nearpod can increase learner participation, motivation, and classroom interaction across disciplines. However, local evidence on its use in Philippine junior high school Chemistry classrooms remains limited, particularly in relation to cognitive engagement, conceptual understanding, and metacognitive learning.</w:t>
      </w:r>
    </w:p>
    <w:p w14:paraId="6599BE22" w14:textId="77777777" w:rsidR="00FF04C1" w:rsidRDefault="00000000">
      <w:pPr>
        <w:jc w:val="both"/>
      </w:pPr>
      <w:r>
        <w:t xml:space="preserve">This study focused on selected Grade 8 Chemistry topics identified as difficult and abstract, particularly sub-atomic particles and structures, counting sub-atomic particles, and the classification of elements in the periodic </w:t>
      </w:r>
      <w:r>
        <w:lastRenderedPageBreak/>
        <w:t>table. It sought to determine the competence of teachers in implementing Nearpod, the enabling and constraining conditions affecting its use, the cognitive engagement and conceptual understanding of students, and the extent of strategic Nearpod use that leveraged metacognitive learning. The study also explored the lived experiences of students and teachers and used the findings as a basis for proposing EduCheMix, a contextualized web-based interactive learning resource for Chemistry instruction.</w:t>
      </w:r>
    </w:p>
    <w:p w14:paraId="561FFF3C" w14:textId="77777777" w:rsidR="00FF04C1" w:rsidRDefault="00000000">
      <w:pPr>
        <w:jc w:val="both"/>
      </w:pPr>
      <w:r>
        <w:t>The investigation was anchored on Constructivist Learning Theory, which emphasizes active knowledge construction; Self-Determination Theory, which explains the roles of autonomy, competence, and relatedness in motivation; and the ARCS Model of Motivation, which highlights attention, relevance, confidence, and satisfaction as pillars of sustained learning engagement. Together, these perspectives explain why interactive digital learning environments can strengthen both participation and meaningful concept formation in Chemistry.</w:t>
      </w:r>
    </w:p>
    <w:p w14:paraId="248F7551" w14:textId="77777777" w:rsidR="00FF04C1" w:rsidRDefault="00000000">
      <w:r>
        <w:rPr>
          <w:b/>
          <w:sz w:val="28"/>
        </w:rPr>
        <w:t>METHODOLOGY</w:t>
      </w:r>
    </w:p>
    <w:p w14:paraId="2E947A12" w14:textId="77777777" w:rsidR="00FF04C1" w:rsidRDefault="00000000">
      <w:pPr>
        <w:jc w:val="both"/>
      </w:pPr>
      <w:r>
        <w:t>The study employed an explanatory sequential mixed-methods design. The quantitative phase served as the primary strand, while the qualitative phase was used to clarify and enrich the interpretation of the numerical findings. This design was appropriate because the study not only measured engagement, conceptual understanding, and implementation conditions but also examined how students and teachers actually experienced Nearpod-facilitated Chemistry instruction.</w:t>
      </w:r>
    </w:p>
    <w:p w14:paraId="111BCF9F" w14:textId="77777777" w:rsidR="00FF04C1" w:rsidRDefault="00000000">
      <w:pPr>
        <w:jc w:val="both"/>
      </w:pPr>
      <w:r>
        <w:t>The research was conducted in selected public secondary schools in Tago District, Surigao del Sur, during School Year 2025–2026. The quantitative respondents included Grade 8 students and science teachers handling Chemistry. Based on the manuscript, the total Grade 8 population across the participating schools was 529, from which 256 students were selected through stratified proportional random sampling, while 20 teachers were included through complete enumeration. For the qualitative phase, selected students and teachers served as key informants through purposive sampling.</w:t>
      </w:r>
    </w:p>
    <w:p w14:paraId="72F8BA62" w14:textId="77777777" w:rsidR="00FF04C1" w:rsidRDefault="00000000">
      <w:pPr>
        <w:jc w:val="both"/>
      </w:pPr>
      <w:r>
        <w:t>Two researcher-made questionnaires and a semi-structured interview guide were used. The questionnaires measured teacher competence, enabling and constraining conditions, cognitive engagement, conceptual understanding, and strategic Nearpod use for metacognitive learning. The instruments underwent face and content validation by expert validators and were pilot-tested before final administration. A conceptual understanding pretest and posttest were also administered.</w:t>
      </w:r>
    </w:p>
    <w:p w14:paraId="4B134793" w14:textId="77777777" w:rsidR="00FF04C1" w:rsidRDefault="00000000">
      <w:pPr>
        <w:jc w:val="both"/>
      </w:pPr>
      <w:r>
        <w:t>Quantitative data were analyzed using mean, Pearson product-moment correlation, and multiple regression analysis, while qualitative data were analyzed using Colaizzi’s phenomenological method. Ethical safeguards included institutional permission, informed consent and assent procedures, parental consent for minors, confidentiality of responses, and voluntary participation.</w:t>
      </w:r>
    </w:p>
    <w:p w14:paraId="3DADA38D" w14:textId="77777777" w:rsidR="00FF04C1" w:rsidRDefault="00000000">
      <w:r>
        <w:rPr>
          <w:b/>
          <w:sz w:val="28"/>
        </w:rPr>
        <w:t>RESULTS AND DISCUSSION</w:t>
      </w:r>
    </w:p>
    <w:p w14:paraId="49682732" w14:textId="77777777" w:rsidR="00FF04C1" w:rsidRDefault="00000000">
      <w:pPr>
        <w:jc w:val="both"/>
      </w:pPr>
      <w:r>
        <w:t>Results showed that teachers possessed a generally moderate to favorable level of competence in implementing Nearpod in Chemistry instruction (overall M = 3.438). Classroom management through digital facilitation registered the highest mean, indicating that teachers were able to manage participation, monitor responses, and sustain interaction during digital lessons. Technical proficiency obtained the lowest mean, suggesting a continuing need for support in maximizing advanced features and troubleshooting instructional technology.</w:t>
      </w:r>
    </w:p>
    <w:p w14:paraId="3BB4943D" w14:textId="77777777" w:rsidR="00FF04C1" w:rsidRDefault="00000000">
      <w:pPr>
        <w:jc w:val="both"/>
      </w:pPr>
      <w:r>
        <w:t>The enabling and constraining conditions affecting implementation were evident to a great extent overall (M = 3.409). Classroom layout suitability emerged as the strongest support factor, while student digital access and literacy registered the lowest score among the conditions. This pattern suggests that while the classroom and school environment generally supported digital instruction, unequal access to devices and variable digital readiness remained important barriers.</w:t>
      </w:r>
    </w:p>
    <w:p w14:paraId="19A7B14B" w14:textId="77777777" w:rsidR="00FF04C1" w:rsidRDefault="00000000">
      <w:pPr>
        <w:jc w:val="center"/>
      </w:pPr>
      <w:r>
        <w:rPr>
          <w:b/>
          <w:i/>
        </w:rPr>
        <w:t>Table 1. Teacher competence in implementing Nearpod in teaching Chemistry</w:t>
      </w:r>
    </w:p>
    <w:tbl>
      <w:tblPr>
        <w:tblStyle w:val="TableGrid"/>
        <w:tblW w:w="0" w:type="auto"/>
        <w:tblLook w:val="04A0" w:firstRow="1" w:lastRow="0" w:firstColumn="1" w:lastColumn="0" w:noHBand="0" w:noVBand="1"/>
      </w:tblPr>
      <w:tblGrid>
        <w:gridCol w:w="3565"/>
        <w:gridCol w:w="3565"/>
        <w:gridCol w:w="3565"/>
      </w:tblGrid>
      <w:tr w:rsidR="00FF04C1" w14:paraId="0B3C156A" w14:textId="77777777">
        <w:tc>
          <w:tcPr>
            <w:tcW w:w="3565" w:type="dxa"/>
            <w:shd w:val="clear" w:color="auto" w:fill="D9EAF7"/>
          </w:tcPr>
          <w:p w14:paraId="51494883" w14:textId="77777777" w:rsidR="00FF04C1" w:rsidRDefault="00000000">
            <w:r>
              <w:rPr>
                <w:b/>
                <w:sz w:val="22"/>
              </w:rPr>
              <w:lastRenderedPageBreak/>
              <w:t>Indicator</w:t>
            </w:r>
          </w:p>
        </w:tc>
        <w:tc>
          <w:tcPr>
            <w:tcW w:w="3565" w:type="dxa"/>
            <w:shd w:val="clear" w:color="auto" w:fill="D9EAF7"/>
          </w:tcPr>
          <w:p w14:paraId="036FA143" w14:textId="77777777" w:rsidR="00FF04C1" w:rsidRDefault="00000000">
            <w:pPr>
              <w:jc w:val="center"/>
            </w:pPr>
            <w:r>
              <w:rPr>
                <w:b/>
                <w:sz w:val="22"/>
              </w:rPr>
              <w:t>Mean</w:t>
            </w:r>
          </w:p>
        </w:tc>
        <w:tc>
          <w:tcPr>
            <w:tcW w:w="3565" w:type="dxa"/>
            <w:shd w:val="clear" w:color="auto" w:fill="D9EAF7"/>
          </w:tcPr>
          <w:p w14:paraId="6C8A2861" w14:textId="77777777" w:rsidR="00FF04C1" w:rsidRDefault="00000000">
            <w:pPr>
              <w:jc w:val="center"/>
            </w:pPr>
            <w:r>
              <w:rPr>
                <w:b/>
                <w:sz w:val="22"/>
              </w:rPr>
              <w:t>Interpretation</w:t>
            </w:r>
          </w:p>
        </w:tc>
      </w:tr>
      <w:tr w:rsidR="00FF04C1" w14:paraId="554F9982" w14:textId="77777777">
        <w:tc>
          <w:tcPr>
            <w:tcW w:w="3565" w:type="dxa"/>
          </w:tcPr>
          <w:p w14:paraId="1B0E46DF" w14:textId="77777777" w:rsidR="00FF04C1" w:rsidRDefault="00000000">
            <w:r>
              <w:rPr>
                <w:sz w:val="22"/>
              </w:rPr>
              <w:t>Technical proficiency and tool mastery</w:t>
            </w:r>
          </w:p>
        </w:tc>
        <w:tc>
          <w:tcPr>
            <w:tcW w:w="3565" w:type="dxa"/>
          </w:tcPr>
          <w:p w14:paraId="0DC197CE" w14:textId="77777777" w:rsidR="00FF04C1" w:rsidRDefault="00000000">
            <w:pPr>
              <w:jc w:val="center"/>
            </w:pPr>
            <w:r>
              <w:rPr>
                <w:sz w:val="22"/>
              </w:rPr>
              <w:t>3.315</w:t>
            </w:r>
          </w:p>
        </w:tc>
        <w:tc>
          <w:tcPr>
            <w:tcW w:w="3565" w:type="dxa"/>
          </w:tcPr>
          <w:p w14:paraId="56E9758D" w14:textId="77777777" w:rsidR="00FF04C1" w:rsidRDefault="00000000">
            <w:pPr>
              <w:jc w:val="center"/>
            </w:pPr>
            <w:r>
              <w:rPr>
                <w:sz w:val="22"/>
              </w:rPr>
              <w:t>Competent</w:t>
            </w:r>
          </w:p>
        </w:tc>
      </w:tr>
      <w:tr w:rsidR="00FF04C1" w14:paraId="780DA7C6" w14:textId="77777777">
        <w:tc>
          <w:tcPr>
            <w:tcW w:w="3565" w:type="dxa"/>
          </w:tcPr>
          <w:p w14:paraId="69C0F0A8" w14:textId="77777777" w:rsidR="00FF04C1" w:rsidRDefault="00000000">
            <w:r>
              <w:rPr>
                <w:sz w:val="22"/>
              </w:rPr>
              <w:t>Pedagogical design and competence</w:t>
            </w:r>
          </w:p>
        </w:tc>
        <w:tc>
          <w:tcPr>
            <w:tcW w:w="3565" w:type="dxa"/>
          </w:tcPr>
          <w:p w14:paraId="29DD5478" w14:textId="77777777" w:rsidR="00FF04C1" w:rsidRDefault="00000000">
            <w:pPr>
              <w:jc w:val="center"/>
            </w:pPr>
            <w:r>
              <w:rPr>
                <w:sz w:val="22"/>
              </w:rPr>
              <w:t>3.380</w:t>
            </w:r>
          </w:p>
        </w:tc>
        <w:tc>
          <w:tcPr>
            <w:tcW w:w="3565" w:type="dxa"/>
          </w:tcPr>
          <w:p w14:paraId="2AFE479A" w14:textId="77777777" w:rsidR="00FF04C1" w:rsidRDefault="00000000">
            <w:pPr>
              <w:jc w:val="center"/>
            </w:pPr>
            <w:r>
              <w:rPr>
                <w:sz w:val="22"/>
              </w:rPr>
              <w:t>Competent</w:t>
            </w:r>
          </w:p>
        </w:tc>
      </w:tr>
      <w:tr w:rsidR="00FF04C1" w14:paraId="0C287AED" w14:textId="77777777">
        <w:tc>
          <w:tcPr>
            <w:tcW w:w="3565" w:type="dxa"/>
          </w:tcPr>
          <w:p w14:paraId="3EEA460C" w14:textId="77777777" w:rsidR="00FF04C1" w:rsidRDefault="00000000">
            <w:r>
              <w:rPr>
                <w:sz w:val="22"/>
              </w:rPr>
              <w:t>Content-specific integration</w:t>
            </w:r>
          </w:p>
        </w:tc>
        <w:tc>
          <w:tcPr>
            <w:tcW w:w="3565" w:type="dxa"/>
          </w:tcPr>
          <w:p w14:paraId="3C8E2296" w14:textId="77777777" w:rsidR="00FF04C1" w:rsidRDefault="00000000">
            <w:pPr>
              <w:jc w:val="center"/>
            </w:pPr>
            <w:r>
              <w:rPr>
                <w:sz w:val="22"/>
              </w:rPr>
              <w:t>3.520</w:t>
            </w:r>
          </w:p>
        </w:tc>
        <w:tc>
          <w:tcPr>
            <w:tcW w:w="3565" w:type="dxa"/>
          </w:tcPr>
          <w:p w14:paraId="33D1A15F" w14:textId="77777777" w:rsidR="00FF04C1" w:rsidRDefault="00000000">
            <w:pPr>
              <w:jc w:val="center"/>
            </w:pPr>
            <w:r>
              <w:rPr>
                <w:sz w:val="22"/>
              </w:rPr>
              <w:t>Moderately Competent</w:t>
            </w:r>
          </w:p>
        </w:tc>
      </w:tr>
      <w:tr w:rsidR="00FF04C1" w14:paraId="782B8EE1" w14:textId="77777777">
        <w:tc>
          <w:tcPr>
            <w:tcW w:w="3565" w:type="dxa"/>
          </w:tcPr>
          <w:p w14:paraId="08009F88" w14:textId="77777777" w:rsidR="00FF04C1" w:rsidRDefault="00000000">
            <w:r>
              <w:rPr>
                <w:sz w:val="22"/>
              </w:rPr>
              <w:t>Classroom management through digital facilitation</w:t>
            </w:r>
          </w:p>
        </w:tc>
        <w:tc>
          <w:tcPr>
            <w:tcW w:w="3565" w:type="dxa"/>
          </w:tcPr>
          <w:p w14:paraId="1AF4D82F" w14:textId="77777777" w:rsidR="00FF04C1" w:rsidRDefault="00000000">
            <w:pPr>
              <w:jc w:val="center"/>
            </w:pPr>
            <w:r>
              <w:rPr>
                <w:sz w:val="22"/>
              </w:rPr>
              <w:t>3.585</w:t>
            </w:r>
          </w:p>
        </w:tc>
        <w:tc>
          <w:tcPr>
            <w:tcW w:w="3565" w:type="dxa"/>
          </w:tcPr>
          <w:p w14:paraId="3E164A42" w14:textId="77777777" w:rsidR="00FF04C1" w:rsidRDefault="00000000">
            <w:pPr>
              <w:jc w:val="center"/>
            </w:pPr>
            <w:r>
              <w:rPr>
                <w:sz w:val="22"/>
              </w:rPr>
              <w:t>Moderately Competent</w:t>
            </w:r>
          </w:p>
        </w:tc>
      </w:tr>
      <w:tr w:rsidR="00FF04C1" w14:paraId="69E0BDEE" w14:textId="77777777">
        <w:tc>
          <w:tcPr>
            <w:tcW w:w="3565" w:type="dxa"/>
          </w:tcPr>
          <w:p w14:paraId="3A1543D3" w14:textId="77777777" w:rsidR="00FF04C1" w:rsidRDefault="00000000">
            <w:r>
              <w:rPr>
                <w:sz w:val="22"/>
              </w:rPr>
              <w:t>Reflective practice and adaptation</w:t>
            </w:r>
          </w:p>
        </w:tc>
        <w:tc>
          <w:tcPr>
            <w:tcW w:w="3565" w:type="dxa"/>
          </w:tcPr>
          <w:p w14:paraId="5CD7D9AE" w14:textId="77777777" w:rsidR="00FF04C1" w:rsidRDefault="00000000">
            <w:pPr>
              <w:jc w:val="center"/>
            </w:pPr>
            <w:r>
              <w:rPr>
                <w:sz w:val="22"/>
              </w:rPr>
              <w:t>3.390</w:t>
            </w:r>
          </w:p>
        </w:tc>
        <w:tc>
          <w:tcPr>
            <w:tcW w:w="3565" w:type="dxa"/>
          </w:tcPr>
          <w:p w14:paraId="5FC6D4DB" w14:textId="77777777" w:rsidR="00FF04C1" w:rsidRDefault="00000000">
            <w:pPr>
              <w:jc w:val="center"/>
            </w:pPr>
            <w:r>
              <w:rPr>
                <w:sz w:val="22"/>
              </w:rPr>
              <w:t>Competent</w:t>
            </w:r>
          </w:p>
        </w:tc>
      </w:tr>
      <w:tr w:rsidR="00FF04C1" w14:paraId="2CFBA06E" w14:textId="77777777">
        <w:tc>
          <w:tcPr>
            <w:tcW w:w="3565" w:type="dxa"/>
          </w:tcPr>
          <w:p w14:paraId="6DE354A3" w14:textId="77777777" w:rsidR="00FF04C1" w:rsidRDefault="00000000">
            <w:r>
              <w:rPr>
                <w:sz w:val="22"/>
              </w:rPr>
              <w:t>Overall mean</w:t>
            </w:r>
          </w:p>
        </w:tc>
        <w:tc>
          <w:tcPr>
            <w:tcW w:w="3565" w:type="dxa"/>
          </w:tcPr>
          <w:p w14:paraId="4532D0C0" w14:textId="77777777" w:rsidR="00FF04C1" w:rsidRDefault="00000000">
            <w:pPr>
              <w:jc w:val="center"/>
            </w:pPr>
            <w:r>
              <w:rPr>
                <w:sz w:val="22"/>
              </w:rPr>
              <w:t>3.438</w:t>
            </w:r>
          </w:p>
        </w:tc>
        <w:tc>
          <w:tcPr>
            <w:tcW w:w="3565" w:type="dxa"/>
          </w:tcPr>
          <w:p w14:paraId="497F2001" w14:textId="77777777" w:rsidR="00FF04C1" w:rsidRDefault="00000000">
            <w:pPr>
              <w:jc w:val="center"/>
            </w:pPr>
            <w:r>
              <w:rPr>
                <w:sz w:val="22"/>
              </w:rPr>
              <w:t>Moderately Competent</w:t>
            </w:r>
          </w:p>
        </w:tc>
      </w:tr>
    </w:tbl>
    <w:p w14:paraId="4C465C2D" w14:textId="77777777" w:rsidR="00FF04C1" w:rsidRDefault="00FF04C1"/>
    <w:p w14:paraId="424AF760" w14:textId="77777777" w:rsidR="00FF04C1" w:rsidRDefault="00000000">
      <w:pPr>
        <w:jc w:val="center"/>
      </w:pPr>
      <w:r>
        <w:rPr>
          <w:b/>
          <w:i/>
        </w:rPr>
        <w:t>Table 2. Enabling and constraining conditions affecting Nearpod implementation</w:t>
      </w:r>
    </w:p>
    <w:tbl>
      <w:tblPr>
        <w:tblStyle w:val="TableGrid"/>
        <w:tblW w:w="0" w:type="auto"/>
        <w:tblLook w:val="04A0" w:firstRow="1" w:lastRow="0" w:firstColumn="1" w:lastColumn="0" w:noHBand="0" w:noVBand="1"/>
      </w:tblPr>
      <w:tblGrid>
        <w:gridCol w:w="3565"/>
        <w:gridCol w:w="3565"/>
        <w:gridCol w:w="3565"/>
      </w:tblGrid>
      <w:tr w:rsidR="00FF04C1" w14:paraId="1ED22DCA" w14:textId="77777777">
        <w:tc>
          <w:tcPr>
            <w:tcW w:w="3565" w:type="dxa"/>
            <w:shd w:val="clear" w:color="auto" w:fill="D9EAF7"/>
          </w:tcPr>
          <w:p w14:paraId="5100ED39" w14:textId="77777777" w:rsidR="00FF04C1" w:rsidRDefault="00000000">
            <w:r>
              <w:rPr>
                <w:b/>
                <w:sz w:val="22"/>
              </w:rPr>
              <w:t>Indicator</w:t>
            </w:r>
          </w:p>
        </w:tc>
        <w:tc>
          <w:tcPr>
            <w:tcW w:w="3565" w:type="dxa"/>
            <w:shd w:val="clear" w:color="auto" w:fill="D9EAF7"/>
          </w:tcPr>
          <w:p w14:paraId="2B998B42" w14:textId="77777777" w:rsidR="00FF04C1" w:rsidRDefault="00000000">
            <w:pPr>
              <w:jc w:val="center"/>
            </w:pPr>
            <w:r>
              <w:rPr>
                <w:b/>
                <w:sz w:val="22"/>
              </w:rPr>
              <w:t>Mean</w:t>
            </w:r>
          </w:p>
        </w:tc>
        <w:tc>
          <w:tcPr>
            <w:tcW w:w="3565" w:type="dxa"/>
            <w:shd w:val="clear" w:color="auto" w:fill="D9EAF7"/>
          </w:tcPr>
          <w:p w14:paraId="3C803DDD" w14:textId="77777777" w:rsidR="00FF04C1" w:rsidRDefault="00000000">
            <w:pPr>
              <w:jc w:val="center"/>
            </w:pPr>
            <w:r>
              <w:rPr>
                <w:b/>
                <w:sz w:val="22"/>
              </w:rPr>
              <w:t>Interpretation</w:t>
            </w:r>
          </w:p>
        </w:tc>
      </w:tr>
      <w:tr w:rsidR="00FF04C1" w14:paraId="69637591" w14:textId="77777777">
        <w:tc>
          <w:tcPr>
            <w:tcW w:w="3565" w:type="dxa"/>
          </w:tcPr>
          <w:p w14:paraId="00336472" w14:textId="77777777" w:rsidR="00FF04C1" w:rsidRDefault="00000000">
            <w:r>
              <w:rPr>
                <w:sz w:val="22"/>
              </w:rPr>
              <w:t>Technological infrastructure</w:t>
            </w:r>
          </w:p>
        </w:tc>
        <w:tc>
          <w:tcPr>
            <w:tcW w:w="3565" w:type="dxa"/>
          </w:tcPr>
          <w:p w14:paraId="4EA11685" w14:textId="77777777" w:rsidR="00FF04C1" w:rsidRDefault="00000000">
            <w:pPr>
              <w:jc w:val="center"/>
            </w:pPr>
            <w:r>
              <w:rPr>
                <w:sz w:val="22"/>
              </w:rPr>
              <w:t>3.390</w:t>
            </w:r>
          </w:p>
        </w:tc>
        <w:tc>
          <w:tcPr>
            <w:tcW w:w="3565" w:type="dxa"/>
          </w:tcPr>
          <w:p w14:paraId="14E9D37F" w14:textId="77777777" w:rsidR="00FF04C1" w:rsidRDefault="00000000">
            <w:pPr>
              <w:jc w:val="center"/>
            </w:pPr>
            <w:r>
              <w:rPr>
                <w:sz w:val="22"/>
              </w:rPr>
              <w:t>Moderate Extent</w:t>
            </w:r>
          </w:p>
        </w:tc>
      </w:tr>
      <w:tr w:rsidR="00FF04C1" w14:paraId="0E39D43C" w14:textId="77777777">
        <w:tc>
          <w:tcPr>
            <w:tcW w:w="3565" w:type="dxa"/>
          </w:tcPr>
          <w:p w14:paraId="27A231FD" w14:textId="77777777" w:rsidR="00FF04C1" w:rsidRDefault="00000000">
            <w:r>
              <w:rPr>
                <w:sz w:val="22"/>
              </w:rPr>
              <w:t>Institutional support</w:t>
            </w:r>
          </w:p>
        </w:tc>
        <w:tc>
          <w:tcPr>
            <w:tcW w:w="3565" w:type="dxa"/>
          </w:tcPr>
          <w:p w14:paraId="1464897C" w14:textId="77777777" w:rsidR="00FF04C1" w:rsidRDefault="00000000">
            <w:pPr>
              <w:jc w:val="center"/>
            </w:pPr>
            <w:r>
              <w:rPr>
                <w:sz w:val="22"/>
              </w:rPr>
              <w:t>3.385</w:t>
            </w:r>
          </w:p>
        </w:tc>
        <w:tc>
          <w:tcPr>
            <w:tcW w:w="3565" w:type="dxa"/>
          </w:tcPr>
          <w:p w14:paraId="6FFB13F7" w14:textId="77777777" w:rsidR="00FF04C1" w:rsidRDefault="00000000">
            <w:pPr>
              <w:jc w:val="center"/>
            </w:pPr>
            <w:r>
              <w:rPr>
                <w:sz w:val="22"/>
              </w:rPr>
              <w:t>Moderate Extent</w:t>
            </w:r>
          </w:p>
        </w:tc>
      </w:tr>
      <w:tr w:rsidR="00FF04C1" w14:paraId="70245C03" w14:textId="77777777">
        <w:tc>
          <w:tcPr>
            <w:tcW w:w="3565" w:type="dxa"/>
          </w:tcPr>
          <w:p w14:paraId="5B8FABAE" w14:textId="77777777" w:rsidR="00FF04C1" w:rsidRDefault="00000000">
            <w:r>
              <w:rPr>
                <w:sz w:val="22"/>
              </w:rPr>
              <w:t>Time and resource allocation</w:t>
            </w:r>
          </w:p>
        </w:tc>
        <w:tc>
          <w:tcPr>
            <w:tcW w:w="3565" w:type="dxa"/>
          </w:tcPr>
          <w:p w14:paraId="31BA20A8" w14:textId="77777777" w:rsidR="00FF04C1" w:rsidRDefault="00000000">
            <w:pPr>
              <w:jc w:val="center"/>
            </w:pPr>
            <w:r>
              <w:rPr>
                <w:sz w:val="22"/>
              </w:rPr>
              <w:t>3.380</w:t>
            </w:r>
          </w:p>
        </w:tc>
        <w:tc>
          <w:tcPr>
            <w:tcW w:w="3565" w:type="dxa"/>
          </w:tcPr>
          <w:p w14:paraId="4C839CD4" w14:textId="77777777" w:rsidR="00FF04C1" w:rsidRDefault="00000000">
            <w:pPr>
              <w:jc w:val="center"/>
            </w:pPr>
            <w:r>
              <w:rPr>
                <w:sz w:val="22"/>
              </w:rPr>
              <w:t>Moderate Extent</w:t>
            </w:r>
          </w:p>
        </w:tc>
      </w:tr>
      <w:tr w:rsidR="00FF04C1" w14:paraId="751A9A07" w14:textId="77777777">
        <w:tc>
          <w:tcPr>
            <w:tcW w:w="3565" w:type="dxa"/>
          </w:tcPr>
          <w:p w14:paraId="3DEAC79E" w14:textId="77777777" w:rsidR="00FF04C1" w:rsidRDefault="00000000">
            <w:r>
              <w:rPr>
                <w:sz w:val="22"/>
              </w:rPr>
              <w:t>Student digital access and literacy</w:t>
            </w:r>
          </w:p>
        </w:tc>
        <w:tc>
          <w:tcPr>
            <w:tcW w:w="3565" w:type="dxa"/>
          </w:tcPr>
          <w:p w14:paraId="72F8BADB" w14:textId="77777777" w:rsidR="00FF04C1" w:rsidRDefault="00000000">
            <w:pPr>
              <w:jc w:val="center"/>
            </w:pPr>
            <w:r>
              <w:rPr>
                <w:sz w:val="22"/>
              </w:rPr>
              <w:t>3.320</w:t>
            </w:r>
          </w:p>
        </w:tc>
        <w:tc>
          <w:tcPr>
            <w:tcW w:w="3565" w:type="dxa"/>
          </w:tcPr>
          <w:p w14:paraId="4B25682E" w14:textId="77777777" w:rsidR="00FF04C1" w:rsidRDefault="00000000">
            <w:pPr>
              <w:jc w:val="center"/>
            </w:pPr>
            <w:r>
              <w:rPr>
                <w:sz w:val="22"/>
              </w:rPr>
              <w:t>Moderate Extent</w:t>
            </w:r>
          </w:p>
        </w:tc>
      </w:tr>
      <w:tr w:rsidR="00FF04C1" w14:paraId="4F267288" w14:textId="77777777">
        <w:tc>
          <w:tcPr>
            <w:tcW w:w="3565" w:type="dxa"/>
          </w:tcPr>
          <w:p w14:paraId="1893FF46" w14:textId="77777777" w:rsidR="00FF04C1" w:rsidRDefault="00000000">
            <w:r>
              <w:rPr>
                <w:sz w:val="22"/>
              </w:rPr>
              <w:t>Classroom layout suitability for device use</w:t>
            </w:r>
          </w:p>
        </w:tc>
        <w:tc>
          <w:tcPr>
            <w:tcW w:w="3565" w:type="dxa"/>
          </w:tcPr>
          <w:p w14:paraId="00B4D64F" w14:textId="77777777" w:rsidR="00FF04C1" w:rsidRDefault="00000000">
            <w:pPr>
              <w:jc w:val="center"/>
            </w:pPr>
            <w:r>
              <w:rPr>
                <w:sz w:val="22"/>
              </w:rPr>
              <w:t>3.570</w:t>
            </w:r>
          </w:p>
        </w:tc>
        <w:tc>
          <w:tcPr>
            <w:tcW w:w="3565" w:type="dxa"/>
          </w:tcPr>
          <w:p w14:paraId="348E38D1" w14:textId="77777777" w:rsidR="00FF04C1" w:rsidRDefault="00000000">
            <w:pPr>
              <w:jc w:val="center"/>
            </w:pPr>
            <w:r>
              <w:rPr>
                <w:sz w:val="22"/>
              </w:rPr>
              <w:t>Great Extent</w:t>
            </w:r>
          </w:p>
        </w:tc>
      </w:tr>
      <w:tr w:rsidR="00FF04C1" w14:paraId="06E7211A" w14:textId="77777777">
        <w:tc>
          <w:tcPr>
            <w:tcW w:w="3565" w:type="dxa"/>
          </w:tcPr>
          <w:p w14:paraId="1104B120" w14:textId="77777777" w:rsidR="00FF04C1" w:rsidRDefault="00000000">
            <w:r>
              <w:rPr>
                <w:sz w:val="22"/>
              </w:rPr>
              <w:t>Overall mean</w:t>
            </w:r>
          </w:p>
        </w:tc>
        <w:tc>
          <w:tcPr>
            <w:tcW w:w="3565" w:type="dxa"/>
          </w:tcPr>
          <w:p w14:paraId="7C0BCF05" w14:textId="77777777" w:rsidR="00FF04C1" w:rsidRDefault="00000000">
            <w:pPr>
              <w:jc w:val="center"/>
            </w:pPr>
            <w:r>
              <w:rPr>
                <w:sz w:val="22"/>
              </w:rPr>
              <w:t>3.409</w:t>
            </w:r>
          </w:p>
        </w:tc>
        <w:tc>
          <w:tcPr>
            <w:tcW w:w="3565" w:type="dxa"/>
          </w:tcPr>
          <w:p w14:paraId="6C11EE12" w14:textId="77777777" w:rsidR="00FF04C1" w:rsidRDefault="00000000">
            <w:pPr>
              <w:jc w:val="center"/>
            </w:pPr>
            <w:r>
              <w:rPr>
                <w:sz w:val="22"/>
              </w:rPr>
              <w:t>Great Extent</w:t>
            </w:r>
          </w:p>
        </w:tc>
      </w:tr>
    </w:tbl>
    <w:p w14:paraId="6BED9FF6" w14:textId="77777777" w:rsidR="00FF04C1" w:rsidRDefault="00FF04C1"/>
    <w:p w14:paraId="161E7F14" w14:textId="77777777" w:rsidR="00FF04C1" w:rsidRDefault="00000000">
      <w:pPr>
        <w:jc w:val="both"/>
      </w:pPr>
      <w:r>
        <w:t>Students demonstrated a very high level of cognitive engagement during Nearpod-facilitated Chemistry lessons (overall M = 4.504). Self-regulated learning behavior ranked highest, followed closely by active processing and persistence. Peer interaction and discourse quality received the lowest mean among the engagement domains, but still remained within the highest descriptive category. These results imply that Nearpod promoted attention, active participation, sustained effort, and learner autonomy during instruction.</w:t>
      </w:r>
    </w:p>
    <w:p w14:paraId="2AFDEC85" w14:textId="77777777" w:rsidR="00FF04C1" w:rsidRDefault="00000000">
      <w:pPr>
        <w:jc w:val="both"/>
      </w:pPr>
      <w:r>
        <w:lastRenderedPageBreak/>
        <w:t>Students also manifested stronger conceptual understanding after exposure to Nearpod-facilitated lessons. The overall mean increased from 3.668 before the intervention to 4.350 after the intervention, with explanatory depth registering the highest post-intervention mean. The gains across explanatory depth, application and transfer, conceptual integrity, representation learning, and retention suggest that the platform significantly helped students process and organize difficult Chemistry concepts more meaningfully.</w:t>
      </w:r>
    </w:p>
    <w:p w14:paraId="6A678461" w14:textId="77777777" w:rsidR="00FF04C1" w:rsidRDefault="00000000">
      <w:pPr>
        <w:jc w:val="center"/>
      </w:pPr>
      <w:r>
        <w:rPr>
          <w:b/>
          <w:i/>
        </w:rPr>
        <w:t>Table 3. Cognitive engagement of Grade 8 students during Nearpod-facilitated lessons</w:t>
      </w:r>
    </w:p>
    <w:tbl>
      <w:tblPr>
        <w:tblStyle w:val="TableGrid"/>
        <w:tblW w:w="0" w:type="auto"/>
        <w:tblLook w:val="04A0" w:firstRow="1" w:lastRow="0" w:firstColumn="1" w:lastColumn="0" w:noHBand="0" w:noVBand="1"/>
      </w:tblPr>
      <w:tblGrid>
        <w:gridCol w:w="3565"/>
        <w:gridCol w:w="3565"/>
        <w:gridCol w:w="3565"/>
      </w:tblGrid>
      <w:tr w:rsidR="00FF04C1" w14:paraId="11E5D18A" w14:textId="77777777">
        <w:tc>
          <w:tcPr>
            <w:tcW w:w="3565" w:type="dxa"/>
            <w:shd w:val="clear" w:color="auto" w:fill="D9EAF7"/>
          </w:tcPr>
          <w:p w14:paraId="204E63D1" w14:textId="77777777" w:rsidR="00FF04C1" w:rsidRDefault="00000000">
            <w:r>
              <w:rPr>
                <w:b/>
                <w:sz w:val="22"/>
              </w:rPr>
              <w:t>Indicator</w:t>
            </w:r>
          </w:p>
        </w:tc>
        <w:tc>
          <w:tcPr>
            <w:tcW w:w="3565" w:type="dxa"/>
            <w:shd w:val="clear" w:color="auto" w:fill="D9EAF7"/>
          </w:tcPr>
          <w:p w14:paraId="7A5815F3" w14:textId="77777777" w:rsidR="00FF04C1" w:rsidRDefault="00000000">
            <w:pPr>
              <w:jc w:val="center"/>
            </w:pPr>
            <w:r>
              <w:rPr>
                <w:b/>
                <w:sz w:val="22"/>
              </w:rPr>
              <w:t>Mean</w:t>
            </w:r>
          </w:p>
        </w:tc>
        <w:tc>
          <w:tcPr>
            <w:tcW w:w="3565" w:type="dxa"/>
            <w:shd w:val="clear" w:color="auto" w:fill="D9EAF7"/>
          </w:tcPr>
          <w:p w14:paraId="204F00FE" w14:textId="77777777" w:rsidR="00FF04C1" w:rsidRDefault="00000000">
            <w:pPr>
              <w:jc w:val="center"/>
            </w:pPr>
            <w:r>
              <w:rPr>
                <w:b/>
                <w:sz w:val="22"/>
              </w:rPr>
              <w:t>Interpretation</w:t>
            </w:r>
          </w:p>
        </w:tc>
      </w:tr>
      <w:tr w:rsidR="00FF04C1" w14:paraId="4A462A58" w14:textId="77777777">
        <w:tc>
          <w:tcPr>
            <w:tcW w:w="3565" w:type="dxa"/>
          </w:tcPr>
          <w:p w14:paraId="38A456A0" w14:textId="77777777" w:rsidR="00FF04C1" w:rsidRDefault="00000000">
            <w:r>
              <w:rPr>
                <w:sz w:val="22"/>
              </w:rPr>
              <w:t>Behavioral involvement</w:t>
            </w:r>
          </w:p>
        </w:tc>
        <w:tc>
          <w:tcPr>
            <w:tcW w:w="3565" w:type="dxa"/>
          </w:tcPr>
          <w:p w14:paraId="139C1A82" w14:textId="77777777" w:rsidR="00FF04C1" w:rsidRDefault="00000000">
            <w:pPr>
              <w:jc w:val="center"/>
            </w:pPr>
            <w:r>
              <w:rPr>
                <w:sz w:val="22"/>
              </w:rPr>
              <w:t>4.492</w:t>
            </w:r>
          </w:p>
        </w:tc>
        <w:tc>
          <w:tcPr>
            <w:tcW w:w="3565" w:type="dxa"/>
          </w:tcPr>
          <w:p w14:paraId="66B1B3A8" w14:textId="77777777" w:rsidR="00FF04C1" w:rsidRDefault="00000000">
            <w:pPr>
              <w:jc w:val="center"/>
            </w:pPr>
            <w:r>
              <w:rPr>
                <w:sz w:val="22"/>
              </w:rPr>
              <w:t>Strongly Agree</w:t>
            </w:r>
          </w:p>
        </w:tc>
      </w:tr>
      <w:tr w:rsidR="00FF04C1" w14:paraId="5D3A1670" w14:textId="77777777">
        <w:tc>
          <w:tcPr>
            <w:tcW w:w="3565" w:type="dxa"/>
          </w:tcPr>
          <w:p w14:paraId="00D3448B" w14:textId="77777777" w:rsidR="00FF04C1" w:rsidRDefault="00000000">
            <w:r>
              <w:rPr>
                <w:sz w:val="22"/>
              </w:rPr>
              <w:t>Active processing and persistence</w:t>
            </w:r>
          </w:p>
        </w:tc>
        <w:tc>
          <w:tcPr>
            <w:tcW w:w="3565" w:type="dxa"/>
          </w:tcPr>
          <w:p w14:paraId="43F9426A" w14:textId="77777777" w:rsidR="00FF04C1" w:rsidRDefault="00000000">
            <w:pPr>
              <w:jc w:val="center"/>
            </w:pPr>
            <w:r>
              <w:rPr>
                <w:sz w:val="22"/>
              </w:rPr>
              <w:t>4.516</w:t>
            </w:r>
          </w:p>
        </w:tc>
        <w:tc>
          <w:tcPr>
            <w:tcW w:w="3565" w:type="dxa"/>
          </w:tcPr>
          <w:p w14:paraId="4C75C602" w14:textId="77777777" w:rsidR="00FF04C1" w:rsidRDefault="00000000">
            <w:pPr>
              <w:jc w:val="center"/>
            </w:pPr>
            <w:r>
              <w:rPr>
                <w:sz w:val="22"/>
              </w:rPr>
              <w:t>Strongly Agree</w:t>
            </w:r>
          </w:p>
        </w:tc>
      </w:tr>
      <w:tr w:rsidR="00FF04C1" w14:paraId="335A784D" w14:textId="77777777">
        <w:tc>
          <w:tcPr>
            <w:tcW w:w="3565" w:type="dxa"/>
          </w:tcPr>
          <w:p w14:paraId="187BAD1E" w14:textId="77777777" w:rsidR="00FF04C1" w:rsidRDefault="00000000">
            <w:r>
              <w:rPr>
                <w:sz w:val="22"/>
              </w:rPr>
              <w:t>Emotional and active engagement</w:t>
            </w:r>
          </w:p>
        </w:tc>
        <w:tc>
          <w:tcPr>
            <w:tcW w:w="3565" w:type="dxa"/>
          </w:tcPr>
          <w:p w14:paraId="5BAD16FD" w14:textId="77777777" w:rsidR="00FF04C1" w:rsidRDefault="00000000">
            <w:pPr>
              <w:jc w:val="center"/>
            </w:pPr>
            <w:r>
              <w:rPr>
                <w:sz w:val="22"/>
              </w:rPr>
              <w:t>4.495</w:t>
            </w:r>
          </w:p>
        </w:tc>
        <w:tc>
          <w:tcPr>
            <w:tcW w:w="3565" w:type="dxa"/>
          </w:tcPr>
          <w:p w14:paraId="1A57BF81" w14:textId="77777777" w:rsidR="00FF04C1" w:rsidRDefault="00000000">
            <w:pPr>
              <w:jc w:val="center"/>
            </w:pPr>
            <w:r>
              <w:rPr>
                <w:sz w:val="22"/>
              </w:rPr>
              <w:t>Strongly Agree</w:t>
            </w:r>
          </w:p>
        </w:tc>
      </w:tr>
      <w:tr w:rsidR="00FF04C1" w14:paraId="27677C90" w14:textId="77777777">
        <w:tc>
          <w:tcPr>
            <w:tcW w:w="3565" w:type="dxa"/>
          </w:tcPr>
          <w:p w14:paraId="30C603E8" w14:textId="77777777" w:rsidR="00FF04C1" w:rsidRDefault="00000000">
            <w:r>
              <w:rPr>
                <w:sz w:val="22"/>
              </w:rPr>
              <w:t>Peer interaction and discourse quality</w:t>
            </w:r>
          </w:p>
        </w:tc>
        <w:tc>
          <w:tcPr>
            <w:tcW w:w="3565" w:type="dxa"/>
          </w:tcPr>
          <w:p w14:paraId="37909E45" w14:textId="77777777" w:rsidR="00FF04C1" w:rsidRDefault="00000000">
            <w:pPr>
              <w:jc w:val="center"/>
            </w:pPr>
            <w:r>
              <w:rPr>
                <w:sz w:val="22"/>
              </w:rPr>
              <w:t>4.485</w:t>
            </w:r>
          </w:p>
        </w:tc>
        <w:tc>
          <w:tcPr>
            <w:tcW w:w="3565" w:type="dxa"/>
          </w:tcPr>
          <w:p w14:paraId="42147F61" w14:textId="77777777" w:rsidR="00FF04C1" w:rsidRDefault="00000000">
            <w:pPr>
              <w:jc w:val="center"/>
            </w:pPr>
            <w:r>
              <w:rPr>
                <w:sz w:val="22"/>
              </w:rPr>
              <w:t>Strongly Agree</w:t>
            </w:r>
          </w:p>
        </w:tc>
      </w:tr>
      <w:tr w:rsidR="00FF04C1" w14:paraId="557FF93D" w14:textId="77777777">
        <w:tc>
          <w:tcPr>
            <w:tcW w:w="3565" w:type="dxa"/>
          </w:tcPr>
          <w:p w14:paraId="48226F5D" w14:textId="77777777" w:rsidR="00FF04C1" w:rsidRDefault="00000000">
            <w:r>
              <w:rPr>
                <w:sz w:val="22"/>
              </w:rPr>
              <w:t>Self-regulated learning behavior</w:t>
            </w:r>
          </w:p>
        </w:tc>
        <w:tc>
          <w:tcPr>
            <w:tcW w:w="3565" w:type="dxa"/>
          </w:tcPr>
          <w:p w14:paraId="6C170E76" w14:textId="77777777" w:rsidR="00FF04C1" w:rsidRDefault="00000000">
            <w:pPr>
              <w:jc w:val="center"/>
            </w:pPr>
            <w:r>
              <w:rPr>
                <w:sz w:val="22"/>
              </w:rPr>
              <w:t>4.530</w:t>
            </w:r>
          </w:p>
        </w:tc>
        <w:tc>
          <w:tcPr>
            <w:tcW w:w="3565" w:type="dxa"/>
          </w:tcPr>
          <w:p w14:paraId="4B92B03D" w14:textId="77777777" w:rsidR="00FF04C1" w:rsidRDefault="00000000">
            <w:pPr>
              <w:jc w:val="center"/>
            </w:pPr>
            <w:r>
              <w:rPr>
                <w:sz w:val="22"/>
              </w:rPr>
              <w:t>Strongly Agree</w:t>
            </w:r>
          </w:p>
        </w:tc>
      </w:tr>
      <w:tr w:rsidR="00FF04C1" w14:paraId="08C5CE0D" w14:textId="77777777">
        <w:tc>
          <w:tcPr>
            <w:tcW w:w="3565" w:type="dxa"/>
          </w:tcPr>
          <w:p w14:paraId="29897446" w14:textId="77777777" w:rsidR="00FF04C1" w:rsidRDefault="00000000">
            <w:r>
              <w:rPr>
                <w:sz w:val="22"/>
              </w:rPr>
              <w:t>Overall mean</w:t>
            </w:r>
          </w:p>
        </w:tc>
        <w:tc>
          <w:tcPr>
            <w:tcW w:w="3565" w:type="dxa"/>
          </w:tcPr>
          <w:p w14:paraId="193E767A" w14:textId="77777777" w:rsidR="00FF04C1" w:rsidRDefault="00000000">
            <w:pPr>
              <w:jc w:val="center"/>
            </w:pPr>
            <w:r>
              <w:rPr>
                <w:sz w:val="22"/>
              </w:rPr>
              <w:t>4.504</w:t>
            </w:r>
          </w:p>
        </w:tc>
        <w:tc>
          <w:tcPr>
            <w:tcW w:w="3565" w:type="dxa"/>
          </w:tcPr>
          <w:p w14:paraId="0C53E005" w14:textId="77777777" w:rsidR="00FF04C1" w:rsidRDefault="00000000">
            <w:pPr>
              <w:jc w:val="center"/>
            </w:pPr>
            <w:r>
              <w:rPr>
                <w:sz w:val="22"/>
              </w:rPr>
              <w:t>Strongly Agree</w:t>
            </w:r>
          </w:p>
        </w:tc>
      </w:tr>
    </w:tbl>
    <w:p w14:paraId="277E7EF9" w14:textId="77777777" w:rsidR="00FF04C1" w:rsidRDefault="00FF04C1"/>
    <w:p w14:paraId="3AD9DD6A" w14:textId="77777777" w:rsidR="00FF04C1" w:rsidRDefault="00000000">
      <w:pPr>
        <w:jc w:val="center"/>
      </w:pPr>
      <w:r>
        <w:rPr>
          <w:b/>
          <w:i/>
        </w:rPr>
        <w:t>Table 4. Conceptual understanding before and after Nearpod-facilitated lessons</w:t>
      </w:r>
    </w:p>
    <w:tbl>
      <w:tblPr>
        <w:tblStyle w:val="TableGrid"/>
        <w:tblW w:w="0" w:type="auto"/>
        <w:tblLook w:val="04A0" w:firstRow="1" w:lastRow="0" w:firstColumn="1" w:lastColumn="0" w:noHBand="0" w:noVBand="1"/>
      </w:tblPr>
      <w:tblGrid>
        <w:gridCol w:w="3565"/>
        <w:gridCol w:w="3565"/>
        <w:gridCol w:w="3565"/>
      </w:tblGrid>
      <w:tr w:rsidR="00FF04C1" w14:paraId="251C0FC2" w14:textId="77777777">
        <w:tc>
          <w:tcPr>
            <w:tcW w:w="3565" w:type="dxa"/>
            <w:shd w:val="clear" w:color="auto" w:fill="D9EAF7"/>
          </w:tcPr>
          <w:p w14:paraId="531005DF" w14:textId="77777777" w:rsidR="00FF04C1" w:rsidRDefault="00000000">
            <w:r>
              <w:rPr>
                <w:b/>
                <w:sz w:val="22"/>
              </w:rPr>
              <w:t>Indicator</w:t>
            </w:r>
          </w:p>
        </w:tc>
        <w:tc>
          <w:tcPr>
            <w:tcW w:w="3565" w:type="dxa"/>
            <w:shd w:val="clear" w:color="auto" w:fill="D9EAF7"/>
          </w:tcPr>
          <w:p w14:paraId="28BE181A" w14:textId="77777777" w:rsidR="00FF04C1" w:rsidRDefault="00000000">
            <w:pPr>
              <w:jc w:val="center"/>
            </w:pPr>
            <w:r>
              <w:rPr>
                <w:b/>
                <w:sz w:val="22"/>
              </w:rPr>
              <w:t>Before Mean</w:t>
            </w:r>
          </w:p>
        </w:tc>
        <w:tc>
          <w:tcPr>
            <w:tcW w:w="3565" w:type="dxa"/>
            <w:shd w:val="clear" w:color="auto" w:fill="D9EAF7"/>
          </w:tcPr>
          <w:p w14:paraId="1FAF59FD" w14:textId="77777777" w:rsidR="00FF04C1" w:rsidRDefault="00000000">
            <w:pPr>
              <w:jc w:val="center"/>
            </w:pPr>
            <w:r>
              <w:rPr>
                <w:b/>
                <w:sz w:val="22"/>
              </w:rPr>
              <w:t>After Mean</w:t>
            </w:r>
          </w:p>
        </w:tc>
      </w:tr>
      <w:tr w:rsidR="00FF04C1" w14:paraId="16D4CF2C" w14:textId="77777777">
        <w:tc>
          <w:tcPr>
            <w:tcW w:w="3565" w:type="dxa"/>
          </w:tcPr>
          <w:p w14:paraId="40955EF1" w14:textId="77777777" w:rsidR="00FF04C1" w:rsidRDefault="00000000">
            <w:r>
              <w:rPr>
                <w:sz w:val="22"/>
              </w:rPr>
              <w:t>Explanatory depth</w:t>
            </w:r>
          </w:p>
        </w:tc>
        <w:tc>
          <w:tcPr>
            <w:tcW w:w="3565" w:type="dxa"/>
          </w:tcPr>
          <w:p w14:paraId="3D6818BF" w14:textId="77777777" w:rsidR="00FF04C1" w:rsidRDefault="00000000">
            <w:pPr>
              <w:jc w:val="center"/>
            </w:pPr>
            <w:r>
              <w:rPr>
                <w:sz w:val="22"/>
              </w:rPr>
              <w:t>3.760</w:t>
            </w:r>
          </w:p>
        </w:tc>
        <w:tc>
          <w:tcPr>
            <w:tcW w:w="3565" w:type="dxa"/>
          </w:tcPr>
          <w:p w14:paraId="5D8A1F04" w14:textId="77777777" w:rsidR="00FF04C1" w:rsidRDefault="00000000">
            <w:pPr>
              <w:jc w:val="center"/>
            </w:pPr>
            <w:r>
              <w:rPr>
                <w:sz w:val="22"/>
              </w:rPr>
              <w:t>4.353</w:t>
            </w:r>
          </w:p>
        </w:tc>
      </w:tr>
      <w:tr w:rsidR="00FF04C1" w14:paraId="68CF7D4E" w14:textId="77777777">
        <w:tc>
          <w:tcPr>
            <w:tcW w:w="3565" w:type="dxa"/>
          </w:tcPr>
          <w:p w14:paraId="7D1C81FA" w14:textId="77777777" w:rsidR="00FF04C1" w:rsidRDefault="00000000">
            <w:r>
              <w:rPr>
                <w:sz w:val="22"/>
              </w:rPr>
              <w:t>Application and transfer</w:t>
            </w:r>
          </w:p>
        </w:tc>
        <w:tc>
          <w:tcPr>
            <w:tcW w:w="3565" w:type="dxa"/>
          </w:tcPr>
          <w:p w14:paraId="49B36076" w14:textId="77777777" w:rsidR="00FF04C1" w:rsidRDefault="00000000">
            <w:pPr>
              <w:jc w:val="center"/>
            </w:pPr>
            <w:r>
              <w:rPr>
                <w:sz w:val="22"/>
              </w:rPr>
              <w:t>3.550</w:t>
            </w:r>
          </w:p>
        </w:tc>
        <w:tc>
          <w:tcPr>
            <w:tcW w:w="3565" w:type="dxa"/>
          </w:tcPr>
          <w:p w14:paraId="01886676" w14:textId="77777777" w:rsidR="00FF04C1" w:rsidRDefault="00000000">
            <w:pPr>
              <w:jc w:val="center"/>
            </w:pPr>
            <w:r>
              <w:rPr>
                <w:sz w:val="22"/>
              </w:rPr>
              <w:t>4.351</w:t>
            </w:r>
          </w:p>
        </w:tc>
      </w:tr>
      <w:tr w:rsidR="00FF04C1" w14:paraId="01AC2286" w14:textId="77777777">
        <w:tc>
          <w:tcPr>
            <w:tcW w:w="3565" w:type="dxa"/>
          </w:tcPr>
          <w:p w14:paraId="7B06FB44" w14:textId="77777777" w:rsidR="00FF04C1" w:rsidRDefault="00000000">
            <w:r>
              <w:rPr>
                <w:sz w:val="22"/>
              </w:rPr>
              <w:t>Conceptual integrity</w:t>
            </w:r>
          </w:p>
        </w:tc>
        <w:tc>
          <w:tcPr>
            <w:tcW w:w="3565" w:type="dxa"/>
          </w:tcPr>
          <w:p w14:paraId="55E25484" w14:textId="77777777" w:rsidR="00FF04C1" w:rsidRDefault="00000000">
            <w:pPr>
              <w:jc w:val="center"/>
            </w:pPr>
            <w:r>
              <w:rPr>
                <w:sz w:val="22"/>
              </w:rPr>
              <w:t>3.730</w:t>
            </w:r>
          </w:p>
        </w:tc>
        <w:tc>
          <w:tcPr>
            <w:tcW w:w="3565" w:type="dxa"/>
          </w:tcPr>
          <w:p w14:paraId="66D12CAF" w14:textId="77777777" w:rsidR="00FF04C1" w:rsidRDefault="00000000">
            <w:pPr>
              <w:jc w:val="center"/>
            </w:pPr>
            <w:r>
              <w:rPr>
                <w:sz w:val="22"/>
              </w:rPr>
              <w:t>4.346</w:t>
            </w:r>
          </w:p>
        </w:tc>
      </w:tr>
      <w:tr w:rsidR="00FF04C1" w14:paraId="67E989A0" w14:textId="77777777">
        <w:tc>
          <w:tcPr>
            <w:tcW w:w="3565" w:type="dxa"/>
          </w:tcPr>
          <w:p w14:paraId="43B52634" w14:textId="77777777" w:rsidR="00FF04C1" w:rsidRDefault="00000000">
            <w:r>
              <w:rPr>
                <w:sz w:val="22"/>
              </w:rPr>
              <w:t>Representation learning</w:t>
            </w:r>
          </w:p>
        </w:tc>
        <w:tc>
          <w:tcPr>
            <w:tcW w:w="3565" w:type="dxa"/>
          </w:tcPr>
          <w:p w14:paraId="1787633A" w14:textId="77777777" w:rsidR="00FF04C1" w:rsidRDefault="00000000">
            <w:pPr>
              <w:jc w:val="center"/>
            </w:pPr>
            <w:r>
              <w:rPr>
                <w:sz w:val="22"/>
              </w:rPr>
              <w:t>3.555</w:t>
            </w:r>
          </w:p>
        </w:tc>
        <w:tc>
          <w:tcPr>
            <w:tcW w:w="3565" w:type="dxa"/>
          </w:tcPr>
          <w:p w14:paraId="3FF65361" w14:textId="77777777" w:rsidR="00FF04C1" w:rsidRDefault="00000000">
            <w:pPr>
              <w:jc w:val="center"/>
            </w:pPr>
            <w:r>
              <w:rPr>
                <w:sz w:val="22"/>
              </w:rPr>
              <w:t>4.351</w:t>
            </w:r>
          </w:p>
        </w:tc>
      </w:tr>
      <w:tr w:rsidR="00FF04C1" w14:paraId="714708CF" w14:textId="77777777">
        <w:tc>
          <w:tcPr>
            <w:tcW w:w="3565" w:type="dxa"/>
          </w:tcPr>
          <w:p w14:paraId="0551B3B8" w14:textId="77777777" w:rsidR="00FF04C1" w:rsidRDefault="00000000">
            <w:r>
              <w:rPr>
                <w:sz w:val="22"/>
              </w:rPr>
              <w:t>Retention</w:t>
            </w:r>
          </w:p>
        </w:tc>
        <w:tc>
          <w:tcPr>
            <w:tcW w:w="3565" w:type="dxa"/>
          </w:tcPr>
          <w:p w14:paraId="2A683F3C" w14:textId="77777777" w:rsidR="00FF04C1" w:rsidRDefault="00000000">
            <w:pPr>
              <w:jc w:val="center"/>
            </w:pPr>
            <w:r>
              <w:rPr>
                <w:sz w:val="22"/>
              </w:rPr>
              <w:t>3.747</w:t>
            </w:r>
          </w:p>
        </w:tc>
        <w:tc>
          <w:tcPr>
            <w:tcW w:w="3565" w:type="dxa"/>
          </w:tcPr>
          <w:p w14:paraId="7C4EACC5" w14:textId="77777777" w:rsidR="00FF04C1" w:rsidRDefault="00000000">
            <w:pPr>
              <w:jc w:val="center"/>
            </w:pPr>
            <w:r>
              <w:rPr>
                <w:sz w:val="22"/>
              </w:rPr>
              <w:t>4.350</w:t>
            </w:r>
          </w:p>
        </w:tc>
      </w:tr>
      <w:tr w:rsidR="00FF04C1" w14:paraId="20C4D250" w14:textId="77777777">
        <w:tc>
          <w:tcPr>
            <w:tcW w:w="3565" w:type="dxa"/>
          </w:tcPr>
          <w:p w14:paraId="4D29E828" w14:textId="77777777" w:rsidR="00FF04C1" w:rsidRDefault="00000000">
            <w:r>
              <w:rPr>
                <w:sz w:val="22"/>
              </w:rPr>
              <w:t>Overall mean</w:t>
            </w:r>
          </w:p>
        </w:tc>
        <w:tc>
          <w:tcPr>
            <w:tcW w:w="3565" w:type="dxa"/>
          </w:tcPr>
          <w:p w14:paraId="5BBC2337" w14:textId="77777777" w:rsidR="00FF04C1" w:rsidRDefault="00000000">
            <w:pPr>
              <w:jc w:val="center"/>
            </w:pPr>
            <w:r>
              <w:rPr>
                <w:sz w:val="22"/>
              </w:rPr>
              <w:t>3.668</w:t>
            </w:r>
          </w:p>
        </w:tc>
        <w:tc>
          <w:tcPr>
            <w:tcW w:w="3565" w:type="dxa"/>
          </w:tcPr>
          <w:p w14:paraId="5B9FE945" w14:textId="77777777" w:rsidR="00FF04C1" w:rsidRDefault="00000000">
            <w:pPr>
              <w:jc w:val="center"/>
            </w:pPr>
            <w:r>
              <w:rPr>
                <w:sz w:val="22"/>
              </w:rPr>
              <w:t>4.350</w:t>
            </w:r>
          </w:p>
        </w:tc>
      </w:tr>
    </w:tbl>
    <w:p w14:paraId="39C4FD29" w14:textId="77777777" w:rsidR="00FF04C1" w:rsidRDefault="00FF04C1"/>
    <w:p w14:paraId="5530ED47" w14:textId="77777777" w:rsidR="00FF04C1" w:rsidRDefault="00000000">
      <w:pPr>
        <w:jc w:val="both"/>
      </w:pPr>
      <w:r>
        <w:lastRenderedPageBreak/>
        <w:t>The strategic use of Nearpod that leveraged metacognitive learning was rated to a great extent (overall M = 4.147). Planning and prediction as well as real-time comprehension monitoring obtained the highest means. Moreover, the manuscript reported significant relationships between teacher competence and enabling conditions, and between cognitive engagement and conceptual understanding. Multiple regression analysis further indicated that domains of conceptual understanding, along with institutional support and classroom layout suitability, were among the strongest predictors of metacognitive learning through strategic Nearpod use.</w:t>
      </w:r>
    </w:p>
    <w:p w14:paraId="510B9F66" w14:textId="77777777" w:rsidR="00FF04C1" w:rsidRDefault="00000000">
      <w:pPr>
        <w:jc w:val="center"/>
      </w:pPr>
      <w:r>
        <w:rPr>
          <w:b/>
          <w:i/>
        </w:rPr>
        <w:t>Table 5. Strategic use of Nearpod that leveraged metacognitive learning</w:t>
      </w:r>
    </w:p>
    <w:tbl>
      <w:tblPr>
        <w:tblStyle w:val="TableGrid"/>
        <w:tblW w:w="0" w:type="auto"/>
        <w:tblLook w:val="04A0" w:firstRow="1" w:lastRow="0" w:firstColumn="1" w:lastColumn="0" w:noHBand="0" w:noVBand="1"/>
      </w:tblPr>
      <w:tblGrid>
        <w:gridCol w:w="3565"/>
        <w:gridCol w:w="3565"/>
        <w:gridCol w:w="3565"/>
      </w:tblGrid>
      <w:tr w:rsidR="00FF04C1" w14:paraId="5127E534" w14:textId="77777777">
        <w:tc>
          <w:tcPr>
            <w:tcW w:w="3565" w:type="dxa"/>
            <w:shd w:val="clear" w:color="auto" w:fill="D9EAF7"/>
          </w:tcPr>
          <w:p w14:paraId="45EEE764" w14:textId="77777777" w:rsidR="00FF04C1" w:rsidRDefault="00000000">
            <w:r>
              <w:rPr>
                <w:b/>
                <w:sz w:val="22"/>
              </w:rPr>
              <w:t>Indicator</w:t>
            </w:r>
          </w:p>
        </w:tc>
        <w:tc>
          <w:tcPr>
            <w:tcW w:w="3565" w:type="dxa"/>
            <w:shd w:val="clear" w:color="auto" w:fill="D9EAF7"/>
          </w:tcPr>
          <w:p w14:paraId="792FD146" w14:textId="77777777" w:rsidR="00FF04C1" w:rsidRDefault="00000000">
            <w:pPr>
              <w:jc w:val="center"/>
            </w:pPr>
            <w:r>
              <w:rPr>
                <w:b/>
                <w:sz w:val="22"/>
              </w:rPr>
              <w:t>Mean</w:t>
            </w:r>
          </w:p>
        </w:tc>
        <w:tc>
          <w:tcPr>
            <w:tcW w:w="3565" w:type="dxa"/>
            <w:shd w:val="clear" w:color="auto" w:fill="D9EAF7"/>
          </w:tcPr>
          <w:p w14:paraId="3A7C647D" w14:textId="77777777" w:rsidR="00FF04C1" w:rsidRDefault="00000000">
            <w:pPr>
              <w:jc w:val="center"/>
            </w:pPr>
            <w:r>
              <w:rPr>
                <w:b/>
                <w:sz w:val="22"/>
              </w:rPr>
              <w:t>Interpretation</w:t>
            </w:r>
          </w:p>
        </w:tc>
      </w:tr>
      <w:tr w:rsidR="00FF04C1" w14:paraId="52D52504" w14:textId="77777777">
        <w:tc>
          <w:tcPr>
            <w:tcW w:w="3565" w:type="dxa"/>
          </w:tcPr>
          <w:p w14:paraId="0290D4E9" w14:textId="77777777" w:rsidR="00FF04C1" w:rsidRDefault="00000000">
            <w:r>
              <w:rPr>
                <w:sz w:val="22"/>
              </w:rPr>
              <w:t>Planning and prediction</w:t>
            </w:r>
          </w:p>
        </w:tc>
        <w:tc>
          <w:tcPr>
            <w:tcW w:w="3565" w:type="dxa"/>
          </w:tcPr>
          <w:p w14:paraId="09449A08" w14:textId="77777777" w:rsidR="00FF04C1" w:rsidRDefault="00000000">
            <w:pPr>
              <w:jc w:val="center"/>
            </w:pPr>
            <w:r>
              <w:rPr>
                <w:sz w:val="22"/>
              </w:rPr>
              <w:t>4.148</w:t>
            </w:r>
          </w:p>
        </w:tc>
        <w:tc>
          <w:tcPr>
            <w:tcW w:w="3565" w:type="dxa"/>
          </w:tcPr>
          <w:p w14:paraId="27D5DEE8" w14:textId="77777777" w:rsidR="00FF04C1" w:rsidRDefault="00000000">
            <w:pPr>
              <w:jc w:val="center"/>
            </w:pPr>
            <w:r>
              <w:rPr>
                <w:sz w:val="22"/>
              </w:rPr>
              <w:t>Great Extent</w:t>
            </w:r>
          </w:p>
        </w:tc>
      </w:tr>
      <w:tr w:rsidR="00FF04C1" w14:paraId="03EE7D1C" w14:textId="77777777">
        <w:tc>
          <w:tcPr>
            <w:tcW w:w="3565" w:type="dxa"/>
          </w:tcPr>
          <w:p w14:paraId="55F9E4A1" w14:textId="77777777" w:rsidR="00FF04C1" w:rsidRDefault="00000000">
            <w:r>
              <w:rPr>
                <w:sz w:val="22"/>
              </w:rPr>
              <w:t>Real-time comprehension monitoring</w:t>
            </w:r>
          </w:p>
        </w:tc>
        <w:tc>
          <w:tcPr>
            <w:tcW w:w="3565" w:type="dxa"/>
          </w:tcPr>
          <w:p w14:paraId="6EC4D24C" w14:textId="77777777" w:rsidR="00FF04C1" w:rsidRDefault="00000000">
            <w:pPr>
              <w:jc w:val="center"/>
            </w:pPr>
            <w:r>
              <w:rPr>
                <w:sz w:val="22"/>
              </w:rPr>
              <w:t>4.148</w:t>
            </w:r>
          </w:p>
        </w:tc>
        <w:tc>
          <w:tcPr>
            <w:tcW w:w="3565" w:type="dxa"/>
          </w:tcPr>
          <w:p w14:paraId="0FC49756" w14:textId="77777777" w:rsidR="00FF04C1" w:rsidRDefault="00000000">
            <w:pPr>
              <w:jc w:val="center"/>
            </w:pPr>
            <w:r>
              <w:rPr>
                <w:sz w:val="22"/>
              </w:rPr>
              <w:t>Great Extent</w:t>
            </w:r>
          </w:p>
        </w:tc>
      </w:tr>
      <w:tr w:rsidR="00FF04C1" w14:paraId="0842EDE1" w14:textId="77777777">
        <w:tc>
          <w:tcPr>
            <w:tcW w:w="3565" w:type="dxa"/>
          </w:tcPr>
          <w:p w14:paraId="6F425DDB" w14:textId="77777777" w:rsidR="00FF04C1" w:rsidRDefault="00000000">
            <w:r>
              <w:rPr>
                <w:sz w:val="22"/>
              </w:rPr>
              <w:t>Strategy evaluation and articulation</w:t>
            </w:r>
          </w:p>
        </w:tc>
        <w:tc>
          <w:tcPr>
            <w:tcW w:w="3565" w:type="dxa"/>
          </w:tcPr>
          <w:p w14:paraId="60178DB9" w14:textId="77777777" w:rsidR="00FF04C1" w:rsidRDefault="00000000">
            <w:pPr>
              <w:jc w:val="center"/>
            </w:pPr>
            <w:r>
              <w:rPr>
                <w:sz w:val="22"/>
              </w:rPr>
              <w:t>4.147</w:t>
            </w:r>
          </w:p>
        </w:tc>
        <w:tc>
          <w:tcPr>
            <w:tcW w:w="3565" w:type="dxa"/>
          </w:tcPr>
          <w:p w14:paraId="02A4D318" w14:textId="77777777" w:rsidR="00FF04C1" w:rsidRDefault="00000000">
            <w:pPr>
              <w:jc w:val="center"/>
            </w:pPr>
            <w:r>
              <w:rPr>
                <w:sz w:val="22"/>
              </w:rPr>
              <w:t>Great Extent</w:t>
            </w:r>
          </w:p>
        </w:tc>
      </w:tr>
      <w:tr w:rsidR="00FF04C1" w14:paraId="58226C86" w14:textId="77777777">
        <w:tc>
          <w:tcPr>
            <w:tcW w:w="3565" w:type="dxa"/>
          </w:tcPr>
          <w:p w14:paraId="0AAC8006" w14:textId="77777777" w:rsidR="00FF04C1" w:rsidRDefault="00000000">
            <w:r>
              <w:rPr>
                <w:sz w:val="22"/>
              </w:rPr>
              <w:t>Peer feedback awareness</w:t>
            </w:r>
          </w:p>
        </w:tc>
        <w:tc>
          <w:tcPr>
            <w:tcW w:w="3565" w:type="dxa"/>
          </w:tcPr>
          <w:p w14:paraId="16B821E4" w14:textId="77777777" w:rsidR="00FF04C1" w:rsidRDefault="00000000">
            <w:pPr>
              <w:jc w:val="center"/>
            </w:pPr>
            <w:r>
              <w:rPr>
                <w:sz w:val="22"/>
              </w:rPr>
              <w:t>4.147</w:t>
            </w:r>
          </w:p>
        </w:tc>
        <w:tc>
          <w:tcPr>
            <w:tcW w:w="3565" w:type="dxa"/>
          </w:tcPr>
          <w:p w14:paraId="30F8E97F" w14:textId="77777777" w:rsidR="00FF04C1" w:rsidRDefault="00000000">
            <w:pPr>
              <w:jc w:val="center"/>
            </w:pPr>
            <w:r>
              <w:rPr>
                <w:sz w:val="22"/>
              </w:rPr>
              <w:t>Great Extent</w:t>
            </w:r>
          </w:p>
        </w:tc>
      </w:tr>
      <w:tr w:rsidR="00FF04C1" w14:paraId="214A1D8C" w14:textId="77777777">
        <w:tc>
          <w:tcPr>
            <w:tcW w:w="3565" w:type="dxa"/>
          </w:tcPr>
          <w:p w14:paraId="3BAA4425" w14:textId="77777777" w:rsidR="00FF04C1" w:rsidRDefault="00000000">
            <w:r>
              <w:rPr>
                <w:sz w:val="22"/>
              </w:rPr>
              <w:t>Self-explanation clarity</w:t>
            </w:r>
          </w:p>
        </w:tc>
        <w:tc>
          <w:tcPr>
            <w:tcW w:w="3565" w:type="dxa"/>
          </w:tcPr>
          <w:p w14:paraId="0E0515C3" w14:textId="77777777" w:rsidR="00FF04C1" w:rsidRDefault="00000000">
            <w:pPr>
              <w:jc w:val="center"/>
            </w:pPr>
            <w:r>
              <w:rPr>
                <w:sz w:val="22"/>
              </w:rPr>
              <w:t>4.147</w:t>
            </w:r>
          </w:p>
        </w:tc>
        <w:tc>
          <w:tcPr>
            <w:tcW w:w="3565" w:type="dxa"/>
          </w:tcPr>
          <w:p w14:paraId="742096E7" w14:textId="77777777" w:rsidR="00FF04C1" w:rsidRDefault="00000000">
            <w:pPr>
              <w:jc w:val="center"/>
            </w:pPr>
            <w:r>
              <w:rPr>
                <w:sz w:val="22"/>
              </w:rPr>
              <w:t>Great Extent</w:t>
            </w:r>
          </w:p>
        </w:tc>
      </w:tr>
      <w:tr w:rsidR="00FF04C1" w14:paraId="1F0E5980" w14:textId="77777777">
        <w:tc>
          <w:tcPr>
            <w:tcW w:w="3565" w:type="dxa"/>
          </w:tcPr>
          <w:p w14:paraId="335C40A1" w14:textId="77777777" w:rsidR="00FF04C1" w:rsidRDefault="00000000">
            <w:r>
              <w:rPr>
                <w:sz w:val="22"/>
              </w:rPr>
              <w:t>Overall mean</w:t>
            </w:r>
          </w:p>
        </w:tc>
        <w:tc>
          <w:tcPr>
            <w:tcW w:w="3565" w:type="dxa"/>
          </w:tcPr>
          <w:p w14:paraId="75281FE0" w14:textId="77777777" w:rsidR="00FF04C1" w:rsidRDefault="00000000">
            <w:pPr>
              <w:jc w:val="center"/>
            </w:pPr>
            <w:r>
              <w:rPr>
                <w:sz w:val="22"/>
              </w:rPr>
              <w:t>4.147</w:t>
            </w:r>
          </w:p>
        </w:tc>
        <w:tc>
          <w:tcPr>
            <w:tcW w:w="3565" w:type="dxa"/>
          </w:tcPr>
          <w:p w14:paraId="1F5BC7D8" w14:textId="77777777" w:rsidR="00FF04C1" w:rsidRDefault="00000000">
            <w:pPr>
              <w:jc w:val="center"/>
            </w:pPr>
            <w:r>
              <w:rPr>
                <w:sz w:val="22"/>
              </w:rPr>
              <w:t>Great Extent</w:t>
            </w:r>
          </w:p>
        </w:tc>
      </w:tr>
    </w:tbl>
    <w:p w14:paraId="048C478A" w14:textId="77777777" w:rsidR="00FF04C1" w:rsidRDefault="00FF04C1"/>
    <w:p w14:paraId="14A129EA" w14:textId="77777777" w:rsidR="00FF04C1" w:rsidRDefault="00000000">
      <w:pPr>
        <w:jc w:val="both"/>
      </w:pPr>
      <w:r>
        <w:t>The findings suggest that Nearpod was effective not only as a presentation platform but also as an instructional environment that supported active knowledge construction. Through multimedia, collaborative boards, quizzes, simulations, and immediate feedback, the platform created conditions that sustained students’ attention and encouraged them to explain, monitor, and refine their understanding of Chemistry concepts. This is consistent with constructivist views of learning, where students learn more deeply when they actively engage with tasks and representations rather than passively receive information.</w:t>
      </w:r>
    </w:p>
    <w:p w14:paraId="05D1B301" w14:textId="77777777" w:rsidR="00FF04C1" w:rsidRDefault="00000000">
      <w:pPr>
        <w:jc w:val="both"/>
      </w:pPr>
      <w:r>
        <w:t>The very high ratings in cognitive engagement and the notable gains in conceptual understanding indicate that Nearpod can help address common instructional difficulties in Chemistry, especially for abstract topics requiring visualization and conceptual linkage. The improvement in explanatory depth and representation learning is particularly important because effective Chemistry learning depends on students’ ability to connect symbolic, particulate, and observable forms of knowledge.</w:t>
      </w:r>
    </w:p>
    <w:p w14:paraId="58CCDB4B" w14:textId="77777777" w:rsidR="00FF04C1" w:rsidRDefault="00000000">
      <w:pPr>
        <w:jc w:val="both"/>
      </w:pPr>
      <w:r>
        <w:t>The study also highlights the interdependence of teacher competence and school conditions. Although teachers showed promising competence in lesson facilitation and design, technical proficiency and student digital access remained comparatively weaker areas. These results imply that the success of technology integration cannot rest on teacher effort alone; it also depends on reliable access, sustained institutional support, and continuing professional development.</w:t>
      </w:r>
    </w:p>
    <w:p w14:paraId="4605B359" w14:textId="77777777" w:rsidR="00FF04C1" w:rsidRDefault="00000000">
      <w:pPr>
        <w:jc w:val="both"/>
      </w:pPr>
      <w:r>
        <w:t xml:space="preserve">Qualitative evidence in the manuscript reinforced the quantitative outcomes. Students and teachers described Nearpod as engaging, enjoyable, interactive, and helpful for understanding difficult concepts. At the same time, they identified challenges such as intermittent internet connectivity, pacing difficulties, and the need for </w:t>
      </w:r>
      <w:r>
        <w:lastRenderedPageBreak/>
        <w:t>additional training and learner support. These converging findings strengthen the conclusion that Nearpod can be highly beneficial in Chemistry instruction when implementation supports are in place.</w:t>
      </w:r>
    </w:p>
    <w:p w14:paraId="63BE34C6" w14:textId="77777777" w:rsidR="00FF04C1" w:rsidRDefault="00000000">
      <w:r>
        <w:rPr>
          <w:b/>
          <w:sz w:val="28"/>
        </w:rPr>
        <w:t>CONCLUSION</w:t>
      </w:r>
    </w:p>
    <w:p w14:paraId="12FB68CC" w14:textId="77777777" w:rsidR="00FF04C1" w:rsidRDefault="00000000">
      <w:pPr>
        <w:jc w:val="both"/>
      </w:pPr>
      <w:r>
        <w:t>Nearpod-facilitated Chemistry instruction significantly enhanced Grade 8 students’ cognitive engagement, conceptual understanding, and metacognitive learning. Students participated actively, monitored their own learning, and demonstrated stronger understanding of abstract Chemistry concepts after the intervention. Teachers were able to implement the platform with a favorable level of competence, and school conditions were generally supportive, though student digital access and teacher technical proficiency still require strengthening.</w:t>
      </w:r>
    </w:p>
    <w:p w14:paraId="51F01DEB" w14:textId="77777777" w:rsidR="00FF04C1" w:rsidRDefault="00000000">
      <w:pPr>
        <w:jc w:val="both"/>
      </w:pPr>
      <w:r>
        <w:t>Overall, the study affirms that interactive digital learning environments can contribute meaningfully to learner-centered science instruction in public-school settings. Based on the empirical findings, the proposed EduCheMix learning resource is recommended as a contextualized support tool for Chemistry teaching and learning.</w:t>
      </w:r>
    </w:p>
    <w:p w14:paraId="03B8A8FA" w14:textId="77777777" w:rsidR="00FF04C1" w:rsidRDefault="00000000">
      <w:r>
        <w:rPr>
          <w:b/>
          <w:sz w:val="28"/>
        </w:rPr>
        <w:t>ETHICAL CONSIDERATIONS</w:t>
      </w:r>
    </w:p>
    <w:p w14:paraId="5E3721CF" w14:textId="77777777" w:rsidR="00FF04C1" w:rsidRDefault="00000000">
      <w:pPr>
        <w:jc w:val="both"/>
      </w:pPr>
      <w:r>
        <w:t>Permission to conduct the study was secured from the appropriate school authorities before data gathering. Participation was voluntary, informed consent and assent were obtained, parental consent was secured for minors, and confidentiality and anonymity were observed throughout the study.</w:t>
      </w:r>
    </w:p>
    <w:p w14:paraId="0418FBBD" w14:textId="77777777" w:rsidR="00FF04C1" w:rsidRDefault="00000000">
      <w:r>
        <w:rPr>
          <w:b/>
          <w:sz w:val="28"/>
        </w:rPr>
        <w:t>CONFLICT OF INTEREST</w:t>
      </w:r>
    </w:p>
    <w:p w14:paraId="4D7E2699" w14:textId="77777777" w:rsidR="00FF04C1" w:rsidRDefault="00000000">
      <w:pPr>
        <w:jc w:val="both"/>
      </w:pPr>
      <w:r>
        <w:t>The author declares no conflict of interest related to this study.</w:t>
      </w:r>
    </w:p>
    <w:p w14:paraId="7B9BAA79" w14:textId="77777777" w:rsidR="00FF04C1" w:rsidRDefault="00000000">
      <w:r>
        <w:rPr>
          <w:b/>
          <w:sz w:val="28"/>
        </w:rPr>
        <w:t>DATA AVAILABILITY STATEMENT</w:t>
      </w:r>
    </w:p>
    <w:p w14:paraId="1DE7DD91" w14:textId="77777777" w:rsidR="00FF04C1" w:rsidRDefault="00000000">
      <w:pPr>
        <w:jc w:val="both"/>
      </w:pPr>
      <w:r>
        <w:t>The datasets generated and/or analyzed during the current study are available from the corresponding author on reasonable request, subject to institutional and ethical considerations.</w:t>
      </w:r>
    </w:p>
    <w:p w14:paraId="632BD605" w14:textId="77777777" w:rsidR="00FF04C1" w:rsidRDefault="00000000">
      <w:r>
        <w:rPr>
          <w:b/>
          <w:sz w:val="28"/>
        </w:rPr>
        <w:t>ACKNOWLEDGMENT</w:t>
      </w:r>
    </w:p>
    <w:p w14:paraId="23BE6F8F" w14:textId="77777777" w:rsidR="00FF04C1" w:rsidRDefault="00000000">
      <w:pPr>
        <w:jc w:val="both"/>
      </w:pPr>
      <w:r>
        <w:t>The author gratefully acknowledges the support of the participating schools, teachers, students, and the Graduate School of North Eastern Mindanao State University.</w:t>
      </w:r>
    </w:p>
    <w:p w14:paraId="5BCA9072" w14:textId="77777777" w:rsidR="00FF04C1" w:rsidRDefault="00000000">
      <w:r>
        <w:rPr>
          <w:b/>
          <w:sz w:val="28"/>
        </w:rPr>
        <w:t>REFERENCES</w:t>
      </w:r>
    </w:p>
    <w:p w14:paraId="05145AE8" w14:textId="77777777" w:rsidR="00FF04C1" w:rsidRDefault="00000000">
      <w:pPr>
        <w:jc w:val="both"/>
      </w:pPr>
      <w:r>
        <w:t>[1] Abdullah, M. I., Inayati, D., &amp; Karyawati, N. N. (2022). Nearpod use as a learning platform to improve student learning motivation in an elementary school. Journal of Education and Learning (EduLearn), 16(1), 121–129. https://doi.org/10.11591/edulearn.v16i1.20421</w:t>
      </w:r>
    </w:p>
    <w:p w14:paraId="78F02290" w14:textId="77777777" w:rsidR="00FF04C1" w:rsidRDefault="00000000">
      <w:pPr>
        <w:jc w:val="both"/>
      </w:pPr>
      <w:r>
        <w:t>[2] Calderon, J. F., &amp; Gonzales, E. C. (2020). Methods of research and thesis writing (Rev. ed.). National Book Store.</w:t>
      </w:r>
    </w:p>
    <w:p w14:paraId="2F6AD591" w14:textId="77777777" w:rsidR="00FF04C1" w:rsidRDefault="00000000">
      <w:pPr>
        <w:jc w:val="both"/>
      </w:pPr>
      <w:r>
        <w:t>[3] Creswell, J. W. (2014). Research design: Qualitative, quantitative, and mixed methods approaches (4th ed.). Sage Publications.</w:t>
      </w:r>
    </w:p>
    <w:p w14:paraId="308FDAD7" w14:textId="77777777" w:rsidR="00FF04C1" w:rsidRDefault="00000000">
      <w:pPr>
        <w:jc w:val="both"/>
      </w:pPr>
      <w:r>
        <w:t>[4] Creswell, J. W., &amp; Plano Clark, V. L. (2018). Designing and conducting mixed methods research (3rd ed.). Sage Publications.</w:t>
      </w:r>
    </w:p>
    <w:p w14:paraId="19CB48AB" w14:textId="77777777" w:rsidR="00FF04C1" w:rsidRDefault="00000000">
      <w:pPr>
        <w:jc w:val="both"/>
      </w:pPr>
      <w:r>
        <w:t>[5] Creswell, J. W., &amp; Creswell, J. D. (2023). Research design: Qualitative, quantitative, and mixed methods approaches (6th ed.). Sage Publications.</w:t>
      </w:r>
    </w:p>
    <w:p w14:paraId="26AF8471" w14:textId="77777777" w:rsidR="00FF04C1" w:rsidRDefault="00000000">
      <w:pPr>
        <w:jc w:val="both"/>
      </w:pPr>
      <w:r>
        <w:lastRenderedPageBreak/>
        <w:t>[6] Custodio, J. B., Gonzales, P. J. A., Santos, B. C. A., &amp; Manguil, C. J. M. (2025). Utilizing nearpod application to enhance Grade 8 learners’ integrated science process skills. Southeast Asian Journal of Agriculture and Allied Sciences, 4(1), 26–43. https://doi.org/10.63943/sajaas.vol4iss1art37pp26-43</w:t>
      </w:r>
    </w:p>
    <w:p w14:paraId="36789EFF" w14:textId="77777777" w:rsidR="00FF04C1" w:rsidRDefault="00000000">
      <w:pPr>
        <w:jc w:val="both"/>
      </w:pPr>
      <w:r w:rsidRPr="00AF3CA8">
        <w:rPr>
          <w:lang w:val="pt-BR"/>
        </w:rPr>
        <w:t xml:space="preserve">[7] Darnawati, O. E., &amp; Yulianto, S. (2024). </w:t>
      </w:r>
      <w:r>
        <w:t>Development of Nearpod-Based Learning Media to improve learning outcomes in elementary School Grade V IPAS subjects. Jurnal Penelitian Pendidikan IPA, 10(11), 8568–8577. https://doi.org/10.29303/jppipa.v10i11.7552</w:t>
      </w:r>
    </w:p>
    <w:p w14:paraId="4C785C1A" w14:textId="77777777" w:rsidR="00FF04C1" w:rsidRDefault="00000000">
      <w:pPr>
        <w:jc w:val="both"/>
      </w:pPr>
      <w:r>
        <w:t>[8] Dewi, W. D. P. F., Santosa, M. H., &amp; Dewi, K. S. (2023). The effect of Nearpod toward Tenth-Grade students’ reading skill in a public senior high school in North Bali, Indonesia. PANYONARA Journal of English Education, 5(2), 189–204. https://doi.org/10.19105/panyonara.v5i2.9979</w:t>
      </w:r>
    </w:p>
    <w:p w14:paraId="40722584" w14:textId="77777777" w:rsidR="00FF04C1" w:rsidRDefault="00000000">
      <w:pPr>
        <w:jc w:val="both"/>
      </w:pPr>
      <w:r>
        <w:t>[9] Effendi, H., Hendriyani, Y., Ranuharja, F., Novid, I., &amp; Saari, E. (2025). Enhancing ICT teachers’ competence with nearpod: Transforming interactive learning media in the digital age. Jurnal Pengabdian UNDIKMA, 6(1), 1–9. https://doi.org/10.33394/jpu.v6i1.13553</w:t>
      </w:r>
    </w:p>
    <w:p w14:paraId="76160B26" w14:textId="77777777" w:rsidR="00FF04C1" w:rsidRDefault="00000000">
      <w:pPr>
        <w:jc w:val="both"/>
      </w:pPr>
      <w:r>
        <w:t>[10] Feri, A., &amp; Zulherman, Z. (2021). Development of nearpod-based e module on science material “energy and its changes” to improve elementary school student learning achievement. International Journal of Education and Learning, 3(2), 165–174. https://doi.org/10.31763/ijele.v3i2.400</w:t>
      </w:r>
    </w:p>
    <w:p w14:paraId="46B6949C" w14:textId="77777777" w:rsidR="00FF04C1" w:rsidRDefault="00000000">
      <w:pPr>
        <w:jc w:val="both"/>
      </w:pPr>
      <w:r>
        <w:t>[11] Kalsum, I. (2021). Nearpod and students’ motivation in online English learning. International Academic Research Journal of Business and Technology, 7(1), 1–7. https://www.iarjournal.com/wp-content/uploads/IARJ-BT-7-1-2021-1_7.pdf</w:t>
      </w:r>
    </w:p>
    <w:p w14:paraId="656FFC69" w14:textId="77777777" w:rsidR="00FF04C1" w:rsidRDefault="00000000">
      <w:pPr>
        <w:jc w:val="both"/>
      </w:pPr>
      <w:r w:rsidRPr="00AF3CA8">
        <w:rPr>
          <w:lang w:val="pt-BR"/>
        </w:rPr>
        <w:t xml:space="preserve">[12] Metaria, M., Muniroh, S., &amp; Zubaidi, N. (2024). </w:t>
      </w:r>
      <w:r>
        <w:t>Enhancing students’ engagement in FLSP class: The impact of Nearpod. Celtic: A Journal of Culture, English Language Teaching, Literature and Linguistics, 11(1), 39–55. https://doi.org/10.22219/celtic.v11i1.33329</w:t>
      </w:r>
    </w:p>
    <w:p w14:paraId="14333CE3" w14:textId="77777777" w:rsidR="00FF04C1" w:rsidRDefault="00000000">
      <w:pPr>
        <w:jc w:val="both"/>
      </w:pPr>
      <w:r w:rsidRPr="00AF3CA8">
        <w:rPr>
          <w:lang w:val="pt-BR"/>
        </w:rPr>
        <w:t xml:space="preserve">[13] Merriam, S. B., &amp; Tisdell, E. J. (2024). </w:t>
      </w:r>
      <w:r>
        <w:t>Qualitative research: A guide to design and implementation (5th ed.). Jossey-Bass.</w:t>
      </w:r>
    </w:p>
    <w:p w14:paraId="0CB383CB" w14:textId="77777777" w:rsidR="00FF04C1" w:rsidRDefault="00000000">
      <w:pPr>
        <w:jc w:val="both"/>
      </w:pPr>
      <w:r>
        <w:t>[14] Musa, M. A. A., &amp; Momani, J. A. A. (2022). University students’ attitudes towards using the nearpod application in distance learning. Journal of Education and e-Learning Research, 9(2), 110–118. https://doi.org/10.20448/jeelr.v9i2.4030</w:t>
      </w:r>
    </w:p>
    <w:p w14:paraId="5DD3C67B" w14:textId="77777777" w:rsidR="00FF04C1" w:rsidRDefault="00000000">
      <w:pPr>
        <w:jc w:val="both"/>
      </w:pPr>
      <w:r w:rsidRPr="00AF3CA8">
        <w:rPr>
          <w:lang w:val="pt-BR"/>
        </w:rPr>
        <w:t xml:space="preserve">[15] Mustikarani, T., Soepeno, B., &amp; Bektiarso, S. (2025). </w:t>
      </w:r>
      <w:r>
        <w:t>The effect of problem-based learning (PBL) model using nearpod media on students’ learning outcomes in class V of elementary school PKN learning. MSJ: Majority Science Journal, 3(1), 106–113. https://doi.org/10.61942/msj.v3i1.297</w:t>
      </w:r>
    </w:p>
    <w:p w14:paraId="20723E51" w14:textId="77777777" w:rsidR="00FF04C1" w:rsidRDefault="00000000">
      <w:pPr>
        <w:jc w:val="both"/>
      </w:pPr>
      <w:r>
        <w:t>[16] Naik, A. S., Kathavate, P. N., &amp; Metagar, S. M. (2022). Nearpod: An effective interactive ICT tool for teaching and learning through Google Meet. In Smart innovation, systems and technologies (pp. 269–276). Springer. https://doi.org/10.1007/978-981-16-3945-6_26</w:t>
      </w:r>
    </w:p>
    <w:p w14:paraId="59CD76E6" w14:textId="77777777" w:rsidR="00FF04C1" w:rsidRDefault="00000000">
      <w:pPr>
        <w:jc w:val="both"/>
      </w:pPr>
      <w:r>
        <w:t>[17] Naumoska, A., Rusevska, K., Blazhevska, A., &amp; Stojanovska, M. (2022). Nearpod as a tool for increasing students’ motivation for learning chemistry. International Journal of Education and Learning, 4(1), 89–99. https://doi.org/10.31763/ijele.v4i1.616</w:t>
      </w:r>
    </w:p>
    <w:p w14:paraId="3A574EB7" w14:textId="77777777" w:rsidR="00FF04C1" w:rsidRDefault="00000000">
      <w:pPr>
        <w:jc w:val="both"/>
      </w:pPr>
      <w:r w:rsidRPr="00AF3CA8">
        <w:rPr>
          <w:lang w:val="pt-BR"/>
        </w:rPr>
        <w:t xml:space="preserve">[18] Panduwinata, L. F., &amp; Az-Zahro, N. F. (2024). </w:t>
      </w:r>
      <w:r>
        <w:t>The effectiveness of using nearpod learning media on the public relations learning outcomes of class XI OTKP SMKN 4 Surabaya. Jurnal Ilmu Pendidikan (JIP) STKIP Kusuma Negara, 16(1), 26–34. https://doi.org/10.37640/jip.v16i1.1975</w:t>
      </w:r>
    </w:p>
    <w:p w14:paraId="4273914E" w14:textId="77777777" w:rsidR="00FF04C1" w:rsidRDefault="00000000">
      <w:pPr>
        <w:jc w:val="both"/>
      </w:pPr>
      <w:r>
        <w:rPr>
          <w:i/>
          <w:sz w:val="22"/>
        </w:rPr>
        <w:t>Note for final submission: Replace the placeholder email with the corresponding author’s active email address before uploading to the journal portal.</w:t>
      </w:r>
    </w:p>
    <w:sectPr w:rsidR="00FF04C1" w:rsidSect="00034616">
      <w:footerReference w:type="default" r:id="rId8"/>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CCAA4" w14:textId="77777777" w:rsidR="00541E08" w:rsidRDefault="00541E08">
      <w:pPr>
        <w:spacing w:before="0" w:after="0"/>
      </w:pPr>
      <w:r>
        <w:separator/>
      </w:r>
    </w:p>
  </w:endnote>
  <w:endnote w:type="continuationSeparator" w:id="0">
    <w:p w14:paraId="1E2DF085" w14:textId="77777777" w:rsidR="00541E08" w:rsidRDefault="00541E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CDDE" w14:textId="77777777" w:rsidR="00FF04C1" w:rsidRDefault="00000000">
    <w:pPr>
      <w:pStyle w:val="Footer"/>
      <w:jc w:val="center"/>
    </w:pPr>
    <w:r>
      <w:fldChar w:fldCharType="begin"/>
    </w:r>
    <w:r>
      <w:instrText>PAGE</w:instrText>
    </w:r>
    <w:r w:rsidR="00AF3CA8">
      <w:fldChar w:fldCharType="separate"/>
    </w:r>
    <w:r w:rsidR="00AF3CA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06D1" w14:textId="77777777" w:rsidR="00541E08" w:rsidRDefault="00541E08">
      <w:pPr>
        <w:spacing w:before="0" w:after="0"/>
      </w:pPr>
      <w:r>
        <w:separator/>
      </w:r>
    </w:p>
  </w:footnote>
  <w:footnote w:type="continuationSeparator" w:id="0">
    <w:p w14:paraId="2C22D29B" w14:textId="77777777" w:rsidR="00541E08" w:rsidRDefault="00541E0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0694735">
    <w:abstractNumId w:val="8"/>
  </w:num>
  <w:num w:numId="2" w16cid:durableId="1140462581">
    <w:abstractNumId w:val="6"/>
  </w:num>
  <w:num w:numId="3" w16cid:durableId="239486793">
    <w:abstractNumId w:val="5"/>
  </w:num>
  <w:num w:numId="4" w16cid:durableId="1480417121">
    <w:abstractNumId w:val="4"/>
  </w:num>
  <w:num w:numId="5" w16cid:durableId="1950237315">
    <w:abstractNumId w:val="7"/>
  </w:num>
  <w:num w:numId="6" w16cid:durableId="790824650">
    <w:abstractNumId w:val="3"/>
  </w:num>
  <w:num w:numId="7" w16cid:durableId="281039222">
    <w:abstractNumId w:val="2"/>
  </w:num>
  <w:num w:numId="8" w16cid:durableId="1350331321">
    <w:abstractNumId w:val="1"/>
  </w:num>
  <w:num w:numId="9" w16cid:durableId="163633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06692"/>
    <w:rsid w:val="0029639D"/>
    <w:rsid w:val="00326F90"/>
    <w:rsid w:val="00541E08"/>
    <w:rsid w:val="00AA1D8D"/>
    <w:rsid w:val="00AF3CA8"/>
    <w:rsid w:val="00B47730"/>
    <w:rsid w:val="00CB0664"/>
    <w:rsid w:val="00FC693F"/>
    <w:rsid w:val="00FF0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4F7BDE"/>
  <w14:defaultImageDpi w14:val="300"/>
  <w15:docId w15:val="{7186D297-DF33-46EA-B4E8-9E07410D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before="240" w:after="240" w:line="24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JOYBIE LOAYON</cp:lastModifiedBy>
  <cp:revision>2</cp:revision>
  <dcterms:created xsi:type="dcterms:W3CDTF">2026-06-16T05:30:00Z</dcterms:created>
  <dcterms:modified xsi:type="dcterms:W3CDTF">2026-06-16T05:30:00Z</dcterms:modified>
  <cp:category/>
</cp:coreProperties>
</file>