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D2BEBE8"/>
    <w:p w14:paraId="3376FC54">
      <w:pPr>
        <w:rPr>
          <w:rFonts w:hint="default" w:ascii="Times New Roman" w:hAnsi="Times New Roman" w:cs="Times New Roman"/>
          <w:b/>
          <w:bCs/>
          <w:sz w:val="36"/>
          <w:szCs w:val="36"/>
        </w:rPr>
      </w:pPr>
      <w:r>
        <w:rPr>
          <w:rFonts w:hint="default" w:ascii="Times New Roman" w:hAnsi="Times New Roman" w:cs="Times New Roman"/>
          <w:b/>
          <w:bCs/>
          <w:sz w:val="36"/>
          <w:szCs w:val="36"/>
        </w:rPr>
        <w:t>Digital Trading Platforms, Finfluencer Effects, and Retail Investor Behavior in Emerging Markets</w:t>
      </w:r>
    </w:p>
    <w:p w14:paraId="2D27C113">
      <w:pPr>
        <w:rPr>
          <w:rFonts w:hint="default" w:ascii="Times New Roman" w:hAnsi="Times New Roman" w:cs="Times New Roman"/>
          <w:b/>
          <w:bCs/>
          <w:sz w:val="36"/>
          <w:szCs w:val="36"/>
        </w:rPr>
      </w:pPr>
    </w:p>
    <w:p w14:paraId="4D5E924D">
      <w:pPr>
        <w:rPr>
          <w:rFonts w:hint="default" w:ascii="Times New Roman" w:hAnsi="Times New Roman" w:eastAsia="等线" w:cs="Times New Roman"/>
          <w:b/>
          <w:bCs/>
          <w:lang w:val="en-CA" w:eastAsia="en-US"/>
        </w:rPr>
      </w:pPr>
      <w:r>
        <w:rPr>
          <w:rFonts w:hint="default" w:ascii="Times New Roman" w:hAnsi="Times New Roman" w:eastAsia="等线" w:cs="Times New Roman"/>
          <w:b/>
          <w:bCs/>
          <w:vertAlign w:val="superscript"/>
          <w:lang w:val="en-CA" w:eastAsia="en-US"/>
        </w:rPr>
        <w:t/>
      </w:r>
      <w:r>
        <w:rPr>
          <w:rFonts w:hint="default" w:ascii="Times New Roman" w:hAnsi="Times New Roman" w:eastAsia="等线" w:cs="Times New Roman"/>
          <w:b/>
          <w:bCs/>
          <w:lang w:val="en-CA" w:eastAsia="en-US"/>
        </w:rPr>
        <w:t/>
      </w:r>
      <w:r>
        <w:rPr>
          <w:rFonts w:hint="default" w:ascii="Times New Roman" w:hAnsi="Times New Roman" w:eastAsia="等线" w:cs="Times New Roman"/>
          <w:b/>
          <w:bCs/>
          <w:lang w:val="en-US" w:eastAsia="en-US"/>
        </w:rPr>
        <w:t/>
      </w:r>
      <w:r>
        <w:rPr>
          <w:rFonts w:hint="default" w:ascii="Times New Roman" w:hAnsi="Times New Roman" w:eastAsia="等线" w:cs="Times New Roman"/>
          <w:b/>
          <w:bCs/>
          <w:lang w:val="en-CA" w:eastAsia="en-US"/>
        </w:rPr>
        <w:t xml:space="preserve"/>
      </w:r>
      <w:r>
        <w:rPr>
          <w:rFonts w:hint="default" w:ascii="Times New Roman" w:hAnsi="Times New Roman" w:eastAsia="等线" w:cs="Times New Roman"/>
          <w:b/>
          <w:bCs/>
          <w:vertAlign w:val="superscript"/>
          <w:lang w:val="en-CA" w:eastAsia="en-US"/>
        </w:rPr>
        <w:t/>
      </w:r>
      <w:r>
        <w:rPr>
          <w:rFonts w:hint="default" w:ascii="Times New Roman" w:hAnsi="Times New Roman" w:eastAsia="等线" w:cs="Times New Roman"/>
          <w:b/>
          <w:bCs/>
          <w:lang w:val="en-CA" w:eastAsia="en-US"/>
        </w:rPr>
        <w:t xml:space="preserve"/>
      </w:r>
      <w:r>
        <w:rPr>
          <w:rFonts w:hint="default" w:ascii="Times New Roman" w:hAnsi="Times New Roman" w:eastAsia="等线" w:cs="Times New Roman"/>
          <w:b/>
          <w:bCs/>
          <w:vertAlign w:val="superscript"/>
          <w:lang w:val="en-CA" w:eastAsia="en-US"/>
        </w:rPr>
        <w:t/>
      </w:r>
      <w:r>
        <w:rPr>
          <w:rFonts w:hint="default" w:ascii="Times New Roman" w:hAnsi="Times New Roman" w:eastAsia="等线" w:cs="Times New Roman"/>
          <w:b/>
          <w:bCs/>
          <w:lang w:val="en-CA" w:eastAsia="en-US"/>
        </w:rPr>
        <w:t/>
      </w:r>
    </w:p>
    <w:p w14:paraId="3F7CC701">
      <w:pPr>
        <w:rPr>
          <w:rFonts w:hint="default" w:ascii="Times New Roman" w:hAnsi="Times New Roman" w:eastAsia="等线" w:cs="Times New Roman"/>
          <w:i/>
          <w:iCs/>
          <w:sz w:val="24"/>
          <w:szCs w:val="24"/>
          <w:lang w:val="en-CA" w:eastAsia="en-US"/>
        </w:rPr>
      </w:pPr>
      <w:r>
        <w:rPr>
          <w:rFonts w:hint="default" w:ascii="Times New Roman" w:hAnsi="Times New Roman" w:eastAsia="等线" w:cs="Times New Roman"/>
          <w:i/>
          <w:iCs/>
          <w:sz w:val="24"/>
          <w:szCs w:val="24"/>
          <w:lang w:val="en-US" w:eastAsia="en-US"/>
        </w:rPr>
        <w:t xml:space="preserve"/>
      </w:r>
      <w:r>
        <w:rPr>
          <w:rFonts w:hint="default" w:ascii="Times New Roman" w:hAnsi="Times New Roman" w:eastAsia="等线" w:cs="Times New Roman"/>
          <w:i/>
          <w:iCs/>
          <w:sz w:val="24"/>
          <w:szCs w:val="24"/>
          <w:lang w:val="en-CA" w:eastAsia="en-US"/>
        </w:rPr>
        <w:t/>
      </w:r>
      <w:r>
        <w:rPr>
          <w:rFonts w:hint="default" w:ascii="Times New Roman" w:hAnsi="Times New Roman" w:eastAsia="等线" w:cs="Times New Roman"/>
          <w:i/>
          <w:iCs/>
          <w:sz w:val="24"/>
          <w:szCs w:val="24"/>
          <w:lang w:val="en-US" w:eastAsia="en-US"/>
        </w:rPr>
        <w:t xml:space="preserve"/>
      </w:r>
      <w:r>
        <w:rPr>
          <w:rFonts w:hint="default" w:ascii="Times New Roman" w:hAnsi="Times New Roman" w:eastAsia="等线" w:cs="Times New Roman"/>
          <w:i/>
          <w:iCs/>
          <w:sz w:val="24"/>
          <w:szCs w:val="24"/>
          <w:lang w:val="en-CA" w:eastAsia="en-US"/>
        </w:rPr>
        <w:t/>
      </w:r>
    </w:p>
    <w:p w14:paraId="3C83F084">
      <w:pPr>
        <w:rPr>
          <w:rFonts w:hint="default" w:ascii="Times New Roman" w:hAnsi="Times New Roman" w:eastAsia="等线" w:cs="Times New Roman"/>
          <w:i/>
          <w:iCs/>
          <w:sz w:val="24"/>
          <w:szCs w:val="24"/>
          <w:lang w:val="en-CA" w:eastAsia="en-US"/>
        </w:rPr>
      </w:pPr>
      <w:r>
        <w:rPr>
          <w:rFonts w:hint="default" w:ascii="Times New Roman" w:hAnsi="Times New Roman" w:eastAsia="等线" w:cs="Times New Roman"/>
          <w:i/>
          <w:iCs/>
          <w:sz w:val="24"/>
          <w:szCs w:val="24"/>
          <w:vertAlign w:val="superscript"/>
          <w:lang w:val="en-CA" w:eastAsia="en-US"/>
        </w:rPr>
        <w:t/>
      </w:r>
      <w:r>
        <w:rPr>
          <w:rFonts w:hint="default" w:ascii="Times New Roman" w:hAnsi="Times New Roman" w:eastAsia="等线" w:cs="Times New Roman"/>
          <w:i/>
          <w:iCs/>
          <w:sz w:val="24"/>
          <w:szCs w:val="24"/>
          <w:lang w:val="en-US" w:eastAsia="en-US"/>
        </w:rPr>
        <w:t xml:space="preserve"/>
      </w:r>
      <w:r>
        <w:rPr>
          <w:rFonts w:hint="default" w:ascii="Times New Roman" w:hAnsi="Times New Roman" w:eastAsia="等线" w:cs="Times New Roman"/>
          <w:i/>
          <w:iCs/>
          <w:sz w:val="24"/>
          <w:szCs w:val="24"/>
          <w:lang w:val="en-CA" w:eastAsia="en-US"/>
        </w:rPr>
        <w:t/>
      </w:r>
      <w:r>
        <w:rPr>
          <w:rFonts w:hint="default" w:ascii="Times New Roman" w:hAnsi="Times New Roman" w:eastAsia="等线" w:cs="Times New Roman"/>
          <w:i/>
          <w:iCs/>
          <w:sz w:val="24"/>
          <w:szCs w:val="24"/>
          <w:lang w:val="en-US" w:eastAsia="en-US"/>
        </w:rPr>
        <w:t xml:space="preserve"/>
      </w:r>
      <w:r>
        <w:rPr>
          <w:rFonts w:hint="default" w:ascii="Times New Roman" w:hAnsi="Times New Roman" w:eastAsia="等线" w:cs="Times New Roman"/>
          <w:i/>
          <w:iCs/>
          <w:sz w:val="24"/>
          <w:szCs w:val="24"/>
          <w:lang w:val="en-CA" w:eastAsia="en-US"/>
        </w:rPr>
        <w:t/>
      </w:r>
    </w:p>
    <w:p w14:paraId="3715EC1F">
      <w:pPr>
        <w:rPr>
          <w:rFonts w:hint="default" w:ascii="Times New Roman" w:hAnsi="Times New Roman" w:eastAsia="等线" w:cs="Times New Roman"/>
          <w:i/>
          <w:iCs/>
          <w:sz w:val="24"/>
          <w:szCs w:val="24"/>
          <w:lang w:val="en-CA" w:eastAsia="en-US"/>
        </w:rPr>
      </w:pPr>
      <w:r>
        <w:rPr>
          <w:rFonts w:hint="default" w:ascii="Times New Roman" w:hAnsi="Times New Roman" w:eastAsia="等线" w:cs="Times New Roman"/>
          <w:i/>
          <w:iCs/>
          <w:sz w:val="24"/>
          <w:szCs w:val="24"/>
          <w:vertAlign w:val="superscript"/>
          <w:lang w:val="en-CA" w:eastAsia="en-US"/>
        </w:rPr>
        <w:t/>
      </w:r>
      <w:r>
        <w:rPr>
          <w:rFonts w:hint="default" w:ascii="Times New Roman" w:hAnsi="Times New Roman" w:eastAsia="等线" w:cs="Times New Roman"/>
          <w:i/>
          <w:iCs/>
          <w:sz w:val="24"/>
          <w:szCs w:val="24"/>
          <w:lang w:val="en-CA" w:eastAsia="en-US"/>
        </w:rPr>
        <w:t/>
      </w:r>
    </w:p>
    <w:p w14:paraId="3C6640E0">
      <w:pPr>
        <w:rPr>
          <w:rFonts w:hint="default" w:ascii="Times New Roman" w:hAnsi="Times New Roman" w:eastAsia="等线" w:cs="Times New Roman"/>
          <w:i/>
          <w:iCs/>
          <w:sz w:val="24"/>
          <w:szCs w:val="24"/>
          <w:lang w:val="en-CA" w:eastAsia="en-US"/>
        </w:rPr>
      </w:pPr>
      <w:r>
        <w:rPr>
          <w:rFonts w:hint="default" w:ascii="Times New Roman" w:hAnsi="Times New Roman" w:eastAsia="等线" w:cs="Times New Roman"/>
          <w:i/>
          <w:iCs/>
          <w:sz w:val="24"/>
          <w:szCs w:val="24"/>
          <w:vertAlign w:val="superscript"/>
          <w:lang w:val="en-CA" w:eastAsia="en-US"/>
        </w:rPr>
        <w:t/>
      </w:r>
      <w:r>
        <w:rPr>
          <w:rFonts w:hint="default" w:ascii="Times New Roman" w:hAnsi="Times New Roman" w:eastAsia="等线" w:cs="Times New Roman"/>
          <w:i/>
          <w:iCs/>
          <w:sz w:val="24"/>
          <w:szCs w:val="24"/>
          <w:lang w:val="en-CA" w:eastAsia="en-US"/>
        </w:rPr>
        <w:t/>
      </w:r>
    </w:p>
    <w:p w14:paraId="7A0229F1">
      <w:pPr>
        <w:rPr>
          <w:rFonts w:hint="default" w:ascii="Times New Roman" w:hAnsi="Times New Roman" w:eastAsia="等线" w:cs="Times New Roman"/>
          <w:i/>
          <w:iCs/>
          <w:sz w:val="24"/>
          <w:szCs w:val="24"/>
          <w:lang w:val="en-CA" w:eastAsia="en-US"/>
        </w:rPr>
      </w:pPr>
    </w:p>
    <w:p w14:paraId="1568F276">
      <w:pPr>
        <w:rPr>
          <w:rFonts w:hint="default" w:ascii="Times New Roman" w:hAnsi="Times New Roman" w:eastAsia="等线" w:cs="Times New Roman"/>
          <w:i/>
          <w:iCs/>
          <w:sz w:val="24"/>
          <w:szCs w:val="24"/>
          <w:lang w:val="en-CA" w:eastAsia="en-US"/>
        </w:rPr>
      </w:pPr>
      <w:r>
        <w:rPr>
          <w:rFonts w:hint="default" w:ascii="Times New Roman" w:hAnsi="Times New Roman" w:eastAsia="等线" w:cs="Times New Roman"/>
          <w:i/>
          <w:iCs/>
          <w:sz w:val="24"/>
          <w:szCs w:val="24"/>
          <w:lang w:val="en-CA" w:eastAsia="en-US"/>
        </w:rPr>
        <w:t xml:space="preserve"/>
      </w:r>
      <w:r>
        <w:rPr>
          <w:rFonts w:hint="default" w:ascii="Times New Roman" w:hAnsi="Times New Roman" w:eastAsia="等线" w:cs="Times New Roman"/>
          <w:i/>
          <w:iCs/>
          <w:sz w:val="24"/>
          <w:szCs w:val="24"/>
          <w:lang w:val="en-CA" w:eastAsia="en-US"/>
        </w:rPr>
        <w:tab/>
        <w:t/>
      </w:r>
      <w:r>
        <w:rPr>
          <w:rFonts w:hint="default" w:ascii="Times New Roman" w:hAnsi="Times New Roman" w:eastAsia="等线" w:cs="Times New Roman"/>
          <w:i/>
          <w:iCs/>
          <w:sz w:val="24"/>
          <w:szCs w:val="24"/>
          <w:lang w:val="en-CA" w:eastAsia="en-US"/>
        </w:rPr>
        <w:tab/>
        <w:t/>
      </w:r>
      <w:r>
        <w:rPr>
          <w:rFonts w:hint="default" w:ascii="Times New Roman" w:hAnsi="Times New Roman" w:eastAsia="等线" w:cs="Times New Roman"/>
          <w:i/>
          <w:iCs/>
          <w:sz w:val="24"/>
          <w:szCs w:val="24"/>
          <w:lang w:val="en-CA" w:eastAsia="en-US"/>
        </w:rPr>
        <w:tab/>
        <w:t/>
      </w:r>
      <w:r>
        <w:rPr>
          <w:rFonts w:hint="default" w:ascii="Times New Roman" w:hAnsi="Times New Roman" w:eastAsia="等线" w:cs="Times New Roman"/>
          <w:i/>
          <w:iCs/>
          <w:sz w:val="24"/>
          <w:szCs w:val="24"/>
          <w:lang w:val="en-CA" w:eastAsia="en-US"/>
        </w:rPr>
        <w:tab/>
        <w:t/>
      </w:r>
      <w:r>
        <w:rPr>
          <w:rFonts w:hint="default" w:ascii="Times New Roman" w:hAnsi="Times New Roman" w:eastAsia="等线" w:cs="Times New Roman"/>
          <w:i/>
          <w:iCs/>
          <w:sz w:val="24"/>
          <w:szCs w:val="24"/>
          <w:lang w:val="en-CA" w:eastAsia="en-US"/>
        </w:rPr>
        <w:tab/>
        <w:t/>
      </w:r>
      <w:r>
        <w:rPr>
          <w:rFonts w:hint="default" w:ascii="Times New Roman" w:hAnsi="Times New Roman" w:eastAsia="等线" w:cs="Times New Roman"/>
          <w:i/>
          <w:iCs/>
          <w:sz w:val="24"/>
          <w:szCs w:val="24"/>
          <w:lang w:val="en-CA" w:eastAsia="en-US"/>
        </w:rPr>
        <w:tab/>
        <w:t/>
      </w:r>
      <w:r>
        <w:rPr>
          <w:rFonts w:hint="default" w:ascii="Times New Roman" w:hAnsi="Times New Roman" w:eastAsia="等线" w:cs="Times New Roman"/>
          <w:i/>
          <w:iCs/>
          <w:sz w:val="24"/>
          <w:szCs w:val="24"/>
          <w:lang w:val="en-CA" w:eastAsia="en-US"/>
        </w:rPr>
        <w:tab/>
        <w:t/>
      </w:r>
      <w:r>
        <w:rPr>
          <w:rFonts w:hint="default" w:ascii="Times New Roman" w:hAnsi="Times New Roman" w:eastAsia="等线" w:cs="Times New Roman"/>
          <w:i/>
          <w:iCs/>
          <w:sz w:val="24"/>
          <w:szCs w:val="24"/>
          <w:lang w:val="en-CA" w:eastAsia="en-US"/>
        </w:rPr>
        <w:tab/>
        <w:t/>
      </w:r>
      <w:r>
        <w:rPr>
          <w:rFonts w:hint="default" w:ascii="Times New Roman" w:hAnsi="Times New Roman" w:eastAsia="等线" w:cs="Times New Roman"/>
          <w:i/>
          <w:iCs/>
          <w:sz w:val="24"/>
          <w:szCs w:val="24"/>
          <w:lang w:val="en-CA" w:eastAsia="en-US"/>
        </w:rPr>
        <w:tab/>
        <w:t xml:space="preserve"/>
      </w:r>
    </w:p>
    <w:p w14:paraId="32110954">
      <w:pPr>
        <w:rPr>
          <w:rFonts w:ascii="Calibri" w:hAnsi="Calibri" w:eastAsia="等线" w:cs="Times New Roman"/>
        </w:rPr>
      </w:pPr>
    </w:p>
    <w:p w14:paraId="1ECE862B">
      <w:pPr>
        <w:pStyle w:val="7"/>
        <w:keepNext w:val="0"/>
        <w:keepLines w:val="0"/>
        <w:widowControl/>
        <w:suppressLineNumbers w:val="0"/>
      </w:pPr>
      <w:r>
        <w:rPr>
          <w:rFonts w:hint="default" w:ascii="Times New Roman" w:hAnsi="Times New Roman" w:eastAsia="等线" w:cs="Times New Roman"/>
          <w:i/>
          <w:iCs/>
          <w:sz w:val="24"/>
          <w:szCs w:val="24"/>
          <w:lang w:val="en-CA" w:eastAsia="en-US"/>
        </w:rPr>
        <w:t xml:space="preserve">                     </w:t>
      </w:r>
      <w:bookmarkStart w:id="0" w:name="_GoBack"/>
      <w:bookmarkEnd w:id="0"/>
    </w:p>
    <w:p w14:paraId="4ADF4EE8">
      <w:pPr>
        <w:pStyle w:val="7"/>
        <w:keepNext w:val="0"/>
        <w:keepLines w:val="0"/>
        <w:pageBreakBefore w:val="0"/>
        <w:widowControl/>
        <w:suppressLineNumbers w:val="0"/>
        <w:kinsoku/>
        <w:wordWrap/>
        <w:overflowPunct/>
        <w:topLinePunct w:val="0"/>
        <w:autoSpaceDE/>
        <w:autoSpaceDN/>
        <w:bidi w:val="0"/>
        <w:adjustRightInd/>
        <w:snapToGrid/>
        <w:spacing w:beforeAutospacing="0" w:afterAutospacing="0"/>
        <w:jc w:val="both"/>
        <w:rPr>
          <w:rFonts w:hint="default" w:ascii="Times New Roman" w:hAnsi="Times New Roman" w:cs="Times New Roman"/>
          <w:b/>
          <w:bCs/>
          <w:sz w:val="28"/>
          <w:szCs w:val="28"/>
          <w:lang w:val="en-CA"/>
        </w:rPr>
      </w:pPr>
      <w:r>
        <w:rPr>
          <w:rFonts w:hint="default" w:ascii="Times New Roman" w:hAnsi="Times New Roman" w:cs="Times New Roman"/>
          <w:b/>
          <w:bCs/>
          <w:sz w:val="28"/>
          <w:szCs w:val="28"/>
          <w:lang w:val="en-CA"/>
        </w:rPr>
        <w:t>Abstract</w:t>
      </w:r>
    </w:p>
    <w:p w14:paraId="03DBBAA0">
      <w:pPr>
        <w:pStyle w:val="7"/>
        <w:keepNext w:val="0"/>
        <w:keepLines w:val="0"/>
        <w:pageBreakBefore w:val="0"/>
        <w:widowControl/>
        <w:suppressLineNumbers w:val="0"/>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r>
        <w:rPr>
          <w:rFonts w:hint="default" w:ascii="Times New Roman" w:hAnsi="Times New Roman" w:cs="Times New Roman"/>
          <w:sz w:val="24"/>
          <w:szCs w:val="24"/>
        </w:rPr>
        <w:t>This study examines the influence of digital trading platforms on retail investor behavior in emerging markets, using evidence from Nigeria, Kenya, and India. The expansion of mobile-based investment applications, social media financial communities, and FinTech-enabled brokerage platforms has widened retail access to capital markets. However, it has also raised concerns about speculative trading, overtrading, herding behavior, and investor vulnerability to online financial influence. The study is anchored on Behavioral Finance Theory, the Technology Acceptance Model, and Prospect Theory to explain how digital platform features and psychological factors shape retail investment decisions. An explanatory sequential mixed-method design was adopted. Quantitative data were collected from 814 retail investors using platforms such as Bamboo, Trove, Risevest, Zerodha, Groww, eToro, and Chipper Cash Investing, while qualitative insights were obtained through semi-structured interviews. Secondary data were drawn from brokerage reports, Google Trends indicators, and digital financial databases. Data were analyzed using Partial Least Squares Structural Equation Modeling and supplementary statistical analysis in STATA. The findings show that platform accessibility significantly increases trading intensity, while gamification positively influences overtrading. Finfluencer exposure also has a significant positive effect on herding behavior. Financial literacy partially mediates the relationship between digital trading platforms and trading intensity, while risk tolerance strengthens speculative trading behavior. The study concludes that digital trading platforms promote financial inclusion and market access, but also intensify behavioral finance risks. It recommends stronger investor education, ethical platform design, and improved regulation of online financial promotion.</w:t>
      </w:r>
    </w:p>
    <w:p w14:paraId="4B18C68F">
      <w:pPr>
        <w:pStyle w:val="7"/>
        <w:keepNext w:val="0"/>
        <w:keepLines w:val="0"/>
        <w:pageBreakBefore w:val="0"/>
        <w:widowControl/>
        <w:suppressLineNumbers w:val="0"/>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r>
        <w:rPr>
          <w:rStyle w:val="8"/>
          <w:rFonts w:hint="default" w:ascii="Times New Roman" w:hAnsi="Times New Roman" w:cs="Times New Roman"/>
          <w:sz w:val="24"/>
          <w:szCs w:val="24"/>
        </w:rPr>
        <w:t>Keywords:</w:t>
      </w:r>
      <w:r>
        <w:rPr>
          <w:rFonts w:hint="default" w:ascii="Times New Roman" w:hAnsi="Times New Roman" w:cs="Times New Roman"/>
          <w:sz w:val="24"/>
          <w:szCs w:val="24"/>
        </w:rPr>
        <w:t xml:space="preserve"> Digital trading platforms, retail investor behavior, FinTech, gamification, financial literacy, herding behavior.</w:t>
      </w:r>
    </w:p>
    <w:p w14:paraId="5484BD4B">
      <w:pPr>
        <w:pStyle w:val="7"/>
        <w:keepNext w:val="0"/>
        <w:keepLines w:val="0"/>
        <w:pageBreakBefore w:val="0"/>
        <w:widowControl/>
        <w:suppressLineNumbers w:val="0"/>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p>
    <w:p w14:paraId="55911122">
      <w:pPr>
        <w:pStyle w:val="2"/>
        <w:keepNext w:val="0"/>
        <w:keepLines w:val="0"/>
        <w:pageBreakBefore w:val="0"/>
        <w:widowControl/>
        <w:suppressLineNumbers w:val="0"/>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8"/>
          <w:szCs w:val="28"/>
        </w:rPr>
      </w:pPr>
      <w:r>
        <w:rPr>
          <w:rFonts w:hint="default" w:ascii="Times New Roman" w:hAnsi="Times New Roman" w:cs="Times New Roman"/>
          <w:sz w:val="28"/>
          <w:szCs w:val="28"/>
        </w:rPr>
        <w:t>1.0 Introduction</w:t>
      </w:r>
    </w:p>
    <w:p w14:paraId="588E3E02">
      <w:pPr>
        <w:pStyle w:val="3"/>
        <w:keepNext w:val="0"/>
        <w:keepLines w:val="0"/>
        <w:pageBreakBefore w:val="0"/>
        <w:widowControl/>
        <w:suppressLineNumbers w:val="0"/>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8"/>
          <w:szCs w:val="28"/>
        </w:rPr>
      </w:pPr>
      <w:r>
        <w:rPr>
          <w:rFonts w:hint="default" w:ascii="Times New Roman" w:hAnsi="Times New Roman" w:cs="Times New Roman"/>
          <w:sz w:val="28"/>
          <w:szCs w:val="28"/>
        </w:rPr>
        <w:t>1.1 Background to the Study</w:t>
      </w:r>
    </w:p>
    <w:p w14:paraId="1A2452CC">
      <w:pPr>
        <w:pStyle w:val="7"/>
        <w:keepNext w:val="0"/>
        <w:keepLines w:val="0"/>
        <w:pageBreakBefore w:val="0"/>
        <w:widowControl/>
        <w:suppressLineNumbers w:val="0"/>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r>
        <w:rPr>
          <w:rFonts w:hint="default" w:ascii="Times New Roman" w:hAnsi="Times New Roman" w:cs="Times New Roman"/>
          <w:sz w:val="24"/>
          <w:szCs w:val="24"/>
        </w:rPr>
        <w:t>Digital trading platforms have changed how retail investors access and participate in capital markets. Mobile brokerage applications, FinTech-enabled investment platforms, and social trading systems now allow individuals to open accounts, monitor prices, execute trades, and receive market information through smartphones. Platforms such as Robinhood, eToro, Zerodha, Bamboo, Trove, Risevest, and Groww have reduced entry barriers by lowering transaction costs, simplifying onboarding, and providing real-time access to financial markets.</w:t>
      </w:r>
    </w:p>
    <w:p w14:paraId="36347C9E">
      <w:pPr>
        <w:pStyle w:val="7"/>
        <w:keepNext w:val="0"/>
        <w:keepLines w:val="0"/>
        <w:pageBreakBefore w:val="0"/>
        <w:widowControl/>
        <w:suppressLineNumbers w:val="0"/>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r>
        <w:rPr>
          <w:rFonts w:hint="default" w:ascii="Times New Roman" w:hAnsi="Times New Roman" w:cs="Times New Roman"/>
          <w:sz w:val="24"/>
          <w:szCs w:val="24"/>
        </w:rPr>
        <w:t>This development has been more visible in emerging economies where smartphone penetration, youthful populations, internet access, and financial inclusion initiatives have supported rapid digital finance adoption. In countries such as Nigeria, Kenya, India, Indonesia, and Brazil, digital investment platforms are creating new channels for retail participation in capital markets. The COVID-19 period further accelerated this shift, as remote work, lockdowns, and increased online activity encouraged many individuals to explore mobile-based investment and trading opportunities.</w:t>
      </w:r>
    </w:p>
    <w:p w14:paraId="559E531F">
      <w:pPr>
        <w:pStyle w:val="7"/>
        <w:keepNext w:val="0"/>
        <w:keepLines w:val="0"/>
        <w:pageBreakBefore w:val="0"/>
        <w:widowControl/>
        <w:suppressLineNumbers w:val="0"/>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r>
        <w:rPr>
          <w:rFonts w:hint="default" w:ascii="Times New Roman" w:hAnsi="Times New Roman" w:cs="Times New Roman"/>
          <w:sz w:val="24"/>
          <w:szCs w:val="24"/>
        </w:rPr>
        <w:t>A major feature of this new investment environment is the growing influence of social media and financial influencers, often described as finfluencers. Platforms such as YouTube, TikTok, Reddit, Telegram, Discord, and X have become important sources of investment information, market commentary, and trading signals. While these channels may improve financial awareness, they also increase the risk of misinformation, herd behavior, speculative trading, and emotionally driven investment decisions.</w:t>
      </w:r>
    </w:p>
    <w:p w14:paraId="32BAC920">
      <w:pPr>
        <w:pStyle w:val="7"/>
        <w:keepNext w:val="0"/>
        <w:keepLines w:val="0"/>
        <w:pageBreakBefore w:val="0"/>
        <w:widowControl/>
        <w:suppressLineNumbers w:val="0"/>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r>
        <w:rPr>
          <w:rFonts w:hint="default" w:ascii="Times New Roman" w:hAnsi="Times New Roman" w:cs="Times New Roman"/>
          <w:sz w:val="24"/>
          <w:szCs w:val="24"/>
        </w:rPr>
        <w:t>Digital trading platforms also use design features that may affect investor behavior. Gamification tools such as push notifications, achievement badges, reward prompts, animations, and real-time performance updates are used to increase user engagement. Although these features may make investing more interactive, they can also encourage impulsive trading, overconfidence, excessive portfolio turnover, and risk-taking, especially among inexperienced investors.</w:t>
      </w:r>
    </w:p>
    <w:p w14:paraId="15CFBA97">
      <w:pPr>
        <w:pStyle w:val="7"/>
        <w:keepNext w:val="0"/>
        <w:keepLines w:val="0"/>
        <w:pageBreakBefore w:val="0"/>
        <w:widowControl/>
        <w:suppressLineNumbers w:val="0"/>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r>
        <w:rPr>
          <w:rFonts w:hint="default" w:ascii="Times New Roman" w:hAnsi="Times New Roman" w:cs="Times New Roman"/>
          <w:sz w:val="24"/>
          <w:szCs w:val="24"/>
        </w:rPr>
        <w:t>Emerging markets are particularly exposed to these risks because financial literacy levels remain uneven, investor protection systems are still developing, and regulation of online financial promotion is often weak. Although existing studies have examined retail trading behavior in developed markets, evidence from emerging economies remains limited. There is still inadequate understanding of how platform accessibility, gamification, finfluencer exposure, financial literacy, and risk tolerance jointly shape retail investor behavior in digital financial ecosystems.</w:t>
      </w:r>
    </w:p>
    <w:p w14:paraId="2F68F93B">
      <w:pPr>
        <w:pStyle w:val="7"/>
        <w:keepNext w:val="0"/>
        <w:keepLines w:val="0"/>
        <w:pageBreakBefore w:val="0"/>
        <w:widowControl/>
        <w:suppressLineNumbers w:val="0"/>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r>
        <w:rPr>
          <w:rFonts w:hint="default" w:ascii="Times New Roman" w:hAnsi="Times New Roman" w:cs="Times New Roman"/>
          <w:sz w:val="24"/>
          <w:szCs w:val="24"/>
        </w:rPr>
        <w:t xml:space="preserve">This study therefore examines the influence of digital trading platforms on retail investor behavior in emerging markets, with evidence from Nigeria, Kenya, and India. The study focuses on how digital platform features and social media-driven investment influence affect trading intensity, overtrading, herding behavior, and speculative investment decisions. </w:t>
      </w:r>
    </w:p>
    <w:p w14:paraId="01D47CFC">
      <w:pPr>
        <w:pStyle w:val="7"/>
        <w:keepNext w:val="0"/>
        <w:keepLines w:val="0"/>
        <w:pageBreakBefore w:val="0"/>
        <w:widowControl/>
        <w:suppressLineNumbers w:val="0"/>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p>
    <w:p w14:paraId="310B1F5B">
      <w:pPr>
        <w:pStyle w:val="7"/>
        <w:keepNext w:val="0"/>
        <w:keepLines w:val="0"/>
        <w:pageBreakBefore w:val="0"/>
        <w:widowControl/>
        <w:suppressLineNumbers w:val="0"/>
        <w:kinsoku/>
        <w:wordWrap/>
        <w:overflowPunct/>
        <w:topLinePunct w:val="0"/>
        <w:autoSpaceDE/>
        <w:autoSpaceDN/>
        <w:bidi w:val="0"/>
        <w:adjustRightInd/>
        <w:snapToGrid/>
        <w:spacing w:beforeAutospacing="0" w:afterAutospacing="0"/>
        <w:jc w:val="center"/>
        <w:rPr>
          <w:rFonts w:hint="default" w:ascii="Times New Roman" w:hAnsi="Times New Roman" w:cs="Times New Roman"/>
          <w:sz w:val="24"/>
          <w:szCs w:val="24"/>
        </w:rPr>
      </w:pPr>
      <w:r>
        <w:rPr>
          <w:rFonts w:hint="default" w:ascii="Times New Roman" w:hAnsi="Times New Roman" w:cs="Times New Roman"/>
          <w:sz w:val="24"/>
          <w:szCs w:val="24"/>
          <w:lang w:val="en-CA"/>
        </w:rPr>
        <w:drawing>
          <wp:inline distT="0" distB="0" distL="114300" distR="114300">
            <wp:extent cx="3597910" cy="2381250"/>
            <wp:effectExtent l="0" t="0" r="2540" b="0"/>
            <wp:docPr id="3" name="Picture 3" descr="ChatGPT Image May 26, 2026, 01_02_30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tGPT Image May 26, 2026, 01_02_30 PM"/>
                    <pic:cNvPicPr>
                      <a:picLocks noChangeAspect="1"/>
                    </pic:cNvPicPr>
                  </pic:nvPicPr>
                  <pic:blipFill>
                    <a:blip r:embed="rId4"/>
                    <a:srcRect l="833" t="-463" r="799" b="9808"/>
                    <a:stretch>
                      <a:fillRect/>
                    </a:stretch>
                  </pic:blipFill>
                  <pic:spPr>
                    <a:xfrm>
                      <a:off x="0" y="0"/>
                      <a:ext cx="3597910" cy="2381250"/>
                    </a:xfrm>
                    <a:prstGeom prst="rect">
                      <a:avLst/>
                    </a:prstGeom>
                  </pic:spPr>
                </pic:pic>
              </a:graphicData>
            </a:graphic>
          </wp:inline>
        </w:drawing>
      </w:r>
    </w:p>
    <w:p w14:paraId="02A281B7">
      <w:pPr>
        <w:pStyle w:val="3"/>
        <w:keepNext w:val="0"/>
        <w:keepLines w:val="0"/>
        <w:pageBreakBefore w:val="0"/>
        <w:widowControl/>
        <w:suppressLineNumbers w:val="0"/>
        <w:kinsoku/>
        <w:wordWrap/>
        <w:overflowPunct/>
        <w:topLinePunct w:val="0"/>
        <w:autoSpaceDE/>
        <w:autoSpaceDN/>
        <w:bidi w:val="0"/>
        <w:adjustRightInd/>
        <w:snapToGrid/>
        <w:spacing w:beforeAutospacing="0" w:afterAutospacing="0"/>
        <w:jc w:val="center"/>
        <w:rPr>
          <w:rFonts w:hint="default" w:ascii="Times New Roman" w:hAnsi="Times New Roman" w:cs="Times New Roman"/>
          <w:sz w:val="24"/>
          <w:szCs w:val="24"/>
        </w:rPr>
      </w:pPr>
      <w:r>
        <w:rPr>
          <w:rFonts w:hint="default" w:ascii="Times New Roman" w:hAnsi="Times New Roman" w:cs="Times New Roman"/>
          <w:sz w:val="24"/>
          <w:szCs w:val="24"/>
        </w:rPr>
        <w:t>Figure 1: Emerging Market Digital Investment Ecosystem Model</w:t>
      </w:r>
    </w:p>
    <w:p w14:paraId="4243A576">
      <w:pPr>
        <w:pStyle w:val="7"/>
        <w:keepNext w:val="0"/>
        <w:keepLines w:val="0"/>
        <w:pageBreakBefore w:val="0"/>
        <w:widowControl/>
        <w:suppressLineNumbers w:val="0"/>
        <w:kinsoku/>
        <w:wordWrap/>
        <w:overflowPunct/>
        <w:topLinePunct w:val="0"/>
        <w:autoSpaceDE/>
        <w:autoSpaceDN/>
        <w:bidi w:val="0"/>
        <w:adjustRightInd/>
        <w:snapToGrid/>
        <w:spacing w:beforeAutospacing="0" w:afterAutospacing="0"/>
        <w:jc w:val="center"/>
        <w:rPr>
          <w:rFonts w:hint="default" w:ascii="Times New Roman" w:hAnsi="Times New Roman" w:cs="Times New Roman"/>
          <w:sz w:val="24"/>
          <w:szCs w:val="24"/>
        </w:rPr>
      </w:pPr>
      <w:r>
        <w:rPr>
          <w:rStyle w:val="8"/>
          <w:rFonts w:hint="default" w:ascii="Times New Roman" w:hAnsi="Times New Roman" w:cs="Times New Roman"/>
          <w:sz w:val="24"/>
          <w:szCs w:val="24"/>
        </w:rPr>
        <w:t>Source:</w:t>
      </w:r>
      <w:r>
        <w:rPr>
          <w:rFonts w:hint="default" w:ascii="Times New Roman" w:hAnsi="Times New Roman" w:cs="Times New Roman"/>
          <w:sz w:val="24"/>
          <w:szCs w:val="24"/>
        </w:rPr>
        <w:t xml:space="preserve"> Researcher’s Conceptualization (2026), adapted from Behavioral Finance Theory, FinTech Adoption Literature, and Digital Financial Inclusion Frameworks.</w:t>
      </w:r>
    </w:p>
    <w:p w14:paraId="2ADDC7F5">
      <w:pPr>
        <w:pStyle w:val="7"/>
        <w:keepNext w:val="0"/>
        <w:keepLines w:val="0"/>
        <w:pageBreakBefore w:val="0"/>
        <w:widowControl/>
        <w:suppressLineNumbers w:val="0"/>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r>
        <w:rPr>
          <w:rFonts w:hint="default" w:ascii="Times New Roman" w:hAnsi="Times New Roman" w:cs="Times New Roman"/>
          <w:sz w:val="24"/>
          <w:szCs w:val="24"/>
        </w:rPr>
        <w:t>The model shows that digital trading participation in emerging markets is driven by FinTech innovation, mobile connectivity, financial inclusion, and technological adoption. It also shows that social media, finfluencers, and online trading communities shape retail investor behavior by encouraging trading intensity, herding, overtrading, and speculative decisions. Financial literacy, risk tolerance, regulatory quality, and market infrastructure influence the strength and direction of these outcomes.</w:t>
      </w:r>
    </w:p>
    <w:p w14:paraId="66608F75">
      <w:pPr>
        <w:pStyle w:val="7"/>
        <w:keepNext w:val="0"/>
        <w:keepLines w:val="0"/>
        <w:pageBreakBefore w:val="0"/>
        <w:widowControl/>
        <w:suppressLineNumbers w:val="0"/>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p>
    <w:p w14:paraId="79D7C91F">
      <w:pPr>
        <w:pStyle w:val="3"/>
        <w:keepNext w:val="0"/>
        <w:keepLines w:val="0"/>
        <w:pageBreakBefore w:val="0"/>
        <w:widowControl/>
        <w:suppressLineNumbers w:val="0"/>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8"/>
          <w:szCs w:val="28"/>
        </w:rPr>
      </w:pPr>
      <w:r>
        <w:rPr>
          <w:rFonts w:hint="default" w:ascii="Times New Roman" w:hAnsi="Times New Roman" w:cs="Times New Roman"/>
          <w:sz w:val="28"/>
          <w:szCs w:val="28"/>
        </w:rPr>
        <w:t>1.2 Statement of the Research Problem</w:t>
      </w:r>
    </w:p>
    <w:p w14:paraId="5B525386">
      <w:pPr>
        <w:pStyle w:val="7"/>
        <w:keepNext w:val="0"/>
        <w:keepLines w:val="0"/>
        <w:pageBreakBefore w:val="0"/>
        <w:widowControl/>
        <w:suppressLineNumbers w:val="0"/>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r>
        <w:rPr>
          <w:rFonts w:hint="default" w:ascii="Times New Roman" w:hAnsi="Times New Roman" w:cs="Times New Roman"/>
          <w:sz w:val="24"/>
          <w:szCs w:val="24"/>
        </w:rPr>
        <w:t>Digital trading platforms have increased market access for retail investors in emerging economies. However, this transformation has created new behavioral and regulatory concerns. Mobile-based trading interfaces, algorithmic prompts, and social media investment content are increasingly shaping how retail investors make financial decisions. As a result, many investors engage in frequent, impulsive, and speculative trading without adequate risk assessment.</w:t>
      </w:r>
    </w:p>
    <w:p w14:paraId="48CCAD0E">
      <w:pPr>
        <w:pStyle w:val="7"/>
        <w:keepNext w:val="0"/>
        <w:keepLines w:val="0"/>
        <w:pageBreakBefore w:val="0"/>
        <w:widowControl/>
        <w:suppressLineNumbers w:val="0"/>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r>
        <w:rPr>
          <w:rFonts w:hint="default" w:ascii="Times New Roman" w:hAnsi="Times New Roman" w:cs="Times New Roman"/>
          <w:sz w:val="24"/>
          <w:szCs w:val="24"/>
        </w:rPr>
        <w:t>One key problem is the rise of overtrading linked to gamified platform design. Many trading applications use push notifications, real-time alerts, reward prompts, and achievement systems to increase investor engagement. These features may improve user experience, but they can also stimulate compulsive trading and excessive risk-taking, especially among investors with limited financial knowledge.</w:t>
      </w:r>
    </w:p>
    <w:p w14:paraId="669C154E">
      <w:pPr>
        <w:pStyle w:val="7"/>
        <w:keepNext w:val="0"/>
        <w:keepLines w:val="0"/>
        <w:pageBreakBefore w:val="0"/>
        <w:widowControl/>
        <w:suppressLineNumbers w:val="0"/>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r>
        <w:rPr>
          <w:rFonts w:hint="default" w:ascii="Times New Roman" w:hAnsi="Times New Roman" w:cs="Times New Roman"/>
          <w:sz w:val="24"/>
          <w:szCs w:val="24"/>
        </w:rPr>
        <w:t>Another major concern is social media-driven herding behavior. Retail investors increasingly depend on finfluencers, online trading groups, and viral financial content when making investment decisions. This dependence can encourage crowd-following, misinformation-based trading, and speculative bubbles, particularly when investment decisions are based on online sentiment rather than fundamental analysis.</w:t>
      </w:r>
    </w:p>
    <w:p w14:paraId="5B13DF5B">
      <w:pPr>
        <w:pStyle w:val="7"/>
        <w:keepNext w:val="0"/>
        <w:keepLines w:val="0"/>
        <w:pageBreakBefore w:val="0"/>
        <w:widowControl/>
        <w:suppressLineNumbers w:val="0"/>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r>
        <w:rPr>
          <w:rFonts w:hint="default" w:ascii="Times New Roman" w:hAnsi="Times New Roman" w:cs="Times New Roman"/>
          <w:sz w:val="24"/>
          <w:szCs w:val="24"/>
        </w:rPr>
        <w:t>In addition, emerging-market regulators have not fully adjusted to the speed and complexity of digital investment systems. Many jurisdictions still lack clear rules on finfluencer disclosure, online investment promotion, digital platform governance, and behavioral risk warnings. This weak regulatory environment may expose inexperienced investors to manipulation, excessive speculation, and financial losses.</w:t>
      </w:r>
      <w:r>
        <w:rPr>
          <w:rFonts w:hint="default" w:cs="Times New Roman"/>
          <w:sz w:val="24"/>
          <w:szCs w:val="24"/>
          <w:lang w:val="en-CA"/>
        </w:rPr>
        <w:t xml:space="preserve"> </w:t>
      </w:r>
      <w:r>
        <w:rPr>
          <w:rFonts w:hint="default" w:ascii="Times New Roman" w:hAnsi="Times New Roman" w:cs="Times New Roman"/>
          <w:sz w:val="24"/>
          <w:szCs w:val="24"/>
        </w:rPr>
        <w:t>Although previous studies have examined digital investing and behavioral finance, much of the evidence comes from developed markets such as the United States, Europe, and China. Limited empirical attention has been given to emerging-market contexts such as Nigeria, Kenya, and India. Existing studies also tend to examine digital platforms, social media influence, financial literacy, and investor behavior separately, rather than within one integrated framework.</w:t>
      </w:r>
    </w:p>
    <w:p w14:paraId="634697C7">
      <w:pPr>
        <w:pStyle w:val="7"/>
        <w:keepNext w:val="0"/>
        <w:keepLines w:val="0"/>
        <w:pageBreakBefore w:val="0"/>
        <w:widowControl/>
        <w:suppressLineNumbers w:val="0"/>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r>
        <w:rPr>
          <w:rFonts w:hint="default" w:ascii="Times New Roman" w:hAnsi="Times New Roman" w:cs="Times New Roman"/>
          <w:sz w:val="24"/>
          <w:szCs w:val="24"/>
        </w:rPr>
        <w:t>This study addresses this gap by examining how platform accessibility, gamification, finfluencer exposure, financial literacy, and risk tolerance influence retail investor behavior in emerging markets. It applies Behavioral Finance Theory, the Technology Acceptance Model, and Prospect Theory within a mixed-method framework to provide a stronger explanation of digital trading behavior.</w:t>
      </w:r>
    </w:p>
    <w:p w14:paraId="367DCF42">
      <w:pPr>
        <w:pStyle w:val="7"/>
        <w:keepNext w:val="0"/>
        <w:keepLines w:val="0"/>
        <w:pageBreakBefore w:val="0"/>
        <w:widowControl/>
        <w:suppressLineNumbers w:val="0"/>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p>
    <w:p w14:paraId="2E7B0C33">
      <w:pPr>
        <w:pStyle w:val="3"/>
        <w:keepNext w:val="0"/>
        <w:keepLines w:val="0"/>
        <w:pageBreakBefore w:val="0"/>
        <w:widowControl/>
        <w:suppressLineNumbers w:val="0"/>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8"/>
          <w:szCs w:val="28"/>
        </w:rPr>
      </w:pPr>
      <w:r>
        <w:rPr>
          <w:rFonts w:hint="default" w:ascii="Times New Roman" w:hAnsi="Times New Roman" w:cs="Times New Roman"/>
          <w:sz w:val="28"/>
          <w:szCs w:val="28"/>
        </w:rPr>
        <w:t>1.3 Research Questions</w:t>
      </w:r>
    </w:p>
    <w:p w14:paraId="39AE08E9">
      <w:pPr>
        <w:pStyle w:val="7"/>
        <w:keepNext w:val="0"/>
        <w:keepLines w:val="0"/>
        <w:pageBreakBefore w:val="0"/>
        <w:widowControl/>
        <w:suppressLineNumbers w:val="0"/>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r>
        <w:rPr>
          <w:rStyle w:val="8"/>
          <w:rFonts w:hint="default" w:ascii="Times New Roman" w:hAnsi="Times New Roman" w:cs="Times New Roman"/>
          <w:sz w:val="24"/>
          <w:szCs w:val="24"/>
        </w:rPr>
        <w:t>Main Research Question</w:t>
      </w:r>
    </w:p>
    <w:p w14:paraId="0D44A447">
      <w:pPr>
        <w:pStyle w:val="7"/>
        <w:keepNext w:val="0"/>
        <w:keepLines w:val="0"/>
        <w:pageBreakBefore w:val="0"/>
        <w:widowControl/>
        <w:suppressLineNumbers w:val="0"/>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r>
        <w:rPr>
          <w:rFonts w:hint="default" w:ascii="Times New Roman" w:hAnsi="Times New Roman" w:cs="Times New Roman"/>
          <w:sz w:val="24"/>
          <w:szCs w:val="24"/>
        </w:rPr>
        <w:t>How do digital trading platforms influence retail investor behavior in emerging markets?</w:t>
      </w:r>
    </w:p>
    <w:p w14:paraId="1E38425E">
      <w:pPr>
        <w:pStyle w:val="7"/>
        <w:keepNext w:val="0"/>
        <w:keepLines w:val="0"/>
        <w:pageBreakBefore w:val="0"/>
        <w:widowControl/>
        <w:suppressLineNumbers w:val="0"/>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r>
        <w:rPr>
          <w:rStyle w:val="8"/>
          <w:rFonts w:hint="default" w:ascii="Times New Roman" w:hAnsi="Times New Roman" w:cs="Times New Roman"/>
          <w:sz w:val="24"/>
          <w:szCs w:val="24"/>
        </w:rPr>
        <w:t>Specific Research Questions</w:t>
      </w:r>
    </w:p>
    <w:p w14:paraId="06E4065F">
      <w:pPr>
        <w:keepNext w:val="0"/>
        <w:keepLines w:val="0"/>
        <w:pageBreakBefore w:val="0"/>
        <w:widowControl/>
        <w:numPr>
          <w:ilvl w:val="0"/>
          <w:numId w:val="1"/>
        </w:numPr>
        <w:suppressLineNumbers w:val="0"/>
        <w:kinsoku/>
        <w:wordWrap/>
        <w:overflowPunct/>
        <w:topLinePunct w:val="0"/>
        <w:autoSpaceDE/>
        <w:autoSpaceDN/>
        <w:bidi w:val="0"/>
        <w:adjustRightInd/>
        <w:snapToGrid/>
        <w:spacing w:before="0" w:beforeAutospacing="0" w:after="0" w:afterAutospacing="0"/>
        <w:ind w:left="720" w:hanging="360"/>
        <w:jc w:val="both"/>
        <w:rPr>
          <w:rFonts w:hint="default" w:ascii="Times New Roman" w:hAnsi="Times New Roman" w:cs="Times New Roman"/>
          <w:sz w:val="24"/>
          <w:szCs w:val="24"/>
        </w:rPr>
      </w:pPr>
      <w:r>
        <w:rPr>
          <w:rFonts w:hint="default" w:ascii="Times New Roman" w:hAnsi="Times New Roman" w:cs="Times New Roman"/>
          <w:sz w:val="24"/>
          <w:szCs w:val="24"/>
        </w:rPr>
        <w:t xml:space="preserve">How does platform accessibility affect retail trading intensity in emerging markets? </w:t>
      </w:r>
    </w:p>
    <w:p w14:paraId="313FACF7">
      <w:pPr>
        <w:keepNext w:val="0"/>
        <w:keepLines w:val="0"/>
        <w:pageBreakBefore w:val="0"/>
        <w:widowControl/>
        <w:numPr>
          <w:ilvl w:val="0"/>
          <w:numId w:val="1"/>
        </w:numPr>
        <w:suppressLineNumbers w:val="0"/>
        <w:kinsoku/>
        <w:wordWrap/>
        <w:overflowPunct/>
        <w:topLinePunct w:val="0"/>
        <w:autoSpaceDE/>
        <w:autoSpaceDN/>
        <w:bidi w:val="0"/>
        <w:adjustRightInd/>
        <w:snapToGrid/>
        <w:spacing w:before="0" w:beforeAutospacing="0" w:after="0" w:afterAutospacing="0"/>
        <w:ind w:left="720" w:hanging="360"/>
        <w:jc w:val="both"/>
        <w:rPr>
          <w:rFonts w:hint="default" w:ascii="Times New Roman" w:hAnsi="Times New Roman" w:cs="Times New Roman"/>
          <w:sz w:val="24"/>
          <w:szCs w:val="24"/>
        </w:rPr>
      </w:pPr>
      <w:r>
        <w:rPr>
          <w:rFonts w:hint="default" w:ascii="Times New Roman" w:hAnsi="Times New Roman" w:cs="Times New Roman"/>
          <w:sz w:val="24"/>
          <w:szCs w:val="24"/>
        </w:rPr>
        <w:t xml:space="preserve">What effect does gamification have on overtrading behavior among retail investors? </w:t>
      </w:r>
    </w:p>
    <w:p w14:paraId="087A6F6F">
      <w:pPr>
        <w:keepNext w:val="0"/>
        <w:keepLines w:val="0"/>
        <w:pageBreakBefore w:val="0"/>
        <w:widowControl/>
        <w:numPr>
          <w:ilvl w:val="0"/>
          <w:numId w:val="1"/>
        </w:numPr>
        <w:suppressLineNumbers w:val="0"/>
        <w:kinsoku/>
        <w:wordWrap/>
        <w:overflowPunct/>
        <w:topLinePunct w:val="0"/>
        <w:autoSpaceDE/>
        <w:autoSpaceDN/>
        <w:bidi w:val="0"/>
        <w:adjustRightInd/>
        <w:snapToGrid/>
        <w:spacing w:before="0" w:beforeAutospacing="0" w:after="0" w:afterAutospacing="0"/>
        <w:ind w:left="720" w:hanging="360"/>
        <w:jc w:val="both"/>
        <w:rPr>
          <w:rFonts w:hint="default" w:ascii="Times New Roman" w:hAnsi="Times New Roman" w:cs="Times New Roman"/>
          <w:sz w:val="24"/>
          <w:szCs w:val="24"/>
        </w:rPr>
      </w:pPr>
      <w:r>
        <w:rPr>
          <w:rFonts w:hint="default" w:ascii="Times New Roman" w:hAnsi="Times New Roman" w:cs="Times New Roman"/>
          <w:sz w:val="24"/>
          <w:szCs w:val="24"/>
        </w:rPr>
        <w:t xml:space="preserve">How do finfluencers affect herding behavior in digital investment environments? </w:t>
      </w:r>
    </w:p>
    <w:p w14:paraId="41091BC3">
      <w:pPr>
        <w:keepNext w:val="0"/>
        <w:keepLines w:val="0"/>
        <w:pageBreakBefore w:val="0"/>
        <w:widowControl/>
        <w:numPr>
          <w:ilvl w:val="0"/>
          <w:numId w:val="1"/>
        </w:numPr>
        <w:suppressLineNumbers w:val="0"/>
        <w:kinsoku/>
        <w:wordWrap/>
        <w:overflowPunct/>
        <w:topLinePunct w:val="0"/>
        <w:autoSpaceDE/>
        <w:autoSpaceDN/>
        <w:bidi w:val="0"/>
        <w:adjustRightInd/>
        <w:snapToGrid/>
        <w:spacing w:before="0" w:beforeAutospacing="0" w:after="0" w:afterAutospacing="0"/>
        <w:ind w:left="720" w:hanging="360"/>
        <w:jc w:val="both"/>
        <w:rPr>
          <w:rFonts w:hint="default" w:ascii="Times New Roman" w:hAnsi="Times New Roman" w:cs="Times New Roman"/>
          <w:sz w:val="24"/>
          <w:szCs w:val="24"/>
        </w:rPr>
      </w:pPr>
      <w:r>
        <w:rPr>
          <w:rFonts w:hint="default" w:ascii="Times New Roman" w:hAnsi="Times New Roman" w:cs="Times New Roman"/>
          <w:sz w:val="24"/>
          <w:szCs w:val="24"/>
        </w:rPr>
        <w:t xml:space="preserve">Does financial literacy mediate the relationship between digital trading platforms and trading intensity? </w:t>
      </w:r>
    </w:p>
    <w:p w14:paraId="7287A0E1">
      <w:pPr>
        <w:keepNext w:val="0"/>
        <w:keepLines w:val="0"/>
        <w:pageBreakBefore w:val="0"/>
        <w:widowControl/>
        <w:numPr>
          <w:ilvl w:val="0"/>
          <w:numId w:val="1"/>
        </w:numPr>
        <w:suppressLineNumbers w:val="0"/>
        <w:kinsoku/>
        <w:wordWrap/>
        <w:overflowPunct/>
        <w:topLinePunct w:val="0"/>
        <w:autoSpaceDE/>
        <w:autoSpaceDN/>
        <w:bidi w:val="0"/>
        <w:adjustRightInd/>
        <w:snapToGrid/>
        <w:spacing w:before="0" w:beforeAutospacing="0" w:after="0" w:afterAutospacing="0"/>
        <w:ind w:left="720" w:hanging="360"/>
        <w:jc w:val="both"/>
        <w:rPr>
          <w:rFonts w:hint="default" w:ascii="Times New Roman" w:hAnsi="Times New Roman" w:cs="Times New Roman"/>
          <w:sz w:val="24"/>
          <w:szCs w:val="24"/>
        </w:rPr>
      </w:pPr>
      <w:r>
        <w:rPr>
          <w:rFonts w:hint="default" w:ascii="Times New Roman" w:hAnsi="Times New Roman" w:cs="Times New Roman"/>
          <w:sz w:val="24"/>
          <w:szCs w:val="24"/>
        </w:rPr>
        <w:t xml:space="preserve">Does risk tolerance moderate digital trading behavior among retail investors? </w:t>
      </w:r>
    </w:p>
    <w:p w14:paraId="2ED09064">
      <w:pPr>
        <w:keepNext w:val="0"/>
        <w:keepLines w:val="0"/>
        <w:pageBreakBefore w:val="0"/>
        <w:widowControl/>
        <w:numPr>
          <w:ilvl w:val="0"/>
          <w:numId w:val="1"/>
        </w:numPr>
        <w:suppressLineNumbers w:val="0"/>
        <w:kinsoku/>
        <w:wordWrap/>
        <w:overflowPunct/>
        <w:topLinePunct w:val="0"/>
        <w:autoSpaceDE/>
        <w:autoSpaceDN/>
        <w:bidi w:val="0"/>
        <w:adjustRightInd/>
        <w:snapToGrid/>
        <w:spacing w:before="0" w:beforeAutospacing="0" w:after="0" w:afterAutospacing="0"/>
        <w:ind w:left="720" w:hanging="360"/>
        <w:jc w:val="both"/>
        <w:rPr>
          <w:rFonts w:hint="default" w:ascii="Times New Roman" w:hAnsi="Times New Roman" w:cs="Times New Roman"/>
          <w:sz w:val="24"/>
          <w:szCs w:val="24"/>
        </w:rPr>
      </w:pPr>
      <w:r>
        <w:rPr>
          <w:rFonts w:hint="default" w:ascii="Times New Roman" w:hAnsi="Times New Roman" w:cs="Times New Roman"/>
          <w:sz w:val="24"/>
          <w:szCs w:val="24"/>
        </w:rPr>
        <w:t xml:space="preserve">How does mobile-first investing influence speculative trading decisions in emerging economies? </w:t>
      </w:r>
    </w:p>
    <w:p w14:paraId="421AE069">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ind w:left="360" w:leftChars="0"/>
        <w:jc w:val="both"/>
        <w:rPr>
          <w:rFonts w:hint="default" w:ascii="Times New Roman" w:hAnsi="Times New Roman" w:cs="Times New Roman"/>
          <w:sz w:val="24"/>
          <w:szCs w:val="24"/>
        </w:rPr>
      </w:pPr>
    </w:p>
    <w:p w14:paraId="25A365E1">
      <w:pPr>
        <w:pStyle w:val="3"/>
        <w:keepNext w:val="0"/>
        <w:keepLines w:val="0"/>
        <w:pageBreakBefore w:val="0"/>
        <w:widowControl/>
        <w:suppressLineNumbers w:val="0"/>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8"/>
          <w:szCs w:val="28"/>
        </w:rPr>
      </w:pPr>
      <w:r>
        <w:rPr>
          <w:rFonts w:hint="default" w:ascii="Times New Roman" w:hAnsi="Times New Roman" w:cs="Times New Roman"/>
          <w:sz w:val="28"/>
          <w:szCs w:val="28"/>
        </w:rPr>
        <w:t>1.4 Research Objectives</w:t>
      </w:r>
    </w:p>
    <w:p w14:paraId="0E7F6012">
      <w:pPr>
        <w:pStyle w:val="7"/>
        <w:keepNext w:val="0"/>
        <w:keepLines w:val="0"/>
        <w:pageBreakBefore w:val="0"/>
        <w:widowControl/>
        <w:suppressLineNumbers w:val="0"/>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r>
        <w:rPr>
          <w:rStyle w:val="8"/>
          <w:rFonts w:hint="default" w:ascii="Times New Roman" w:hAnsi="Times New Roman" w:cs="Times New Roman"/>
          <w:sz w:val="24"/>
          <w:szCs w:val="24"/>
        </w:rPr>
        <w:t>General Objective</w:t>
      </w:r>
    </w:p>
    <w:p w14:paraId="1B38843F">
      <w:pPr>
        <w:pStyle w:val="7"/>
        <w:keepNext w:val="0"/>
        <w:keepLines w:val="0"/>
        <w:pageBreakBefore w:val="0"/>
        <w:widowControl/>
        <w:suppressLineNumbers w:val="0"/>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r>
        <w:rPr>
          <w:rFonts w:hint="default" w:ascii="Times New Roman" w:hAnsi="Times New Roman" w:cs="Times New Roman"/>
          <w:sz w:val="24"/>
          <w:szCs w:val="24"/>
        </w:rPr>
        <w:t>The general objective of this study is to examine the influence of digital trading platforms on retail investor behavior in emerging markets.</w:t>
      </w:r>
    </w:p>
    <w:p w14:paraId="6F1D5357">
      <w:pPr>
        <w:pStyle w:val="7"/>
        <w:keepNext w:val="0"/>
        <w:keepLines w:val="0"/>
        <w:pageBreakBefore w:val="0"/>
        <w:widowControl/>
        <w:suppressLineNumbers w:val="0"/>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r>
        <w:rPr>
          <w:rStyle w:val="8"/>
          <w:rFonts w:hint="default" w:ascii="Times New Roman" w:hAnsi="Times New Roman" w:cs="Times New Roman"/>
          <w:sz w:val="24"/>
          <w:szCs w:val="24"/>
        </w:rPr>
        <w:t>Specific Objectives</w:t>
      </w:r>
    </w:p>
    <w:p w14:paraId="1B923C08">
      <w:pPr>
        <w:keepNext w:val="0"/>
        <w:keepLines w:val="0"/>
        <w:pageBreakBefore w:val="0"/>
        <w:widowControl/>
        <w:numPr>
          <w:ilvl w:val="0"/>
          <w:numId w:val="2"/>
        </w:numPr>
        <w:suppressLineNumbers w:val="0"/>
        <w:kinsoku/>
        <w:wordWrap/>
        <w:overflowPunct/>
        <w:topLinePunct w:val="0"/>
        <w:autoSpaceDE/>
        <w:autoSpaceDN/>
        <w:bidi w:val="0"/>
        <w:adjustRightInd/>
        <w:snapToGrid/>
        <w:spacing w:before="0" w:beforeAutospacing="0" w:after="0" w:afterAutospacing="0"/>
        <w:ind w:left="720" w:hanging="360"/>
        <w:jc w:val="both"/>
        <w:rPr>
          <w:rFonts w:hint="default" w:ascii="Times New Roman" w:hAnsi="Times New Roman" w:cs="Times New Roman"/>
          <w:sz w:val="24"/>
          <w:szCs w:val="24"/>
        </w:rPr>
      </w:pPr>
      <w:r>
        <w:rPr>
          <w:rFonts w:hint="default" w:ascii="Times New Roman" w:hAnsi="Times New Roman" w:cs="Times New Roman"/>
          <w:sz w:val="24"/>
          <w:szCs w:val="24"/>
        </w:rPr>
        <w:t xml:space="preserve">To examine the effect of platform accessibility on trading intensity. </w:t>
      </w:r>
    </w:p>
    <w:p w14:paraId="433AA15B">
      <w:pPr>
        <w:keepNext w:val="0"/>
        <w:keepLines w:val="0"/>
        <w:pageBreakBefore w:val="0"/>
        <w:widowControl/>
        <w:numPr>
          <w:ilvl w:val="0"/>
          <w:numId w:val="2"/>
        </w:numPr>
        <w:suppressLineNumbers w:val="0"/>
        <w:kinsoku/>
        <w:wordWrap/>
        <w:overflowPunct/>
        <w:topLinePunct w:val="0"/>
        <w:autoSpaceDE/>
        <w:autoSpaceDN/>
        <w:bidi w:val="0"/>
        <w:adjustRightInd/>
        <w:snapToGrid/>
        <w:spacing w:before="0" w:beforeAutospacing="0" w:after="0" w:afterAutospacing="0"/>
        <w:ind w:left="720" w:hanging="360"/>
        <w:jc w:val="both"/>
        <w:rPr>
          <w:rFonts w:hint="default" w:ascii="Times New Roman" w:hAnsi="Times New Roman" w:cs="Times New Roman"/>
          <w:sz w:val="24"/>
          <w:szCs w:val="24"/>
        </w:rPr>
      </w:pPr>
      <w:r>
        <w:rPr>
          <w:rFonts w:hint="default" w:ascii="Times New Roman" w:hAnsi="Times New Roman" w:cs="Times New Roman"/>
          <w:sz w:val="24"/>
          <w:szCs w:val="24"/>
        </w:rPr>
        <w:t xml:space="preserve">To investigate the relationship between gamification and overtrading behavior. </w:t>
      </w:r>
    </w:p>
    <w:p w14:paraId="09620BB1">
      <w:pPr>
        <w:keepNext w:val="0"/>
        <w:keepLines w:val="0"/>
        <w:pageBreakBefore w:val="0"/>
        <w:widowControl/>
        <w:numPr>
          <w:ilvl w:val="0"/>
          <w:numId w:val="2"/>
        </w:numPr>
        <w:suppressLineNumbers w:val="0"/>
        <w:kinsoku/>
        <w:wordWrap/>
        <w:overflowPunct/>
        <w:topLinePunct w:val="0"/>
        <w:autoSpaceDE/>
        <w:autoSpaceDN/>
        <w:bidi w:val="0"/>
        <w:adjustRightInd/>
        <w:snapToGrid/>
        <w:spacing w:before="0" w:beforeAutospacing="0" w:after="0" w:afterAutospacing="0"/>
        <w:ind w:left="720" w:hanging="360"/>
        <w:jc w:val="both"/>
        <w:rPr>
          <w:rFonts w:hint="default" w:ascii="Times New Roman" w:hAnsi="Times New Roman" w:cs="Times New Roman"/>
          <w:sz w:val="24"/>
          <w:szCs w:val="24"/>
        </w:rPr>
      </w:pPr>
      <w:r>
        <w:rPr>
          <w:rFonts w:hint="default" w:ascii="Times New Roman" w:hAnsi="Times New Roman" w:cs="Times New Roman"/>
          <w:sz w:val="24"/>
          <w:szCs w:val="24"/>
        </w:rPr>
        <w:t xml:space="preserve">To analyze the influence of finfluencers on herding behavior. </w:t>
      </w:r>
    </w:p>
    <w:p w14:paraId="0B16AEEF">
      <w:pPr>
        <w:keepNext w:val="0"/>
        <w:keepLines w:val="0"/>
        <w:pageBreakBefore w:val="0"/>
        <w:widowControl/>
        <w:numPr>
          <w:ilvl w:val="0"/>
          <w:numId w:val="2"/>
        </w:numPr>
        <w:suppressLineNumbers w:val="0"/>
        <w:kinsoku/>
        <w:wordWrap/>
        <w:overflowPunct/>
        <w:topLinePunct w:val="0"/>
        <w:autoSpaceDE/>
        <w:autoSpaceDN/>
        <w:bidi w:val="0"/>
        <w:adjustRightInd/>
        <w:snapToGrid/>
        <w:spacing w:before="0" w:beforeAutospacing="0" w:after="0" w:afterAutospacing="0"/>
        <w:ind w:left="720" w:hanging="360"/>
        <w:jc w:val="both"/>
        <w:rPr>
          <w:rFonts w:hint="default" w:ascii="Times New Roman" w:hAnsi="Times New Roman" w:cs="Times New Roman"/>
          <w:sz w:val="24"/>
          <w:szCs w:val="24"/>
        </w:rPr>
      </w:pPr>
      <w:r>
        <w:rPr>
          <w:rFonts w:hint="default" w:ascii="Times New Roman" w:hAnsi="Times New Roman" w:cs="Times New Roman"/>
          <w:sz w:val="24"/>
          <w:szCs w:val="24"/>
        </w:rPr>
        <w:t xml:space="preserve">To examine the mediating role of financial literacy in digital trading participation. </w:t>
      </w:r>
    </w:p>
    <w:p w14:paraId="5872DA10">
      <w:pPr>
        <w:keepNext w:val="0"/>
        <w:keepLines w:val="0"/>
        <w:pageBreakBefore w:val="0"/>
        <w:widowControl/>
        <w:numPr>
          <w:ilvl w:val="0"/>
          <w:numId w:val="2"/>
        </w:numPr>
        <w:suppressLineNumbers w:val="0"/>
        <w:kinsoku/>
        <w:wordWrap/>
        <w:overflowPunct/>
        <w:topLinePunct w:val="0"/>
        <w:autoSpaceDE/>
        <w:autoSpaceDN/>
        <w:bidi w:val="0"/>
        <w:adjustRightInd/>
        <w:snapToGrid/>
        <w:spacing w:before="0" w:beforeAutospacing="0" w:after="0" w:afterAutospacing="0"/>
        <w:ind w:left="720" w:hanging="360"/>
        <w:jc w:val="both"/>
        <w:rPr>
          <w:rFonts w:hint="default" w:ascii="Times New Roman" w:hAnsi="Times New Roman" w:cs="Times New Roman"/>
          <w:sz w:val="24"/>
          <w:szCs w:val="24"/>
        </w:rPr>
      </w:pPr>
      <w:r>
        <w:rPr>
          <w:rFonts w:hint="default" w:ascii="Times New Roman" w:hAnsi="Times New Roman" w:cs="Times New Roman"/>
          <w:sz w:val="24"/>
          <w:szCs w:val="24"/>
        </w:rPr>
        <w:t xml:space="preserve">To evaluate the moderating effect of risk tolerance on speculative trading behavior. </w:t>
      </w:r>
    </w:p>
    <w:p w14:paraId="40135740">
      <w:pPr>
        <w:keepNext w:val="0"/>
        <w:keepLines w:val="0"/>
        <w:pageBreakBefore w:val="0"/>
        <w:widowControl/>
        <w:numPr>
          <w:ilvl w:val="0"/>
          <w:numId w:val="2"/>
        </w:numPr>
        <w:suppressLineNumbers w:val="0"/>
        <w:kinsoku/>
        <w:wordWrap/>
        <w:overflowPunct/>
        <w:topLinePunct w:val="0"/>
        <w:autoSpaceDE/>
        <w:autoSpaceDN/>
        <w:bidi w:val="0"/>
        <w:adjustRightInd/>
        <w:snapToGrid/>
        <w:spacing w:before="0" w:beforeAutospacing="0" w:after="0" w:afterAutospacing="0"/>
        <w:ind w:left="720" w:hanging="360"/>
        <w:jc w:val="both"/>
        <w:rPr>
          <w:rFonts w:hint="default" w:ascii="Times New Roman" w:hAnsi="Times New Roman" w:cs="Times New Roman"/>
          <w:sz w:val="24"/>
          <w:szCs w:val="24"/>
        </w:rPr>
      </w:pPr>
      <w:r>
        <w:rPr>
          <w:rFonts w:hint="default" w:ascii="Times New Roman" w:hAnsi="Times New Roman" w:cs="Times New Roman"/>
          <w:sz w:val="24"/>
          <w:szCs w:val="24"/>
        </w:rPr>
        <w:t xml:space="preserve">To assess the influence of mobile trading adoption on retail investment decisions. </w:t>
      </w:r>
    </w:p>
    <w:p w14:paraId="77A996AC">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ind w:left="360" w:leftChars="0"/>
        <w:jc w:val="both"/>
        <w:rPr>
          <w:rFonts w:hint="default" w:ascii="Times New Roman" w:hAnsi="Times New Roman" w:cs="Times New Roman"/>
          <w:sz w:val="24"/>
          <w:szCs w:val="24"/>
        </w:rPr>
      </w:pPr>
    </w:p>
    <w:p w14:paraId="1F5913A2">
      <w:pPr>
        <w:pStyle w:val="3"/>
        <w:keepNext w:val="0"/>
        <w:keepLines w:val="0"/>
        <w:pageBreakBefore w:val="0"/>
        <w:widowControl/>
        <w:suppressLineNumbers w:val="0"/>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8"/>
          <w:szCs w:val="28"/>
        </w:rPr>
      </w:pPr>
      <w:r>
        <w:rPr>
          <w:rFonts w:hint="default" w:ascii="Times New Roman" w:hAnsi="Times New Roman" w:cs="Times New Roman"/>
          <w:sz w:val="28"/>
          <w:szCs w:val="28"/>
        </w:rPr>
        <w:t>1.5 Significance of the Study</w:t>
      </w:r>
    </w:p>
    <w:p w14:paraId="1F27E2E5">
      <w:pPr>
        <w:pStyle w:val="7"/>
        <w:keepNext w:val="0"/>
        <w:keepLines w:val="0"/>
        <w:pageBreakBefore w:val="0"/>
        <w:widowControl/>
        <w:suppressLineNumbers w:val="0"/>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r>
        <w:rPr>
          <w:rFonts w:hint="default" w:ascii="Times New Roman" w:hAnsi="Times New Roman" w:cs="Times New Roman"/>
          <w:sz w:val="24"/>
          <w:szCs w:val="24"/>
        </w:rPr>
        <w:t>This study contributes to academic literature by extending behavioral finance and FinTech adoption research to emerging-market contexts. By integrating Behavioral Finance Theory, the Technology Acceptance Model, and Prospect Theory, the study provides a broader explanation of how technology, social influence, and investor psychology shape digital investment behavior.</w:t>
      </w:r>
    </w:p>
    <w:p w14:paraId="58DB178B">
      <w:pPr>
        <w:pStyle w:val="7"/>
        <w:keepNext w:val="0"/>
        <w:keepLines w:val="0"/>
        <w:pageBreakBefore w:val="0"/>
        <w:widowControl/>
        <w:suppressLineNumbers w:val="0"/>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r>
        <w:rPr>
          <w:rFonts w:hint="default" w:ascii="Times New Roman" w:hAnsi="Times New Roman" w:cs="Times New Roman"/>
          <w:sz w:val="24"/>
          <w:szCs w:val="24"/>
        </w:rPr>
        <w:t>The study is also relevant to policymakers and regulators. Its findings can guide securities regulators, central banks, stock exchanges, and financial market authorities in developing stronger investor protection frameworks for digital trading environments. It also provides evidence for policy discussions on finfluencer regulation, digital financial literacy, platform transparency, and responsible investment promotion.</w:t>
      </w:r>
    </w:p>
    <w:p w14:paraId="3FEE9BFC">
      <w:pPr>
        <w:pStyle w:val="7"/>
        <w:keepNext w:val="0"/>
        <w:keepLines w:val="0"/>
        <w:pageBreakBefore w:val="0"/>
        <w:widowControl/>
        <w:suppressLineNumbers w:val="0"/>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r>
        <w:rPr>
          <w:rFonts w:hint="default" w:ascii="Times New Roman" w:hAnsi="Times New Roman" w:cs="Times New Roman"/>
          <w:sz w:val="24"/>
          <w:szCs w:val="24"/>
        </w:rPr>
        <w:t>For digital trading platforms and brokerage firms, the study offers practical guidance on ethical platform design and investor protection. It shows the need to balance innovation and user engagement with safeguards that reduce overtrading, misinformation, and speculative risk.</w:t>
      </w:r>
    </w:p>
    <w:p w14:paraId="4EB04551">
      <w:pPr>
        <w:pStyle w:val="7"/>
        <w:keepNext w:val="0"/>
        <w:keepLines w:val="0"/>
        <w:pageBreakBefore w:val="0"/>
        <w:widowControl/>
        <w:suppressLineNumbers w:val="0"/>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r>
        <w:rPr>
          <w:rFonts w:hint="default" w:ascii="Times New Roman" w:hAnsi="Times New Roman" w:cs="Times New Roman"/>
          <w:sz w:val="24"/>
          <w:szCs w:val="24"/>
        </w:rPr>
        <w:t>For retail investors, the study provides useful awareness of the behavioral risks linked to mobile trading, gamification, and social media investment advice. It encourages more disciplined investment behavior, stronger financial literacy, and careful evaluation of online financial information.</w:t>
      </w:r>
    </w:p>
    <w:p w14:paraId="7369EEB9">
      <w:pPr>
        <w:pStyle w:val="7"/>
        <w:keepNext w:val="0"/>
        <w:keepLines w:val="0"/>
        <w:pageBreakBefore w:val="0"/>
        <w:widowControl/>
        <w:suppressLineNumbers w:val="0"/>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p>
    <w:p w14:paraId="15DE86D8">
      <w:pPr>
        <w:pStyle w:val="2"/>
        <w:keepNext w:val="0"/>
        <w:keepLines w:val="0"/>
        <w:pageBreakBefore w:val="0"/>
        <w:widowControl/>
        <w:suppressLineNumbers w:val="0"/>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8"/>
          <w:szCs w:val="28"/>
        </w:rPr>
      </w:pPr>
      <w:r>
        <w:rPr>
          <w:rFonts w:hint="default" w:ascii="Times New Roman" w:hAnsi="Times New Roman" w:cs="Times New Roman"/>
          <w:sz w:val="28"/>
          <w:szCs w:val="28"/>
        </w:rPr>
        <w:t>2.0 Literature Review</w:t>
      </w:r>
    </w:p>
    <w:p w14:paraId="34D1E51F">
      <w:pPr>
        <w:pStyle w:val="3"/>
        <w:keepNext w:val="0"/>
        <w:keepLines w:val="0"/>
        <w:pageBreakBefore w:val="0"/>
        <w:widowControl/>
        <w:suppressLineNumbers w:val="0"/>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8"/>
          <w:szCs w:val="28"/>
        </w:rPr>
      </w:pPr>
      <w:r>
        <w:rPr>
          <w:rFonts w:hint="default" w:ascii="Times New Roman" w:hAnsi="Times New Roman" w:cs="Times New Roman"/>
          <w:sz w:val="28"/>
          <w:szCs w:val="28"/>
        </w:rPr>
        <w:t>2.1 Conceptual Review</w:t>
      </w:r>
    </w:p>
    <w:p w14:paraId="3E14B575">
      <w:pPr>
        <w:pStyle w:val="4"/>
        <w:keepNext w:val="0"/>
        <w:keepLines w:val="0"/>
        <w:pageBreakBefore w:val="0"/>
        <w:widowControl/>
        <w:suppressLineNumbers w:val="0"/>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r>
        <w:rPr>
          <w:rFonts w:hint="default" w:ascii="Times New Roman" w:hAnsi="Times New Roman" w:cs="Times New Roman"/>
          <w:sz w:val="24"/>
          <w:szCs w:val="24"/>
        </w:rPr>
        <w:t>2.1.1 Digital Trading Platforms</w:t>
      </w:r>
    </w:p>
    <w:p w14:paraId="0F01E1E8">
      <w:pPr>
        <w:pStyle w:val="7"/>
        <w:keepNext w:val="0"/>
        <w:keepLines w:val="0"/>
        <w:pageBreakBefore w:val="0"/>
        <w:widowControl/>
        <w:suppressLineNumbers w:val="0"/>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r>
        <w:rPr>
          <w:rFonts w:hint="default" w:ascii="Times New Roman" w:hAnsi="Times New Roman" w:cs="Times New Roman"/>
          <w:sz w:val="24"/>
          <w:szCs w:val="24"/>
        </w:rPr>
        <w:t>Digital trading platforms are technology-driven systems that allow investors to access, monitor, and execute financial transactions through internet-enabled devices. These platforms have changed retail participation in capital markets by reducing transaction costs, improving access to market information, and simplifying investment processes. They combine mobile applications, artificial intelligence, algorithmic recommendation tools, and social trading features to create interactive investment environments.</w:t>
      </w:r>
    </w:p>
    <w:p w14:paraId="14A6DC04">
      <w:pPr>
        <w:pStyle w:val="7"/>
        <w:keepNext w:val="0"/>
        <w:keepLines w:val="0"/>
        <w:pageBreakBefore w:val="0"/>
        <w:widowControl/>
        <w:suppressLineNumbers w:val="0"/>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r>
        <w:rPr>
          <w:rFonts w:hint="default" w:ascii="Times New Roman" w:hAnsi="Times New Roman" w:cs="Times New Roman"/>
          <w:sz w:val="24"/>
          <w:szCs w:val="24"/>
        </w:rPr>
        <w:t>Mobile trading applications are now central to retail investing, especially in emerging markets where smartphone adoption is high and traditional brokerage infrastructure remains limited. Platforms such as Bamboo, Trove, Risevest, Zerodha, eToro, Robinhood, and Groww allow investors to buy and sell securities in real time. They also provide portfolio updates, automated alerts, market analytics, and low-cost investment access, which encourage regular market participation.</w:t>
      </w:r>
    </w:p>
    <w:p w14:paraId="2D0665C6">
      <w:pPr>
        <w:pStyle w:val="7"/>
        <w:keepNext w:val="0"/>
        <w:keepLines w:val="0"/>
        <w:pageBreakBefore w:val="0"/>
        <w:widowControl/>
        <w:suppressLineNumbers w:val="0"/>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r>
        <w:rPr>
          <w:rFonts w:hint="default" w:ascii="Times New Roman" w:hAnsi="Times New Roman" w:cs="Times New Roman"/>
          <w:sz w:val="24"/>
          <w:szCs w:val="24"/>
        </w:rPr>
        <w:t>Robo-advisory systems also form part of the digital trading ecosystem. These systems use artificial intelligence and machine learning to automate portfolio management, asset allocation, and investment recommendations based on users’ risk profiles and investment goals. While they improve access to investment services, they also increase investor dependence on algorithm-driven financial decisions.</w:t>
      </w:r>
    </w:p>
    <w:p w14:paraId="0F386896">
      <w:pPr>
        <w:pStyle w:val="7"/>
        <w:keepNext w:val="0"/>
        <w:keepLines w:val="0"/>
        <w:pageBreakBefore w:val="0"/>
        <w:widowControl/>
        <w:suppressLineNumbers w:val="0"/>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r>
        <w:rPr>
          <w:rFonts w:hint="default" w:ascii="Times New Roman" w:hAnsi="Times New Roman" w:cs="Times New Roman"/>
          <w:sz w:val="24"/>
          <w:szCs w:val="24"/>
        </w:rPr>
        <w:t>API-enabled brokerage systems have further improved trading efficiency by connecting brokerage firms, payment systems, investment dashboards, and external analytical tools. These innovations support faster execution and wider market access. However, they may also encourage speculative trading, information overload, and behavioral biases because investors can act more quickly and more frequently.</w:t>
      </w:r>
    </w:p>
    <w:p w14:paraId="14191BAB">
      <w:pPr>
        <w:pStyle w:val="7"/>
        <w:keepNext w:val="0"/>
        <w:keepLines w:val="0"/>
        <w:pageBreakBefore w:val="0"/>
        <w:widowControl/>
        <w:suppressLineNumbers w:val="0"/>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p>
    <w:p w14:paraId="6855523B">
      <w:pPr>
        <w:pStyle w:val="4"/>
        <w:keepNext w:val="0"/>
        <w:keepLines w:val="0"/>
        <w:pageBreakBefore w:val="0"/>
        <w:widowControl/>
        <w:suppressLineNumbers w:val="0"/>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r>
        <w:rPr>
          <w:rFonts w:hint="default" w:ascii="Times New Roman" w:hAnsi="Times New Roman" w:cs="Times New Roman"/>
          <w:sz w:val="24"/>
          <w:szCs w:val="24"/>
        </w:rPr>
        <w:t>2.1.2 Retail Investor Behavior</w:t>
      </w:r>
    </w:p>
    <w:p w14:paraId="03C8A1DA">
      <w:pPr>
        <w:pStyle w:val="7"/>
        <w:keepNext w:val="0"/>
        <w:keepLines w:val="0"/>
        <w:pageBreakBefore w:val="0"/>
        <w:widowControl/>
        <w:suppressLineNumbers w:val="0"/>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r>
        <w:rPr>
          <w:rFonts w:hint="default" w:ascii="Times New Roman" w:hAnsi="Times New Roman" w:cs="Times New Roman"/>
          <w:sz w:val="24"/>
          <w:szCs w:val="24"/>
        </w:rPr>
        <w:t>Retail investor behavior refers to the psychological, emotional, and social factors that influence individual investment decisions. Behavioral finance explains that retail investors do not always act rationally because their decisions are often shaped by emotions, cognitive biases, peer influence, and market sentiment.</w:t>
      </w:r>
    </w:p>
    <w:p w14:paraId="74AC54AB">
      <w:pPr>
        <w:pStyle w:val="7"/>
        <w:keepNext w:val="0"/>
        <w:keepLines w:val="0"/>
        <w:pageBreakBefore w:val="0"/>
        <w:widowControl/>
        <w:suppressLineNumbers w:val="0"/>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r>
        <w:rPr>
          <w:rFonts w:hint="default" w:ascii="Times New Roman" w:hAnsi="Times New Roman" w:cs="Times New Roman"/>
          <w:sz w:val="24"/>
          <w:szCs w:val="24"/>
        </w:rPr>
        <w:t>In digital trading environments, investor behavior is strongly affected by platform design, social media interactions, and real-time market information. One key dimension is trading intensity, which refers to how frequently investors buy and sell financial assets. Digital platforms increase trading intensity by offering instant access, low transaction costs, and simplified execution. However, frequent trading may reduce portfolio performance when it is driven by emotion, speculation, or poor risk assessment.</w:t>
      </w:r>
    </w:p>
    <w:p w14:paraId="035FB224">
      <w:pPr>
        <w:pStyle w:val="7"/>
        <w:keepNext w:val="0"/>
        <w:keepLines w:val="0"/>
        <w:pageBreakBefore w:val="0"/>
        <w:widowControl/>
        <w:suppressLineNumbers w:val="0"/>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r>
        <w:rPr>
          <w:rFonts w:hint="default" w:ascii="Times New Roman" w:hAnsi="Times New Roman" w:cs="Times New Roman"/>
          <w:sz w:val="24"/>
          <w:szCs w:val="24"/>
        </w:rPr>
        <w:t>Speculative behavior has also become more common in mobile trading ecosystems. Retail investors often engage in short-term, high-risk trades influenced by trending assets, social media narratives, and online trading groups. This behavior is commonly linked to overconfidence, where investors overestimate their knowledge, skill, or ability to predict market movements.</w:t>
      </w:r>
    </w:p>
    <w:p w14:paraId="21349918">
      <w:pPr>
        <w:pStyle w:val="7"/>
        <w:keepNext w:val="0"/>
        <w:keepLines w:val="0"/>
        <w:pageBreakBefore w:val="0"/>
        <w:widowControl/>
        <w:suppressLineNumbers w:val="0"/>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r>
        <w:rPr>
          <w:rFonts w:hint="default" w:ascii="Times New Roman" w:hAnsi="Times New Roman" w:cs="Times New Roman"/>
          <w:sz w:val="24"/>
          <w:szCs w:val="24"/>
        </w:rPr>
        <w:t>Overtrading is another major behavioral concern. Continuous notifications, low-cost transactions, and gamified platform structures can push investors to trade more often than necessary. This problem is more visible among inexperienced investors who may treat investing as a fast-return activity rather than a disciplined long-term process.</w:t>
      </w:r>
    </w:p>
    <w:p w14:paraId="4F3B9FE5">
      <w:pPr>
        <w:pStyle w:val="7"/>
        <w:keepNext w:val="0"/>
        <w:keepLines w:val="0"/>
        <w:pageBreakBefore w:val="0"/>
        <w:widowControl/>
        <w:suppressLineNumbers w:val="0"/>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r>
        <w:rPr>
          <w:rFonts w:hint="default" w:ascii="Times New Roman" w:hAnsi="Times New Roman" w:cs="Times New Roman"/>
          <w:sz w:val="24"/>
          <w:szCs w:val="24"/>
        </w:rPr>
        <w:t>Herding behavior also remains important in digital investment communities. Many retail investors imitate the actions of influencers, online trading groups, or market crowds, especially during periods of uncertainty. Such behavior can increase speculative bubbles, panic trading, and market inefficiency.</w:t>
      </w:r>
    </w:p>
    <w:p w14:paraId="7ADBF094">
      <w:pPr>
        <w:pStyle w:val="7"/>
        <w:keepNext w:val="0"/>
        <w:keepLines w:val="0"/>
        <w:pageBreakBefore w:val="0"/>
        <w:widowControl/>
        <w:suppressLineNumbers w:val="0"/>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p>
    <w:p w14:paraId="20938FFC">
      <w:pPr>
        <w:pStyle w:val="4"/>
        <w:keepNext w:val="0"/>
        <w:keepLines w:val="0"/>
        <w:pageBreakBefore w:val="0"/>
        <w:widowControl/>
        <w:suppressLineNumbers w:val="0"/>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r>
        <w:rPr>
          <w:rFonts w:hint="default" w:ascii="Times New Roman" w:hAnsi="Times New Roman" w:cs="Times New Roman"/>
          <w:sz w:val="24"/>
          <w:szCs w:val="24"/>
        </w:rPr>
        <w:t>2.1.3 Platform Accessibility</w:t>
      </w:r>
    </w:p>
    <w:p w14:paraId="62750701">
      <w:pPr>
        <w:pStyle w:val="7"/>
        <w:keepNext w:val="0"/>
        <w:keepLines w:val="0"/>
        <w:pageBreakBefore w:val="0"/>
        <w:widowControl/>
        <w:suppressLineNumbers w:val="0"/>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r>
        <w:rPr>
          <w:rFonts w:hint="default" w:ascii="Times New Roman" w:hAnsi="Times New Roman" w:cs="Times New Roman"/>
          <w:sz w:val="24"/>
          <w:szCs w:val="24"/>
        </w:rPr>
        <w:t>Platform accessibility refers to the ease, affordability, and convenience with which investors can use digital trading systems. It is a major driver of FinTech adoption because it determines how easily retail investors can enter and participate in financial markets.</w:t>
      </w:r>
    </w:p>
    <w:p w14:paraId="2F33ED0E">
      <w:pPr>
        <w:pStyle w:val="7"/>
        <w:keepNext w:val="0"/>
        <w:keepLines w:val="0"/>
        <w:pageBreakBefore w:val="0"/>
        <w:widowControl/>
        <w:suppressLineNumbers w:val="0"/>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r>
        <w:rPr>
          <w:rFonts w:hint="default" w:ascii="Times New Roman" w:hAnsi="Times New Roman" w:cs="Times New Roman"/>
          <w:sz w:val="24"/>
          <w:szCs w:val="24"/>
        </w:rPr>
        <w:t>Ease of use is central to platform accessibility. Trading platforms with simple interfaces, clear navigation, and fast onboarding attract more users, particularly younger investors and first-time market participants. This aligns with the Technology Acceptance Model, which explains that perceived ease of use and perceived usefulness influence technology adoption.</w:t>
      </w:r>
    </w:p>
    <w:p w14:paraId="27C68EF9">
      <w:pPr>
        <w:pStyle w:val="7"/>
        <w:keepNext w:val="0"/>
        <w:keepLines w:val="0"/>
        <w:pageBreakBefore w:val="0"/>
        <w:widowControl/>
        <w:suppressLineNumbers w:val="0"/>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r>
        <w:rPr>
          <w:rFonts w:hint="default" w:ascii="Times New Roman" w:hAnsi="Times New Roman" w:cs="Times New Roman"/>
          <w:sz w:val="24"/>
          <w:szCs w:val="24"/>
        </w:rPr>
        <w:t>Low transaction costs also increase retail participation. Many digital brokerage firms offer commission-free trading, fractional investing, and low minimum account balances. These features reduce the financial barriers that previously limited access to capital market participation, especially in emerging economies where disposable income may be low.</w:t>
      </w:r>
    </w:p>
    <w:p w14:paraId="42325800">
      <w:pPr>
        <w:pStyle w:val="7"/>
        <w:keepNext w:val="0"/>
        <w:keepLines w:val="0"/>
        <w:pageBreakBefore w:val="0"/>
        <w:widowControl/>
        <w:suppressLineNumbers w:val="0"/>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r>
        <w:rPr>
          <w:rFonts w:hint="default" w:ascii="Times New Roman" w:hAnsi="Times New Roman" w:cs="Times New Roman"/>
          <w:sz w:val="24"/>
          <w:szCs w:val="24"/>
        </w:rPr>
        <w:t>Real-time market access further strengthens accessibility. Mobile applications provide instant access to prices, news, analytics, and trade execution. This immediacy improves market responsiveness but may also encourage impulsive trading and emotional decision-making.</w:t>
      </w:r>
    </w:p>
    <w:p w14:paraId="31A72963">
      <w:pPr>
        <w:pStyle w:val="7"/>
        <w:keepNext w:val="0"/>
        <w:keepLines w:val="0"/>
        <w:pageBreakBefore w:val="0"/>
        <w:widowControl/>
        <w:suppressLineNumbers w:val="0"/>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r>
        <w:rPr>
          <w:rFonts w:hint="default" w:ascii="Times New Roman" w:hAnsi="Times New Roman" w:cs="Times New Roman"/>
          <w:sz w:val="24"/>
          <w:szCs w:val="24"/>
        </w:rPr>
        <w:t>Mobile usability is particularly important in emerging markets such as Nigeria, Kenya, India, and Indonesia, where smartphones are often more widely used than traditional brokerage channels. As a result, mobile-friendly investment systems support financial inclusion and expand retail participation in capital markets.</w:t>
      </w:r>
    </w:p>
    <w:p w14:paraId="115DB97F">
      <w:pPr>
        <w:pStyle w:val="7"/>
        <w:keepNext w:val="0"/>
        <w:keepLines w:val="0"/>
        <w:pageBreakBefore w:val="0"/>
        <w:widowControl/>
        <w:suppressLineNumbers w:val="0"/>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p>
    <w:p w14:paraId="54DF31F5">
      <w:pPr>
        <w:pStyle w:val="4"/>
        <w:keepNext w:val="0"/>
        <w:keepLines w:val="0"/>
        <w:pageBreakBefore w:val="0"/>
        <w:widowControl/>
        <w:suppressLineNumbers w:val="0"/>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r>
        <w:rPr>
          <w:rFonts w:hint="default" w:ascii="Times New Roman" w:hAnsi="Times New Roman" w:cs="Times New Roman"/>
          <w:sz w:val="24"/>
          <w:szCs w:val="24"/>
        </w:rPr>
        <w:t>2.1.4 Gamification</w:t>
      </w:r>
    </w:p>
    <w:p w14:paraId="5BEE78F0">
      <w:pPr>
        <w:pStyle w:val="7"/>
        <w:keepNext w:val="0"/>
        <w:keepLines w:val="0"/>
        <w:pageBreakBefore w:val="0"/>
        <w:widowControl/>
        <w:suppressLineNumbers w:val="0"/>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r>
        <w:rPr>
          <w:rFonts w:hint="default" w:ascii="Times New Roman" w:hAnsi="Times New Roman" w:cs="Times New Roman"/>
          <w:sz w:val="24"/>
          <w:szCs w:val="24"/>
        </w:rPr>
        <w:t>Gamification refers to the use of game-like features in non-game environments to increase user engagement. In digital trading platforms, gamification is used to keep investors active through reward notifications, badges, performance prompts, animations, and milestone alerts.</w:t>
      </w:r>
    </w:p>
    <w:p w14:paraId="2E9C6E4C">
      <w:pPr>
        <w:pStyle w:val="7"/>
        <w:keepNext w:val="0"/>
        <w:keepLines w:val="0"/>
        <w:pageBreakBefore w:val="0"/>
        <w:widowControl/>
        <w:suppressLineNumbers w:val="0"/>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r>
        <w:rPr>
          <w:rFonts w:hint="default" w:ascii="Times New Roman" w:hAnsi="Times New Roman" w:cs="Times New Roman"/>
          <w:sz w:val="24"/>
          <w:szCs w:val="24"/>
        </w:rPr>
        <w:t>Reward notifications are common in mobile investment applications. Alerts on price movements, portfolio gains, trending assets, and transaction milestones create repeated engagement. While these features may help investors stay informed, they may also encourage frequent checking, impulsive trading, and reward-seeking behavior.</w:t>
      </w:r>
    </w:p>
    <w:p w14:paraId="2414F5F7">
      <w:pPr>
        <w:pStyle w:val="7"/>
        <w:keepNext w:val="0"/>
        <w:keepLines w:val="0"/>
        <w:pageBreakBefore w:val="0"/>
        <w:widowControl/>
        <w:suppressLineNumbers w:val="0"/>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r>
        <w:rPr>
          <w:rFonts w:hint="default" w:ascii="Times New Roman" w:hAnsi="Times New Roman" w:cs="Times New Roman"/>
          <w:sz w:val="24"/>
          <w:szCs w:val="24"/>
        </w:rPr>
        <w:t>Achievement systems and rankings also influence investor behavior. Some platforms use leaderboards, badges, progress levels, and performance milestones to motivate users. These tools may increase participation, but they can also promote competition and speculative trading rather than careful investment planning.</w:t>
      </w:r>
    </w:p>
    <w:p w14:paraId="4E75D62D">
      <w:pPr>
        <w:pStyle w:val="7"/>
        <w:keepNext w:val="0"/>
        <w:keepLines w:val="0"/>
        <w:pageBreakBefore w:val="0"/>
        <w:widowControl/>
        <w:suppressLineNumbers w:val="0"/>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r>
        <w:rPr>
          <w:rFonts w:hint="default" w:ascii="Times New Roman" w:hAnsi="Times New Roman" w:cs="Times New Roman"/>
          <w:sz w:val="24"/>
          <w:szCs w:val="24"/>
        </w:rPr>
        <w:t>Gamified interfaces raise concern because they can weaken rational decision-making. Frequent feedback, visual stimulation, and instant trading options may encourage compulsive trading tendencies, especially among inexperienced retail investors. In this sense, gamification can convert investing from a planned financial activity into a highly reactive digital experience.</w:t>
      </w:r>
    </w:p>
    <w:p w14:paraId="6958EC43">
      <w:pPr>
        <w:pStyle w:val="7"/>
        <w:keepNext w:val="0"/>
        <w:keepLines w:val="0"/>
        <w:pageBreakBefore w:val="0"/>
        <w:widowControl/>
        <w:suppressLineNumbers w:val="0"/>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p>
    <w:p w14:paraId="1BE2CD8F">
      <w:pPr>
        <w:pStyle w:val="4"/>
        <w:keepNext w:val="0"/>
        <w:keepLines w:val="0"/>
        <w:pageBreakBefore w:val="0"/>
        <w:widowControl/>
        <w:suppressLineNumbers w:val="0"/>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r>
        <w:rPr>
          <w:rFonts w:hint="default" w:ascii="Times New Roman" w:hAnsi="Times New Roman" w:cs="Times New Roman"/>
          <w:sz w:val="24"/>
          <w:szCs w:val="24"/>
        </w:rPr>
        <w:t>2.1.5 Financial Literacy</w:t>
      </w:r>
    </w:p>
    <w:p w14:paraId="0BC4762B">
      <w:pPr>
        <w:pStyle w:val="7"/>
        <w:keepNext w:val="0"/>
        <w:keepLines w:val="0"/>
        <w:pageBreakBefore w:val="0"/>
        <w:widowControl/>
        <w:suppressLineNumbers w:val="0"/>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r>
        <w:rPr>
          <w:rFonts w:hint="default" w:ascii="Times New Roman" w:hAnsi="Times New Roman" w:cs="Times New Roman"/>
          <w:sz w:val="24"/>
          <w:szCs w:val="24"/>
        </w:rPr>
        <w:t>Financial literacy refers to the knowledge and skills needed to make informed financial decisions. In digital financial ecosystems, it includes traditional investment knowledge, digital financial literacy, and FinTech literacy.</w:t>
      </w:r>
    </w:p>
    <w:p w14:paraId="7CEE11F9">
      <w:pPr>
        <w:pStyle w:val="7"/>
        <w:keepNext w:val="0"/>
        <w:keepLines w:val="0"/>
        <w:pageBreakBefore w:val="0"/>
        <w:widowControl/>
        <w:suppressLineNumbers w:val="0"/>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r>
        <w:rPr>
          <w:rFonts w:hint="default" w:ascii="Times New Roman" w:hAnsi="Times New Roman" w:cs="Times New Roman"/>
          <w:sz w:val="24"/>
          <w:szCs w:val="24"/>
        </w:rPr>
        <w:t>Digital financial literacy involves the ability to use online financial services safely and effectively. Retail investors need to understand digital transactions, cybersecurity risks, platform terms, data privacy, and the limitations of algorithm-driven investment tools.</w:t>
      </w:r>
    </w:p>
    <w:p w14:paraId="6FB6F968">
      <w:pPr>
        <w:pStyle w:val="7"/>
        <w:keepNext w:val="0"/>
        <w:keepLines w:val="0"/>
        <w:pageBreakBefore w:val="0"/>
        <w:widowControl/>
        <w:suppressLineNumbers w:val="0"/>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r>
        <w:rPr>
          <w:rFonts w:hint="default" w:ascii="Times New Roman" w:hAnsi="Times New Roman" w:cs="Times New Roman"/>
          <w:sz w:val="24"/>
          <w:szCs w:val="24"/>
        </w:rPr>
        <w:t>Investment literacy focuses on knowledge of financial markets, diversification, asset valuation, risk-return trade-offs, and long-term portfolio planning. Investors with stronger financial literacy are usually better positioned to avoid panic selling, misinformation-driven decisions, and excessive speculation.</w:t>
      </w:r>
    </w:p>
    <w:p w14:paraId="0546D93E">
      <w:pPr>
        <w:pStyle w:val="7"/>
        <w:keepNext w:val="0"/>
        <w:keepLines w:val="0"/>
        <w:pageBreakBefore w:val="0"/>
        <w:widowControl/>
        <w:suppressLineNumbers w:val="0"/>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r>
        <w:rPr>
          <w:rFonts w:hint="default" w:ascii="Times New Roman" w:hAnsi="Times New Roman" w:cs="Times New Roman"/>
          <w:sz w:val="24"/>
          <w:szCs w:val="24"/>
        </w:rPr>
        <w:t>FinTech literacy is also important because digital investment platforms increasingly rely on robo-advisory tools, automated recommendations, and algorithmic analytics. In emerging economies, weak digital and financial literacy may expose investors to misleading online advice, fraudulent schemes, and irrational trading behavior.</w:t>
      </w:r>
    </w:p>
    <w:p w14:paraId="7E5469ED">
      <w:pPr>
        <w:pStyle w:val="7"/>
        <w:keepNext w:val="0"/>
        <w:keepLines w:val="0"/>
        <w:pageBreakBefore w:val="0"/>
        <w:widowControl/>
        <w:suppressLineNumbers w:val="0"/>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p>
    <w:p w14:paraId="36BAB5D1">
      <w:pPr>
        <w:pStyle w:val="4"/>
        <w:keepNext w:val="0"/>
        <w:keepLines w:val="0"/>
        <w:pageBreakBefore w:val="0"/>
        <w:widowControl/>
        <w:suppressLineNumbers w:val="0"/>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r>
        <w:rPr>
          <w:rFonts w:hint="default" w:ascii="Times New Roman" w:hAnsi="Times New Roman" w:cs="Times New Roman"/>
          <w:sz w:val="24"/>
          <w:szCs w:val="24"/>
        </w:rPr>
        <w:t>2.1.6 Finfluencer Effects</w:t>
      </w:r>
    </w:p>
    <w:p w14:paraId="584466AF">
      <w:pPr>
        <w:pStyle w:val="7"/>
        <w:keepNext w:val="0"/>
        <w:keepLines w:val="0"/>
        <w:pageBreakBefore w:val="0"/>
        <w:widowControl/>
        <w:suppressLineNumbers w:val="0"/>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r>
        <w:rPr>
          <w:rFonts w:hint="default" w:ascii="Times New Roman" w:hAnsi="Times New Roman" w:cs="Times New Roman"/>
          <w:sz w:val="24"/>
          <w:szCs w:val="24"/>
        </w:rPr>
        <w:t>Finfluencer effects refer to the influence of social media personalities, online investment commentators, and digital trading communities on investor decision-making. Platforms such as TikTok, YouTube, Reddit, Telegram, Discord, and X have become major sources of investment information for retail investors.</w:t>
      </w:r>
    </w:p>
    <w:p w14:paraId="62E686FD">
      <w:pPr>
        <w:pStyle w:val="7"/>
        <w:keepNext w:val="0"/>
        <w:keepLines w:val="0"/>
        <w:pageBreakBefore w:val="0"/>
        <w:widowControl/>
        <w:suppressLineNumbers w:val="0"/>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r>
        <w:rPr>
          <w:rFonts w:hint="default" w:ascii="Times New Roman" w:hAnsi="Times New Roman" w:cs="Times New Roman"/>
          <w:sz w:val="24"/>
          <w:szCs w:val="24"/>
        </w:rPr>
        <w:t>TikTok investing has become influential among younger investors because short videos often present investment opportunities in simple and persuasive ways. While this can improve awareness, it may also encourage speculative decisions when users act on incomplete or exaggerated financial content.</w:t>
      </w:r>
    </w:p>
    <w:p w14:paraId="6404169C">
      <w:pPr>
        <w:pStyle w:val="7"/>
        <w:keepNext w:val="0"/>
        <w:keepLines w:val="0"/>
        <w:pageBreakBefore w:val="0"/>
        <w:widowControl/>
        <w:suppressLineNumbers w:val="0"/>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r>
        <w:rPr>
          <w:rFonts w:hint="default" w:ascii="Times New Roman" w:hAnsi="Times New Roman" w:cs="Times New Roman"/>
          <w:sz w:val="24"/>
          <w:szCs w:val="24"/>
        </w:rPr>
        <w:t>YouTube analysts and financial content creators also shape investor perception through stock recommendations, portfolio reviews, and market commentaries. Some content may be educational, but concerns remain about misinformation, hidden sponsorships, and unregulated financial promotion.</w:t>
      </w:r>
    </w:p>
    <w:p w14:paraId="7B3F98D5">
      <w:pPr>
        <w:pStyle w:val="7"/>
        <w:keepNext w:val="0"/>
        <w:keepLines w:val="0"/>
        <w:pageBreakBefore w:val="0"/>
        <w:widowControl/>
        <w:suppressLineNumbers w:val="0"/>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r>
        <w:rPr>
          <w:rFonts w:hint="default" w:ascii="Times New Roman" w:hAnsi="Times New Roman" w:cs="Times New Roman"/>
          <w:sz w:val="24"/>
          <w:szCs w:val="24"/>
        </w:rPr>
        <w:t>Telegram and Discord trading groups further strengthen collective investment behavior. These groups often circulate trading signals, rumors, and market predictions that can encourage fear of missing out and synchronized trading. In emerging markets, the influence of finfluencers is more concerning where regulatory oversight is weak and financial literacy remains low.</w:t>
      </w:r>
    </w:p>
    <w:p w14:paraId="35AC2C00">
      <w:pPr>
        <w:pStyle w:val="7"/>
        <w:keepNext w:val="0"/>
        <w:keepLines w:val="0"/>
        <w:pageBreakBefore w:val="0"/>
        <w:widowControl/>
        <w:suppressLineNumbers w:val="0"/>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p>
    <w:p w14:paraId="76DC9EBD">
      <w:pPr>
        <w:pStyle w:val="4"/>
        <w:keepNext w:val="0"/>
        <w:keepLines w:val="0"/>
        <w:pageBreakBefore w:val="0"/>
        <w:widowControl/>
        <w:suppressLineNumbers w:val="0"/>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r>
        <w:rPr>
          <w:rFonts w:hint="default" w:ascii="Times New Roman" w:hAnsi="Times New Roman" w:cs="Times New Roman"/>
          <w:sz w:val="24"/>
          <w:szCs w:val="24"/>
        </w:rPr>
        <w:t>2.1.7 Herding Behavior</w:t>
      </w:r>
    </w:p>
    <w:p w14:paraId="5CA94FC3">
      <w:pPr>
        <w:pStyle w:val="7"/>
        <w:keepNext w:val="0"/>
        <w:keepLines w:val="0"/>
        <w:pageBreakBefore w:val="0"/>
        <w:widowControl/>
        <w:suppressLineNumbers w:val="0"/>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r>
        <w:rPr>
          <w:rFonts w:hint="default" w:ascii="Times New Roman" w:hAnsi="Times New Roman" w:cs="Times New Roman"/>
          <w:sz w:val="24"/>
          <w:szCs w:val="24"/>
        </w:rPr>
        <w:t>Herding behavior refers to the tendency of investors to copy the actions of others instead of relying on independent analysis. It is common in digital trading environments because investors are constantly exposed to online opinions, trending assets, and real-time social signals.</w:t>
      </w:r>
    </w:p>
    <w:p w14:paraId="06B65B56">
      <w:pPr>
        <w:pStyle w:val="7"/>
        <w:keepNext w:val="0"/>
        <w:keepLines w:val="0"/>
        <w:pageBreakBefore w:val="0"/>
        <w:widowControl/>
        <w:suppressLineNumbers w:val="0"/>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r>
        <w:rPr>
          <w:rFonts w:hint="default" w:ascii="Times New Roman" w:hAnsi="Times New Roman" w:cs="Times New Roman"/>
          <w:sz w:val="24"/>
          <w:szCs w:val="24"/>
        </w:rPr>
        <w:t>Informational cascades occur when investors assume that others possess better information. In digital markets, viral posts, influencer recommendations, and trading group discussions can trigger rapid imitation, even when such decisions are not supported by fundamentals.</w:t>
      </w:r>
    </w:p>
    <w:p w14:paraId="36ACEA33">
      <w:pPr>
        <w:pStyle w:val="7"/>
        <w:keepNext w:val="0"/>
        <w:keepLines w:val="0"/>
        <w:pageBreakBefore w:val="0"/>
        <w:widowControl/>
        <w:suppressLineNumbers w:val="0"/>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r>
        <w:rPr>
          <w:rFonts w:hint="default" w:ascii="Times New Roman" w:hAnsi="Times New Roman" w:cs="Times New Roman"/>
          <w:sz w:val="24"/>
          <w:szCs w:val="24"/>
        </w:rPr>
        <w:t>Social proof also strengthens herding. Investors may treat high engagement, trending hashtags, or influencer endorsements as signs of credibility. This tendency becomes stronger during market uncertainty, when investors look to the crowd for direction.</w:t>
      </w:r>
    </w:p>
    <w:p w14:paraId="55A84C87">
      <w:pPr>
        <w:pStyle w:val="7"/>
        <w:keepNext w:val="0"/>
        <w:keepLines w:val="0"/>
        <w:pageBreakBefore w:val="0"/>
        <w:widowControl/>
        <w:suppressLineNumbers w:val="0"/>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r>
        <w:rPr>
          <w:rFonts w:hint="default" w:ascii="Times New Roman" w:hAnsi="Times New Roman" w:cs="Times New Roman"/>
          <w:sz w:val="24"/>
          <w:szCs w:val="24"/>
        </w:rPr>
        <w:t>Panic trading is another expression of herding behavior. During market downturns or speculative rallies, investors may buy or sell quickly because others are doing the same. Digital platforms accelerate this process by combining instant information flow with immediate execution.</w:t>
      </w:r>
    </w:p>
    <w:p w14:paraId="25B598E4">
      <w:pPr>
        <w:pStyle w:val="7"/>
        <w:keepNext w:val="0"/>
        <w:keepLines w:val="0"/>
        <w:pageBreakBefore w:val="0"/>
        <w:widowControl/>
        <w:suppressLineNumbers w:val="0"/>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p>
    <w:p w14:paraId="1CB88A4C">
      <w:pPr>
        <w:pStyle w:val="4"/>
        <w:keepNext w:val="0"/>
        <w:keepLines w:val="0"/>
        <w:pageBreakBefore w:val="0"/>
        <w:widowControl/>
        <w:suppressLineNumbers w:val="0"/>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r>
        <w:rPr>
          <w:rFonts w:hint="default" w:ascii="Times New Roman" w:hAnsi="Times New Roman" w:cs="Times New Roman"/>
          <w:sz w:val="24"/>
          <w:szCs w:val="24"/>
        </w:rPr>
        <w:t>2.1.8 Risk Tolerance</w:t>
      </w:r>
    </w:p>
    <w:p w14:paraId="23731F73">
      <w:pPr>
        <w:pStyle w:val="7"/>
        <w:keepNext w:val="0"/>
        <w:keepLines w:val="0"/>
        <w:pageBreakBefore w:val="0"/>
        <w:widowControl/>
        <w:suppressLineNumbers w:val="0"/>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r>
        <w:rPr>
          <w:rFonts w:hint="default" w:ascii="Times New Roman" w:hAnsi="Times New Roman" w:cs="Times New Roman"/>
          <w:sz w:val="24"/>
          <w:szCs w:val="24"/>
        </w:rPr>
        <w:t>Risk tolerance refers to an investor’s willingness and ability to accept financial uncertainty and possible losses. It affects portfolio choice, trading frequency, speculative behavior, and investment horizon.</w:t>
      </w:r>
    </w:p>
    <w:p w14:paraId="257CC075">
      <w:pPr>
        <w:pStyle w:val="7"/>
        <w:keepNext w:val="0"/>
        <w:keepLines w:val="0"/>
        <w:pageBreakBefore w:val="0"/>
        <w:widowControl/>
        <w:suppressLineNumbers w:val="0"/>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r>
        <w:rPr>
          <w:rFonts w:hint="default" w:ascii="Times New Roman" w:hAnsi="Times New Roman" w:cs="Times New Roman"/>
          <w:sz w:val="24"/>
          <w:szCs w:val="24"/>
        </w:rPr>
        <w:t>Investors with high risk tolerance are more likely to engage in speculative trading, volatile assets, cryptocurrency investments, and short-term market positions. Digital trading platforms may intensify this behavior by making risky assets easier to access and trade.</w:t>
      </w:r>
    </w:p>
    <w:p w14:paraId="12C9B3D4">
      <w:pPr>
        <w:pStyle w:val="7"/>
        <w:keepNext w:val="0"/>
        <w:keepLines w:val="0"/>
        <w:pageBreakBefore w:val="0"/>
        <w:widowControl/>
        <w:suppressLineNumbers w:val="0"/>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r>
        <w:rPr>
          <w:rFonts w:hint="default" w:ascii="Times New Roman" w:hAnsi="Times New Roman" w:cs="Times New Roman"/>
          <w:sz w:val="24"/>
          <w:szCs w:val="24"/>
        </w:rPr>
        <w:t>Volatility preference is closely related to risk tolerance. Younger and digitally active investors may show stronger interest in volatile assets because they are more exposed to online investment trends and speculative financial content.</w:t>
      </w:r>
    </w:p>
    <w:p w14:paraId="2CEEC83C">
      <w:pPr>
        <w:pStyle w:val="7"/>
        <w:keepNext w:val="0"/>
        <w:keepLines w:val="0"/>
        <w:pageBreakBefore w:val="0"/>
        <w:widowControl/>
        <w:suppressLineNumbers w:val="0"/>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r>
        <w:rPr>
          <w:rFonts w:hint="default" w:ascii="Times New Roman" w:hAnsi="Times New Roman" w:cs="Times New Roman"/>
          <w:sz w:val="24"/>
          <w:szCs w:val="24"/>
        </w:rPr>
        <w:t>Age, income, experience, and financial capacity also influence risk tolerance. Younger investors may take more risks because of longer investment horizons, while higher-income investors may tolerate more risk due to greater capacity to absorb losses. In emerging markets, risk tolerance plays an important moderating role because it can strengthen or weaken the relationship between digital platform use and speculative investment behavior.</w:t>
      </w:r>
    </w:p>
    <w:p w14:paraId="175E66A8">
      <w:pPr>
        <w:pStyle w:val="7"/>
        <w:keepNext w:val="0"/>
        <w:keepLines w:val="0"/>
        <w:pageBreakBefore w:val="0"/>
        <w:widowControl/>
        <w:suppressLineNumbers w:val="0"/>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p>
    <w:p w14:paraId="0F049A99">
      <w:pPr>
        <w:pStyle w:val="2"/>
        <w:keepNext w:val="0"/>
        <w:keepLines w:val="0"/>
        <w:pageBreakBefore w:val="0"/>
        <w:widowControl/>
        <w:suppressLineNumbers w:val="0"/>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8"/>
          <w:szCs w:val="28"/>
        </w:rPr>
      </w:pPr>
      <w:r>
        <w:rPr>
          <w:rFonts w:hint="default" w:ascii="Times New Roman" w:hAnsi="Times New Roman" w:cs="Times New Roman"/>
          <w:sz w:val="28"/>
          <w:szCs w:val="28"/>
        </w:rPr>
        <w:t>2.2 Theoretical Review</w:t>
      </w:r>
    </w:p>
    <w:p w14:paraId="70DAA3FB">
      <w:pPr>
        <w:pStyle w:val="7"/>
        <w:keepNext w:val="0"/>
        <w:keepLines w:val="0"/>
        <w:pageBreakBefore w:val="0"/>
        <w:widowControl/>
        <w:suppressLineNumbers w:val="0"/>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r>
        <w:rPr>
          <w:rFonts w:hint="default" w:ascii="Times New Roman" w:hAnsi="Times New Roman" w:cs="Times New Roman"/>
          <w:sz w:val="24"/>
          <w:szCs w:val="24"/>
        </w:rPr>
        <w:t>The influence of digital trading platforms on retail investor behavior is best explained through theories that combine investor psychology, technology adoption, and risk-based decision-making. Traditional finance assumes that investors act rationally and use available information efficiently. However, mobile trading applications, social media investment content, algorithmic prompts, and gamified interfaces often expose retail investors to emotional, cognitive, and social pressures. For this reason, Behavioral Finance Theory, the Technology Acceptance Model (TAM), and Prospect Theory provide a suitable theoretical foundation for this study.</w:t>
      </w:r>
    </w:p>
    <w:p w14:paraId="07733AE1">
      <w:pPr>
        <w:pStyle w:val="7"/>
        <w:keepNext w:val="0"/>
        <w:keepLines w:val="0"/>
        <w:pageBreakBefore w:val="0"/>
        <w:widowControl/>
        <w:suppressLineNumbers w:val="0"/>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r>
        <w:rPr>
          <w:rFonts w:hint="default" w:ascii="Times New Roman" w:hAnsi="Times New Roman" w:cs="Times New Roman"/>
          <w:sz w:val="24"/>
          <w:szCs w:val="24"/>
        </w:rPr>
        <w:t>Behavioral Finance Theory explains how psychological biases and emotional responses affect financial decisions. The theory challenges the assumption of full investor rationality by showing that investors are often influenced by heuristics, overconfidence, loss aversion, herd mentality, confirmation bias, and fear of missing out. In digital trading environments, these biases may become stronger because investors receive constant price updates, social trading signals, push notifications, and instant feedback. As a result, retail investors may trade excessively, follow online crowds, respond emotionally to market movements, or make speculative decisions without adequate analysis. This theory is therefore useful in explaining overtrading, herding behavior, impulsive investment decisions, and finfluencer-driven trading.</w:t>
      </w:r>
    </w:p>
    <w:p w14:paraId="79ADB4D3">
      <w:pPr>
        <w:pStyle w:val="7"/>
        <w:keepNext w:val="0"/>
        <w:keepLines w:val="0"/>
        <w:pageBreakBefore w:val="0"/>
        <w:widowControl/>
        <w:suppressLineNumbers w:val="0"/>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r>
        <w:rPr>
          <w:rFonts w:hint="default" w:ascii="Times New Roman" w:hAnsi="Times New Roman" w:cs="Times New Roman"/>
          <w:sz w:val="24"/>
          <w:szCs w:val="24"/>
        </w:rPr>
        <w:t>The Technology Acceptance Model, developed by Davis, explains how users adopt technology based on perceived usefulness and perceived ease of use. In the context of this study, TAM helps explain why retail investors increasingly adopt mobile trading platforms. Investors are more likely to use digital trading applications when they perceive them as convenient, affordable, fast, and easy to operate. Features such as simple onboarding, real-time analytics, low transaction costs, mobile compatibility, and instant execution encourage platform adoption and repeated use. In emerging markets such as Nigeria, Kenya, and India, where mobile finance continues to expand, TAM provides a useful explanation of how platform accessibility increases retail participation and trading intensity.</w:t>
      </w:r>
    </w:p>
    <w:p w14:paraId="7940F1FF">
      <w:pPr>
        <w:pStyle w:val="7"/>
        <w:keepNext w:val="0"/>
        <w:keepLines w:val="0"/>
        <w:pageBreakBefore w:val="0"/>
        <w:widowControl/>
        <w:suppressLineNumbers w:val="0"/>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r>
        <w:rPr>
          <w:rFonts w:hint="default" w:ascii="Times New Roman" w:hAnsi="Times New Roman" w:cs="Times New Roman"/>
          <w:sz w:val="24"/>
          <w:szCs w:val="24"/>
        </w:rPr>
        <w:t>Prospect Theory explains how investors evaluate gains and losses under uncertainty. The theory argues that investors react more strongly to losses than to equivalent gains and often make inconsistent decisions depending on whether they perceive themselves to be gaining or losing. This is relevant to digital trading because mobile applications constantly display portfolio gains, losses, price changes, and market alerts. Such real-time exposure can trigger panic selling, premature profit-taking, excessive risk-taking, or continued holding of losing assets. Prospect Theory therefore helps explain speculative trading, emotional reactions to volatility, and risk-seeking behavior among digital retail investors.</w:t>
      </w:r>
    </w:p>
    <w:p w14:paraId="7B8F9D01">
      <w:pPr>
        <w:pStyle w:val="7"/>
        <w:keepNext w:val="0"/>
        <w:keepLines w:val="0"/>
        <w:pageBreakBefore w:val="0"/>
        <w:widowControl/>
        <w:suppressLineNumbers w:val="0"/>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r>
        <w:rPr>
          <w:rFonts w:hint="default" w:ascii="Times New Roman" w:hAnsi="Times New Roman" w:cs="Times New Roman"/>
          <w:sz w:val="24"/>
          <w:szCs w:val="24"/>
        </w:rPr>
        <w:t xml:space="preserve">Together, the three theories provide a strong basis for analyzing digital trading behavior. Behavioral Finance Theory explains the psychological and social biases behind retail investor decisions. TAM explains how platform accessibility and ease of use encourage digital trading adoption. Prospect Theory explains how investors respond to risk, gains, losses, and uncertainty in mobile trading environments. However, Behavioral Finance Theory serves as the main underpinning theory because the study focuses mainly on irrational trading behavior, herding, overtrading, finfluencer effects, and speculative investment decisions. TAM and Prospect Theory complement this foundation by explaining technology adoption and risk-response behavior within emerging digital financial ecosystems. </w:t>
      </w:r>
    </w:p>
    <w:p w14:paraId="5A521E32">
      <w:pPr>
        <w:pStyle w:val="7"/>
        <w:keepNext w:val="0"/>
        <w:keepLines w:val="0"/>
        <w:pageBreakBefore w:val="0"/>
        <w:widowControl/>
        <w:suppressLineNumbers w:val="0"/>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p>
    <w:p w14:paraId="023424BA">
      <w:pPr>
        <w:pStyle w:val="2"/>
        <w:keepNext w:val="0"/>
        <w:keepLines w:val="0"/>
        <w:pageBreakBefore w:val="0"/>
        <w:widowControl/>
        <w:suppressLineNumbers w:val="0"/>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8"/>
          <w:szCs w:val="28"/>
        </w:rPr>
      </w:pPr>
      <w:r>
        <w:rPr>
          <w:rFonts w:hint="default" w:ascii="Times New Roman" w:hAnsi="Times New Roman" w:cs="Times New Roman"/>
          <w:sz w:val="28"/>
          <w:szCs w:val="28"/>
        </w:rPr>
        <w:t>2.3 Empirical Review</w:t>
      </w:r>
    </w:p>
    <w:p w14:paraId="004BC7F8">
      <w:pPr>
        <w:pStyle w:val="7"/>
        <w:keepNext w:val="0"/>
        <w:keepLines w:val="0"/>
        <w:pageBreakBefore w:val="0"/>
        <w:widowControl/>
        <w:suppressLineNumbers w:val="0"/>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r>
        <w:rPr>
          <w:rFonts w:hint="default" w:ascii="Times New Roman" w:hAnsi="Times New Roman" w:cs="Times New Roman"/>
          <w:sz w:val="24"/>
          <w:szCs w:val="24"/>
        </w:rPr>
        <w:t>Recent empirical studies show growing interest in how digital trading platforms, social media finance, and mobile investment systems shape retail investor behavior. However, much of the evidence still comes from developed markets, while emerging economies remain underexamined.</w:t>
      </w:r>
    </w:p>
    <w:p w14:paraId="4E89AD54">
      <w:pPr>
        <w:pStyle w:val="7"/>
        <w:keepNext w:val="0"/>
        <w:keepLines w:val="0"/>
        <w:pageBreakBefore w:val="0"/>
        <w:widowControl/>
        <w:suppressLineNumbers w:val="0"/>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r>
        <w:rPr>
          <w:rFonts w:hint="default" w:ascii="Times New Roman" w:hAnsi="Times New Roman" w:cs="Times New Roman"/>
          <w:sz w:val="24"/>
          <w:szCs w:val="24"/>
        </w:rPr>
        <w:t>Mölders et al. (2025) examined the influence of finfluencers on retail investment engagement among German-speaking investors. Using survey-based behavioral analysis, the study found that perceived credibility, relatability, and social trust significantly influenced investment decisions, especially among younger investors. The findings showed that emotional attachment and perceived authenticity increased investor dependence on social media financial personalities. However, the study focused on European investors and did not explain how finfluencer exposure interacts with financial literacy, herding behavior, or speculative trading in emerging economies.</w:t>
      </w:r>
    </w:p>
    <w:p w14:paraId="09D5FE48">
      <w:pPr>
        <w:pStyle w:val="7"/>
        <w:keepNext w:val="0"/>
        <w:keepLines w:val="0"/>
        <w:pageBreakBefore w:val="0"/>
        <w:widowControl/>
        <w:suppressLineNumbers w:val="0"/>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r>
        <w:rPr>
          <w:rFonts w:hint="default" w:ascii="Times New Roman" w:hAnsi="Times New Roman" w:cs="Times New Roman"/>
          <w:sz w:val="24"/>
          <w:szCs w:val="24"/>
        </w:rPr>
        <w:t>Warkulat and Pelster (2024) analyzed how Reddit-based trading communities affect retail investor behavior using investor-level trading data and behavioral finance analytics. The study found that social media attention increased speculative trading and uninformed investment decisions. Investors exposed to online trading discussions showed higher risk-taking tendencies and weaker long-term portfolio outcomes. Although the study provided useful evidence on digital herd behavior, it focused mainly on developed markets and did not examine the moderating role of risk tolerance or the mediating role of financial literacy.</w:t>
      </w:r>
    </w:p>
    <w:p w14:paraId="69D8B821">
      <w:pPr>
        <w:pStyle w:val="7"/>
        <w:keepNext w:val="0"/>
        <w:keepLines w:val="0"/>
        <w:pageBreakBefore w:val="0"/>
        <w:widowControl/>
        <w:suppressLineNumbers w:val="0"/>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r>
        <w:rPr>
          <w:rFonts w:hint="default" w:ascii="Times New Roman" w:hAnsi="Times New Roman" w:cs="Times New Roman"/>
          <w:sz w:val="24"/>
          <w:szCs w:val="24"/>
        </w:rPr>
        <w:t>Cookson et al. (2024) investigated the transmission of investment sentiment through social interaction networks in financial markets. Using large-scale market data and social communication indicators, the study found that online financial communities significantly shaped investor beliefs, market participation, and speculative trading behavior. The results confirmed that digitally connected investors often imitate investment sentiment transmitted through social platforms. However, the study concentrated on social interaction effects and gave limited attention to platform accessibility, gamification, and mobile-first investing in emerging markets.</w:t>
      </w:r>
    </w:p>
    <w:p w14:paraId="6CD1772A">
      <w:pPr>
        <w:pStyle w:val="7"/>
        <w:keepNext w:val="0"/>
        <w:keepLines w:val="0"/>
        <w:pageBreakBefore w:val="0"/>
        <w:widowControl/>
        <w:suppressLineNumbers w:val="0"/>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r>
        <w:rPr>
          <w:rFonts w:hint="default" w:ascii="Times New Roman" w:hAnsi="Times New Roman" w:cs="Times New Roman"/>
          <w:sz w:val="24"/>
          <w:szCs w:val="24"/>
        </w:rPr>
        <w:t>Ortiz et al. (2023) explored the relationship between mobile trading platforms and investor decision-making using behavioral survey data and platform usage indicators. The study found that real-time market access and continuous mobile connectivity increased trading intensity and impulsive trading among retail investors. It also showed that digital convenience encouraged short-term speculative trading. However, the study did not include mediation analysis involving financial literacy or moderation analysis based on investor risk tolerance.</w:t>
      </w:r>
    </w:p>
    <w:p w14:paraId="12AFB404">
      <w:pPr>
        <w:pStyle w:val="7"/>
        <w:keepNext w:val="0"/>
        <w:keepLines w:val="0"/>
        <w:pageBreakBefore w:val="0"/>
        <w:widowControl/>
        <w:suppressLineNumbers w:val="0"/>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r>
        <w:rPr>
          <w:rFonts w:hint="default" w:ascii="Times New Roman" w:hAnsi="Times New Roman" w:cs="Times New Roman"/>
          <w:sz w:val="24"/>
          <w:szCs w:val="24"/>
        </w:rPr>
        <w:t>Bärber and Odean (2023) examined social media influence and retail investment decisions within digital trading ecosystems. Using behavioral finance techniques and retail trading evidence, the study found that social media engagement significantly contributed to herding behavior and emotionally driven trading decisions. Investors with high exposure to online financial content were more likely to engage in trend-following and speculative investment activities. The study, however, focused mainly on social influence and did not sufficiently incorporate platform accessibility and gamification effects.</w:t>
      </w:r>
    </w:p>
    <w:p w14:paraId="10E95E1B">
      <w:pPr>
        <w:pStyle w:val="7"/>
        <w:keepNext w:val="0"/>
        <w:keepLines w:val="0"/>
        <w:pageBreakBefore w:val="0"/>
        <w:widowControl/>
        <w:suppressLineNumbers w:val="0"/>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r>
        <w:rPr>
          <w:rFonts w:hint="default" w:ascii="Times New Roman" w:hAnsi="Times New Roman" w:cs="Times New Roman"/>
          <w:sz w:val="24"/>
          <w:szCs w:val="24"/>
        </w:rPr>
        <w:t>Jung et al. (2022) examined robo-advisory systems and algorithm-driven investment platforms through quantitative technology adoption models. The study found that perceived usefulness, automation efficiency, and interface simplicity positively influenced investor adoption of digital investment technologies. It also showed that investors increasingly relied on algorithmic systems for portfolio management and investment recommendations. However, the study paid limited attention to behavioral distortions such as overconfidence, overtrading, and social imitation in mobile trading environments.</w:t>
      </w:r>
    </w:p>
    <w:p w14:paraId="7A7B694D">
      <w:pPr>
        <w:pStyle w:val="7"/>
        <w:keepNext w:val="0"/>
        <w:keepLines w:val="0"/>
        <w:pageBreakBefore w:val="0"/>
        <w:widowControl/>
        <w:suppressLineNumbers w:val="0"/>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r>
        <w:rPr>
          <w:rFonts w:hint="default" w:ascii="Times New Roman" w:hAnsi="Times New Roman" w:cs="Times New Roman"/>
          <w:sz w:val="24"/>
          <w:szCs w:val="24"/>
        </w:rPr>
        <w:t>Agyekum et al. (2022) investigated digital financial inclusion and FinTech adoption in selected African economies using survey evidence and financial inclusion indicators. The findings showed that mobile financial technologies increased participation in digital financial services, especially among younger users. The study also identified low financial literacy and weak investor protection as major constraints to digital financial participation. However, it did not focus specifically on digital trading platforms or retail capital market behavior.</w:t>
      </w:r>
    </w:p>
    <w:p w14:paraId="05AD6335">
      <w:pPr>
        <w:pStyle w:val="7"/>
        <w:keepNext w:val="0"/>
        <w:keepLines w:val="0"/>
        <w:pageBreakBefore w:val="0"/>
        <w:widowControl/>
        <w:suppressLineNumbers w:val="0"/>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r>
        <w:rPr>
          <w:rFonts w:hint="default" w:ascii="Times New Roman" w:hAnsi="Times New Roman" w:cs="Times New Roman"/>
          <w:sz w:val="24"/>
          <w:szCs w:val="24"/>
        </w:rPr>
        <w:t>Barber et al. (2022) analyzed Robinhood users’ trading behavior using large-scale retail trading data and market performance analysis. The study found that commission-free mobile trading platforms increased attention-induced trading and speculative investment behavior. Stocks heavily purchased by retail traders later recorded poor abnormal returns, suggesting that emotionally driven trading can weaken investment performance. While the study provided strong evidence on platform-induced speculation, it was limited to the United States and did not capture emerging-market institutional conditions.</w:t>
      </w:r>
    </w:p>
    <w:p w14:paraId="570E2D94">
      <w:pPr>
        <w:pStyle w:val="7"/>
        <w:keepNext w:val="0"/>
        <w:keepLines w:val="0"/>
        <w:pageBreakBefore w:val="0"/>
        <w:widowControl/>
        <w:suppressLineNumbers w:val="0"/>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r>
        <w:rPr>
          <w:rFonts w:hint="default" w:ascii="Times New Roman" w:hAnsi="Times New Roman" w:cs="Times New Roman"/>
          <w:sz w:val="24"/>
          <w:szCs w:val="24"/>
        </w:rPr>
        <w:t>Delfabbro et al. (2021) examined gamification mechanisms in digital trading applications from a behavioral psychology perspective. The study found that reward notifications, achievement systems, and visually stimulating interfaces encouraged compulsive trading tendencies and excessive investor engagement. The authors argued that gamified trading systems could trigger behavioral responses similar to those found in digital gaming. However, the study did not integrate social media influence, financial literacy, and cross-country emerging-market comparison.</w:t>
      </w:r>
    </w:p>
    <w:p w14:paraId="4B3D8D78">
      <w:pPr>
        <w:pStyle w:val="7"/>
        <w:keepNext w:val="0"/>
        <w:keepLines w:val="0"/>
        <w:pageBreakBefore w:val="0"/>
        <w:widowControl/>
        <w:suppressLineNumbers w:val="0"/>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r>
        <w:rPr>
          <w:rFonts w:hint="default" w:ascii="Times New Roman" w:hAnsi="Times New Roman" w:cs="Times New Roman"/>
          <w:sz w:val="24"/>
          <w:szCs w:val="24"/>
        </w:rPr>
        <w:t>Kumar and Goyal (2021) reviewed behavioral biases in retail investment decision-making using behavioral finance evidence. Their findings showed that overconfidence, herd behavior, and emotional trading significantly influenced retail investor decisions. The study also found that behavioral distortions became stronger during market uncertainty and information overload. However, it did not examine the role of digital trading platforms, mobile investing systems, or finfluencer-driven investment behavior.</w:t>
      </w:r>
    </w:p>
    <w:p w14:paraId="54BCD1B2">
      <w:pPr>
        <w:pStyle w:val="7"/>
        <w:keepNext w:val="0"/>
        <w:keepLines w:val="0"/>
        <w:pageBreakBefore w:val="0"/>
        <w:widowControl/>
        <w:suppressLineNumbers w:val="0"/>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r>
        <w:rPr>
          <w:rFonts w:hint="default" w:ascii="Times New Roman" w:hAnsi="Times New Roman" w:cs="Times New Roman"/>
          <w:sz w:val="24"/>
          <w:szCs w:val="24"/>
        </w:rPr>
        <w:t xml:space="preserve">Overall, the empirical literature shows that digital trading platforms, social media investment communities, and mobile finance technologies increasingly influence retail investor behavior through trading intensity, speculative participation, overtrading, and herding. However, the literature remains fragmented across technology adoption, behavioral finance, and social media investment studies. Most prior studies focus on developed markets, rely on single-source data, and use conventional regression methods. Limited attention has been given to integrated models that combine platform accessibility, gamification, finfluencer exposure, financial literacy, and risk tolerance in emerging markets. This study addresses these gaps by adopting a mixed-method approach and applying PLS-SEM to examine retail investor behavior across Nigeria, Kenya, and India. </w:t>
      </w:r>
    </w:p>
    <w:p w14:paraId="1515805F">
      <w:pPr>
        <w:pStyle w:val="7"/>
        <w:keepNext w:val="0"/>
        <w:keepLines w:val="0"/>
        <w:pageBreakBefore w:val="0"/>
        <w:widowControl/>
        <w:suppressLineNumbers w:val="0"/>
        <w:kinsoku/>
        <w:wordWrap/>
        <w:overflowPunct/>
        <w:topLinePunct w:val="0"/>
        <w:autoSpaceDE/>
        <w:autoSpaceDN/>
        <w:bidi w:val="0"/>
        <w:adjustRightInd/>
        <w:snapToGrid/>
        <w:spacing w:beforeAutospacing="0" w:afterAutospacing="0"/>
        <w:jc w:val="both"/>
        <w:rPr>
          <w:rFonts w:hint="default" w:ascii="Times New Roman" w:hAnsi="Times New Roman" w:eastAsia="SimSun" w:cs="Times New Roman"/>
          <w:sz w:val="24"/>
          <w:szCs w:val="24"/>
        </w:rPr>
      </w:pPr>
      <w:r>
        <w:rPr>
          <w:rFonts w:hint="default" w:ascii="Times New Roman" w:hAnsi="Times New Roman" w:eastAsia="SimSun" w:cs="Times New Roman"/>
          <w:sz w:val="24"/>
          <w:szCs w:val="24"/>
        </w:rPr>
        <w:t>Based on the reviewed literature and theoretical foundations, Figure 2. presents the conceptual framework illustrating the relationship between digital trading platforms and retail investor behavior in emerging markets.</w:t>
      </w:r>
    </w:p>
    <w:p w14:paraId="18DB1C79">
      <w:pPr>
        <w:pStyle w:val="7"/>
        <w:keepNext w:val="0"/>
        <w:keepLines w:val="0"/>
        <w:pageBreakBefore w:val="0"/>
        <w:widowControl/>
        <w:suppressLineNumbers w:val="0"/>
        <w:kinsoku/>
        <w:wordWrap/>
        <w:overflowPunct/>
        <w:topLinePunct w:val="0"/>
        <w:autoSpaceDE/>
        <w:autoSpaceDN/>
        <w:bidi w:val="0"/>
        <w:adjustRightInd/>
        <w:snapToGrid/>
        <w:spacing w:beforeAutospacing="0" w:afterAutospacing="0"/>
        <w:jc w:val="both"/>
        <w:rPr>
          <w:rFonts w:hint="default" w:ascii="Times New Roman" w:hAnsi="Times New Roman" w:eastAsia="SimSun" w:cs="Times New Roman"/>
          <w:sz w:val="24"/>
          <w:szCs w:val="24"/>
        </w:rPr>
      </w:pPr>
    </w:p>
    <w:p w14:paraId="08277B04">
      <w:pPr>
        <w:keepNext w:val="0"/>
        <w:keepLines w:val="0"/>
        <w:pageBreakBefore w:val="0"/>
        <w:widowControl/>
        <w:kinsoku/>
        <w:wordWrap/>
        <w:overflowPunct/>
        <w:topLinePunct w:val="0"/>
        <w:autoSpaceDE/>
        <w:autoSpaceDN/>
        <w:bidi w:val="0"/>
        <w:adjustRightInd/>
        <w:snapToGrid/>
        <w:spacing w:beforeAutospacing="0" w:afterAutospacing="0"/>
        <w:jc w:val="center"/>
        <w:rPr>
          <w:rFonts w:hint="default" w:ascii="Times New Roman" w:hAnsi="Times New Roman" w:cs="Times New Roman"/>
          <w:sz w:val="24"/>
          <w:szCs w:val="24"/>
          <w:lang w:val="en-CA"/>
        </w:rPr>
      </w:pPr>
      <w:r>
        <w:rPr>
          <w:rFonts w:hint="default" w:ascii="Times New Roman" w:hAnsi="Times New Roman" w:cs="Times New Roman"/>
          <w:sz w:val="24"/>
          <w:szCs w:val="24"/>
          <w:lang w:val="en-CA"/>
        </w:rPr>
        <w:drawing>
          <wp:inline distT="0" distB="0" distL="114300" distR="114300">
            <wp:extent cx="3585210" cy="2536190"/>
            <wp:effectExtent l="0" t="0" r="15240" b="16510"/>
            <wp:docPr id="1" name="Picture 1" descr="ChatGPT Image May 26, 2026, 12_51_37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tGPT Image May 26, 2026, 12_51_37 PM"/>
                    <pic:cNvPicPr>
                      <a:picLocks noChangeAspect="1"/>
                    </pic:cNvPicPr>
                  </pic:nvPicPr>
                  <pic:blipFill>
                    <a:blip r:embed="rId5"/>
                    <a:srcRect l="1719" t="2060" r="260" b="5486"/>
                    <a:stretch>
                      <a:fillRect/>
                    </a:stretch>
                  </pic:blipFill>
                  <pic:spPr>
                    <a:xfrm>
                      <a:off x="0" y="0"/>
                      <a:ext cx="3585210" cy="2536190"/>
                    </a:xfrm>
                    <a:prstGeom prst="rect">
                      <a:avLst/>
                    </a:prstGeom>
                  </pic:spPr>
                </pic:pic>
              </a:graphicData>
            </a:graphic>
          </wp:inline>
        </w:drawing>
      </w:r>
    </w:p>
    <w:p w14:paraId="2540D3F9">
      <w:pPr>
        <w:keepNext w:val="0"/>
        <w:keepLines w:val="0"/>
        <w:pageBreakBefore w:val="0"/>
        <w:widowControl/>
        <w:kinsoku/>
        <w:wordWrap/>
        <w:overflowPunct/>
        <w:topLinePunct w:val="0"/>
        <w:autoSpaceDE/>
        <w:autoSpaceDN/>
        <w:bidi w:val="0"/>
        <w:adjustRightInd/>
        <w:snapToGrid/>
        <w:spacing w:beforeAutospacing="0" w:afterAutospacing="0"/>
        <w:jc w:val="center"/>
        <w:rPr>
          <w:rFonts w:hint="default" w:ascii="Times New Roman" w:hAnsi="Times New Roman" w:cs="Times New Roman"/>
          <w:sz w:val="24"/>
          <w:szCs w:val="24"/>
          <w:lang w:val="en-CA"/>
        </w:rPr>
      </w:pPr>
      <w:r>
        <w:rPr>
          <w:rFonts w:hint="default" w:ascii="Times New Roman" w:hAnsi="Times New Roman" w:cs="Times New Roman"/>
          <w:sz w:val="24"/>
          <w:szCs w:val="24"/>
          <w:lang w:val="en-CA"/>
        </w:rPr>
        <w:t>Figure 2: Conceptual Framework of Digital Trading Platforms and Retail Investor Behavior in Emerging Markets</w:t>
      </w:r>
    </w:p>
    <w:p w14:paraId="0883FCD2">
      <w:pPr>
        <w:keepNext w:val="0"/>
        <w:keepLines w:val="0"/>
        <w:pageBreakBefore w:val="0"/>
        <w:widowControl/>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lang w:val="en-CA"/>
        </w:rPr>
      </w:pPr>
      <w:r>
        <w:rPr>
          <w:rFonts w:hint="default" w:ascii="Times New Roman" w:hAnsi="Times New Roman" w:cs="Times New Roman"/>
          <w:sz w:val="24"/>
          <w:szCs w:val="24"/>
          <w:lang w:val="en-CA"/>
        </w:rPr>
        <w:t>Source: Researcher’s Conceptualization (2026), adapted from Behavioral Finance Theory, Technology Acceptance Model (TAM), and Prospect Theory.</w:t>
      </w:r>
    </w:p>
    <w:p w14:paraId="4AC6F408">
      <w:pPr>
        <w:keepNext w:val="0"/>
        <w:keepLines w:val="0"/>
        <w:pageBreakBefore w:val="0"/>
        <w:widowControl/>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lang w:val="en-CA"/>
        </w:rPr>
      </w:pPr>
    </w:p>
    <w:p w14:paraId="3D98AF5D">
      <w:pPr>
        <w:keepNext w:val="0"/>
        <w:keepLines w:val="0"/>
        <w:pageBreakBefore w:val="0"/>
        <w:widowControl/>
        <w:kinsoku/>
        <w:wordWrap/>
        <w:overflowPunct/>
        <w:topLinePunct w:val="0"/>
        <w:autoSpaceDE/>
        <w:autoSpaceDN/>
        <w:bidi w:val="0"/>
        <w:adjustRightInd/>
        <w:snapToGrid/>
        <w:spacing w:beforeAutospacing="0" w:afterAutospacing="0"/>
        <w:jc w:val="both"/>
        <w:rPr>
          <w:rFonts w:hint="default" w:ascii="Times New Roman" w:hAnsi="Times New Roman" w:eastAsia="SimSun" w:cs="Times New Roman"/>
          <w:sz w:val="24"/>
          <w:szCs w:val="24"/>
        </w:rPr>
      </w:pPr>
      <w:r>
        <w:rPr>
          <w:rFonts w:hint="default" w:ascii="Times New Roman" w:hAnsi="Times New Roman" w:eastAsia="SimSun" w:cs="Times New Roman"/>
          <w:sz w:val="24"/>
          <w:szCs w:val="24"/>
        </w:rPr>
        <w:t>The framework proposes that platform accessibility, gamification, finfluencer influence, and mobile trading adoption significantly influence retail investor behavior. Financial literacy is introduced as a mediating variable, while risk tolerance moderates the relationship between digital platform usage and speculative trading outcomes such as herding behavior, overtrading, and trading intensity.</w:t>
      </w:r>
    </w:p>
    <w:p w14:paraId="7E0EC013">
      <w:pPr>
        <w:pStyle w:val="7"/>
        <w:keepNext w:val="0"/>
        <w:keepLines w:val="0"/>
        <w:pageBreakBefore w:val="0"/>
        <w:widowControl/>
        <w:suppressLineNumbers w:val="0"/>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p>
    <w:p w14:paraId="4EDC0925">
      <w:pPr>
        <w:pStyle w:val="2"/>
        <w:keepNext w:val="0"/>
        <w:keepLines w:val="0"/>
        <w:pageBreakBefore w:val="0"/>
        <w:widowControl/>
        <w:suppressLineNumbers w:val="0"/>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8"/>
          <w:szCs w:val="28"/>
        </w:rPr>
      </w:pPr>
      <w:r>
        <w:rPr>
          <w:rFonts w:hint="default" w:ascii="Times New Roman" w:hAnsi="Times New Roman" w:cs="Times New Roman"/>
          <w:sz w:val="28"/>
          <w:szCs w:val="28"/>
        </w:rPr>
        <w:t>3.0 Research Methodology</w:t>
      </w:r>
    </w:p>
    <w:p w14:paraId="0C34E4AF">
      <w:pPr>
        <w:pStyle w:val="3"/>
        <w:keepNext w:val="0"/>
        <w:keepLines w:val="0"/>
        <w:pageBreakBefore w:val="0"/>
        <w:widowControl/>
        <w:suppressLineNumbers w:val="0"/>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r>
        <w:rPr>
          <w:rFonts w:hint="default" w:ascii="Times New Roman" w:hAnsi="Times New Roman" w:cs="Times New Roman"/>
          <w:sz w:val="24"/>
          <w:szCs w:val="24"/>
        </w:rPr>
        <w:t>3.1 Research Philosophy</w:t>
      </w:r>
    </w:p>
    <w:p w14:paraId="063805A5">
      <w:pPr>
        <w:pStyle w:val="7"/>
        <w:keepNext w:val="0"/>
        <w:keepLines w:val="0"/>
        <w:pageBreakBefore w:val="0"/>
        <w:widowControl/>
        <w:suppressLineNumbers w:val="0"/>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r>
        <w:rPr>
          <w:rFonts w:hint="default" w:ascii="Times New Roman" w:hAnsi="Times New Roman" w:cs="Times New Roman"/>
          <w:sz w:val="24"/>
          <w:szCs w:val="24"/>
        </w:rPr>
        <w:t>This study adopt</w:t>
      </w:r>
      <w:r>
        <w:rPr>
          <w:rFonts w:hint="default" w:cs="Times New Roman"/>
          <w:sz w:val="24"/>
          <w:szCs w:val="24"/>
          <w:lang w:val="en-CA"/>
        </w:rPr>
        <w:t>ed</w:t>
      </w:r>
      <w:r>
        <w:rPr>
          <w:rFonts w:hint="default" w:ascii="Times New Roman" w:hAnsi="Times New Roman" w:cs="Times New Roman"/>
          <w:sz w:val="24"/>
          <w:szCs w:val="24"/>
        </w:rPr>
        <w:t xml:space="preserve"> the pragmatist research philosophy. Pragmatism is appropriate because the study examines both measurable behavioral patterns and investor experiences within digital trading environments. It allows the use of quantitative and qualitative methods in addressing the same research problem.</w:t>
      </w:r>
    </w:p>
    <w:p w14:paraId="56D9F9C4">
      <w:pPr>
        <w:pStyle w:val="7"/>
        <w:keepNext w:val="0"/>
        <w:keepLines w:val="0"/>
        <w:pageBreakBefore w:val="0"/>
        <w:widowControl/>
        <w:suppressLineNumbers w:val="0"/>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r>
        <w:rPr>
          <w:rFonts w:hint="default" w:ascii="Times New Roman" w:hAnsi="Times New Roman" w:cs="Times New Roman"/>
          <w:sz w:val="24"/>
          <w:szCs w:val="24"/>
        </w:rPr>
        <w:t>The choice of pragmatism is suitable because retail investor behavior involves statistical relationships, such as the effect of platform accessibility, gamification, financial literacy, and risk tolerance on trading behavior. It also involves subjective issues such as investor motivation, perception, trust, and response to finfluencer content. Therefore, pragmatism supports the combination of survey data, platform-related indicators, and investor narratives within one analytical framework</w:t>
      </w:r>
    </w:p>
    <w:p w14:paraId="5FDB2814">
      <w:pPr>
        <w:pStyle w:val="7"/>
        <w:keepNext w:val="0"/>
        <w:keepLines w:val="0"/>
        <w:pageBreakBefore w:val="0"/>
        <w:widowControl/>
        <w:suppressLineNumbers w:val="0"/>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r>
        <w:rPr>
          <w:rFonts w:hint="default" w:ascii="Times New Roman" w:hAnsi="Times New Roman" w:cs="Times New Roman"/>
          <w:sz w:val="24"/>
          <w:szCs w:val="24"/>
        </w:rPr>
        <w:t xml:space="preserve">. </w:t>
      </w:r>
    </w:p>
    <w:p w14:paraId="7B9349B9">
      <w:pPr>
        <w:pStyle w:val="3"/>
        <w:keepNext w:val="0"/>
        <w:keepLines w:val="0"/>
        <w:pageBreakBefore w:val="0"/>
        <w:widowControl/>
        <w:suppressLineNumbers w:val="0"/>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r>
        <w:rPr>
          <w:rFonts w:hint="default" w:ascii="Times New Roman" w:hAnsi="Times New Roman" w:cs="Times New Roman"/>
          <w:sz w:val="24"/>
          <w:szCs w:val="24"/>
        </w:rPr>
        <w:t>3.2 Research Design</w:t>
      </w:r>
    </w:p>
    <w:p w14:paraId="12A07846">
      <w:pPr>
        <w:pStyle w:val="7"/>
        <w:keepNext w:val="0"/>
        <w:keepLines w:val="0"/>
        <w:pageBreakBefore w:val="0"/>
        <w:widowControl/>
        <w:suppressLineNumbers w:val="0"/>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r>
        <w:rPr>
          <w:rFonts w:hint="default" w:ascii="Times New Roman" w:hAnsi="Times New Roman" w:cs="Times New Roman"/>
          <w:sz w:val="24"/>
          <w:szCs w:val="24"/>
        </w:rPr>
        <w:t>The study adopt</w:t>
      </w:r>
      <w:r>
        <w:rPr>
          <w:rFonts w:hint="default" w:cs="Times New Roman"/>
          <w:sz w:val="24"/>
          <w:szCs w:val="24"/>
          <w:lang w:val="en-CA"/>
        </w:rPr>
        <w:t>ed</w:t>
      </w:r>
      <w:r>
        <w:rPr>
          <w:rFonts w:hint="default" w:ascii="Times New Roman" w:hAnsi="Times New Roman" w:cs="Times New Roman"/>
          <w:sz w:val="24"/>
          <w:szCs w:val="24"/>
        </w:rPr>
        <w:t xml:space="preserve"> an explanatory sequential mixed-method research design. This design is suitable because the study first uses quantitative data to test the relationships among the key variables and then applies qualitative interviews to explain the statistical results more deeply.</w:t>
      </w:r>
    </w:p>
    <w:p w14:paraId="63C47F46">
      <w:pPr>
        <w:pStyle w:val="7"/>
        <w:keepNext w:val="0"/>
        <w:keepLines w:val="0"/>
        <w:pageBreakBefore w:val="0"/>
        <w:widowControl/>
        <w:suppressLineNumbers w:val="0"/>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r>
        <w:rPr>
          <w:rFonts w:hint="default" w:ascii="Times New Roman" w:hAnsi="Times New Roman" w:cs="Times New Roman"/>
          <w:sz w:val="24"/>
          <w:szCs w:val="24"/>
        </w:rPr>
        <w:t>The quantitative phase involves a structured survey of retail investors using digital investment platforms. The questionnaire captures data on platform accessibility, gamification, finfluencer exposure, financial literacy, risk tolerance, trading intensity, overtrading, and herding behavior. The qualitative phase involves semi-structured interviews with selected retail investors to obtain deeper explanations of their digital trading experiences, motivations, and behavioral responses.</w:t>
      </w:r>
    </w:p>
    <w:p w14:paraId="6584B64F">
      <w:pPr>
        <w:pStyle w:val="7"/>
        <w:keepNext w:val="0"/>
        <w:keepLines w:val="0"/>
        <w:pageBreakBefore w:val="0"/>
        <w:widowControl/>
        <w:suppressLineNumbers w:val="0"/>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r>
        <w:rPr>
          <w:rFonts w:hint="default" w:ascii="Times New Roman" w:hAnsi="Times New Roman" w:cs="Times New Roman"/>
          <w:sz w:val="24"/>
          <w:szCs w:val="24"/>
        </w:rPr>
        <w:t>This design is stronger than a purely quantitative approach because it allows the study to explain both the statistical strength of the relationships and the behavioral reasons behind them.</w:t>
      </w:r>
    </w:p>
    <w:p w14:paraId="0683D6E2">
      <w:pPr>
        <w:pStyle w:val="7"/>
        <w:keepNext w:val="0"/>
        <w:keepLines w:val="0"/>
        <w:pageBreakBefore w:val="0"/>
        <w:widowControl/>
        <w:suppressLineNumbers w:val="0"/>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p>
    <w:p w14:paraId="508817F5">
      <w:pPr>
        <w:pStyle w:val="3"/>
        <w:keepNext w:val="0"/>
        <w:keepLines w:val="0"/>
        <w:pageBreakBefore w:val="0"/>
        <w:widowControl/>
        <w:suppressLineNumbers w:val="0"/>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r>
        <w:rPr>
          <w:rFonts w:hint="default" w:ascii="Times New Roman" w:hAnsi="Times New Roman" w:cs="Times New Roman"/>
          <w:sz w:val="24"/>
          <w:szCs w:val="24"/>
        </w:rPr>
        <w:t>3.3 Study Area</w:t>
      </w:r>
    </w:p>
    <w:p w14:paraId="11FB46CD">
      <w:pPr>
        <w:pStyle w:val="7"/>
        <w:keepNext w:val="0"/>
        <w:keepLines w:val="0"/>
        <w:pageBreakBefore w:val="0"/>
        <w:widowControl/>
        <w:suppressLineNumbers w:val="0"/>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r>
        <w:rPr>
          <w:rFonts w:hint="default" w:ascii="Times New Roman" w:hAnsi="Times New Roman" w:cs="Times New Roman"/>
          <w:sz w:val="24"/>
          <w:szCs w:val="24"/>
        </w:rPr>
        <w:t>The study focuse</w:t>
      </w:r>
      <w:r>
        <w:rPr>
          <w:rFonts w:hint="default" w:cs="Times New Roman"/>
          <w:sz w:val="24"/>
          <w:szCs w:val="24"/>
          <w:lang w:val="en-CA"/>
        </w:rPr>
        <w:t>d</w:t>
      </w:r>
      <w:r>
        <w:rPr>
          <w:rFonts w:hint="default" w:ascii="Times New Roman" w:hAnsi="Times New Roman" w:cs="Times New Roman"/>
          <w:sz w:val="24"/>
          <w:szCs w:val="24"/>
        </w:rPr>
        <w:t xml:space="preserve"> on Nigeria, Kenya, and India. These countries </w:t>
      </w:r>
      <w:r>
        <w:rPr>
          <w:rFonts w:hint="default" w:cs="Times New Roman"/>
          <w:sz w:val="24"/>
          <w:szCs w:val="24"/>
          <w:lang w:val="en-CA"/>
        </w:rPr>
        <w:t>were</w:t>
      </w:r>
      <w:r>
        <w:rPr>
          <w:rFonts w:hint="default" w:ascii="Times New Roman" w:hAnsi="Times New Roman" w:cs="Times New Roman"/>
          <w:sz w:val="24"/>
          <w:szCs w:val="24"/>
        </w:rPr>
        <w:t xml:space="preserve"> selected because they represent emerging markets with expanding digital financial ecosystems and rising retail participation in mobile-based investment platforms.</w:t>
      </w:r>
    </w:p>
    <w:p w14:paraId="5C7D604D">
      <w:pPr>
        <w:pStyle w:val="7"/>
        <w:keepNext w:val="0"/>
        <w:keepLines w:val="0"/>
        <w:pageBreakBefore w:val="0"/>
        <w:widowControl/>
        <w:suppressLineNumbers w:val="0"/>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r>
        <w:rPr>
          <w:rFonts w:hint="default" w:ascii="Times New Roman" w:hAnsi="Times New Roman" w:cs="Times New Roman"/>
          <w:sz w:val="24"/>
          <w:szCs w:val="24"/>
        </w:rPr>
        <w:t>Nigeria is relevant because of the growing use of digital investment applications such as Bamboo, Trove, Risevest, and Chipper Cash Investing. Kenya provides a strong mobile-finance context supported by widespread digital financial inclusion and mobile-money infrastructure. India is included because of its large retail trading market and the rapid growth of mobile brokerage platforms such as Zerodha and Groww.</w:t>
      </w:r>
    </w:p>
    <w:p w14:paraId="0F96EC5C">
      <w:pPr>
        <w:pStyle w:val="7"/>
        <w:keepNext w:val="0"/>
        <w:keepLines w:val="0"/>
        <w:pageBreakBefore w:val="0"/>
        <w:widowControl/>
        <w:suppressLineNumbers w:val="0"/>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r>
        <w:rPr>
          <w:rFonts w:hint="default" w:ascii="Times New Roman" w:hAnsi="Times New Roman" w:cs="Times New Roman"/>
          <w:sz w:val="24"/>
          <w:szCs w:val="24"/>
        </w:rPr>
        <w:t>The three-country scope allows the study to compare investor behavior across different regulatory systems, levels of FinTech maturity, and market participation patterns.</w:t>
      </w:r>
    </w:p>
    <w:p w14:paraId="4FD5F62C">
      <w:pPr>
        <w:pStyle w:val="7"/>
        <w:keepNext w:val="0"/>
        <w:keepLines w:val="0"/>
        <w:pageBreakBefore w:val="0"/>
        <w:widowControl/>
        <w:suppressLineNumbers w:val="0"/>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p>
    <w:p w14:paraId="578AB320">
      <w:pPr>
        <w:pStyle w:val="3"/>
        <w:keepNext w:val="0"/>
        <w:keepLines w:val="0"/>
        <w:pageBreakBefore w:val="0"/>
        <w:widowControl/>
        <w:suppressLineNumbers w:val="0"/>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r>
        <w:rPr>
          <w:rFonts w:hint="default" w:ascii="Times New Roman" w:hAnsi="Times New Roman" w:cs="Times New Roman"/>
          <w:sz w:val="24"/>
          <w:szCs w:val="24"/>
        </w:rPr>
        <w:t>3.4 Population of the Study</w:t>
      </w:r>
    </w:p>
    <w:p w14:paraId="36ECE766">
      <w:pPr>
        <w:pStyle w:val="7"/>
        <w:keepNext w:val="0"/>
        <w:keepLines w:val="0"/>
        <w:pageBreakBefore w:val="0"/>
        <w:widowControl/>
        <w:suppressLineNumbers w:val="0"/>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r>
        <w:rPr>
          <w:rFonts w:hint="default" w:ascii="Times New Roman" w:hAnsi="Times New Roman" w:cs="Times New Roman"/>
          <w:sz w:val="24"/>
          <w:szCs w:val="24"/>
        </w:rPr>
        <w:t>The target population consists of retail investors who use digital trading and investment platforms in Nigeria, Kenya, and India. These include users of Bamboo, Trove, Risevest, Zerodha, Groww, eToro, Chipper Cash Investing, and similar mobile-based brokerage platforms.</w:t>
      </w:r>
    </w:p>
    <w:p w14:paraId="7D9D3C3D">
      <w:pPr>
        <w:pStyle w:val="7"/>
        <w:keepNext w:val="0"/>
        <w:keepLines w:val="0"/>
        <w:pageBreakBefore w:val="0"/>
        <w:widowControl/>
        <w:suppressLineNumbers w:val="0"/>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r>
        <w:rPr>
          <w:rFonts w:hint="default" w:ascii="Times New Roman" w:hAnsi="Times New Roman" w:cs="Times New Roman"/>
          <w:sz w:val="24"/>
          <w:szCs w:val="24"/>
        </w:rPr>
        <w:t>The study focuses on individual retail investors because they are directly exposed to platform design, gamification, social trading influence, finfluencer content, and mobile investment features. Eligible respondents must have used at least one digital trading application within the twelve months preceding the survey.</w:t>
      </w:r>
    </w:p>
    <w:p w14:paraId="1BB174A0">
      <w:pPr>
        <w:pStyle w:val="7"/>
        <w:keepNext w:val="0"/>
        <w:keepLines w:val="0"/>
        <w:pageBreakBefore w:val="0"/>
        <w:widowControl/>
        <w:suppressLineNumbers w:val="0"/>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p>
    <w:p w14:paraId="7BD5528F">
      <w:pPr>
        <w:pStyle w:val="3"/>
        <w:keepNext w:val="0"/>
        <w:keepLines w:val="0"/>
        <w:pageBreakBefore w:val="0"/>
        <w:widowControl/>
        <w:suppressLineNumbers w:val="0"/>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r>
        <w:rPr>
          <w:rFonts w:hint="default" w:ascii="Times New Roman" w:hAnsi="Times New Roman" w:cs="Times New Roman"/>
          <w:sz w:val="24"/>
          <w:szCs w:val="24"/>
        </w:rPr>
        <w:t>3.5 Sample Size</w:t>
      </w:r>
    </w:p>
    <w:p w14:paraId="4F1657ED">
      <w:pPr>
        <w:pStyle w:val="7"/>
        <w:keepNext w:val="0"/>
        <w:keepLines w:val="0"/>
        <w:pageBreakBefore w:val="0"/>
        <w:widowControl/>
        <w:suppressLineNumbers w:val="0"/>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r>
        <w:rPr>
          <w:rFonts w:hint="default" w:ascii="Times New Roman" w:hAnsi="Times New Roman" w:cs="Times New Roman"/>
          <w:sz w:val="24"/>
          <w:szCs w:val="24"/>
        </w:rPr>
        <w:t>The study uses 814 valid responses obtained from retail investors across Nigeria, Kenya, and India. This sample size is adequate for Partial Least Squares Structural Equation Modeling, mediation analysis, moderation analysis, and cross-country comparison.</w:t>
      </w:r>
    </w:p>
    <w:p w14:paraId="04CEA139">
      <w:pPr>
        <w:pStyle w:val="7"/>
        <w:keepNext w:val="0"/>
        <w:keepLines w:val="0"/>
        <w:pageBreakBefore w:val="0"/>
        <w:widowControl/>
        <w:suppressLineNumbers w:val="0"/>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r>
        <w:rPr>
          <w:rFonts w:hint="default" w:ascii="Times New Roman" w:hAnsi="Times New Roman" w:cs="Times New Roman"/>
          <w:sz w:val="24"/>
          <w:szCs w:val="24"/>
        </w:rPr>
        <w:t>The sample size is justified because SEM requires a reasonably large number of observations to estimate latent constructs reliably. It also improves the stability of path estimates and strengthens the validity of the findings. In addition, selected respondents are used for semi-structured interviews to support the qualitative phase of the study.</w:t>
      </w:r>
    </w:p>
    <w:p w14:paraId="387A5241">
      <w:pPr>
        <w:pStyle w:val="7"/>
        <w:keepNext w:val="0"/>
        <w:keepLines w:val="0"/>
        <w:pageBreakBefore w:val="0"/>
        <w:widowControl/>
        <w:suppressLineNumbers w:val="0"/>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p>
    <w:p w14:paraId="555B0773">
      <w:pPr>
        <w:pStyle w:val="3"/>
        <w:keepNext w:val="0"/>
        <w:keepLines w:val="0"/>
        <w:pageBreakBefore w:val="0"/>
        <w:widowControl/>
        <w:suppressLineNumbers w:val="0"/>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r>
        <w:rPr>
          <w:rFonts w:hint="default" w:ascii="Times New Roman" w:hAnsi="Times New Roman" w:cs="Times New Roman"/>
          <w:sz w:val="24"/>
          <w:szCs w:val="24"/>
        </w:rPr>
        <w:t>3.6 Sampling Technique</w:t>
      </w:r>
    </w:p>
    <w:p w14:paraId="70699259">
      <w:pPr>
        <w:pStyle w:val="7"/>
        <w:keepNext w:val="0"/>
        <w:keepLines w:val="0"/>
        <w:pageBreakBefore w:val="0"/>
        <w:widowControl/>
        <w:suppressLineNumbers w:val="0"/>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r>
        <w:rPr>
          <w:rFonts w:hint="default" w:ascii="Times New Roman" w:hAnsi="Times New Roman" w:cs="Times New Roman"/>
          <w:sz w:val="24"/>
          <w:szCs w:val="24"/>
        </w:rPr>
        <w:t>The study use</w:t>
      </w:r>
      <w:r>
        <w:rPr>
          <w:rFonts w:hint="default" w:cs="Times New Roman"/>
          <w:sz w:val="24"/>
          <w:szCs w:val="24"/>
          <w:lang w:val="en-CA"/>
        </w:rPr>
        <w:t>d</w:t>
      </w:r>
      <w:r>
        <w:rPr>
          <w:rFonts w:hint="default" w:ascii="Times New Roman" w:hAnsi="Times New Roman" w:cs="Times New Roman"/>
          <w:sz w:val="24"/>
          <w:szCs w:val="24"/>
        </w:rPr>
        <w:t xml:space="preserve"> a multi-stage sampling technique supported by stratified random sampling. The first stage involves the purposive selection of Nigeria, Kenya, and India based on FinTech penetration, digital trading growth, and mobile investment activity.</w:t>
      </w:r>
    </w:p>
    <w:p w14:paraId="6324DE04">
      <w:pPr>
        <w:pStyle w:val="7"/>
        <w:keepNext w:val="0"/>
        <w:keepLines w:val="0"/>
        <w:pageBreakBefore w:val="0"/>
        <w:widowControl/>
        <w:suppressLineNumbers w:val="0"/>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r>
        <w:rPr>
          <w:rFonts w:hint="default" w:ascii="Times New Roman" w:hAnsi="Times New Roman" w:cs="Times New Roman"/>
          <w:sz w:val="24"/>
          <w:szCs w:val="24"/>
        </w:rPr>
        <w:t>The second stage involves the identification of major digital investment platforms used by retail investors in the selected countries. The third stage applies stratified sampling to ensure representation across relevant categories such as country, age, trading experience, income level, and platform type.</w:t>
      </w:r>
    </w:p>
    <w:p w14:paraId="6DA20A37">
      <w:pPr>
        <w:pStyle w:val="7"/>
        <w:keepNext w:val="0"/>
        <w:keepLines w:val="0"/>
        <w:pageBreakBefore w:val="0"/>
        <w:widowControl/>
        <w:suppressLineNumbers w:val="0"/>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r>
        <w:rPr>
          <w:rFonts w:hint="default" w:ascii="Times New Roman" w:hAnsi="Times New Roman" w:cs="Times New Roman"/>
          <w:sz w:val="24"/>
          <w:szCs w:val="24"/>
        </w:rPr>
        <w:t>This approach improves representativeness and allows the study to capture differences among retail investors across the selected emerging markets.</w:t>
      </w:r>
    </w:p>
    <w:p w14:paraId="34C071F8">
      <w:pPr>
        <w:pStyle w:val="7"/>
        <w:keepNext w:val="0"/>
        <w:keepLines w:val="0"/>
        <w:pageBreakBefore w:val="0"/>
        <w:widowControl/>
        <w:suppressLineNumbers w:val="0"/>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p>
    <w:p w14:paraId="2BCF983E">
      <w:pPr>
        <w:pStyle w:val="3"/>
        <w:keepNext w:val="0"/>
        <w:keepLines w:val="0"/>
        <w:pageBreakBefore w:val="0"/>
        <w:widowControl/>
        <w:suppressLineNumbers w:val="0"/>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r>
        <w:rPr>
          <w:rFonts w:hint="default" w:ascii="Times New Roman" w:hAnsi="Times New Roman" w:cs="Times New Roman"/>
          <w:sz w:val="24"/>
          <w:szCs w:val="24"/>
        </w:rPr>
        <w:t>3.7 Sources of Data</w:t>
      </w:r>
    </w:p>
    <w:p w14:paraId="74D9A9E3">
      <w:pPr>
        <w:pStyle w:val="7"/>
        <w:keepNext w:val="0"/>
        <w:keepLines w:val="0"/>
        <w:pageBreakBefore w:val="0"/>
        <w:widowControl/>
        <w:suppressLineNumbers w:val="0"/>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r>
        <w:rPr>
          <w:rFonts w:hint="default" w:ascii="Times New Roman" w:hAnsi="Times New Roman" w:cs="Times New Roman"/>
          <w:sz w:val="24"/>
          <w:szCs w:val="24"/>
        </w:rPr>
        <w:t>The study uses both primary and secondary data. Primary data are collected through structured questionnaires and semi-structured interviews. The questionnaire provides measurable data on the key constructs, while the interviews supply deeper explanations of investor experience and decision-making behavior.</w:t>
      </w:r>
    </w:p>
    <w:p w14:paraId="2E87FA36">
      <w:pPr>
        <w:pStyle w:val="7"/>
        <w:keepNext w:val="0"/>
        <w:keepLines w:val="0"/>
        <w:pageBreakBefore w:val="0"/>
        <w:widowControl/>
        <w:suppressLineNumbers w:val="0"/>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r>
        <w:rPr>
          <w:rFonts w:hint="default" w:ascii="Times New Roman" w:hAnsi="Times New Roman" w:cs="Times New Roman"/>
          <w:sz w:val="24"/>
          <w:szCs w:val="24"/>
        </w:rPr>
        <w:t>Secondary data are obtained from brokerage reports, Google Trends indicators, app usage metrics, World Bank FinTech databases, IMF digital finance reports, and publicly available market participation statistics. The use of multiple data sources strengthens the study through triangulation.</w:t>
      </w:r>
    </w:p>
    <w:p w14:paraId="3205349F">
      <w:pPr>
        <w:pStyle w:val="7"/>
        <w:keepNext w:val="0"/>
        <w:keepLines w:val="0"/>
        <w:pageBreakBefore w:val="0"/>
        <w:widowControl/>
        <w:suppressLineNumbers w:val="0"/>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p>
    <w:p w14:paraId="778EC663">
      <w:pPr>
        <w:pStyle w:val="3"/>
        <w:keepNext w:val="0"/>
        <w:keepLines w:val="0"/>
        <w:pageBreakBefore w:val="0"/>
        <w:widowControl/>
        <w:suppressLineNumbers w:val="0"/>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r>
        <w:rPr>
          <w:rFonts w:hint="default" w:ascii="Times New Roman" w:hAnsi="Times New Roman" w:cs="Times New Roman"/>
          <w:sz w:val="24"/>
          <w:szCs w:val="24"/>
        </w:rPr>
        <w:t>3.8 Measurement of Variables</w:t>
      </w:r>
    </w:p>
    <w:p w14:paraId="1414ACC2">
      <w:pPr>
        <w:pStyle w:val="7"/>
        <w:keepNext w:val="0"/>
        <w:keepLines w:val="0"/>
        <w:pageBreakBefore w:val="0"/>
        <w:widowControl/>
        <w:suppressLineNumbers w:val="0"/>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r>
        <w:rPr>
          <w:rFonts w:hint="default" w:ascii="Times New Roman" w:hAnsi="Times New Roman" w:cs="Times New Roman"/>
          <w:sz w:val="24"/>
          <w:szCs w:val="24"/>
        </w:rPr>
        <w:t>The study measure</w:t>
      </w:r>
      <w:r>
        <w:rPr>
          <w:rFonts w:hint="default" w:cs="Times New Roman"/>
          <w:sz w:val="24"/>
          <w:szCs w:val="24"/>
          <w:lang w:val="en-CA"/>
        </w:rPr>
        <w:t>d</w:t>
      </w:r>
      <w:r>
        <w:rPr>
          <w:rFonts w:hint="default" w:ascii="Times New Roman" w:hAnsi="Times New Roman" w:cs="Times New Roman"/>
          <w:sz w:val="24"/>
          <w:szCs w:val="24"/>
        </w:rPr>
        <w:t xml:space="preserve"> the main variables using multi-item Likert-scale constructs adapted from behavioral finance and FinTech literature. Respondents </w:t>
      </w:r>
      <w:r>
        <w:rPr>
          <w:rFonts w:hint="default" w:cs="Times New Roman"/>
          <w:sz w:val="24"/>
          <w:szCs w:val="24"/>
          <w:lang w:val="en-CA"/>
        </w:rPr>
        <w:t>rated</w:t>
      </w:r>
      <w:r>
        <w:rPr>
          <w:rFonts w:hint="default" w:ascii="Times New Roman" w:hAnsi="Times New Roman" w:cs="Times New Roman"/>
          <w:sz w:val="24"/>
          <w:szCs w:val="24"/>
        </w:rPr>
        <w:t xml:space="preserve"> each item on a five-point scale ranging from “strongly disagree” to “strongly agree.”</w:t>
      </w:r>
    </w:p>
    <w:p w14:paraId="15BAF024">
      <w:pPr>
        <w:pStyle w:val="7"/>
        <w:keepNext w:val="0"/>
        <w:keepLines w:val="0"/>
        <w:pageBreakBefore w:val="0"/>
        <w:widowControl/>
        <w:suppressLineNumbers w:val="0"/>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r>
        <w:rPr>
          <w:rFonts w:hint="default" w:ascii="Times New Roman" w:hAnsi="Times New Roman" w:cs="Times New Roman"/>
          <w:sz w:val="24"/>
          <w:szCs w:val="24"/>
        </w:rPr>
        <w:t xml:space="preserve">Platform accessibility is measured through ease of use, low transaction </w:t>
      </w:r>
      <w:r>
        <w:rPr>
          <w:rFonts w:hint="default" w:cs="Times New Roman"/>
          <w:sz w:val="24"/>
          <w:szCs w:val="24"/>
          <w:lang w:val="en-CA"/>
        </w:rPr>
        <w:t>costs</w:t>
      </w:r>
      <w:r>
        <w:rPr>
          <w:rFonts w:hint="default" w:ascii="Times New Roman" w:hAnsi="Times New Roman" w:cs="Times New Roman"/>
          <w:sz w:val="24"/>
          <w:szCs w:val="24"/>
        </w:rPr>
        <w:t>, mobile convenience, and real-time access. Gamification is measured through reward notifications, achievement prompts, and interface engagement. Finfluencer influence is measured through reliance on social media investment content, influencer credibility, and participation in online trading communities.</w:t>
      </w:r>
    </w:p>
    <w:p w14:paraId="574E301E">
      <w:pPr>
        <w:pStyle w:val="7"/>
        <w:keepNext w:val="0"/>
        <w:keepLines w:val="0"/>
        <w:pageBreakBefore w:val="0"/>
        <w:widowControl/>
        <w:suppressLineNumbers w:val="0"/>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r>
        <w:rPr>
          <w:rFonts w:hint="default" w:ascii="Times New Roman" w:hAnsi="Times New Roman" w:cs="Times New Roman"/>
          <w:sz w:val="24"/>
          <w:szCs w:val="24"/>
        </w:rPr>
        <w:t>Retail investor behavior is measured through trading intensity, overtrading, herding behavior, and speculative trading. Financial literacy is measured through investment knowledge, digital finance understanding, and risk awareness. Risk tolerance is measured through willingness to accept volatility, speculative exposure, and potential investment losses.</w:t>
      </w:r>
    </w:p>
    <w:p w14:paraId="028DF6CB">
      <w:pPr>
        <w:pStyle w:val="7"/>
        <w:keepNext w:val="0"/>
        <w:keepLines w:val="0"/>
        <w:pageBreakBefore w:val="0"/>
        <w:widowControl/>
        <w:suppressLineNumbers w:val="0"/>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p>
    <w:p w14:paraId="3EB764BE">
      <w:pPr>
        <w:pStyle w:val="3"/>
        <w:keepNext w:val="0"/>
        <w:keepLines w:val="0"/>
        <w:pageBreakBefore w:val="0"/>
        <w:widowControl/>
        <w:suppressLineNumbers w:val="0"/>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r>
        <w:rPr>
          <w:rFonts w:hint="default" w:ascii="Times New Roman" w:hAnsi="Times New Roman" w:cs="Times New Roman"/>
          <w:sz w:val="24"/>
          <w:szCs w:val="24"/>
        </w:rPr>
        <w:t>3.9 Model Specification</w:t>
      </w:r>
    </w:p>
    <w:p w14:paraId="1234BC78">
      <w:pPr>
        <w:pStyle w:val="7"/>
        <w:keepNext w:val="0"/>
        <w:keepLines w:val="0"/>
        <w:pageBreakBefore w:val="0"/>
        <w:widowControl/>
        <w:suppressLineNumbers w:val="0"/>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r>
        <w:rPr>
          <w:rFonts w:hint="default" w:ascii="Times New Roman" w:hAnsi="Times New Roman" w:cs="Times New Roman"/>
          <w:sz w:val="24"/>
          <w:szCs w:val="24"/>
        </w:rPr>
        <w:t>The study adopts Partial Least Squares Structural Equation Modeling as the main analytical model. PLS-SEM is appropriate because the study involves latent behavioral constructs and complex relationships among digital platform features, investor psychology, and trading behavior.</w:t>
      </w:r>
    </w:p>
    <w:p w14:paraId="629D8F39">
      <w:pPr>
        <w:pStyle w:val="7"/>
        <w:keepNext w:val="0"/>
        <w:keepLines w:val="0"/>
        <w:pageBreakBefore w:val="0"/>
        <w:widowControl/>
        <w:suppressLineNumbers w:val="0"/>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r>
        <w:rPr>
          <w:rFonts w:hint="default" w:ascii="Times New Roman" w:hAnsi="Times New Roman" w:cs="Times New Roman"/>
          <w:sz w:val="24"/>
          <w:szCs w:val="24"/>
        </w:rPr>
        <w:t>The core mediation relationship is specified as:</w:t>
      </w:r>
    </w:p>
    <w:p w14:paraId="293D08D1">
      <w:pPr>
        <w:pStyle w:val="7"/>
        <w:keepNext w:val="0"/>
        <w:keepLines w:val="0"/>
        <w:pageBreakBefore w:val="0"/>
        <w:widowControl/>
        <w:suppressLineNumbers w:val="0"/>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r>
        <w:rPr>
          <w:rStyle w:val="8"/>
          <w:rFonts w:hint="default" w:ascii="Times New Roman" w:hAnsi="Times New Roman" w:cs="Times New Roman"/>
          <w:sz w:val="24"/>
          <w:szCs w:val="24"/>
        </w:rPr>
        <w:t>DTP → FL → TI</w:t>
      </w:r>
    </w:p>
    <w:p w14:paraId="78C7554E">
      <w:pPr>
        <w:pStyle w:val="7"/>
        <w:keepNext w:val="0"/>
        <w:keepLines w:val="0"/>
        <w:pageBreakBefore w:val="0"/>
        <w:widowControl/>
        <w:suppressLineNumbers w:val="0"/>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r>
        <w:rPr>
          <w:rFonts w:hint="default" w:ascii="Times New Roman" w:hAnsi="Times New Roman" w:cs="Times New Roman"/>
          <w:sz w:val="24"/>
          <w:szCs w:val="24"/>
        </w:rPr>
        <w:t>Where:</w:t>
      </w:r>
    </w:p>
    <w:p w14:paraId="7DA6CA74">
      <w:pPr>
        <w:pStyle w:val="7"/>
        <w:keepNext w:val="0"/>
        <w:keepLines w:val="0"/>
        <w:pageBreakBefore w:val="0"/>
        <w:widowControl/>
        <w:suppressLineNumbers w:val="0"/>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r>
        <w:rPr>
          <w:rStyle w:val="8"/>
          <w:rFonts w:hint="default" w:ascii="Times New Roman" w:hAnsi="Times New Roman" w:cs="Times New Roman"/>
          <w:sz w:val="24"/>
          <w:szCs w:val="24"/>
        </w:rPr>
        <w:t>DTP</w:t>
      </w:r>
      <w:r>
        <w:rPr>
          <w:rFonts w:hint="default" w:ascii="Times New Roman" w:hAnsi="Times New Roman" w:cs="Times New Roman"/>
          <w:sz w:val="24"/>
          <w:szCs w:val="24"/>
        </w:rPr>
        <w:t xml:space="preserve"> = Digital Trading Platform</w:t>
      </w:r>
      <w:r>
        <w:rPr>
          <w:rFonts w:hint="default" w:ascii="Times New Roman" w:hAnsi="Times New Roman" w:cs="Times New Roman"/>
          <w:sz w:val="24"/>
          <w:szCs w:val="24"/>
        </w:rPr>
        <w:br w:type="textWrapping"/>
      </w:r>
      <w:r>
        <w:rPr>
          <w:rStyle w:val="8"/>
          <w:rFonts w:hint="default" w:ascii="Times New Roman" w:hAnsi="Times New Roman" w:cs="Times New Roman"/>
          <w:sz w:val="24"/>
          <w:szCs w:val="24"/>
        </w:rPr>
        <w:t>FL</w:t>
      </w:r>
      <w:r>
        <w:rPr>
          <w:rFonts w:hint="default" w:ascii="Times New Roman" w:hAnsi="Times New Roman" w:cs="Times New Roman"/>
          <w:sz w:val="24"/>
          <w:szCs w:val="24"/>
        </w:rPr>
        <w:t xml:space="preserve"> = Financial Literacy</w:t>
      </w:r>
      <w:r>
        <w:rPr>
          <w:rFonts w:hint="default" w:ascii="Times New Roman" w:hAnsi="Times New Roman" w:cs="Times New Roman"/>
          <w:sz w:val="24"/>
          <w:szCs w:val="24"/>
        </w:rPr>
        <w:br w:type="textWrapping"/>
      </w:r>
      <w:r>
        <w:rPr>
          <w:rStyle w:val="8"/>
          <w:rFonts w:hint="default" w:ascii="Times New Roman" w:hAnsi="Times New Roman" w:cs="Times New Roman"/>
          <w:sz w:val="24"/>
          <w:szCs w:val="24"/>
        </w:rPr>
        <w:t>TI</w:t>
      </w:r>
      <w:r>
        <w:rPr>
          <w:rFonts w:hint="default" w:ascii="Times New Roman" w:hAnsi="Times New Roman" w:cs="Times New Roman"/>
          <w:sz w:val="24"/>
          <w:szCs w:val="24"/>
        </w:rPr>
        <w:t xml:space="preserve"> = Trading Intensity</w:t>
      </w:r>
    </w:p>
    <w:p w14:paraId="0DF7ABE7">
      <w:pPr>
        <w:pStyle w:val="7"/>
        <w:keepNext w:val="0"/>
        <w:keepLines w:val="0"/>
        <w:pageBreakBefore w:val="0"/>
        <w:widowControl/>
        <w:suppressLineNumbers w:val="0"/>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r>
        <w:rPr>
          <w:rFonts w:hint="default" w:ascii="Times New Roman" w:hAnsi="Times New Roman" w:cs="Times New Roman"/>
          <w:sz w:val="24"/>
          <w:szCs w:val="24"/>
        </w:rPr>
        <w:t>The study also specifies the following direct relationships:</w:t>
      </w:r>
    </w:p>
    <w:p w14:paraId="3E4CF75C">
      <w:pPr>
        <w:pStyle w:val="7"/>
        <w:keepNext w:val="0"/>
        <w:keepLines w:val="0"/>
        <w:pageBreakBefore w:val="0"/>
        <w:widowControl/>
        <w:suppressLineNumbers w:val="0"/>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r>
        <w:rPr>
          <w:rStyle w:val="8"/>
          <w:rFonts w:hint="default" w:ascii="Times New Roman" w:hAnsi="Times New Roman" w:cs="Times New Roman"/>
          <w:sz w:val="24"/>
          <w:szCs w:val="24"/>
        </w:rPr>
        <w:t>DTP → HB</w:t>
      </w:r>
      <w:r>
        <w:rPr>
          <w:rFonts w:hint="default" w:ascii="Times New Roman" w:hAnsi="Times New Roman" w:cs="Times New Roman"/>
          <w:sz w:val="24"/>
          <w:szCs w:val="24"/>
        </w:rPr>
        <w:br w:type="textWrapping"/>
      </w:r>
      <w:r>
        <w:rPr>
          <w:rStyle w:val="8"/>
          <w:rFonts w:hint="default" w:ascii="Times New Roman" w:hAnsi="Times New Roman" w:cs="Times New Roman"/>
          <w:sz w:val="24"/>
          <w:szCs w:val="24"/>
        </w:rPr>
        <w:t>GAM → OT</w:t>
      </w:r>
      <w:r>
        <w:rPr>
          <w:rFonts w:hint="default" w:ascii="Times New Roman" w:hAnsi="Times New Roman" w:cs="Times New Roman"/>
          <w:sz w:val="24"/>
          <w:szCs w:val="24"/>
        </w:rPr>
        <w:br w:type="textWrapping"/>
      </w:r>
      <w:r>
        <w:rPr>
          <w:rStyle w:val="8"/>
          <w:rFonts w:hint="default" w:ascii="Times New Roman" w:hAnsi="Times New Roman" w:cs="Times New Roman"/>
          <w:sz w:val="24"/>
          <w:szCs w:val="24"/>
        </w:rPr>
        <w:t>FINF → HB</w:t>
      </w:r>
    </w:p>
    <w:p w14:paraId="7840711C">
      <w:pPr>
        <w:pStyle w:val="7"/>
        <w:keepNext w:val="0"/>
        <w:keepLines w:val="0"/>
        <w:pageBreakBefore w:val="0"/>
        <w:widowControl/>
        <w:suppressLineNumbers w:val="0"/>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r>
        <w:rPr>
          <w:rFonts w:hint="default" w:ascii="Times New Roman" w:hAnsi="Times New Roman" w:cs="Times New Roman"/>
          <w:sz w:val="24"/>
          <w:szCs w:val="24"/>
        </w:rPr>
        <w:t>Where:</w:t>
      </w:r>
    </w:p>
    <w:p w14:paraId="06D4DFF5">
      <w:pPr>
        <w:pStyle w:val="7"/>
        <w:keepNext w:val="0"/>
        <w:keepLines w:val="0"/>
        <w:pageBreakBefore w:val="0"/>
        <w:widowControl/>
        <w:suppressLineNumbers w:val="0"/>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r>
        <w:rPr>
          <w:rStyle w:val="8"/>
          <w:rFonts w:hint="default" w:ascii="Times New Roman" w:hAnsi="Times New Roman" w:cs="Times New Roman"/>
          <w:sz w:val="24"/>
          <w:szCs w:val="24"/>
        </w:rPr>
        <w:t>HB</w:t>
      </w:r>
      <w:r>
        <w:rPr>
          <w:rFonts w:hint="default" w:ascii="Times New Roman" w:hAnsi="Times New Roman" w:cs="Times New Roman"/>
          <w:sz w:val="24"/>
          <w:szCs w:val="24"/>
        </w:rPr>
        <w:t xml:space="preserve"> = Herding Behavior</w:t>
      </w:r>
      <w:r>
        <w:rPr>
          <w:rFonts w:hint="default" w:ascii="Times New Roman" w:hAnsi="Times New Roman" w:cs="Times New Roman"/>
          <w:sz w:val="24"/>
          <w:szCs w:val="24"/>
        </w:rPr>
        <w:br w:type="textWrapping"/>
      </w:r>
      <w:r>
        <w:rPr>
          <w:rStyle w:val="8"/>
          <w:rFonts w:hint="default" w:ascii="Times New Roman" w:hAnsi="Times New Roman" w:cs="Times New Roman"/>
          <w:sz w:val="24"/>
          <w:szCs w:val="24"/>
        </w:rPr>
        <w:t>GAM</w:t>
      </w:r>
      <w:r>
        <w:rPr>
          <w:rFonts w:hint="default" w:ascii="Times New Roman" w:hAnsi="Times New Roman" w:cs="Times New Roman"/>
          <w:sz w:val="24"/>
          <w:szCs w:val="24"/>
        </w:rPr>
        <w:t xml:space="preserve"> = Gamification</w:t>
      </w:r>
      <w:r>
        <w:rPr>
          <w:rFonts w:hint="default" w:ascii="Times New Roman" w:hAnsi="Times New Roman" w:cs="Times New Roman"/>
          <w:sz w:val="24"/>
          <w:szCs w:val="24"/>
        </w:rPr>
        <w:br w:type="textWrapping"/>
      </w:r>
      <w:r>
        <w:rPr>
          <w:rStyle w:val="8"/>
          <w:rFonts w:hint="default" w:ascii="Times New Roman" w:hAnsi="Times New Roman" w:cs="Times New Roman"/>
          <w:sz w:val="24"/>
          <w:szCs w:val="24"/>
        </w:rPr>
        <w:t>OT</w:t>
      </w:r>
      <w:r>
        <w:rPr>
          <w:rFonts w:hint="default" w:ascii="Times New Roman" w:hAnsi="Times New Roman" w:cs="Times New Roman"/>
          <w:sz w:val="24"/>
          <w:szCs w:val="24"/>
        </w:rPr>
        <w:t xml:space="preserve"> = Overtrading</w:t>
      </w:r>
      <w:r>
        <w:rPr>
          <w:rFonts w:hint="default" w:ascii="Times New Roman" w:hAnsi="Times New Roman" w:cs="Times New Roman"/>
          <w:sz w:val="24"/>
          <w:szCs w:val="24"/>
        </w:rPr>
        <w:br w:type="textWrapping"/>
      </w:r>
      <w:r>
        <w:rPr>
          <w:rStyle w:val="8"/>
          <w:rFonts w:hint="default" w:ascii="Times New Roman" w:hAnsi="Times New Roman" w:cs="Times New Roman"/>
          <w:sz w:val="24"/>
          <w:szCs w:val="24"/>
        </w:rPr>
        <w:t>FINF</w:t>
      </w:r>
      <w:r>
        <w:rPr>
          <w:rFonts w:hint="default" w:ascii="Times New Roman" w:hAnsi="Times New Roman" w:cs="Times New Roman"/>
          <w:sz w:val="24"/>
          <w:szCs w:val="24"/>
        </w:rPr>
        <w:t xml:space="preserve"> = Finfluencer Influence</w:t>
      </w:r>
    </w:p>
    <w:p w14:paraId="28E8AF56">
      <w:pPr>
        <w:pStyle w:val="7"/>
        <w:keepNext w:val="0"/>
        <w:keepLines w:val="0"/>
        <w:pageBreakBefore w:val="0"/>
        <w:widowControl/>
        <w:suppressLineNumbers w:val="0"/>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r>
        <w:rPr>
          <w:rFonts w:hint="default" w:ascii="Times New Roman" w:hAnsi="Times New Roman" w:cs="Times New Roman"/>
          <w:sz w:val="24"/>
          <w:szCs w:val="24"/>
        </w:rPr>
        <w:t>Risk tolerance is included as a moderating variable in the relationship between platform usage and speculative trading behavior.</w:t>
      </w:r>
    </w:p>
    <w:p w14:paraId="74B053D5">
      <w:pPr>
        <w:pStyle w:val="7"/>
        <w:keepNext w:val="0"/>
        <w:keepLines w:val="0"/>
        <w:pageBreakBefore w:val="0"/>
        <w:widowControl/>
        <w:suppressLineNumbers w:val="0"/>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p>
    <w:p w14:paraId="7B2202FC">
      <w:pPr>
        <w:pStyle w:val="3"/>
        <w:keepNext w:val="0"/>
        <w:keepLines w:val="0"/>
        <w:pageBreakBefore w:val="0"/>
        <w:widowControl/>
        <w:suppressLineNumbers w:val="0"/>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r>
        <w:rPr>
          <w:rFonts w:hint="default" w:ascii="Times New Roman" w:hAnsi="Times New Roman" w:cs="Times New Roman"/>
          <w:sz w:val="24"/>
          <w:szCs w:val="24"/>
        </w:rPr>
        <w:t>3.10 Estimation Technique</w:t>
      </w:r>
    </w:p>
    <w:p w14:paraId="64549D4B">
      <w:pPr>
        <w:pStyle w:val="7"/>
        <w:keepNext w:val="0"/>
        <w:keepLines w:val="0"/>
        <w:pageBreakBefore w:val="0"/>
        <w:widowControl/>
        <w:suppressLineNumbers w:val="0"/>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r>
        <w:rPr>
          <w:rFonts w:hint="default" w:ascii="Times New Roman" w:hAnsi="Times New Roman" w:cs="Times New Roman"/>
          <w:sz w:val="24"/>
          <w:szCs w:val="24"/>
        </w:rPr>
        <w:t>Data are analyzed using SmartPLS and STATA. SmartPLS is used for the PLS-SEM analysis, while STATA supports descriptive statistics and supplementary analysis.</w:t>
      </w:r>
    </w:p>
    <w:p w14:paraId="3901EB1A">
      <w:pPr>
        <w:pStyle w:val="7"/>
        <w:keepNext w:val="0"/>
        <w:keepLines w:val="0"/>
        <w:pageBreakBefore w:val="0"/>
        <w:widowControl/>
        <w:suppressLineNumbers w:val="0"/>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r>
        <w:rPr>
          <w:rFonts w:hint="default" w:ascii="Times New Roman" w:hAnsi="Times New Roman" w:cs="Times New Roman"/>
          <w:sz w:val="24"/>
          <w:szCs w:val="24"/>
        </w:rPr>
        <w:t>The analysis covers both measurement model assessment and structural model evaluation. The measurement model is assessed using Cronbach’s Alpha, Composite Reliability, Average Variance Extracted, indicator loadings, and HTMT ratios. The structural model is evaluated using path coefficients, t-values, p-values, R², mediation effects, moderation effects, predictive relevance, and bootstrapping tests.</w:t>
      </w:r>
    </w:p>
    <w:p w14:paraId="1B671FDB">
      <w:pPr>
        <w:pStyle w:val="7"/>
        <w:keepNext w:val="0"/>
        <w:keepLines w:val="0"/>
        <w:pageBreakBefore w:val="0"/>
        <w:widowControl/>
        <w:suppressLineNumbers w:val="0"/>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r>
        <w:rPr>
          <w:rFonts w:hint="default" w:ascii="Times New Roman" w:hAnsi="Times New Roman" w:cs="Times New Roman"/>
          <w:sz w:val="24"/>
          <w:szCs w:val="24"/>
        </w:rPr>
        <w:t>These procedures are suitable because they test the reliability, validity, explanatory power, and statistical significance of the proposed model.</w:t>
      </w:r>
    </w:p>
    <w:p w14:paraId="16195ACD">
      <w:pPr>
        <w:pStyle w:val="7"/>
        <w:keepNext w:val="0"/>
        <w:keepLines w:val="0"/>
        <w:pageBreakBefore w:val="0"/>
        <w:widowControl/>
        <w:suppressLineNumbers w:val="0"/>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p>
    <w:p w14:paraId="0B8BCB1B">
      <w:pPr>
        <w:pStyle w:val="3"/>
        <w:keepNext w:val="0"/>
        <w:keepLines w:val="0"/>
        <w:pageBreakBefore w:val="0"/>
        <w:widowControl/>
        <w:suppressLineNumbers w:val="0"/>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r>
        <w:rPr>
          <w:rFonts w:hint="default" w:ascii="Times New Roman" w:hAnsi="Times New Roman" w:cs="Times New Roman"/>
          <w:sz w:val="24"/>
          <w:szCs w:val="24"/>
        </w:rPr>
        <w:t>3.11 Ethical Considerations</w:t>
      </w:r>
    </w:p>
    <w:p w14:paraId="455E7993">
      <w:pPr>
        <w:pStyle w:val="7"/>
        <w:keepNext w:val="0"/>
        <w:keepLines w:val="0"/>
        <w:pageBreakBefore w:val="0"/>
        <w:widowControl/>
        <w:suppressLineNumbers w:val="0"/>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r>
        <w:rPr>
          <w:rFonts w:hint="default" w:ascii="Times New Roman" w:hAnsi="Times New Roman" w:cs="Times New Roman"/>
          <w:sz w:val="24"/>
          <w:szCs w:val="24"/>
        </w:rPr>
        <w:t>The study observes standard ethical research procedures. Respondents are informed about the purpose of the study before participation, and informed consent is obtained. Participation is voluntary, and respondents are allowed to withdraw at any stage.</w:t>
      </w:r>
    </w:p>
    <w:p w14:paraId="3EA20D9A">
      <w:pPr>
        <w:pStyle w:val="7"/>
        <w:keepNext w:val="0"/>
        <w:keepLines w:val="0"/>
        <w:pageBreakBefore w:val="0"/>
        <w:widowControl/>
        <w:suppressLineNumbers w:val="0"/>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r>
        <w:rPr>
          <w:rFonts w:hint="default" w:ascii="Times New Roman" w:hAnsi="Times New Roman" w:cs="Times New Roman"/>
          <w:sz w:val="24"/>
          <w:szCs w:val="24"/>
        </w:rPr>
        <w:t>Confidentiality and anonymity are maintained by ensuring that individual identities are not disclosed in the analysis or reporting. The data are used strictly for academic purposes and stored securely. The study also follows relevant data protection requirements for online survey administration and digital research participation.</w:t>
      </w:r>
    </w:p>
    <w:p w14:paraId="6B9A2496">
      <w:pPr>
        <w:pStyle w:val="7"/>
        <w:keepNext w:val="0"/>
        <w:keepLines w:val="0"/>
        <w:pageBreakBefore w:val="0"/>
        <w:widowControl/>
        <w:suppressLineNumbers w:val="0"/>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p>
    <w:p w14:paraId="2C70771B">
      <w:pPr>
        <w:pStyle w:val="2"/>
        <w:keepNext w:val="0"/>
        <w:keepLines w:val="0"/>
        <w:pageBreakBefore w:val="0"/>
        <w:widowControl/>
        <w:suppressLineNumbers w:val="0"/>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8"/>
          <w:szCs w:val="28"/>
        </w:rPr>
      </w:pPr>
      <w:r>
        <w:rPr>
          <w:rFonts w:hint="default" w:ascii="Times New Roman" w:hAnsi="Times New Roman" w:cs="Times New Roman"/>
          <w:sz w:val="28"/>
          <w:szCs w:val="28"/>
        </w:rPr>
        <w:t>4.0 Results and Discussion</w:t>
      </w:r>
    </w:p>
    <w:p w14:paraId="3D291ABD">
      <w:pPr>
        <w:pStyle w:val="3"/>
        <w:keepNext w:val="0"/>
        <w:keepLines w:val="0"/>
        <w:pageBreakBefore w:val="0"/>
        <w:widowControl/>
        <w:suppressLineNumbers w:val="0"/>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r>
        <w:rPr>
          <w:rFonts w:hint="default" w:ascii="Times New Roman" w:hAnsi="Times New Roman" w:cs="Times New Roman"/>
          <w:sz w:val="24"/>
          <w:szCs w:val="24"/>
        </w:rPr>
        <w:t>4.1 Descriptive Statistics</w:t>
      </w:r>
    </w:p>
    <w:p w14:paraId="47CC22F1">
      <w:pPr>
        <w:pStyle w:val="7"/>
        <w:keepNext w:val="0"/>
        <w:keepLines w:val="0"/>
        <w:pageBreakBefore w:val="0"/>
        <w:widowControl/>
        <w:suppressLineNumbers w:val="0"/>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r>
        <w:rPr>
          <w:rFonts w:hint="default" w:ascii="Times New Roman" w:hAnsi="Times New Roman" w:cs="Times New Roman"/>
          <w:sz w:val="24"/>
          <w:szCs w:val="24"/>
        </w:rPr>
        <w:t xml:space="preserve">A total of 920 questionnaires were distributed to retail investors across Nigeria, Kenya, and India. Out of these, 814 valid responses were retrieved and used for analysis, representing a response rate of 88.5%. This response rate is adequate for the analysis and reflects strong participation among retail investors using mobile-based investment platforms. </w:t>
      </w:r>
    </w:p>
    <w:p w14:paraId="05100922">
      <w:pPr>
        <w:pStyle w:val="7"/>
        <w:keepNext w:val="0"/>
        <w:keepLines w:val="0"/>
        <w:pageBreakBefore w:val="0"/>
        <w:widowControl/>
        <w:suppressLineNumbers w:val="0"/>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p>
    <w:p w14:paraId="6AAEC64D">
      <w:pPr>
        <w:pStyle w:val="7"/>
        <w:keepNext w:val="0"/>
        <w:keepLines w:val="0"/>
        <w:pageBreakBefore w:val="0"/>
        <w:widowControl/>
        <w:suppressLineNumbers w:val="0"/>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r>
        <w:rPr>
          <w:rStyle w:val="8"/>
          <w:rFonts w:hint="default" w:ascii="Times New Roman" w:hAnsi="Times New Roman" w:cs="Times New Roman"/>
          <w:sz w:val="24"/>
          <w:szCs w:val="24"/>
        </w:rPr>
        <w:t>Table 4.1: Response Rate</w:t>
      </w:r>
    </w:p>
    <w:tbl>
      <w:tblPr>
        <w:tblStyle w:val="6"/>
        <w:tblW w:w="8475"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4680"/>
        <w:gridCol w:w="1575"/>
        <w:gridCol w:w="2220"/>
      </w:tblGrid>
      <w:tr w14:paraId="44D5F03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4680" w:type="dxa"/>
            <w:tcBorders>
              <w:top w:val="single" w:color="000000" w:sz="8" w:space="0"/>
              <w:left w:val="single" w:color="000000" w:sz="8" w:space="0"/>
              <w:bottom w:val="single" w:color="000000" w:sz="8" w:space="0"/>
              <w:right w:val="nil"/>
            </w:tcBorders>
            <w:shd w:val="clear" w:color="auto" w:fill="auto"/>
            <w:vAlign w:val="center"/>
          </w:tcPr>
          <w:p w14:paraId="35031424">
            <w:pPr>
              <w:pStyle w:val="7"/>
              <w:keepNext w:val="0"/>
              <w:keepLines w:val="0"/>
              <w:pageBreakBefore w:val="0"/>
              <w:widowControl/>
              <w:suppressLineNumbers w:val="0"/>
              <w:kinsoku/>
              <w:wordWrap/>
              <w:overflowPunct/>
              <w:topLinePunct w:val="0"/>
              <w:autoSpaceDE/>
              <w:autoSpaceDN/>
              <w:bidi w:val="0"/>
              <w:adjustRightInd/>
              <w:snapToGrid/>
              <w:spacing w:beforeAutospacing="0" w:afterAutospacing="0"/>
              <w:jc w:val="both"/>
              <w:rPr>
                <w:rFonts w:hint="default" w:ascii="Times New Roman" w:hAnsi="Times New Roman" w:cs="Times New Roman"/>
                <w:b w:val="0"/>
                <w:bCs w:val="0"/>
                <w:sz w:val="24"/>
                <w:szCs w:val="24"/>
                <w:lang w:val="en-CA"/>
              </w:rPr>
            </w:pPr>
            <w:r>
              <w:rPr>
                <w:rFonts w:hint="default" w:ascii="Times New Roman" w:hAnsi="Times New Roman" w:cs="Times New Roman"/>
                <w:b w:val="0"/>
                <w:bCs w:val="0"/>
                <w:sz w:val="24"/>
                <w:szCs w:val="24"/>
                <w:lang w:val="en-CA" w:eastAsia="zh-CN"/>
              </w:rPr>
              <w:t>Item</w:t>
            </w:r>
          </w:p>
        </w:tc>
        <w:tc>
          <w:tcPr>
            <w:tcW w:w="1575" w:type="dxa"/>
            <w:tcBorders>
              <w:top w:val="single" w:color="000000" w:sz="8" w:space="0"/>
              <w:left w:val="nil"/>
              <w:bottom w:val="single" w:color="000000" w:sz="8" w:space="0"/>
              <w:right w:val="nil"/>
            </w:tcBorders>
            <w:shd w:val="clear" w:color="auto" w:fill="auto"/>
            <w:vAlign w:val="center"/>
          </w:tcPr>
          <w:p w14:paraId="57A45A0A">
            <w:pPr>
              <w:pStyle w:val="7"/>
              <w:keepNext w:val="0"/>
              <w:keepLines w:val="0"/>
              <w:pageBreakBefore w:val="0"/>
              <w:widowControl/>
              <w:suppressLineNumbers w:val="0"/>
              <w:kinsoku/>
              <w:wordWrap/>
              <w:overflowPunct/>
              <w:topLinePunct w:val="0"/>
              <w:autoSpaceDE/>
              <w:autoSpaceDN/>
              <w:bidi w:val="0"/>
              <w:adjustRightInd/>
              <w:snapToGrid/>
              <w:spacing w:beforeAutospacing="0" w:afterAutospacing="0"/>
              <w:jc w:val="both"/>
              <w:rPr>
                <w:rFonts w:hint="default" w:ascii="Times New Roman" w:hAnsi="Times New Roman" w:cs="Times New Roman"/>
                <w:b w:val="0"/>
                <w:bCs w:val="0"/>
                <w:sz w:val="24"/>
                <w:szCs w:val="24"/>
                <w:lang w:val="en-CA"/>
              </w:rPr>
            </w:pPr>
            <w:r>
              <w:rPr>
                <w:rFonts w:hint="default" w:ascii="Times New Roman" w:hAnsi="Times New Roman" w:cs="Times New Roman"/>
                <w:b w:val="0"/>
                <w:bCs w:val="0"/>
                <w:sz w:val="24"/>
                <w:szCs w:val="24"/>
                <w:lang w:val="en-CA" w:eastAsia="zh-CN"/>
              </w:rPr>
              <w:t>Frequency</w:t>
            </w:r>
          </w:p>
        </w:tc>
        <w:tc>
          <w:tcPr>
            <w:tcW w:w="2220" w:type="dxa"/>
            <w:tcBorders>
              <w:top w:val="single" w:color="000000" w:sz="8" w:space="0"/>
              <w:left w:val="nil"/>
              <w:bottom w:val="single" w:color="000000" w:sz="8" w:space="0"/>
              <w:right w:val="single" w:color="000000" w:sz="8" w:space="0"/>
            </w:tcBorders>
            <w:shd w:val="clear" w:color="auto" w:fill="auto"/>
            <w:vAlign w:val="center"/>
          </w:tcPr>
          <w:p w14:paraId="2AD04E69">
            <w:pPr>
              <w:pStyle w:val="7"/>
              <w:keepNext w:val="0"/>
              <w:keepLines w:val="0"/>
              <w:pageBreakBefore w:val="0"/>
              <w:widowControl/>
              <w:suppressLineNumbers w:val="0"/>
              <w:kinsoku/>
              <w:wordWrap/>
              <w:overflowPunct/>
              <w:topLinePunct w:val="0"/>
              <w:autoSpaceDE/>
              <w:autoSpaceDN/>
              <w:bidi w:val="0"/>
              <w:adjustRightInd/>
              <w:snapToGrid/>
              <w:spacing w:beforeAutospacing="0" w:afterAutospacing="0"/>
              <w:jc w:val="both"/>
              <w:rPr>
                <w:rFonts w:hint="default" w:ascii="Times New Roman" w:hAnsi="Times New Roman" w:cs="Times New Roman"/>
                <w:b w:val="0"/>
                <w:bCs w:val="0"/>
                <w:sz w:val="24"/>
                <w:szCs w:val="24"/>
                <w:lang w:val="en-CA"/>
              </w:rPr>
            </w:pPr>
            <w:r>
              <w:rPr>
                <w:rFonts w:hint="default" w:ascii="Times New Roman" w:hAnsi="Times New Roman" w:cs="Times New Roman"/>
                <w:b w:val="0"/>
                <w:bCs w:val="0"/>
                <w:sz w:val="24"/>
                <w:szCs w:val="24"/>
                <w:lang w:val="en-CA" w:eastAsia="zh-CN"/>
              </w:rPr>
              <w:t>Percentage (%)</w:t>
            </w:r>
          </w:p>
        </w:tc>
      </w:tr>
      <w:tr w14:paraId="5CAD253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4680" w:type="dxa"/>
            <w:tcBorders>
              <w:top w:val="nil"/>
              <w:left w:val="single" w:color="000000" w:sz="8" w:space="0"/>
              <w:bottom w:val="nil"/>
              <w:right w:val="nil"/>
            </w:tcBorders>
            <w:shd w:val="clear" w:color="auto" w:fill="auto"/>
            <w:vAlign w:val="center"/>
          </w:tcPr>
          <w:p w14:paraId="6D4BC5ED">
            <w:pPr>
              <w:pStyle w:val="7"/>
              <w:keepNext w:val="0"/>
              <w:keepLines w:val="0"/>
              <w:pageBreakBefore w:val="0"/>
              <w:widowControl/>
              <w:suppressLineNumbers w:val="0"/>
              <w:kinsoku/>
              <w:wordWrap/>
              <w:overflowPunct/>
              <w:topLinePunct w:val="0"/>
              <w:autoSpaceDE/>
              <w:autoSpaceDN/>
              <w:bidi w:val="0"/>
              <w:adjustRightInd/>
              <w:snapToGrid/>
              <w:spacing w:beforeAutospacing="0" w:afterAutospacing="0"/>
              <w:jc w:val="both"/>
              <w:rPr>
                <w:rFonts w:hint="default" w:ascii="Times New Roman" w:hAnsi="Times New Roman" w:cs="Times New Roman"/>
                <w:b w:val="0"/>
                <w:bCs w:val="0"/>
                <w:sz w:val="24"/>
                <w:szCs w:val="24"/>
                <w:lang w:val="en-CA"/>
              </w:rPr>
            </w:pPr>
            <w:r>
              <w:rPr>
                <w:rFonts w:hint="default" w:ascii="Times New Roman" w:hAnsi="Times New Roman" w:cs="Times New Roman"/>
                <w:b w:val="0"/>
                <w:bCs w:val="0"/>
                <w:sz w:val="24"/>
                <w:szCs w:val="24"/>
                <w:lang w:val="en-CA" w:eastAsia="zh-CN"/>
              </w:rPr>
              <w:t>Questionnaires Distributed</w:t>
            </w:r>
          </w:p>
        </w:tc>
        <w:tc>
          <w:tcPr>
            <w:tcW w:w="1575" w:type="dxa"/>
            <w:tcBorders>
              <w:top w:val="nil"/>
              <w:left w:val="nil"/>
              <w:bottom w:val="nil"/>
              <w:right w:val="nil"/>
            </w:tcBorders>
            <w:shd w:val="clear" w:color="auto" w:fill="auto"/>
            <w:vAlign w:val="center"/>
          </w:tcPr>
          <w:p w14:paraId="0A71F7CC">
            <w:pPr>
              <w:pStyle w:val="7"/>
              <w:keepNext w:val="0"/>
              <w:keepLines w:val="0"/>
              <w:pageBreakBefore w:val="0"/>
              <w:widowControl/>
              <w:suppressLineNumbers w:val="0"/>
              <w:kinsoku/>
              <w:wordWrap/>
              <w:overflowPunct/>
              <w:topLinePunct w:val="0"/>
              <w:autoSpaceDE/>
              <w:autoSpaceDN/>
              <w:bidi w:val="0"/>
              <w:adjustRightInd/>
              <w:snapToGrid/>
              <w:spacing w:beforeAutospacing="0" w:afterAutospacing="0"/>
              <w:jc w:val="both"/>
              <w:rPr>
                <w:rFonts w:hint="default" w:ascii="Times New Roman" w:hAnsi="Times New Roman" w:cs="Times New Roman"/>
                <w:b w:val="0"/>
                <w:bCs w:val="0"/>
                <w:sz w:val="24"/>
                <w:szCs w:val="24"/>
                <w:lang w:val="en-CA"/>
              </w:rPr>
            </w:pPr>
            <w:r>
              <w:rPr>
                <w:rFonts w:hint="default" w:ascii="Times New Roman" w:hAnsi="Times New Roman" w:cs="Times New Roman"/>
                <w:b w:val="0"/>
                <w:bCs w:val="0"/>
                <w:sz w:val="24"/>
                <w:szCs w:val="24"/>
                <w:lang w:val="en-CA" w:eastAsia="zh-CN"/>
              </w:rPr>
              <w:t>920</w:t>
            </w:r>
          </w:p>
        </w:tc>
        <w:tc>
          <w:tcPr>
            <w:tcW w:w="2220" w:type="dxa"/>
            <w:tcBorders>
              <w:top w:val="nil"/>
              <w:left w:val="nil"/>
              <w:bottom w:val="nil"/>
              <w:right w:val="single" w:color="000000" w:sz="8" w:space="0"/>
            </w:tcBorders>
            <w:shd w:val="clear" w:color="auto" w:fill="auto"/>
            <w:vAlign w:val="center"/>
          </w:tcPr>
          <w:p w14:paraId="63EC1DF8">
            <w:pPr>
              <w:pStyle w:val="7"/>
              <w:keepNext w:val="0"/>
              <w:keepLines w:val="0"/>
              <w:pageBreakBefore w:val="0"/>
              <w:widowControl/>
              <w:suppressLineNumbers w:val="0"/>
              <w:kinsoku/>
              <w:wordWrap/>
              <w:overflowPunct/>
              <w:topLinePunct w:val="0"/>
              <w:autoSpaceDE/>
              <w:autoSpaceDN/>
              <w:bidi w:val="0"/>
              <w:adjustRightInd/>
              <w:snapToGrid/>
              <w:spacing w:beforeAutospacing="0" w:afterAutospacing="0"/>
              <w:jc w:val="both"/>
              <w:rPr>
                <w:rFonts w:hint="default" w:ascii="Times New Roman" w:hAnsi="Times New Roman" w:cs="Times New Roman"/>
                <w:b w:val="0"/>
                <w:bCs w:val="0"/>
                <w:sz w:val="24"/>
                <w:szCs w:val="24"/>
                <w:lang w:val="en-CA"/>
              </w:rPr>
            </w:pPr>
            <w:r>
              <w:rPr>
                <w:rFonts w:hint="default" w:ascii="Times New Roman" w:hAnsi="Times New Roman" w:cs="Times New Roman"/>
                <w:b w:val="0"/>
                <w:bCs w:val="0"/>
                <w:sz w:val="24"/>
                <w:szCs w:val="24"/>
                <w:lang w:val="en-CA" w:eastAsia="zh-CN"/>
              </w:rPr>
              <w:t>100</w:t>
            </w:r>
          </w:p>
        </w:tc>
      </w:tr>
      <w:tr w14:paraId="25EBE0F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4680" w:type="dxa"/>
            <w:tcBorders>
              <w:top w:val="nil"/>
              <w:left w:val="single" w:color="000000" w:sz="8" w:space="0"/>
              <w:bottom w:val="nil"/>
              <w:right w:val="nil"/>
            </w:tcBorders>
            <w:shd w:val="clear" w:color="auto" w:fill="auto"/>
            <w:vAlign w:val="center"/>
          </w:tcPr>
          <w:p w14:paraId="18C0B84F">
            <w:pPr>
              <w:pStyle w:val="7"/>
              <w:keepNext w:val="0"/>
              <w:keepLines w:val="0"/>
              <w:pageBreakBefore w:val="0"/>
              <w:widowControl/>
              <w:suppressLineNumbers w:val="0"/>
              <w:kinsoku/>
              <w:wordWrap/>
              <w:overflowPunct/>
              <w:topLinePunct w:val="0"/>
              <w:autoSpaceDE/>
              <w:autoSpaceDN/>
              <w:bidi w:val="0"/>
              <w:adjustRightInd/>
              <w:snapToGrid/>
              <w:spacing w:beforeAutospacing="0" w:afterAutospacing="0"/>
              <w:jc w:val="both"/>
              <w:rPr>
                <w:rFonts w:hint="default" w:ascii="Times New Roman" w:hAnsi="Times New Roman" w:cs="Times New Roman"/>
                <w:b w:val="0"/>
                <w:bCs w:val="0"/>
                <w:sz w:val="24"/>
                <w:szCs w:val="24"/>
                <w:lang w:val="en-CA"/>
              </w:rPr>
            </w:pPr>
            <w:r>
              <w:rPr>
                <w:rFonts w:hint="default" w:ascii="Times New Roman" w:hAnsi="Times New Roman" w:cs="Times New Roman"/>
                <w:b w:val="0"/>
                <w:bCs w:val="0"/>
                <w:sz w:val="24"/>
                <w:szCs w:val="24"/>
                <w:lang w:val="en-CA" w:eastAsia="zh-CN"/>
              </w:rPr>
              <w:t>Valid Responses Retrieved</w:t>
            </w:r>
          </w:p>
        </w:tc>
        <w:tc>
          <w:tcPr>
            <w:tcW w:w="1575" w:type="dxa"/>
            <w:tcBorders>
              <w:top w:val="nil"/>
              <w:left w:val="nil"/>
              <w:bottom w:val="nil"/>
              <w:right w:val="nil"/>
            </w:tcBorders>
            <w:shd w:val="clear" w:color="auto" w:fill="auto"/>
            <w:vAlign w:val="center"/>
          </w:tcPr>
          <w:p w14:paraId="77E7C49C">
            <w:pPr>
              <w:pStyle w:val="7"/>
              <w:keepNext w:val="0"/>
              <w:keepLines w:val="0"/>
              <w:pageBreakBefore w:val="0"/>
              <w:widowControl/>
              <w:suppressLineNumbers w:val="0"/>
              <w:kinsoku/>
              <w:wordWrap/>
              <w:overflowPunct/>
              <w:topLinePunct w:val="0"/>
              <w:autoSpaceDE/>
              <w:autoSpaceDN/>
              <w:bidi w:val="0"/>
              <w:adjustRightInd/>
              <w:snapToGrid/>
              <w:spacing w:beforeAutospacing="0" w:afterAutospacing="0"/>
              <w:jc w:val="both"/>
              <w:rPr>
                <w:rFonts w:hint="default" w:ascii="Times New Roman" w:hAnsi="Times New Roman" w:cs="Times New Roman"/>
                <w:b w:val="0"/>
                <w:bCs w:val="0"/>
                <w:sz w:val="24"/>
                <w:szCs w:val="24"/>
                <w:lang w:val="en-CA"/>
              </w:rPr>
            </w:pPr>
            <w:r>
              <w:rPr>
                <w:rFonts w:hint="default" w:ascii="Times New Roman" w:hAnsi="Times New Roman" w:cs="Times New Roman"/>
                <w:b w:val="0"/>
                <w:bCs w:val="0"/>
                <w:sz w:val="24"/>
                <w:szCs w:val="24"/>
                <w:lang w:val="en-CA" w:eastAsia="zh-CN"/>
              </w:rPr>
              <w:t>814</w:t>
            </w:r>
          </w:p>
        </w:tc>
        <w:tc>
          <w:tcPr>
            <w:tcW w:w="2220" w:type="dxa"/>
            <w:tcBorders>
              <w:top w:val="nil"/>
              <w:left w:val="nil"/>
              <w:bottom w:val="nil"/>
              <w:right w:val="single" w:color="000000" w:sz="8" w:space="0"/>
            </w:tcBorders>
            <w:shd w:val="clear" w:color="auto" w:fill="auto"/>
            <w:vAlign w:val="center"/>
          </w:tcPr>
          <w:p w14:paraId="356A6639">
            <w:pPr>
              <w:pStyle w:val="7"/>
              <w:keepNext w:val="0"/>
              <w:keepLines w:val="0"/>
              <w:pageBreakBefore w:val="0"/>
              <w:widowControl/>
              <w:suppressLineNumbers w:val="0"/>
              <w:kinsoku/>
              <w:wordWrap/>
              <w:overflowPunct/>
              <w:topLinePunct w:val="0"/>
              <w:autoSpaceDE/>
              <w:autoSpaceDN/>
              <w:bidi w:val="0"/>
              <w:adjustRightInd/>
              <w:snapToGrid/>
              <w:spacing w:beforeAutospacing="0" w:afterAutospacing="0"/>
              <w:jc w:val="both"/>
              <w:rPr>
                <w:rFonts w:hint="default" w:ascii="Times New Roman" w:hAnsi="Times New Roman" w:cs="Times New Roman"/>
                <w:b w:val="0"/>
                <w:bCs w:val="0"/>
                <w:sz w:val="24"/>
                <w:szCs w:val="24"/>
                <w:lang w:val="en-CA"/>
              </w:rPr>
            </w:pPr>
            <w:r>
              <w:rPr>
                <w:rFonts w:hint="default" w:ascii="Times New Roman" w:hAnsi="Times New Roman" w:cs="Times New Roman"/>
                <w:b w:val="0"/>
                <w:bCs w:val="0"/>
                <w:sz w:val="24"/>
                <w:szCs w:val="24"/>
                <w:lang w:val="en-CA" w:eastAsia="zh-CN"/>
              </w:rPr>
              <w:t>88.5</w:t>
            </w:r>
          </w:p>
        </w:tc>
      </w:tr>
      <w:tr w14:paraId="681BD3A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4680" w:type="dxa"/>
            <w:tcBorders>
              <w:top w:val="nil"/>
              <w:left w:val="single" w:color="000000" w:sz="8" w:space="0"/>
              <w:bottom w:val="single" w:color="000000" w:sz="8" w:space="0"/>
              <w:right w:val="nil"/>
            </w:tcBorders>
            <w:shd w:val="clear" w:color="auto" w:fill="auto"/>
            <w:vAlign w:val="center"/>
          </w:tcPr>
          <w:p w14:paraId="51CC9008">
            <w:pPr>
              <w:pStyle w:val="7"/>
              <w:keepNext w:val="0"/>
              <w:keepLines w:val="0"/>
              <w:pageBreakBefore w:val="0"/>
              <w:widowControl/>
              <w:suppressLineNumbers w:val="0"/>
              <w:kinsoku/>
              <w:wordWrap/>
              <w:overflowPunct/>
              <w:topLinePunct w:val="0"/>
              <w:autoSpaceDE/>
              <w:autoSpaceDN/>
              <w:bidi w:val="0"/>
              <w:adjustRightInd/>
              <w:snapToGrid/>
              <w:spacing w:beforeAutospacing="0" w:afterAutospacing="0"/>
              <w:jc w:val="both"/>
              <w:rPr>
                <w:rFonts w:hint="default" w:ascii="Times New Roman" w:hAnsi="Times New Roman" w:cs="Times New Roman"/>
                <w:b w:val="0"/>
                <w:bCs w:val="0"/>
                <w:sz w:val="24"/>
                <w:szCs w:val="24"/>
                <w:lang w:val="en-CA"/>
              </w:rPr>
            </w:pPr>
            <w:r>
              <w:rPr>
                <w:rFonts w:hint="default" w:ascii="Times New Roman" w:hAnsi="Times New Roman" w:cs="Times New Roman"/>
                <w:b w:val="0"/>
                <w:bCs w:val="0"/>
                <w:sz w:val="24"/>
                <w:szCs w:val="24"/>
                <w:lang w:val="en-CA" w:eastAsia="zh-CN"/>
              </w:rPr>
              <w:t>Invalid/Incomplete Responses</w:t>
            </w:r>
          </w:p>
        </w:tc>
        <w:tc>
          <w:tcPr>
            <w:tcW w:w="1575" w:type="dxa"/>
            <w:tcBorders>
              <w:top w:val="nil"/>
              <w:left w:val="nil"/>
              <w:bottom w:val="single" w:color="000000" w:sz="8" w:space="0"/>
              <w:right w:val="nil"/>
            </w:tcBorders>
            <w:shd w:val="clear" w:color="auto" w:fill="auto"/>
            <w:vAlign w:val="center"/>
          </w:tcPr>
          <w:p w14:paraId="293AFBD5">
            <w:pPr>
              <w:pStyle w:val="7"/>
              <w:keepNext w:val="0"/>
              <w:keepLines w:val="0"/>
              <w:pageBreakBefore w:val="0"/>
              <w:widowControl/>
              <w:suppressLineNumbers w:val="0"/>
              <w:kinsoku/>
              <w:wordWrap/>
              <w:overflowPunct/>
              <w:topLinePunct w:val="0"/>
              <w:autoSpaceDE/>
              <w:autoSpaceDN/>
              <w:bidi w:val="0"/>
              <w:adjustRightInd/>
              <w:snapToGrid/>
              <w:spacing w:beforeAutospacing="0" w:afterAutospacing="0"/>
              <w:jc w:val="both"/>
              <w:rPr>
                <w:rFonts w:hint="default" w:ascii="Times New Roman" w:hAnsi="Times New Roman" w:cs="Times New Roman"/>
                <w:b w:val="0"/>
                <w:bCs w:val="0"/>
                <w:sz w:val="24"/>
                <w:szCs w:val="24"/>
                <w:lang w:val="en-CA"/>
              </w:rPr>
            </w:pPr>
            <w:r>
              <w:rPr>
                <w:rFonts w:hint="default" w:ascii="Times New Roman" w:hAnsi="Times New Roman" w:cs="Times New Roman"/>
                <w:b w:val="0"/>
                <w:bCs w:val="0"/>
                <w:sz w:val="24"/>
                <w:szCs w:val="24"/>
                <w:lang w:val="en-CA" w:eastAsia="zh-CN"/>
              </w:rPr>
              <w:t>106</w:t>
            </w:r>
          </w:p>
        </w:tc>
        <w:tc>
          <w:tcPr>
            <w:tcW w:w="2220" w:type="dxa"/>
            <w:tcBorders>
              <w:top w:val="nil"/>
              <w:left w:val="nil"/>
              <w:bottom w:val="single" w:color="000000" w:sz="8" w:space="0"/>
              <w:right w:val="single" w:color="000000" w:sz="8" w:space="0"/>
            </w:tcBorders>
            <w:shd w:val="clear" w:color="auto" w:fill="auto"/>
            <w:vAlign w:val="center"/>
          </w:tcPr>
          <w:p w14:paraId="7197EB95">
            <w:pPr>
              <w:pStyle w:val="7"/>
              <w:keepNext w:val="0"/>
              <w:keepLines w:val="0"/>
              <w:pageBreakBefore w:val="0"/>
              <w:widowControl/>
              <w:suppressLineNumbers w:val="0"/>
              <w:kinsoku/>
              <w:wordWrap/>
              <w:overflowPunct/>
              <w:topLinePunct w:val="0"/>
              <w:autoSpaceDE/>
              <w:autoSpaceDN/>
              <w:bidi w:val="0"/>
              <w:adjustRightInd/>
              <w:snapToGrid/>
              <w:spacing w:beforeAutospacing="0" w:afterAutospacing="0"/>
              <w:jc w:val="both"/>
              <w:rPr>
                <w:rFonts w:hint="default" w:ascii="Times New Roman" w:hAnsi="Times New Roman" w:cs="Times New Roman"/>
                <w:b w:val="0"/>
                <w:bCs w:val="0"/>
                <w:sz w:val="24"/>
                <w:szCs w:val="24"/>
                <w:lang w:val="en-CA"/>
              </w:rPr>
            </w:pPr>
            <w:r>
              <w:rPr>
                <w:rFonts w:hint="default" w:ascii="Times New Roman" w:hAnsi="Times New Roman" w:cs="Times New Roman"/>
                <w:b w:val="0"/>
                <w:bCs w:val="0"/>
                <w:sz w:val="24"/>
                <w:szCs w:val="24"/>
                <w:lang w:val="en-CA" w:eastAsia="zh-CN"/>
              </w:rPr>
              <w:t>11.5</w:t>
            </w:r>
          </w:p>
        </w:tc>
      </w:tr>
    </w:tbl>
    <w:p w14:paraId="0B490873">
      <w:pPr>
        <w:pStyle w:val="7"/>
        <w:keepNext w:val="0"/>
        <w:keepLines w:val="0"/>
        <w:pageBreakBefore w:val="0"/>
        <w:widowControl/>
        <w:suppressLineNumbers w:val="0"/>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r>
        <w:rPr>
          <w:rFonts w:hint="default" w:ascii="Times New Roman" w:hAnsi="Times New Roman" w:cs="Times New Roman"/>
          <w:sz w:val="24"/>
          <w:szCs w:val="24"/>
        </w:rPr>
        <w:t>The demographic results show that digital trading is dominated by young and digitally active investors. Male respondents accounted for 61.3%, while female respondents represented 38.7%. Most respondents were between 25 and 34 years, suggesting that digital investment platforms are more attractive to younger investors who are familiar with mobile technology and online financial services.</w:t>
      </w:r>
    </w:p>
    <w:p w14:paraId="41C2137E">
      <w:pPr>
        <w:pStyle w:val="7"/>
        <w:keepNext w:val="0"/>
        <w:keepLines w:val="0"/>
        <w:pageBreakBefore w:val="0"/>
        <w:widowControl/>
        <w:suppressLineNumbers w:val="0"/>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p>
    <w:p w14:paraId="3ABBD0FD">
      <w:pPr>
        <w:pStyle w:val="7"/>
        <w:keepNext w:val="0"/>
        <w:keepLines w:val="0"/>
        <w:pageBreakBefore w:val="0"/>
        <w:widowControl/>
        <w:suppressLineNumbers w:val="0"/>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r>
        <w:rPr>
          <w:rStyle w:val="8"/>
          <w:rFonts w:hint="default" w:ascii="Times New Roman" w:hAnsi="Times New Roman" w:cs="Times New Roman"/>
          <w:sz w:val="24"/>
          <w:szCs w:val="24"/>
        </w:rPr>
        <w:t>Table 4.2: Demographic Characteristics of Respondents</w:t>
      </w:r>
    </w:p>
    <w:tbl>
      <w:tblPr>
        <w:tblStyle w:val="6"/>
        <w:tblW w:w="9045"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2385"/>
        <w:gridCol w:w="2385"/>
        <w:gridCol w:w="1965"/>
        <w:gridCol w:w="2310"/>
      </w:tblGrid>
      <w:tr w14:paraId="2B3FCD4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2385" w:type="dxa"/>
            <w:tcBorders>
              <w:top w:val="single" w:color="000000" w:sz="8" w:space="0"/>
              <w:left w:val="single" w:color="000000" w:sz="8" w:space="0"/>
              <w:bottom w:val="single" w:color="000000" w:sz="8" w:space="0"/>
              <w:right w:val="nil"/>
            </w:tcBorders>
            <w:shd w:val="clear" w:color="auto" w:fill="auto"/>
            <w:vAlign w:val="center"/>
          </w:tcPr>
          <w:p w14:paraId="5F807196">
            <w:pPr>
              <w:keepNext w:val="0"/>
              <w:keepLines w:val="0"/>
              <w:pageBreakBefore w:val="0"/>
              <w:widowControl/>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r>
              <w:rPr>
                <w:rFonts w:hint="default" w:ascii="Times New Roman" w:hAnsi="Times New Roman" w:cs="Times New Roman"/>
                <w:sz w:val="24"/>
                <w:szCs w:val="24"/>
                <w:lang w:val="en-US" w:eastAsia="zh-CN"/>
              </w:rPr>
              <w:t>Variable</w:t>
            </w:r>
          </w:p>
        </w:tc>
        <w:tc>
          <w:tcPr>
            <w:tcW w:w="2385" w:type="dxa"/>
            <w:tcBorders>
              <w:top w:val="single" w:color="000000" w:sz="8" w:space="0"/>
              <w:left w:val="nil"/>
              <w:bottom w:val="single" w:color="000000" w:sz="8" w:space="0"/>
              <w:right w:val="nil"/>
            </w:tcBorders>
            <w:shd w:val="clear" w:color="auto" w:fill="auto"/>
            <w:vAlign w:val="center"/>
          </w:tcPr>
          <w:p w14:paraId="2E5DF415">
            <w:pPr>
              <w:keepNext w:val="0"/>
              <w:keepLines w:val="0"/>
              <w:pageBreakBefore w:val="0"/>
              <w:widowControl/>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r>
              <w:rPr>
                <w:rFonts w:hint="default" w:ascii="Times New Roman" w:hAnsi="Times New Roman" w:cs="Times New Roman"/>
                <w:sz w:val="24"/>
                <w:szCs w:val="24"/>
                <w:lang w:val="en-US" w:eastAsia="zh-CN"/>
              </w:rPr>
              <w:t>Category</w:t>
            </w:r>
          </w:p>
        </w:tc>
        <w:tc>
          <w:tcPr>
            <w:tcW w:w="1965" w:type="dxa"/>
            <w:tcBorders>
              <w:top w:val="single" w:color="000000" w:sz="8" w:space="0"/>
              <w:left w:val="nil"/>
              <w:bottom w:val="single" w:color="000000" w:sz="8" w:space="0"/>
              <w:right w:val="nil"/>
            </w:tcBorders>
            <w:shd w:val="clear" w:color="auto" w:fill="auto"/>
            <w:vAlign w:val="center"/>
          </w:tcPr>
          <w:p w14:paraId="4195307D">
            <w:pPr>
              <w:keepNext w:val="0"/>
              <w:keepLines w:val="0"/>
              <w:pageBreakBefore w:val="0"/>
              <w:widowControl/>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r>
              <w:rPr>
                <w:rFonts w:hint="default" w:ascii="Times New Roman" w:hAnsi="Times New Roman" w:cs="Times New Roman"/>
                <w:sz w:val="24"/>
                <w:szCs w:val="24"/>
                <w:lang w:val="en-US" w:eastAsia="zh-CN"/>
              </w:rPr>
              <w:t>Frequency</w:t>
            </w:r>
          </w:p>
        </w:tc>
        <w:tc>
          <w:tcPr>
            <w:tcW w:w="2310" w:type="dxa"/>
            <w:tcBorders>
              <w:top w:val="single" w:color="000000" w:sz="8" w:space="0"/>
              <w:left w:val="nil"/>
              <w:bottom w:val="single" w:color="000000" w:sz="8" w:space="0"/>
              <w:right w:val="single" w:color="000000" w:sz="8" w:space="0"/>
            </w:tcBorders>
            <w:shd w:val="clear" w:color="auto" w:fill="auto"/>
            <w:vAlign w:val="center"/>
          </w:tcPr>
          <w:p w14:paraId="5843136F">
            <w:pPr>
              <w:keepNext w:val="0"/>
              <w:keepLines w:val="0"/>
              <w:pageBreakBefore w:val="0"/>
              <w:widowControl/>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r>
              <w:rPr>
                <w:rFonts w:hint="default" w:ascii="Times New Roman" w:hAnsi="Times New Roman" w:cs="Times New Roman"/>
                <w:sz w:val="24"/>
                <w:szCs w:val="24"/>
                <w:lang w:val="en-US" w:eastAsia="zh-CN"/>
              </w:rPr>
              <w:t>Percentage (%)</w:t>
            </w:r>
          </w:p>
        </w:tc>
      </w:tr>
      <w:tr w14:paraId="68BE4E1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2385" w:type="dxa"/>
            <w:tcBorders>
              <w:top w:val="single" w:color="000000" w:sz="8" w:space="0"/>
              <w:left w:val="single" w:color="000000" w:sz="8" w:space="0"/>
              <w:bottom w:val="nil"/>
              <w:right w:val="nil"/>
            </w:tcBorders>
            <w:shd w:val="clear" w:color="auto" w:fill="auto"/>
            <w:vAlign w:val="center"/>
          </w:tcPr>
          <w:p w14:paraId="20BFDF5C">
            <w:pPr>
              <w:keepNext w:val="0"/>
              <w:keepLines w:val="0"/>
              <w:pageBreakBefore w:val="0"/>
              <w:widowControl/>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r>
              <w:rPr>
                <w:rFonts w:hint="default" w:ascii="Times New Roman" w:hAnsi="Times New Roman" w:cs="Times New Roman"/>
                <w:sz w:val="24"/>
                <w:szCs w:val="24"/>
                <w:lang w:val="en-US" w:eastAsia="zh-CN"/>
              </w:rPr>
              <w:t>Gender</w:t>
            </w:r>
          </w:p>
        </w:tc>
        <w:tc>
          <w:tcPr>
            <w:tcW w:w="2385" w:type="dxa"/>
            <w:tcBorders>
              <w:top w:val="single" w:color="000000" w:sz="8" w:space="0"/>
              <w:left w:val="nil"/>
              <w:bottom w:val="nil"/>
              <w:right w:val="nil"/>
            </w:tcBorders>
            <w:shd w:val="clear" w:color="auto" w:fill="auto"/>
            <w:vAlign w:val="center"/>
          </w:tcPr>
          <w:p w14:paraId="740F53AB">
            <w:pPr>
              <w:keepNext w:val="0"/>
              <w:keepLines w:val="0"/>
              <w:pageBreakBefore w:val="0"/>
              <w:widowControl/>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r>
              <w:rPr>
                <w:rFonts w:hint="default" w:ascii="Times New Roman" w:hAnsi="Times New Roman" w:cs="Times New Roman"/>
                <w:sz w:val="24"/>
                <w:szCs w:val="24"/>
                <w:lang w:val="en-US" w:eastAsia="zh-CN"/>
              </w:rPr>
              <w:t>Male</w:t>
            </w:r>
          </w:p>
        </w:tc>
        <w:tc>
          <w:tcPr>
            <w:tcW w:w="1965" w:type="dxa"/>
            <w:tcBorders>
              <w:top w:val="single" w:color="000000" w:sz="8" w:space="0"/>
              <w:left w:val="nil"/>
              <w:bottom w:val="nil"/>
              <w:right w:val="nil"/>
            </w:tcBorders>
            <w:shd w:val="clear" w:color="auto" w:fill="auto"/>
            <w:vAlign w:val="center"/>
          </w:tcPr>
          <w:p w14:paraId="0EBFC0FD">
            <w:pPr>
              <w:keepNext w:val="0"/>
              <w:keepLines w:val="0"/>
              <w:pageBreakBefore w:val="0"/>
              <w:widowControl/>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r>
              <w:rPr>
                <w:rFonts w:hint="default" w:ascii="Times New Roman" w:hAnsi="Times New Roman" w:cs="Times New Roman"/>
                <w:sz w:val="24"/>
                <w:szCs w:val="24"/>
                <w:lang w:val="en-US" w:eastAsia="zh-CN"/>
              </w:rPr>
              <w:t>499</w:t>
            </w:r>
          </w:p>
        </w:tc>
        <w:tc>
          <w:tcPr>
            <w:tcW w:w="2310" w:type="dxa"/>
            <w:tcBorders>
              <w:top w:val="single" w:color="000000" w:sz="8" w:space="0"/>
              <w:left w:val="nil"/>
              <w:bottom w:val="nil"/>
              <w:right w:val="single" w:color="000000" w:sz="8" w:space="0"/>
            </w:tcBorders>
            <w:shd w:val="clear" w:color="auto" w:fill="auto"/>
            <w:vAlign w:val="center"/>
          </w:tcPr>
          <w:p w14:paraId="1BC0F764">
            <w:pPr>
              <w:keepNext w:val="0"/>
              <w:keepLines w:val="0"/>
              <w:pageBreakBefore w:val="0"/>
              <w:widowControl/>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r>
              <w:rPr>
                <w:rFonts w:hint="default" w:ascii="Times New Roman" w:hAnsi="Times New Roman" w:cs="Times New Roman"/>
                <w:sz w:val="24"/>
                <w:szCs w:val="24"/>
                <w:lang w:val="en-US" w:eastAsia="zh-CN"/>
              </w:rPr>
              <w:t>61.3</w:t>
            </w:r>
          </w:p>
        </w:tc>
      </w:tr>
      <w:tr w14:paraId="22E7048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0" w:type="auto"/>
            <w:tcBorders>
              <w:top w:val="nil"/>
              <w:left w:val="single" w:color="000000" w:sz="8" w:space="0"/>
              <w:bottom w:val="nil"/>
              <w:right w:val="nil"/>
            </w:tcBorders>
            <w:shd w:val="clear" w:color="auto" w:fill="auto"/>
            <w:noWrap/>
            <w:vAlign w:val="center"/>
          </w:tcPr>
          <w:p w14:paraId="0F7FD170">
            <w:pPr>
              <w:keepNext w:val="0"/>
              <w:keepLines w:val="0"/>
              <w:pageBreakBefore w:val="0"/>
              <w:widowControl/>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p>
        </w:tc>
        <w:tc>
          <w:tcPr>
            <w:tcW w:w="2385" w:type="dxa"/>
            <w:tcBorders>
              <w:top w:val="nil"/>
              <w:left w:val="nil"/>
              <w:bottom w:val="nil"/>
              <w:right w:val="nil"/>
            </w:tcBorders>
            <w:shd w:val="clear" w:color="auto" w:fill="auto"/>
            <w:vAlign w:val="center"/>
          </w:tcPr>
          <w:p w14:paraId="6C5F228C">
            <w:pPr>
              <w:keepNext w:val="0"/>
              <w:keepLines w:val="0"/>
              <w:pageBreakBefore w:val="0"/>
              <w:widowControl/>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r>
              <w:rPr>
                <w:rFonts w:hint="default" w:ascii="Times New Roman" w:hAnsi="Times New Roman" w:cs="Times New Roman"/>
                <w:sz w:val="24"/>
                <w:szCs w:val="24"/>
                <w:lang w:val="en-US" w:eastAsia="zh-CN"/>
              </w:rPr>
              <w:t>Female</w:t>
            </w:r>
          </w:p>
        </w:tc>
        <w:tc>
          <w:tcPr>
            <w:tcW w:w="1965" w:type="dxa"/>
            <w:tcBorders>
              <w:top w:val="nil"/>
              <w:left w:val="nil"/>
              <w:bottom w:val="nil"/>
              <w:right w:val="nil"/>
            </w:tcBorders>
            <w:shd w:val="clear" w:color="auto" w:fill="auto"/>
            <w:vAlign w:val="center"/>
          </w:tcPr>
          <w:p w14:paraId="15721929">
            <w:pPr>
              <w:keepNext w:val="0"/>
              <w:keepLines w:val="0"/>
              <w:pageBreakBefore w:val="0"/>
              <w:widowControl/>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r>
              <w:rPr>
                <w:rFonts w:hint="default" w:ascii="Times New Roman" w:hAnsi="Times New Roman" w:cs="Times New Roman"/>
                <w:sz w:val="24"/>
                <w:szCs w:val="24"/>
                <w:lang w:val="en-US" w:eastAsia="zh-CN"/>
              </w:rPr>
              <w:t>315</w:t>
            </w:r>
          </w:p>
        </w:tc>
        <w:tc>
          <w:tcPr>
            <w:tcW w:w="2310" w:type="dxa"/>
            <w:tcBorders>
              <w:top w:val="nil"/>
              <w:left w:val="nil"/>
              <w:bottom w:val="nil"/>
              <w:right w:val="single" w:color="000000" w:sz="8" w:space="0"/>
            </w:tcBorders>
            <w:shd w:val="clear" w:color="auto" w:fill="auto"/>
            <w:vAlign w:val="center"/>
          </w:tcPr>
          <w:p w14:paraId="0CEB4A9C">
            <w:pPr>
              <w:keepNext w:val="0"/>
              <w:keepLines w:val="0"/>
              <w:pageBreakBefore w:val="0"/>
              <w:widowControl/>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r>
              <w:rPr>
                <w:rFonts w:hint="default" w:ascii="Times New Roman" w:hAnsi="Times New Roman" w:cs="Times New Roman"/>
                <w:sz w:val="24"/>
                <w:szCs w:val="24"/>
                <w:lang w:val="en-US" w:eastAsia="zh-CN"/>
              </w:rPr>
              <w:t>38.7</w:t>
            </w:r>
          </w:p>
        </w:tc>
      </w:tr>
      <w:tr w14:paraId="212492C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2385" w:type="dxa"/>
            <w:tcBorders>
              <w:top w:val="nil"/>
              <w:left w:val="single" w:color="000000" w:sz="8" w:space="0"/>
              <w:bottom w:val="nil"/>
              <w:right w:val="nil"/>
            </w:tcBorders>
            <w:shd w:val="clear" w:color="auto" w:fill="auto"/>
            <w:vAlign w:val="center"/>
          </w:tcPr>
          <w:p w14:paraId="1DFC65E0">
            <w:pPr>
              <w:keepNext w:val="0"/>
              <w:keepLines w:val="0"/>
              <w:pageBreakBefore w:val="0"/>
              <w:widowControl/>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r>
              <w:rPr>
                <w:rFonts w:hint="default" w:ascii="Times New Roman" w:hAnsi="Times New Roman" w:cs="Times New Roman"/>
                <w:sz w:val="24"/>
                <w:szCs w:val="24"/>
                <w:lang w:val="en-US" w:eastAsia="zh-CN"/>
              </w:rPr>
              <w:t>Age</w:t>
            </w:r>
          </w:p>
        </w:tc>
        <w:tc>
          <w:tcPr>
            <w:tcW w:w="2385" w:type="dxa"/>
            <w:tcBorders>
              <w:top w:val="nil"/>
              <w:left w:val="nil"/>
              <w:bottom w:val="nil"/>
              <w:right w:val="nil"/>
            </w:tcBorders>
            <w:shd w:val="clear" w:color="auto" w:fill="auto"/>
            <w:vAlign w:val="center"/>
          </w:tcPr>
          <w:p w14:paraId="5735FB4D">
            <w:pPr>
              <w:keepNext w:val="0"/>
              <w:keepLines w:val="0"/>
              <w:pageBreakBefore w:val="0"/>
              <w:widowControl/>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r>
              <w:rPr>
                <w:rFonts w:hint="default" w:ascii="Times New Roman" w:hAnsi="Times New Roman" w:cs="Times New Roman"/>
                <w:sz w:val="24"/>
                <w:szCs w:val="24"/>
                <w:lang w:val="en-US" w:eastAsia="zh-CN"/>
              </w:rPr>
              <w:t>Below 25 years</w:t>
            </w:r>
          </w:p>
        </w:tc>
        <w:tc>
          <w:tcPr>
            <w:tcW w:w="1965" w:type="dxa"/>
            <w:tcBorders>
              <w:top w:val="nil"/>
              <w:left w:val="nil"/>
              <w:bottom w:val="nil"/>
              <w:right w:val="nil"/>
            </w:tcBorders>
            <w:shd w:val="clear" w:color="auto" w:fill="auto"/>
            <w:vAlign w:val="center"/>
          </w:tcPr>
          <w:p w14:paraId="291FEFF9">
            <w:pPr>
              <w:keepNext w:val="0"/>
              <w:keepLines w:val="0"/>
              <w:pageBreakBefore w:val="0"/>
              <w:widowControl/>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r>
              <w:rPr>
                <w:rFonts w:hint="default" w:ascii="Times New Roman" w:hAnsi="Times New Roman" w:cs="Times New Roman"/>
                <w:sz w:val="24"/>
                <w:szCs w:val="24"/>
                <w:lang w:val="en-US" w:eastAsia="zh-CN"/>
              </w:rPr>
              <w:t>124</w:t>
            </w:r>
          </w:p>
        </w:tc>
        <w:tc>
          <w:tcPr>
            <w:tcW w:w="2310" w:type="dxa"/>
            <w:tcBorders>
              <w:top w:val="nil"/>
              <w:left w:val="nil"/>
              <w:bottom w:val="nil"/>
              <w:right w:val="single" w:color="000000" w:sz="8" w:space="0"/>
            </w:tcBorders>
            <w:shd w:val="clear" w:color="auto" w:fill="auto"/>
            <w:vAlign w:val="center"/>
          </w:tcPr>
          <w:p w14:paraId="3550C97A">
            <w:pPr>
              <w:keepNext w:val="0"/>
              <w:keepLines w:val="0"/>
              <w:pageBreakBefore w:val="0"/>
              <w:widowControl/>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r>
              <w:rPr>
                <w:rFonts w:hint="default" w:ascii="Times New Roman" w:hAnsi="Times New Roman" w:cs="Times New Roman"/>
                <w:sz w:val="24"/>
                <w:szCs w:val="24"/>
                <w:lang w:val="en-US" w:eastAsia="zh-CN"/>
              </w:rPr>
              <w:t>15.2</w:t>
            </w:r>
          </w:p>
        </w:tc>
      </w:tr>
      <w:tr w14:paraId="343F0E6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0" w:type="auto"/>
            <w:tcBorders>
              <w:top w:val="nil"/>
              <w:left w:val="single" w:color="000000" w:sz="8" w:space="0"/>
              <w:bottom w:val="nil"/>
              <w:right w:val="nil"/>
            </w:tcBorders>
            <w:shd w:val="clear" w:color="auto" w:fill="auto"/>
            <w:noWrap/>
            <w:vAlign w:val="center"/>
          </w:tcPr>
          <w:p w14:paraId="0E0074E4">
            <w:pPr>
              <w:keepNext w:val="0"/>
              <w:keepLines w:val="0"/>
              <w:pageBreakBefore w:val="0"/>
              <w:widowControl/>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p>
        </w:tc>
        <w:tc>
          <w:tcPr>
            <w:tcW w:w="2385" w:type="dxa"/>
            <w:tcBorders>
              <w:top w:val="nil"/>
              <w:left w:val="nil"/>
              <w:bottom w:val="nil"/>
              <w:right w:val="nil"/>
            </w:tcBorders>
            <w:shd w:val="clear" w:color="auto" w:fill="auto"/>
            <w:vAlign w:val="center"/>
          </w:tcPr>
          <w:p w14:paraId="5E9978D6">
            <w:pPr>
              <w:keepNext w:val="0"/>
              <w:keepLines w:val="0"/>
              <w:pageBreakBefore w:val="0"/>
              <w:widowControl/>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r>
              <w:rPr>
                <w:rFonts w:hint="default" w:ascii="Times New Roman" w:hAnsi="Times New Roman" w:cs="Times New Roman"/>
                <w:sz w:val="24"/>
                <w:szCs w:val="24"/>
                <w:lang w:val="en-US" w:eastAsia="zh-CN"/>
              </w:rPr>
              <w:t>25–34 years</w:t>
            </w:r>
          </w:p>
        </w:tc>
        <w:tc>
          <w:tcPr>
            <w:tcW w:w="1965" w:type="dxa"/>
            <w:tcBorders>
              <w:top w:val="nil"/>
              <w:left w:val="nil"/>
              <w:bottom w:val="nil"/>
              <w:right w:val="nil"/>
            </w:tcBorders>
            <w:shd w:val="clear" w:color="auto" w:fill="auto"/>
            <w:vAlign w:val="center"/>
          </w:tcPr>
          <w:p w14:paraId="5013CE78">
            <w:pPr>
              <w:keepNext w:val="0"/>
              <w:keepLines w:val="0"/>
              <w:pageBreakBefore w:val="0"/>
              <w:widowControl/>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r>
              <w:rPr>
                <w:rFonts w:hint="default" w:ascii="Times New Roman" w:hAnsi="Times New Roman" w:cs="Times New Roman"/>
                <w:sz w:val="24"/>
                <w:szCs w:val="24"/>
                <w:lang w:val="en-US" w:eastAsia="zh-CN"/>
              </w:rPr>
              <w:t>446</w:t>
            </w:r>
          </w:p>
        </w:tc>
        <w:tc>
          <w:tcPr>
            <w:tcW w:w="2310" w:type="dxa"/>
            <w:tcBorders>
              <w:top w:val="nil"/>
              <w:left w:val="nil"/>
              <w:bottom w:val="nil"/>
              <w:right w:val="single" w:color="000000" w:sz="8" w:space="0"/>
            </w:tcBorders>
            <w:shd w:val="clear" w:color="auto" w:fill="auto"/>
            <w:vAlign w:val="center"/>
          </w:tcPr>
          <w:p w14:paraId="3B918A14">
            <w:pPr>
              <w:keepNext w:val="0"/>
              <w:keepLines w:val="0"/>
              <w:pageBreakBefore w:val="0"/>
              <w:widowControl/>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r>
              <w:rPr>
                <w:rFonts w:hint="default" w:ascii="Times New Roman" w:hAnsi="Times New Roman" w:cs="Times New Roman"/>
                <w:sz w:val="24"/>
                <w:szCs w:val="24"/>
                <w:lang w:val="en-US" w:eastAsia="zh-CN"/>
              </w:rPr>
              <w:t>54.8</w:t>
            </w:r>
          </w:p>
        </w:tc>
      </w:tr>
      <w:tr w14:paraId="1F80346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0" w:type="auto"/>
            <w:tcBorders>
              <w:top w:val="nil"/>
              <w:left w:val="single" w:color="000000" w:sz="8" w:space="0"/>
              <w:bottom w:val="nil"/>
              <w:right w:val="nil"/>
            </w:tcBorders>
            <w:shd w:val="clear" w:color="auto" w:fill="auto"/>
            <w:noWrap/>
            <w:vAlign w:val="center"/>
          </w:tcPr>
          <w:p w14:paraId="3E69A2E7">
            <w:pPr>
              <w:keepNext w:val="0"/>
              <w:keepLines w:val="0"/>
              <w:pageBreakBefore w:val="0"/>
              <w:widowControl/>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p>
        </w:tc>
        <w:tc>
          <w:tcPr>
            <w:tcW w:w="2385" w:type="dxa"/>
            <w:tcBorders>
              <w:top w:val="nil"/>
              <w:left w:val="nil"/>
              <w:bottom w:val="nil"/>
              <w:right w:val="nil"/>
            </w:tcBorders>
            <w:shd w:val="clear" w:color="auto" w:fill="auto"/>
            <w:vAlign w:val="center"/>
          </w:tcPr>
          <w:p w14:paraId="0D68CF70">
            <w:pPr>
              <w:keepNext w:val="0"/>
              <w:keepLines w:val="0"/>
              <w:pageBreakBefore w:val="0"/>
              <w:widowControl/>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r>
              <w:rPr>
                <w:rFonts w:hint="default" w:ascii="Times New Roman" w:hAnsi="Times New Roman" w:cs="Times New Roman"/>
                <w:sz w:val="24"/>
                <w:szCs w:val="24"/>
                <w:lang w:val="en-US" w:eastAsia="zh-CN"/>
              </w:rPr>
              <w:t>35–44 years</w:t>
            </w:r>
          </w:p>
        </w:tc>
        <w:tc>
          <w:tcPr>
            <w:tcW w:w="1965" w:type="dxa"/>
            <w:tcBorders>
              <w:top w:val="nil"/>
              <w:left w:val="nil"/>
              <w:bottom w:val="nil"/>
              <w:right w:val="nil"/>
            </w:tcBorders>
            <w:shd w:val="clear" w:color="auto" w:fill="auto"/>
            <w:vAlign w:val="center"/>
          </w:tcPr>
          <w:p w14:paraId="5DA423AF">
            <w:pPr>
              <w:keepNext w:val="0"/>
              <w:keepLines w:val="0"/>
              <w:pageBreakBefore w:val="0"/>
              <w:widowControl/>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r>
              <w:rPr>
                <w:rFonts w:hint="default" w:ascii="Times New Roman" w:hAnsi="Times New Roman" w:cs="Times New Roman"/>
                <w:sz w:val="24"/>
                <w:szCs w:val="24"/>
                <w:lang w:val="en-US" w:eastAsia="zh-CN"/>
              </w:rPr>
              <w:t>200</w:t>
            </w:r>
          </w:p>
        </w:tc>
        <w:tc>
          <w:tcPr>
            <w:tcW w:w="2310" w:type="dxa"/>
            <w:tcBorders>
              <w:top w:val="nil"/>
              <w:left w:val="nil"/>
              <w:bottom w:val="nil"/>
              <w:right w:val="single" w:color="000000" w:sz="8" w:space="0"/>
            </w:tcBorders>
            <w:shd w:val="clear" w:color="auto" w:fill="auto"/>
            <w:vAlign w:val="center"/>
          </w:tcPr>
          <w:p w14:paraId="363E1896">
            <w:pPr>
              <w:keepNext w:val="0"/>
              <w:keepLines w:val="0"/>
              <w:pageBreakBefore w:val="0"/>
              <w:widowControl/>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r>
              <w:rPr>
                <w:rFonts w:hint="default" w:ascii="Times New Roman" w:hAnsi="Times New Roman" w:cs="Times New Roman"/>
                <w:sz w:val="24"/>
                <w:szCs w:val="24"/>
                <w:lang w:val="en-US" w:eastAsia="zh-CN"/>
              </w:rPr>
              <w:t>24.6</w:t>
            </w:r>
          </w:p>
        </w:tc>
      </w:tr>
      <w:tr w14:paraId="43B73C6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0" w:type="auto"/>
            <w:tcBorders>
              <w:top w:val="nil"/>
              <w:left w:val="single" w:color="000000" w:sz="8" w:space="0"/>
              <w:bottom w:val="nil"/>
              <w:right w:val="nil"/>
            </w:tcBorders>
            <w:shd w:val="clear" w:color="auto" w:fill="auto"/>
            <w:noWrap/>
            <w:vAlign w:val="center"/>
          </w:tcPr>
          <w:p w14:paraId="410F9C7C">
            <w:pPr>
              <w:keepNext w:val="0"/>
              <w:keepLines w:val="0"/>
              <w:pageBreakBefore w:val="0"/>
              <w:widowControl/>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p>
        </w:tc>
        <w:tc>
          <w:tcPr>
            <w:tcW w:w="2385" w:type="dxa"/>
            <w:tcBorders>
              <w:top w:val="nil"/>
              <w:left w:val="nil"/>
              <w:bottom w:val="nil"/>
              <w:right w:val="nil"/>
            </w:tcBorders>
            <w:shd w:val="clear" w:color="auto" w:fill="auto"/>
            <w:vAlign w:val="center"/>
          </w:tcPr>
          <w:p w14:paraId="30A30A1A">
            <w:pPr>
              <w:keepNext w:val="0"/>
              <w:keepLines w:val="0"/>
              <w:pageBreakBefore w:val="0"/>
              <w:widowControl/>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r>
              <w:rPr>
                <w:rFonts w:hint="default" w:ascii="Times New Roman" w:hAnsi="Times New Roman" w:cs="Times New Roman"/>
                <w:sz w:val="24"/>
                <w:szCs w:val="24"/>
                <w:lang w:val="en-US" w:eastAsia="zh-CN"/>
              </w:rPr>
              <w:t>45 years and above</w:t>
            </w:r>
          </w:p>
        </w:tc>
        <w:tc>
          <w:tcPr>
            <w:tcW w:w="1965" w:type="dxa"/>
            <w:tcBorders>
              <w:top w:val="nil"/>
              <w:left w:val="nil"/>
              <w:bottom w:val="nil"/>
              <w:right w:val="nil"/>
            </w:tcBorders>
            <w:shd w:val="clear" w:color="auto" w:fill="auto"/>
            <w:vAlign w:val="center"/>
          </w:tcPr>
          <w:p w14:paraId="1F9847A3">
            <w:pPr>
              <w:keepNext w:val="0"/>
              <w:keepLines w:val="0"/>
              <w:pageBreakBefore w:val="0"/>
              <w:widowControl/>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r>
              <w:rPr>
                <w:rFonts w:hint="default" w:ascii="Times New Roman" w:hAnsi="Times New Roman" w:cs="Times New Roman"/>
                <w:sz w:val="24"/>
                <w:szCs w:val="24"/>
                <w:lang w:val="en-US" w:eastAsia="zh-CN"/>
              </w:rPr>
              <w:t>44</w:t>
            </w:r>
          </w:p>
        </w:tc>
        <w:tc>
          <w:tcPr>
            <w:tcW w:w="2310" w:type="dxa"/>
            <w:tcBorders>
              <w:top w:val="nil"/>
              <w:left w:val="nil"/>
              <w:bottom w:val="nil"/>
              <w:right w:val="single" w:color="000000" w:sz="8" w:space="0"/>
            </w:tcBorders>
            <w:shd w:val="clear" w:color="auto" w:fill="auto"/>
            <w:vAlign w:val="center"/>
          </w:tcPr>
          <w:p w14:paraId="73BF30B9">
            <w:pPr>
              <w:keepNext w:val="0"/>
              <w:keepLines w:val="0"/>
              <w:pageBreakBefore w:val="0"/>
              <w:widowControl/>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r>
              <w:rPr>
                <w:rFonts w:hint="default" w:ascii="Times New Roman" w:hAnsi="Times New Roman" w:cs="Times New Roman"/>
                <w:sz w:val="24"/>
                <w:szCs w:val="24"/>
                <w:lang w:val="en-US" w:eastAsia="zh-CN"/>
              </w:rPr>
              <w:t>5.4</w:t>
            </w:r>
          </w:p>
        </w:tc>
      </w:tr>
      <w:tr w14:paraId="5828857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2385" w:type="dxa"/>
            <w:tcBorders>
              <w:top w:val="nil"/>
              <w:left w:val="single" w:color="000000" w:sz="8" w:space="0"/>
              <w:bottom w:val="nil"/>
              <w:right w:val="nil"/>
            </w:tcBorders>
            <w:shd w:val="clear" w:color="auto" w:fill="auto"/>
            <w:vAlign w:val="center"/>
          </w:tcPr>
          <w:p w14:paraId="1CF4EE24">
            <w:pPr>
              <w:keepNext w:val="0"/>
              <w:keepLines w:val="0"/>
              <w:pageBreakBefore w:val="0"/>
              <w:widowControl/>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r>
              <w:rPr>
                <w:rFonts w:hint="default" w:ascii="Times New Roman" w:hAnsi="Times New Roman" w:cs="Times New Roman"/>
                <w:sz w:val="24"/>
                <w:szCs w:val="24"/>
                <w:lang w:val="en-US" w:eastAsia="zh-CN"/>
              </w:rPr>
              <w:t>Country</w:t>
            </w:r>
          </w:p>
        </w:tc>
        <w:tc>
          <w:tcPr>
            <w:tcW w:w="2385" w:type="dxa"/>
            <w:tcBorders>
              <w:top w:val="nil"/>
              <w:left w:val="nil"/>
              <w:bottom w:val="nil"/>
              <w:right w:val="nil"/>
            </w:tcBorders>
            <w:shd w:val="clear" w:color="auto" w:fill="auto"/>
            <w:vAlign w:val="center"/>
          </w:tcPr>
          <w:p w14:paraId="49431F58">
            <w:pPr>
              <w:keepNext w:val="0"/>
              <w:keepLines w:val="0"/>
              <w:pageBreakBefore w:val="0"/>
              <w:widowControl/>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r>
              <w:rPr>
                <w:rFonts w:hint="default" w:ascii="Times New Roman" w:hAnsi="Times New Roman" w:cs="Times New Roman"/>
                <w:sz w:val="24"/>
                <w:szCs w:val="24"/>
                <w:lang w:val="en-US" w:eastAsia="zh-CN"/>
              </w:rPr>
              <w:t>Nigeria</w:t>
            </w:r>
          </w:p>
        </w:tc>
        <w:tc>
          <w:tcPr>
            <w:tcW w:w="1965" w:type="dxa"/>
            <w:tcBorders>
              <w:top w:val="nil"/>
              <w:left w:val="nil"/>
              <w:bottom w:val="nil"/>
              <w:right w:val="nil"/>
            </w:tcBorders>
            <w:shd w:val="clear" w:color="auto" w:fill="auto"/>
            <w:vAlign w:val="center"/>
          </w:tcPr>
          <w:p w14:paraId="5D56ED1F">
            <w:pPr>
              <w:keepNext w:val="0"/>
              <w:keepLines w:val="0"/>
              <w:pageBreakBefore w:val="0"/>
              <w:widowControl/>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r>
              <w:rPr>
                <w:rFonts w:hint="default" w:ascii="Times New Roman" w:hAnsi="Times New Roman" w:cs="Times New Roman"/>
                <w:sz w:val="24"/>
                <w:szCs w:val="24"/>
                <w:lang w:val="en-US" w:eastAsia="zh-CN"/>
              </w:rPr>
              <w:t>310</w:t>
            </w:r>
          </w:p>
        </w:tc>
        <w:tc>
          <w:tcPr>
            <w:tcW w:w="2310" w:type="dxa"/>
            <w:tcBorders>
              <w:top w:val="nil"/>
              <w:left w:val="nil"/>
              <w:bottom w:val="nil"/>
              <w:right w:val="single" w:color="000000" w:sz="8" w:space="0"/>
            </w:tcBorders>
            <w:shd w:val="clear" w:color="auto" w:fill="auto"/>
            <w:vAlign w:val="center"/>
          </w:tcPr>
          <w:p w14:paraId="684E2F42">
            <w:pPr>
              <w:keepNext w:val="0"/>
              <w:keepLines w:val="0"/>
              <w:pageBreakBefore w:val="0"/>
              <w:widowControl/>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r>
              <w:rPr>
                <w:rFonts w:hint="default" w:ascii="Times New Roman" w:hAnsi="Times New Roman" w:cs="Times New Roman"/>
                <w:sz w:val="24"/>
                <w:szCs w:val="24"/>
                <w:lang w:val="en-US" w:eastAsia="zh-CN"/>
              </w:rPr>
              <w:t>38.1</w:t>
            </w:r>
          </w:p>
        </w:tc>
      </w:tr>
      <w:tr w14:paraId="5CAE27C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0" w:type="auto"/>
            <w:tcBorders>
              <w:top w:val="nil"/>
              <w:left w:val="single" w:color="000000" w:sz="8" w:space="0"/>
              <w:bottom w:val="nil"/>
              <w:right w:val="nil"/>
            </w:tcBorders>
            <w:shd w:val="clear" w:color="auto" w:fill="auto"/>
            <w:noWrap/>
            <w:vAlign w:val="center"/>
          </w:tcPr>
          <w:p w14:paraId="28EF4873">
            <w:pPr>
              <w:keepNext w:val="0"/>
              <w:keepLines w:val="0"/>
              <w:pageBreakBefore w:val="0"/>
              <w:widowControl/>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p>
        </w:tc>
        <w:tc>
          <w:tcPr>
            <w:tcW w:w="2385" w:type="dxa"/>
            <w:tcBorders>
              <w:top w:val="nil"/>
              <w:left w:val="nil"/>
              <w:bottom w:val="nil"/>
              <w:right w:val="nil"/>
            </w:tcBorders>
            <w:shd w:val="clear" w:color="auto" w:fill="auto"/>
            <w:vAlign w:val="center"/>
          </w:tcPr>
          <w:p w14:paraId="5BA2358F">
            <w:pPr>
              <w:keepNext w:val="0"/>
              <w:keepLines w:val="0"/>
              <w:pageBreakBefore w:val="0"/>
              <w:widowControl/>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r>
              <w:rPr>
                <w:rFonts w:hint="default" w:ascii="Times New Roman" w:hAnsi="Times New Roman" w:cs="Times New Roman"/>
                <w:sz w:val="24"/>
                <w:szCs w:val="24"/>
                <w:lang w:val="en-US" w:eastAsia="zh-CN"/>
              </w:rPr>
              <w:t>India</w:t>
            </w:r>
          </w:p>
        </w:tc>
        <w:tc>
          <w:tcPr>
            <w:tcW w:w="1965" w:type="dxa"/>
            <w:tcBorders>
              <w:top w:val="nil"/>
              <w:left w:val="nil"/>
              <w:bottom w:val="nil"/>
              <w:right w:val="nil"/>
            </w:tcBorders>
            <w:shd w:val="clear" w:color="auto" w:fill="auto"/>
            <w:vAlign w:val="center"/>
          </w:tcPr>
          <w:p w14:paraId="523946EF">
            <w:pPr>
              <w:keepNext w:val="0"/>
              <w:keepLines w:val="0"/>
              <w:pageBreakBefore w:val="0"/>
              <w:widowControl/>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r>
              <w:rPr>
                <w:rFonts w:hint="default" w:ascii="Times New Roman" w:hAnsi="Times New Roman" w:cs="Times New Roman"/>
                <w:sz w:val="24"/>
                <w:szCs w:val="24"/>
                <w:lang w:val="en-US" w:eastAsia="zh-CN"/>
              </w:rPr>
              <w:t>281</w:t>
            </w:r>
          </w:p>
        </w:tc>
        <w:tc>
          <w:tcPr>
            <w:tcW w:w="2310" w:type="dxa"/>
            <w:tcBorders>
              <w:top w:val="nil"/>
              <w:left w:val="nil"/>
              <w:bottom w:val="nil"/>
              <w:right w:val="single" w:color="000000" w:sz="8" w:space="0"/>
            </w:tcBorders>
            <w:shd w:val="clear" w:color="auto" w:fill="auto"/>
            <w:vAlign w:val="center"/>
          </w:tcPr>
          <w:p w14:paraId="04368B2D">
            <w:pPr>
              <w:keepNext w:val="0"/>
              <w:keepLines w:val="0"/>
              <w:pageBreakBefore w:val="0"/>
              <w:widowControl/>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r>
              <w:rPr>
                <w:rFonts w:hint="default" w:ascii="Times New Roman" w:hAnsi="Times New Roman" w:cs="Times New Roman"/>
                <w:sz w:val="24"/>
                <w:szCs w:val="24"/>
                <w:lang w:val="en-US" w:eastAsia="zh-CN"/>
              </w:rPr>
              <w:t>34.5</w:t>
            </w:r>
          </w:p>
        </w:tc>
      </w:tr>
      <w:tr w14:paraId="6DA153E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0" w:type="auto"/>
            <w:tcBorders>
              <w:top w:val="nil"/>
              <w:left w:val="single" w:color="000000" w:sz="8" w:space="0"/>
              <w:bottom w:val="nil"/>
              <w:right w:val="nil"/>
            </w:tcBorders>
            <w:shd w:val="clear" w:color="auto" w:fill="auto"/>
            <w:noWrap/>
            <w:vAlign w:val="center"/>
          </w:tcPr>
          <w:p w14:paraId="517024EF">
            <w:pPr>
              <w:keepNext w:val="0"/>
              <w:keepLines w:val="0"/>
              <w:pageBreakBefore w:val="0"/>
              <w:widowControl/>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p>
        </w:tc>
        <w:tc>
          <w:tcPr>
            <w:tcW w:w="2385" w:type="dxa"/>
            <w:tcBorders>
              <w:top w:val="nil"/>
              <w:left w:val="nil"/>
              <w:bottom w:val="nil"/>
              <w:right w:val="nil"/>
            </w:tcBorders>
            <w:shd w:val="clear" w:color="auto" w:fill="auto"/>
            <w:vAlign w:val="center"/>
          </w:tcPr>
          <w:p w14:paraId="1ADDEFBB">
            <w:pPr>
              <w:keepNext w:val="0"/>
              <w:keepLines w:val="0"/>
              <w:pageBreakBefore w:val="0"/>
              <w:widowControl/>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r>
              <w:rPr>
                <w:rFonts w:hint="default" w:ascii="Times New Roman" w:hAnsi="Times New Roman" w:cs="Times New Roman"/>
                <w:sz w:val="24"/>
                <w:szCs w:val="24"/>
                <w:lang w:val="en-US" w:eastAsia="zh-CN"/>
              </w:rPr>
              <w:t>Kenya</w:t>
            </w:r>
          </w:p>
        </w:tc>
        <w:tc>
          <w:tcPr>
            <w:tcW w:w="1965" w:type="dxa"/>
            <w:tcBorders>
              <w:top w:val="nil"/>
              <w:left w:val="nil"/>
              <w:bottom w:val="nil"/>
              <w:right w:val="nil"/>
            </w:tcBorders>
            <w:shd w:val="clear" w:color="auto" w:fill="auto"/>
            <w:vAlign w:val="center"/>
          </w:tcPr>
          <w:p w14:paraId="6C8CAB68">
            <w:pPr>
              <w:keepNext w:val="0"/>
              <w:keepLines w:val="0"/>
              <w:pageBreakBefore w:val="0"/>
              <w:widowControl/>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r>
              <w:rPr>
                <w:rFonts w:hint="default" w:ascii="Times New Roman" w:hAnsi="Times New Roman" w:cs="Times New Roman"/>
                <w:sz w:val="24"/>
                <w:szCs w:val="24"/>
                <w:lang w:val="en-US" w:eastAsia="zh-CN"/>
              </w:rPr>
              <w:t>223</w:t>
            </w:r>
          </w:p>
        </w:tc>
        <w:tc>
          <w:tcPr>
            <w:tcW w:w="2310" w:type="dxa"/>
            <w:tcBorders>
              <w:top w:val="nil"/>
              <w:left w:val="nil"/>
              <w:bottom w:val="nil"/>
              <w:right w:val="single" w:color="000000" w:sz="8" w:space="0"/>
            </w:tcBorders>
            <w:shd w:val="clear" w:color="auto" w:fill="auto"/>
            <w:vAlign w:val="center"/>
          </w:tcPr>
          <w:p w14:paraId="48096E2A">
            <w:pPr>
              <w:keepNext w:val="0"/>
              <w:keepLines w:val="0"/>
              <w:pageBreakBefore w:val="0"/>
              <w:widowControl/>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r>
              <w:rPr>
                <w:rFonts w:hint="default" w:ascii="Times New Roman" w:hAnsi="Times New Roman" w:cs="Times New Roman"/>
                <w:sz w:val="24"/>
                <w:szCs w:val="24"/>
                <w:lang w:val="en-US" w:eastAsia="zh-CN"/>
              </w:rPr>
              <w:t>27.4</w:t>
            </w:r>
          </w:p>
        </w:tc>
      </w:tr>
      <w:tr w14:paraId="536F6C6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2385" w:type="dxa"/>
            <w:tcBorders>
              <w:top w:val="nil"/>
              <w:left w:val="single" w:color="000000" w:sz="8" w:space="0"/>
              <w:bottom w:val="nil"/>
              <w:right w:val="nil"/>
            </w:tcBorders>
            <w:shd w:val="clear" w:color="auto" w:fill="auto"/>
            <w:vAlign w:val="center"/>
          </w:tcPr>
          <w:p w14:paraId="43A32BDA">
            <w:pPr>
              <w:keepNext w:val="0"/>
              <w:keepLines w:val="0"/>
              <w:pageBreakBefore w:val="0"/>
              <w:widowControl/>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r>
              <w:rPr>
                <w:rFonts w:hint="default" w:ascii="Times New Roman" w:hAnsi="Times New Roman" w:cs="Times New Roman"/>
                <w:sz w:val="24"/>
                <w:szCs w:val="24"/>
                <w:lang w:val="en-US" w:eastAsia="zh-CN"/>
              </w:rPr>
              <w:t>Trading Experience</w:t>
            </w:r>
          </w:p>
        </w:tc>
        <w:tc>
          <w:tcPr>
            <w:tcW w:w="2385" w:type="dxa"/>
            <w:tcBorders>
              <w:top w:val="nil"/>
              <w:left w:val="nil"/>
              <w:bottom w:val="nil"/>
              <w:right w:val="nil"/>
            </w:tcBorders>
            <w:shd w:val="clear" w:color="auto" w:fill="auto"/>
            <w:vAlign w:val="center"/>
          </w:tcPr>
          <w:p w14:paraId="5D84FB07">
            <w:pPr>
              <w:keepNext w:val="0"/>
              <w:keepLines w:val="0"/>
              <w:pageBreakBefore w:val="0"/>
              <w:widowControl/>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r>
              <w:rPr>
                <w:rFonts w:hint="default" w:ascii="Times New Roman" w:hAnsi="Times New Roman" w:cs="Times New Roman"/>
                <w:sz w:val="24"/>
                <w:szCs w:val="24"/>
                <w:lang w:val="en-US" w:eastAsia="zh-CN"/>
              </w:rPr>
              <w:t>Less than 3 years</w:t>
            </w:r>
          </w:p>
        </w:tc>
        <w:tc>
          <w:tcPr>
            <w:tcW w:w="1965" w:type="dxa"/>
            <w:tcBorders>
              <w:top w:val="nil"/>
              <w:left w:val="nil"/>
              <w:bottom w:val="nil"/>
              <w:right w:val="nil"/>
            </w:tcBorders>
            <w:shd w:val="clear" w:color="auto" w:fill="auto"/>
            <w:vAlign w:val="center"/>
          </w:tcPr>
          <w:p w14:paraId="5A833BF8">
            <w:pPr>
              <w:keepNext w:val="0"/>
              <w:keepLines w:val="0"/>
              <w:pageBreakBefore w:val="0"/>
              <w:widowControl/>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r>
              <w:rPr>
                <w:rFonts w:hint="default" w:ascii="Times New Roman" w:hAnsi="Times New Roman" w:cs="Times New Roman"/>
                <w:sz w:val="24"/>
                <w:szCs w:val="24"/>
                <w:lang w:val="en-US" w:eastAsia="zh-CN"/>
              </w:rPr>
              <w:t>390</w:t>
            </w:r>
          </w:p>
        </w:tc>
        <w:tc>
          <w:tcPr>
            <w:tcW w:w="2310" w:type="dxa"/>
            <w:tcBorders>
              <w:top w:val="nil"/>
              <w:left w:val="nil"/>
              <w:bottom w:val="nil"/>
              <w:right w:val="single" w:color="000000" w:sz="8" w:space="0"/>
            </w:tcBorders>
            <w:shd w:val="clear" w:color="auto" w:fill="auto"/>
            <w:vAlign w:val="center"/>
          </w:tcPr>
          <w:p w14:paraId="646D5B89">
            <w:pPr>
              <w:keepNext w:val="0"/>
              <w:keepLines w:val="0"/>
              <w:pageBreakBefore w:val="0"/>
              <w:widowControl/>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r>
              <w:rPr>
                <w:rFonts w:hint="default" w:ascii="Times New Roman" w:hAnsi="Times New Roman" w:cs="Times New Roman"/>
                <w:sz w:val="24"/>
                <w:szCs w:val="24"/>
                <w:lang w:val="en-US" w:eastAsia="zh-CN"/>
              </w:rPr>
              <w:t>47.9</w:t>
            </w:r>
          </w:p>
        </w:tc>
      </w:tr>
      <w:tr w14:paraId="52E1B3E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0" w:type="auto"/>
            <w:tcBorders>
              <w:top w:val="nil"/>
              <w:left w:val="single" w:color="000000" w:sz="8" w:space="0"/>
              <w:bottom w:val="nil"/>
              <w:right w:val="nil"/>
            </w:tcBorders>
            <w:shd w:val="clear" w:color="auto" w:fill="auto"/>
            <w:noWrap/>
            <w:vAlign w:val="center"/>
          </w:tcPr>
          <w:p w14:paraId="4217D5C7">
            <w:pPr>
              <w:keepNext w:val="0"/>
              <w:keepLines w:val="0"/>
              <w:pageBreakBefore w:val="0"/>
              <w:widowControl/>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p>
        </w:tc>
        <w:tc>
          <w:tcPr>
            <w:tcW w:w="2385" w:type="dxa"/>
            <w:tcBorders>
              <w:top w:val="nil"/>
              <w:left w:val="nil"/>
              <w:bottom w:val="nil"/>
              <w:right w:val="nil"/>
            </w:tcBorders>
            <w:shd w:val="clear" w:color="auto" w:fill="auto"/>
            <w:vAlign w:val="center"/>
          </w:tcPr>
          <w:p w14:paraId="2C3FA7F3">
            <w:pPr>
              <w:keepNext w:val="0"/>
              <w:keepLines w:val="0"/>
              <w:pageBreakBefore w:val="0"/>
              <w:widowControl/>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r>
              <w:rPr>
                <w:rFonts w:hint="default" w:ascii="Times New Roman" w:hAnsi="Times New Roman" w:cs="Times New Roman"/>
                <w:sz w:val="24"/>
                <w:szCs w:val="24"/>
                <w:lang w:val="en-US" w:eastAsia="zh-CN"/>
              </w:rPr>
              <w:t>3–5 years</w:t>
            </w:r>
          </w:p>
        </w:tc>
        <w:tc>
          <w:tcPr>
            <w:tcW w:w="1965" w:type="dxa"/>
            <w:tcBorders>
              <w:top w:val="nil"/>
              <w:left w:val="nil"/>
              <w:bottom w:val="nil"/>
              <w:right w:val="nil"/>
            </w:tcBorders>
            <w:shd w:val="clear" w:color="auto" w:fill="auto"/>
            <w:vAlign w:val="center"/>
          </w:tcPr>
          <w:p w14:paraId="68EC70D4">
            <w:pPr>
              <w:keepNext w:val="0"/>
              <w:keepLines w:val="0"/>
              <w:pageBreakBefore w:val="0"/>
              <w:widowControl/>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r>
              <w:rPr>
                <w:rFonts w:hint="default" w:ascii="Times New Roman" w:hAnsi="Times New Roman" w:cs="Times New Roman"/>
                <w:sz w:val="24"/>
                <w:szCs w:val="24"/>
                <w:lang w:val="en-US" w:eastAsia="zh-CN"/>
              </w:rPr>
              <w:t>276</w:t>
            </w:r>
          </w:p>
        </w:tc>
        <w:tc>
          <w:tcPr>
            <w:tcW w:w="2310" w:type="dxa"/>
            <w:tcBorders>
              <w:top w:val="nil"/>
              <w:left w:val="nil"/>
              <w:bottom w:val="nil"/>
              <w:right w:val="single" w:color="000000" w:sz="8" w:space="0"/>
            </w:tcBorders>
            <w:shd w:val="clear" w:color="auto" w:fill="auto"/>
            <w:vAlign w:val="center"/>
          </w:tcPr>
          <w:p w14:paraId="093E59A7">
            <w:pPr>
              <w:keepNext w:val="0"/>
              <w:keepLines w:val="0"/>
              <w:pageBreakBefore w:val="0"/>
              <w:widowControl/>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r>
              <w:rPr>
                <w:rFonts w:hint="default" w:ascii="Times New Roman" w:hAnsi="Times New Roman" w:cs="Times New Roman"/>
                <w:sz w:val="24"/>
                <w:szCs w:val="24"/>
                <w:lang w:val="en-US" w:eastAsia="zh-CN"/>
              </w:rPr>
              <w:t>33.9</w:t>
            </w:r>
          </w:p>
        </w:tc>
      </w:tr>
      <w:tr w14:paraId="12E3B3F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0" w:type="auto"/>
            <w:tcBorders>
              <w:top w:val="nil"/>
              <w:left w:val="single" w:color="000000" w:sz="8" w:space="0"/>
              <w:bottom w:val="single" w:color="000000" w:sz="8" w:space="0"/>
              <w:right w:val="nil"/>
            </w:tcBorders>
            <w:shd w:val="clear" w:color="auto" w:fill="auto"/>
            <w:noWrap/>
            <w:vAlign w:val="center"/>
          </w:tcPr>
          <w:p w14:paraId="729E8ED4">
            <w:pPr>
              <w:keepNext w:val="0"/>
              <w:keepLines w:val="0"/>
              <w:pageBreakBefore w:val="0"/>
              <w:widowControl/>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p>
        </w:tc>
        <w:tc>
          <w:tcPr>
            <w:tcW w:w="2385" w:type="dxa"/>
            <w:tcBorders>
              <w:top w:val="nil"/>
              <w:left w:val="nil"/>
              <w:bottom w:val="single" w:color="000000" w:sz="8" w:space="0"/>
              <w:right w:val="nil"/>
            </w:tcBorders>
            <w:shd w:val="clear" w:color="auto" w:fill="auto"/>
            <w:vAlign w:val="center"/>
          </w:tcPr>
          <w:p w14:paraId="054B6396">
            <w:pPr>
              <w:keepNext w:val="0"/>
              <w:keepLines w:val="0"/>
              <w:pageBreakBefore w:val="0"/>
              <w:widowControl/>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r>
              <w:rPr>
                <w:rFonts w:hint="default" w:ascii="Times New Roman" w:hAnsi="Times New Roman" w:cs="Times New Roman"/>
                <w:sz w:val="24"/>
                <w:szCs w:val="24"/>
                <w:lang w:val="en-US" w:eastAsia="zh-CN"/>
              </w:rPr>
              <w:t>Above 5 years</w:t>
            </w:r>
          </w:p>
        </w:tc>
        <w:tc>
          <w:tcPr>
            <w:tcW w:w="1965" w:type="dxa"/>
            <w:tcBorders>
              <w:top w:val="nil"/>
              <w:left w:val="nil"/>
              <w:bottom w:val="single" w:color="000000" w:sz="8" w:space="0"/>
              <w:right w:val="nil"/>
            </w:tcBorders>
            <w:shd w:val="clear" w:color="auto" w:fill="auto"/>
            <w:vAlign w:val="center"/>
          </w:tcPr>
          <w:p w14:paraId="73CA9127">
            <w:pPr>
              <w:keepNext w:val="0"/>
              <w:keepLines w:val="0"/>
              <w:pageBreakBefore w:val="0"/>
              <w:widowControl/>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r>
              <w:rPr>
                <w:rFonts w:hint="default" w:ascii="Times New Roman" w:hAnsi="Times New Roman" w:cs="Times New Roman"/>
                <w:sz w:val="24"/>
                <w:szCs w:val="24"/>
                <w:lang w:val="en-US" w:eastAsia="zh-CN"/>
              </w:rPr>
              <w:t>148</w:t>
            </w:r>
          </w:p>
        </w:tc>
        <w:tc>
          <w:tcPr>
            <w:tcW w:w="2310" w:type="dxa"/>
            <w:tcBorders>
              <w:top w:val="nil"/>
              <w:left w:val="nil"/>
              <w:bottom w:val="single" w:color="000000" w:sz="8" w:space="0"/>
              <w:right w:val="single" w:color="000000" w:sz="8" w:space="0"/>
            </w:tcBorders>
            <w:shd w:val="clear" w:color="auto" w:fill="auto"/>
            <w:vAlign w:val="center"/>
          </w:tcPr>
          <w:p w14:paraId="7EFDCDFD">
            <w:pPr>
              <w:keepNext w:val="0"/>
              <w:keepLines w:val="0"/>
              <w:pageBreakBefore w:val="0"/>
              <w:widowControl/>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r>
              <w:rPr>
                <w:rFonts w:hint="default" w:ascii="Times New Roman" w:hAnsi="Times New Roman" w:cs="Times New Roman"/>
                <w:sz w:val="24"/>
                <w:szCs w:val="24"/>
                <w:lang w:val="en-US" w:eastAsia="zh-CN"/>
              </w:rPr>
              <w:t>18.2</w:t>
            </w:r>
          </w:p>
        </w:tc>
      </w:tr>
    </w:tbl>
    <w:p w14:paraId="11C3C80B">
      <w:pPr>
        <w:pStyle w:val="7"/>
        <w:keepNext w:val="0"/>
        <w:keepLines w:val="0"/>
        <w:pageBreakBefore w:val="0"/>
        <w:widowControl/>
        <w:suppressLineNumbers w:val="0"/>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r>
        <w:rPr>
          <w:rFonts w:hint="default" w:ascii="Times New Roman" w:hAnsi="Times New Roman" w:cs="Times New Roman"/>
          <w:sz w:val="24"/>
          <w:szCs w:val="24"/>
        </w:rPr>
        <w:t>The country distribution indicates that Nigeria contributed the highest proportion of respondents, followed by India and Kenya. In terms of trading experience, 47.9% of the respondents had less than three years of experience, while 33.9% had between three and five years. This suggests that many digital retail investors are relatively new to the market, which may increase their exposure to platform-induced behavioral risks, finfluencer influence, and speculative trading tendencies.</w:t>
      </w:r>
    </w:p>
    <w:p w14:paraId="23574CA1">
      <w:pPr>
        <w:pStyle w:val="7"/>
        <w:keepNext w:val="0"/>
        <w:keepLines w:val="0"/>
        <w:pageBreakBefore w:val="0"/>
        <w:widowControl/>
        <w:suppressLineNumbers w:val="0"/>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p>
    <w:p w14:paraId="561B02CB">
      <w:pPr>
        <w:pStyle w:val="7"/>
        <w:keepNext w:val="0"/>
        <w:keepLines w:val="0"/>
        <w:pageBreakBefore w:val="0"/>
        <w:widowControl/>
        <w:suppressLineNumbers w:val="0"/>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r>
        <w:rPr>
          <w:rStyle w:val="8"/>
          <w:rFonts w:hint="default" w:ascii="Times New Roman" w:hAnsi="Times New Roman" w:cs="Times New Roman"/>
          <w:sz w:val="24"/>
          <w:szCs w:val="24"/>
        </w:rPr>
        <w:t>Table 4.3: Platform Usage Among Respondents</w:t>
      </w:r>
    </w:p>
    <w:tbl>
      <w:tblPr>
        <w:tblStyle w:val="6"/>
        <w:tblpPr w:leftFromText="180" w:rightFromText="180" w:vertAnchor="text" w:horzAnchor="page" w:tblpX="1881" w:tblpY="235"/>
        <w:tblOverlap w:val="never"/>
        <w:tblW w:w="7305"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3135"/>
        <w:gridCol w:w="2070"/>
        <w:gridCol w:w="2100"/>
      </w:tblGrid>
      <w:tr w14:paraId="7C60B00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3135" w:type="dxa"/>
            <w:tcBorders>
              <w:top w:val="single" w:color="000000" w:sz="8" w:space="0"/>
              <w:left w:val="single" w:color="000000" w:sz="8" w:space="0"/>
              <w:bottom w:val="single" w:color="000000" w:sz="8" w:space="0"/>
              <w:right w:val="nil"/>
            </w:tcBorders>
            <w:shd w:val="clear" w:color="auto" w:fill="auto"/>
            <w:vAlign w:val="center"/>
          </w:tcPr>
          <w:p w14:paraId="1FA7A153">
            <w:pPr>
              <w:keepNext w:val="0"/>
              <w:keepLines w:val="0"/>
              <w:pageBreakBefore w:val="0"/>
              <w:widowControl/>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r>
              <w:rPr>
                <w:rFonts w:hint="default" w:ascii="Times New Roman" w:hAnsi="Times New Roman" w:cs="Times New Roman"/>
                <w:sz w:val="24"/>
                <w:szCs w:val="24"/>
                <w:lang w:val="en-US" w:eastAsia="zh-CN"/>
              </w:rPr>
              <w:t>Platform</w:t>
            </w:r>
          </w:p>
        </w:tc>
        <w:tc>
          <w:tcPr>
            <w:tcW w:w="2070" w:type="dxa"/>
            <w:tcBorders>
              <w:top w:val="single" w:color="000000" w:sz="8" w:space="0"/>
              <w:left w:val="nil"/>
              <w:bottom w:val="single" w:color="000000" w:sz="8" w:space="0"/>
              <w:right w:val="nil"/>
            </w:tcBorders>
            <w:shd w:val="clear" w:color="auto" w:fill="auto"/>
            <w:vAlign w:val="center"/>
          </w:tcPr>
          <w:p w14:paraId="041442AF">
            <w:pPr>
              <w:keepNext w:val="0"/>
              <w:keepLines w:val="0"/>
              <w:pageBreakBefore w:val="0"/>
              <w:widowControl/>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r>
              <w:rPr>
                <w:rFonts w:hint="default" w:ascii="Times New Roman" w:hAnsi="Times New Roman" w:cs="Times New Roman"/>
                <w:sz w:val="24"/>
                <w:szCs w:val="24"/>
                <w:lang w:val="en-US" w:eastAsia="zh-CN"/>
              </w:rPr>
              <w:t>Frequency</w:t>
            </w:r>
          </w:p>
        </w:tc>
        <w:tc>
          <w:tcPr>
            <w:tcW w:w="2100" w:type="dxa"/>
            <w:tcBorders>
              <w:top w:val="single" w:color="000000" w:sz="8" w:space="0"/>
              <w:left w:val="nil"/>
              <w:bottom w:val="single" w:color="000000" w:sz="8" w:space="0"/>
              <w:right w:val="single" w:color="000000" w:sz="8" w:space="0"/>
            </w:tcBorders>
            <w:shd w:val="clear" w:color="auto" w:fill="auto"/>
            <w:vAlign w:val="center"/>
          </w:tcPr>
          <w:p w14:paraId="6680CB65">
            <w:pPr>
              <w:keepNext w:val="0"/>
              <w:keepLines w:val="0"/>
              <w:pageBreakBefore w:val="0"/>
              <w:widowControl/>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r>
              <w:rPr>
                <w:rFonts w:hint="default" w:ascii="Times New Roman" w:hAnsi="Times New Roman" w:cs="Times New Roman"/>
                <w:sz w:val="24"/>
                <w:szCs w:val="24"/>
                <w:lang w:val="en-US" w:eastAsia="zh-CN"/>
              </w:rPr>
              <w:t>Percentage (%)</w:t>
            </w:r>
          </w:p>
        </w:tc>
      </w:tr>
      <w:tr w14:paraId="527CC6E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3135" w:type="dxa"/>
            <w:tcBorders>
              <w:top w:val="single" w:color="000000" w:sz="8" w:space="0"/>
              <w:left w:val="single" w:color="000000" w:sz="8" w:space="0"/>
              <w:bottom w:val="nil"/>
              <w:right w:val="nil"/>
            </w:tcBorders>
            <w:shd w:val="clear" w:color="auto" w:fill="auto"/>
            <w:vAlign w:val="center"/>
          </w:tcPr>
          <w:p w14:paraId="241261B0">
            <w:pPr>
              <w:keepNext w:val="0"/>
              <w:keepLines w:val="0"/>
              <w:pageBreakBefore w:val="0"/>
              <w:widowControl/>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r>
              <w:rPr>
                <w:rFonts w:hint="default" w:ascii="Times New Roman" w:hAnsi="Times New Roman" w:cs="Times New Roman"/>
                <w:sz w:val="24"/>
                <w:szCs w:val="24"/>
                <w:lang w:val="en-US" w:eastAsia="zh-CN"/>
              </w:rPr>
              <w:t>Zerodha/Groww</w:t>
            </w:r>
          </w:p>
        </w:tc>
        <w:tc>
          <w:tcPr>
            <w:tcW w:w="2070" w:type="dxa"/>
            <w:tcBorders>
              <w:top w:val="single" w:color="000000" w:sz="8" w:space="0"/>
              <w:left w:val="nil"/>
              <w:bottom w:val="nil"/>
              <w:right w:val="nil"/>
            </w:tcBorders>
            <w:shd w:val="clear" w:color="auto" w:fill="auto"/>
            <w:vAlign w:val="center"/>
          </w:tcPr>
          <w:p w14:paraId="6CFBEE59">
            <w:pPr>
              <w:keepNext w:val="0"/>
              <w:keepLines w:val="0"/>
              <w:pageBreakBefore w:val="0"/>
              <w:widowControl/>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r>
              <w:rPr>
                <w:rFonts w:hint="default" w:ascii="Times New Roman" w:hAnsi="Times New Roman" w:cs="Times New Roman"/>
                <w:sz w:val="24"/>
                <w:szCs w:val="24"/>
                <w:lang w:val="en-US" w:eastAsia="zh-CN"/>
              </w:rPr>
              <w:t>281</w:t>
            </w:r>
          </w:p>
        </w:tc>
        <w:tc>
          <w:tcPr>
            <w:tcW w:w="2100" w:type="dxa"/>
            <w:tcBorders>
              <w:top w:val="single" w:color="000000" w:sz="8" w:space="0"/>
              <w:left w:val="nil"/>
              <w:bottom w:val="nil"/>
              <w:right w:val="single" w:color="000000" w:sz="8" w:space="0"/>
            </w:tcBorders>
            <w:shd w:val="clear" w:color="auto" w:fill="auto"/>
            <w:vAlign w:val="center"/>
          </w:tcPr>
          <w:p w14:paraId="71EB8C03">
            <w:pPr>
              <w:keepNext w:val="0"/>
              <w:keepLines w:val="0"/>
              <w:pageBreakBefore w:val="0"/>
              <w:widowControl/>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r>
              <w:rPr>
                <w:rFonts w:hint="default" w:ascii="Times New Roman" w:hAnsi="Times New Roman" w:cs="Times New Roman"/>
                <w:sz w:val="24"/>
                <w:szCs w:val="24"/>
                <w:lang w:val="en-US" w:eastAsia="zh-CN"/>
              </w:rPr>
              <w:t>34.5</w:t>
            </w:r>
          </w:p>
        </w:tc>
      </w:tr>
      <w:tr w14:paraId="49046B0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3135" w:type="dxa"/>
            <w:tcBorders>
              <w:top w:val="nil"/>
              <w:left w:val="single" w:color="000000" w:sz="8" w:space="0"/>
              <w:bottom w:val="nil"/>
              <w:right w:val="nil"/>
            </w:tcBorders>
            <w:shd w:val="clear" w:color="auto" w:fill="auto"/>
            <w:vAlign w:val="center"/>
          </w:tcPr>
          <w:p w14:paraId="15B947DF">
            <w:pPr>
              <w:keepNext w:val="0"/>
              <w:keepLines w:val="0"/>
              <w:pageBreakBefore w:val="0"/>
              <w:widowControl/>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r>
              <w:rPr>
                <w:rFonts w:hint="default" w:ascii="Times New Roman" w:hAnsi="Times New Roman" w:cs="Times New Roman"/>
                <w:sz w:val="24"/>
                <w:szCs w:val="24"/>
                <w:lang w:val="en-US" w:eastAsia="zh-CN"/>
              </w:rPr>
              <w:t>Bamboo/Trove</w:t>
            </w:r>
          </w:p>
        </w:tc>
        <w:tc>
          <w:tcPr>
            <w:tcW w:w="2070" w:type="dxa"/>
            <w:tcBorders>
              <w:top w:val="nil"/>
              <w:left w:val="nil"/>
              <w:bottom w:val="nil"/>
              <w:right w:val="nil"/>
            </w:tcBorders>
            <w:shd w:val="clear" w:color="auto" w:fill="auto"/>
            <w:vAlign w:val="center"/>
          </w:tcPr>
          <w:p w14:paraId="0954F263">
            <w:pPr>
              <w:keepNext w:val="0"/>
              <w:keepLines w:val="0"/>
              <w:pageBreakBefore w:val="0"/>
              <w:widowControl/>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r>
              <w:rPr>
                <w:rFonts w:hint="default" w:ascii="Times New Roman" w:hAnsi="Times New Roman" w:cs="Times New Roman"/>
                <w:sz w:val="24"/>
                <w:szCs w:val="24"/>
                <w:lang w:val="en-US" w:eastAsia="zh-CN"/>
              </w:rPr>
              <w:t>226</w:t>
            </w:r>
          </w:p>
        </w:tc>
        <w:tc>
          <w:tcPr>
            <w:tcW w:w="2100" w:type="dxa"/>
            <w:tcBorders>
              <w:top w:val="nil"/>
              <w:left w:val="nil"/>
              <w:bottom w:val="nil"/>
              <w:right w:val="single" w:color="000000" w:sz="8" w:space="0"/>
            </w:tcBorders>
            <w:shd w:val="clear" w:color="auto" w:fill="auto"/>
            <w:vAlign w:val="center"/>
          </w:tcPr>
          <w:p w14:paraId="427BDD85">
            <w:pPr>
              <w:keepNext w:val="0"/>
              <w:keepLines w:val="0"/>
              <w:pageBreakBefore w:val="0"/>
              <w:widowControl/>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r>
              <w:rPr>
                <w:rFonts w:hint="default" w:ascii="Times New Roman" w:hAnsi="Times New Roman" w:cs="Times New Roman"/>
                <w:sz w:val="24"/>
                <w:szCs w:val="24"/>
                <w:lang w:val="en-US" w:eastAsia="zh-CN"/>
              </w:rPr>
              <w:t>27.8</w:t>
            </w:r>
          </w:p>
        </w:tc>
      </w:tr>
      <w:tr w14:paraId="2BA657F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3135" w:type="dxa"/>
            <w:tcBorders>
              <w:top w:val="nil"/>
              <w:left w:val="single" w:color="000000" w:sz="8" w:space="0"/>
              <w:bottom w:val="nil"/>
              <w:right w:val="nil"/>
            </w:tcBorders>
            <w:shd w:val="clear" w:color="auto" w:fill="auto"/>
            <w:vAlign w:val="center"/>
          </w:tcPr>
          <w:p w14:paraId="19814D5B">
            <w:pPr>
              <w:keepNext w:val="0"/>
              <w:keepLines w:val="0"/>
              <w:pageBreakBefore w:val="0"/>
              <w:widowControl/>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r>
              <w:rPr>
                <w:rFonts w:hint="default" w:ascii="Times New Roman" w:hAnsi="Times New Roman" w:cs="Times New Roman"/>
                <w:sz w:val="24"/>
                <w:szCs w:val="24"/>
                <w:lang w:val="en-US" w:eastAsia="zh-CN"/>
              </w:rPr>
              <w:t>Risevest</w:t>
            </w:r>
          </w:p>
        </w:tc>
        <w:tc>
          <w:tcPr>
            <w:tcW w:w="2070" w:type="dxa"/>
            <w:tcBorders>
              <w:top w:val="nil"/>
              <w:left w:val="nil"/>
              <w:bottom w:val="nil"/>
              <w:right w:val="nil"/>
            </w:tcBorders>
            <w:shd w:val="clear" w:color="auto" w:fill="auto"/>
            <w:vAlign w:val="center"/>
          </w:tcPr>
          <w:p w14:paraId="25BA29E5">
            <w:pPr>
              <w:keepNext w:val="0"/>
              <w:keepLines w:val="0"/>
              <w:pageBreakBefore w:val="0"/>
              <w:widowControl/>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r>
              <w:rPr>
                <w:rFonts w:hint="default" w:ascii="Times New Roman" w:hAnsi="Times New Roman" w:cs="Times New Roman"/>
                <w:sz w:val="24"/>
                <w:szCs w:val="24"/>
                <w:lang w:val="en-US" w:eastAsia="zh-CN"/>
              </w:rPr>
              <w:t>96</w:t>
            </w:r>
          </w:p>
        </w:tc>
        <w:tc>
          <w:tcPr>
            <w:tcW w:w="2100" w:type="dxa"/>
            <w:tcBorders>
              <w:top w:val="nil"/>
              <w:left w:val="nil"/>
              <w:bottom w:val="nil"/>
              <w:right w:val="single" w:color="000000" w:sz="8" w:space="0"/>
            </w:tcBorders>
            <w:shd w:val="clear" w:color="auto" w:fill="auto"/>
            <w:vAlign w:val="center"/>
          </w:tcPr>
          <w:p w14:paraId="464EFC54">
            <w:pPr>
              <w:keepNext w:val="0"/>
              <w:keepLines w:val="0"/>
              <w:pageBreakBefore w:val="0"/>
              <w:widowControl/>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r>
              <w:rPr>
                <w:rFonts w:hint="default" w:ascii="Times New Roman" w:hAnsi="Times New Roman" w:cs="Times New Roman"/>
                <w:sz w:val="24"/>
                <w:szCs w:val="24"/>
                <w:lang w:val="en-US" w:eastAsia="zh-CN"/>
              </w:rPr>
              <w:t>11.8</w:t>
            </w:r>
          </w:p>
        </w:tc>
      </w:tr>
      <w:tr w14:paraId="03226C8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3135" w:type="dxa"/>
            <w:tcBorders>
              <w:top w:val="nil"/>
              <w:left w:val="single" w:color="000000" w:sz="8" w:space="0"/>
              <w:bottom w:val="nil"/>
              <w:right w:val="nil"/>
            </w:tcBorders>
            <w:shd w:val="clear" w:color="auto" w:fill="auto"/>
            <w:vAlign w:val="center"/>
          </w:tcPr>
          <w:p w14:paraId="4E0C2721">
            <w:pPr>
              <w:keepNext w:val="0"/>
              <w:keepLines w:val="0"/>
              <w:pageBreakBefore w:val="0"/>
              <w:widowControl/>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r>
              <w:rPr>
                <w:rFonts w:hint="default" w:ascii="Times New Roman" w:hAnsi="Times New Roman" w:cs="Times New Roman"/>
                <w:sz w:val="24"/>
                <w:szCs w:val="24"/>
                <w:lang w:val="en-US" w:eastAsia="zh-CN"/>
              </w:rPr>
              <w:t>Chipper Cash Investing</w:t>
            </w:r>
          </w:p>
        </w:tc>
        <w:tc>
          <w:tcPr>
            <w:tcW w:w="2070" w:type="dxa"/>
            <w:tcBorders>
              <w:top w:val="nil"/>
              <w:left w:val="nil"/>
              <w:bottom w:val="nil"/>
              <w:right w:val="nil"/>
            </w:tcBorders>
            <w:shd w:val="clear" w:color="auto" w:fill="auto"/>
            <w:vAlign w:val="center"/>
          </w:tcPr>
          <w:p w14:paraId="49FA61CA">
            <w:pPr>
              <w:keepNext w:val="0"/>
              <w:keepLines w:val="0"/>
              <w:pageBreakBefore w:val="0"/>
              <w:widowControl/>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r>
              <w:rPr>
                <w:rFonts w:hint="default" w:ascii="Times New Roman" w:hAnsi="Times New Roman" w:cs="Times New Roman"/>
                <w:sz w:val="24"/>
                <w:szCs w:val="24"/>
                <w:lang w:val="en-US" w:eastAsia="zh-CN"/>
              </w:rPr>
              <w:t>73</w:t>
            </w:r>
          </w:p>
        </w:tc>
        <w:tc>
          <w:tcPr>
            <w:tcW w:w="2100" w:type="dxa"/>
            <w:tcBorders>
              <w:top w:val="nil"/>
              <w:left w:val="nil"/>
              <w:bottom w:val="nil"/>
              <w:right w:val="single" w:color="000000" w:sz="8" w:space="0"/>
            </w:tcBorders>
            <w:shd w:val="clear" w:color="auto" w:fill="auto"/>
            <w:vAlign w:val="center"/>
          </w:tcPr>
          <w:p w14:paraId="48E64D8C">
            <w:pPr>
              <w:keepNext w:val="0"/>
              <w:keepLines w:val="0"/>
              <w:pageBreakBefore w:val="0"/>
              <w:widowControl/>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r>
              <w:rPr>
                <w:rFonts w:hint="default" w:ascii="Times New Roman" w:hAnsi="Times New Roman" w:cs="Times New Roman"/>
                <w:sz w:val="24"/>
                <w:szCs w:val="24"/>
                <w:lang w:val="en-US" w:eastAsia="zh-CN"/>
              </w:rPr>
              <w:t>9</w:t>
            </w:r>
          </w:p>
        </w:tc>
      </w:tr>
      <w:tr w14:paraId="3F16D96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3135" w:type="dxa"/>
            <w:tcBorders>
              <w:top w:val="nil"/>
              <w:left w:val="single" w:color="000000" w:sz="8" w:space="0"/>
              <w:bottom w:val="single" w:color="000000" w:sz="8" w:space="0"/>
              <w:right w:val="nil"/>
            </w:tcBorders>
            <w:shd w:val="clear" w:color="auto" w:fill="auto"/>
            <w:vAlign w:val="center"/>
          </w:tcPr>
          <w:p w14:paraId="6AE1F3B5">
            <w:pPr>
              <w:keepNext w:val="0"/>
              <w:keepLines w:val="0"/>
              <w:pageBreakBefore w:val="0"/>
              <w:widowControl/>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r>
              <w:rPr>
                <w:rFonts w:hint="default" w:ascii="Times New Roman" w:hAnsi="Times New Roman" w:cs="Times New Roman"/>
                <w:sz w:val="24"/>
                <w:szCs w:val="24"/>
                <w:lang w:val="en-US" w:eastAsia="zh-CN"/>
              </w:rPr>
              <w:t>eToro/Other Platforms</w:t>
            </w:r>
          </w:p>
        </w:tc>
        <w:tc>
          <w:tcPr>
            <w:tcW w:w="2070" w:type="dxa"/>
            <w:tcBorders>
              <w:top w:val="nil"/>
              <w:left w:val="nil"/>
              <w:bottom w:val="single" w:color="000000" w:sz="8" w:space="0"/>
              <w:right w:val="nil"/>
            </w:tcBorders>
            <w:shd w:val="clear" w:color="auto" w:fill="auto"/>
            <w:vAlign w:val="center"/>
          </w:tcPr>
          <w:p w14:paraId="332C03BA">
            <w:pPr>
              <w:keepNext w:val="0"/>
              <w:keepLines w:val="0"/>
              <w:pageBreakBefore w:val="0"/>
              <w:widowControl/>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r>
              <w:rPr>
                <w:rFonts w:hint="default" w:ascii="Times New Roman" w:hAnsi="Times New Roman" w:cs="Times New Roman"/>
                <w:sz w:val="24"/>
                <w:szCs w:val="24"/>
                <w:lang w:val="en-US" w:eastAsia="zh-CN"/>
              </w:rPr>
              <w:t>138</w:t>
            </w:r>
          </w:p>
        </w:tc>
        <w:tc>
          <w:tcPr>
            <w:tcW w:w="2100" w:type="dxa"/>
            <w:tcBorders>
              <w:top w:val="nil"/>
              <w:left w:val="nil"/>
              <w:bottom w:val="single" w:color="000000" w:sz="8" w:space="0"/>
              <w:right w:val="single" w:color="000000" w:sz="8" w:space="0"/>
            </w:tcBorders>
            <w:shd w:val="clear" w:color="auto" w:fill="auto"/>
            <w:vAlign w:val="center"/>
          </w:tcPr>
          <w:p w14:paraId="34F5EDF4">
            <w:pPr>
              <w:keepNext w:val="0"/>
              <w:keepLines w:val="0"/>
              <w:pageBreakBefore w:val="0"/>
              <w:widowControl/>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r>
              <w:rPr>
                <w:rFonts w:hint="default" w:ascii="Times New Roman" w:hAnsi="Times New Roman" w:cs="Times New Roman"/>
                <w:sz w:val="24"/>
                <w:szCs w:val="24"/>
                <w:lang w:val="en-US" w:eastAsia="zh-CN"/>
              </w:rPr>
              <w:t>16.9</w:t>
            </w:r>
          </w:p>
        </w:tc>
      </w:tr>
    </w:tbl>
    <w:p w14:paraId="74F33305">
      <w:pPr>
        <w:pStyle w:val="7"/>
        <w:keepNext w:val="0"/>
        <w:keepLines w:val="0"/>
        <w:pageBreakBefore w:val="0"/>
        <w:widowControl/>
        <w:suppressLineNumbers w:val="0"/>
        <w:tabs>
          <w:tab w:val="left" w:pos="400"/>
        </w:tabs>
        <w:kinsoku/>
        <w:wordWrap/>
        <w:overflowPunct/>
        <w:topLinePunct w:val="0"/>
        <w:autoSpaceDE/>
        <w:autoSpaceDN/>
        <w:bidi w:val="0"/>
        <w:adjustRightInd/>
        <w:snapToGrid/>
        <w:spacing w:beforeAutospacing="0" w:afterAutospacing="0"/>
        <w:jc w:val="both"/>
        <w:rPr>
          <w:rFonts w:hint="default" w:ascii="Times New Roman" w:hAnsi="Times New Roman" w:cs="Times New Roman"/>
          <w:b w:val="0"/>
          <w:bCs w:val="0"/>
          <w:sz w:val="24"/>
          <w:szCs w:val="24"/>
          <w:lang w:val="en-CA"/>
        </w:rPr>
      </w:pPr>
    </w:p>
    <w:p w14:paraId="324C855A">
      <w:pPr>
        <w:pStyle w:val="7"/>
        <w:keepNext w:val="0"/>
        <w:keepLines w:val="0"/>
        <w:pageBreakBefore w:val="0"/>
        <w:widowControl/>
        <w:suppressLineNumbers w:val="0"/>
        <w:tabs>
          <w:tab w:val="left" w:pos="400"/>
        </w:tabs>
        <w:kinsoku/>
        <w:wordWrap/>
        <w:overflowPunct/>
        <w:topLinePunct w:val="0"/>
        <w:autoSpaceDE/>
        <w:autoSpaceDN/>
        <w:bidi w:val="0"/>
        <w:adjustRightInd/>
        <w:snapToGrid/>
        <w:spacing w:beforeAutospacing="0" w:afterAutospacing="0"/>
        <w:jc w:val="both"/>
        <w:rPr>
          <w:rFonts w:hint="default" w:ascii="Times New Roman" w:hAnsi="Times New Roman" w:cs="Times New Roman"/>
          <w:b w:val="0"/>
          <w:bCs w:val="0"/>
          <w:sz w:val="24"/>
          <w:szCs w:val="24"/>
          <w:lang w:val="en-CA"/>
        </w:rPr>
      </w:pPr>
    </w:p>
    <w:p w14:paraId="0FDBB0F0">
      <w:pPr>
        <w:pStyle w:val="7"/>
        <w:keepNext w:val="0"/>
        <w:keepLines w:val="0"/>
        <w:pageBreakBefore w:val="0"/>
        <w:widowControl/>
        <w:suppressLineNumbers w:val="0"/>
        <w:tabs>
          <w:tab w:val="left" w:pos="400"/>
        </w:tabs>
        <w:kinsoku/>
        <w:wordWrap/>
        <w:overflowPunct/>
        <w:topLinePunct w:val="0"/>
        <w:autoSpaceDE/>
        <w:autoSpaceDN/>
        <w:bidi w:val="0"/>
        <w:adjustRightInd/>
        <w:snapToGrid/>
        <w:spacing w:beforeAutospacing="0" w:afterAutospacing="0"/>
        <w:jc w:val="both"/>
        <w:rPr>
          <w:rFonts w:hint="default" w:ascii="Times New Roman" w:hAnsi="Times New Roman" w:cs="Times New Roman"/>
          <w:b w:val="0"/>
          <w:bCs w:val="0"/>
          <w:sz w:val="24"/>
          <w:szCs w:val="24"/>
          <w:lang w:val="en-CA"/>
        </w:rPr>
      </w:pPr>
    </w:p>
    <w:p w14:paraId="54B1462D">
      <w:pPr>
        <w:pStyle w:val="7"/>
        <w:keepNext w:val="0"/>
        <w:keepLines w:val="0"/>
        <w:pageBreakBefore w:val="0"/>
        <w:widowControl/>
        <w:suppressLineNumbers w:val="0"/>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r>
        <w:rPr>
          <w:rFonts w:hint="default" w:ascii="Times New Roman" w:hAnsi="Times New Roman" w:cs="Times New Roman"/>
          <w:sz w:val="24"/>
          <w:szCs w:val="24"/>
        </w:rPr>
        <w:t>The platform usage results show that Zerodha and Groww accounted for the largest share of respondents, reflecting India’s large retail trading market. Bamboo and Trove also recorded strong usage, confirming the growing relevance of mobile-based investment platforms in Nigeria. The distribution supports the study’s focus on emerging markets where mobile trading platforms are becoming important channels for retail capital market participation.</w:t>
      </w:r>
    </w:p>
    <w:p w14:paraId="1A800B2B">
      <w:pPr>
        <w:pStyle w:val="7"/>
        <w:keepNext w:val="0"/>
        <w:keepLines w:val="0"/>
        <w:pageBreakBefore w:val="0"/>
        <w:widowControl/>
        <w:suppressLineNumbers w:val="0"/>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r>
        <w:rPr>
          <w:rFonts w:hint="default" w:ascii="Times New Roman" w:hAnsi="Times New Roman" w:cs="Times New Roman"/>
          <w:sz w:val="24"/>
          <w:szCs w:val="24"/>
          <w:highlight w:val="none"/>
        </w:rPr>
        <w:t>Figure</w:t>
      </w:r>
      <w:r>
        <w:rPr>
          <w:rFonts w:hint="default" w:ascii="Times New Roman" w:hAnsi="Times New Roman" w:cs="Times New Roman"/>
          <w:sz w:val="24"/>
          <w:szCs w:val="24"/>
          <w:highlight w:val="none"/>
          <w:lang w:val="en-CA"/>
        </w:rPr>
        <w:t xml:space="preserve"> 3</w:t>
      </w:r>
      <w:r>
        <w:rPr>
          <w:rFonts w:hint="default" w:ascii="Times New Roman" w:hAnsi="Times New Roman" w:cs="Times New Roman"/>
          <w:sz w:val="24"/>
          <w:szCs w:val="24"/>
          <w:highlight w:val="none"/>
        </w:rPr>
        <w:t xml:space="preserve"> </w:t>
      </w:r>
      <w:r>
        <w:rPr>
          <w:rFonts w:hint="default" w:ascii="Times New Roman" w:hAnsi="Times New Roman" w:cs="Times New Roman"/>
          <w:sz w:val="24"/>
          <w:szCs w:val="24"/>
        </w:rPr>
        <w:t>presents the Structural Equation Model (SEM) illustrating the standardized path relationships among digital trading platform variables, financial literacy, risk tolerance, and retail investor behavioral outcomes.</w:t>
      </w:r>
    </w:p>
    <w:p w14:paraId="3D79D2D5">
      <w:pPr>
        <w:pStyle w:val="7"/>
        <w:keepNext w:val="0"/>
        <w:keepLines w:val="0"/>
        <w:pageBreakBefore w:val="0"/>
        <w:widowControl/>
        <w:suppressLineNumbers w:val="0"/>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p>
    <w:p w14:paraId="45CA3685">
      <w:pPr>
        <w:pStyle w:val="7"/>
        <w:keepNext w:val="0"/>
        <w:keepLines w:val="0"/>
        <w:pageBreakBefore w:val="0"/>
        <w:widowControl/>
        <w:suppressLineNumbers w:val="0"/>
        <w:kinsoku/>
        <w:wordWrap/>
        <w:overflowPunct/>
        <w:topLinePunct w:val="0"/>
        <w:autoSpaceDE/>
        <w:autoSpaceDN/>
        <w:bidi w:val="0"/>
        <w:adjustRightInd/>
        <w:snapToGrid/>
        <w:spacing w:beforeAutospacing="0" w:afterAutospacing="0"/>
        <w:jc w:val="center"/>
        <w:rPr>
          <w:rFonts w:hint="default" w:ascii="Times New Roman" w:hAnsi="Times New Roman" w:cs="Times New Roman"/>
          <w:sz w:val="24"/>
          <w:szCs w:val="24"/>
          <w:lang w:val="en-CA"/>
        </w:rPr>
      </w:pPr>
      <w:r>
        <w:rPr>
          <w:rFonts w:hint="default" w:ascii="Times New Roman" w:hAnsi="Times New Roman" w:cs="Times New Roman"/>
          <w:sz w:val="24"/>
          <w:szCs w:val="24"/>
          <w:lang w:val="en-CA"/>
        </w:rPr>
        <w:drawing>
          <wp:inline distT="0" distB="0" distL="114300" distR="114300">
            <wp:extent cx="3654425" cy="2375535"/>
            <wp:effectExtent l="0" t="0" r="3175" b="5715"/>
            <wp:docPr id="2" name="Picture 2" descr="ChatGPT Image May 26, 2026, 12_55_02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tGPT Image May 26, 2026, 12_55_02 PM"/>
                    <pic:cNvPicPr>
                      <a:picLocks noChangeAspect="1"/>
                    </pic:cNvPicPr>
                  </pic:nvPicPr>
                  <pic:blipFill>
                    <a:blip r:embed="rId6"/>
                    <a:srcRect l="-252" t="7025" r="339" b="6377"/>
                    <a:stretch>
                      <a:fillRect/>
                    </a:stretch>
                  </pic:blipFill>
                  <pic:spPr>
                    <a:xfrm>
                      <a:off x="0" y="0"/>
                      <a:ext cx="3654425" cy="2375535"/>
                    </a:xfrm>
                    <a:prstGeom prst="rect">
                      <a:avLst/>
                    </a:prstGeom>
                  </pic:spPr>
                </pic:pic>
              </a:graphicData>
            </a:graphic>
          </wp:inline>
        </w:drawing>
      </w:r>
    </w:p>
    <w:p w14:paraId="75034D27">
      <w:pPr>
        <w:pStyle w:val="7"/>
        <w:keepNext w:val="0"/>
        <w:keepLines w:val="0"/>
        <w:pageBreakBefore w:val="0"/>
        <w:widowControl/>
        <w:suppressLineNumbers w:val="0"/>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lang w:val="en-CA"/>
        </w:rPr>
      </w:pPr>
    </w:p>
    <w:p w14:paraId="0B715E3F">
      <w:pPr>
        <w:pStyle w:val="7"/>
        <w:keepNext w:val="0"/>
        <w:keepLines w:val="0"/>
        <w:pageBreakBefore w:val="0"/>
        <w:widowControl/>
        <w:suppressLineNumbers w:val="0"/>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lang w:val="en-CA"/>
        </w:rPr>
      </w:pPr>
      <w:r>
        <w:rPr>
          <w:rFonts w:hint="default" w:ascii="Times New Roman" w:hAnsi="Times New Roman" w:cs="Times New Roman"/>
          <w:sz w:val="24"/>
          <w:szCs w:val="24"/>
          <w:highlight w:val="none"/>
          <w:lang w:val="en-CA"/>
        </w:rPr>
        <w:t>Figure 3 S</w:t>
      </w:r>
      <w:r>
        <w:rPr>
          <w:rFonts w:hint="default" w:ascii="Times New Roman" w:hAnsi="Times New Roman" w:cs="Times New Roman"/>
          <w:sz w:val="24"/>
          <w:szCs w:val="24"/>
          <w:lang w:val="en-CA"/>
        </w:rPr>
        <w:t>tructural Equation Model (SEM) Path Diagram for Digital Trading Platforms and Retail Investor Behavior</w:t>
      </w:r>
    </w:p>
    <w:p w14:paraId="2A8E4EAA">
      <w:pPr>
        <w:pStyle w:val="7"/>
        <w:keepNext w:val="0"/>
        <w:keepLines w:val="0"/>
        <w:pageBreakBefore w:val="0"/>
        <w:widowControl/>
        <w:suppressLineNumbers w:val="0"/>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lang w:val="en-CA"/>
        </w:rPr>
      </w:pPr>
      <w:r>
        <w:rPr>
          <w:rFonts w:hint="default" w:ascii="Times New Roman" w:hAnsi="Times New Roman" w:cs="Times New Roman"/>
          <w:sz w:val="24"/>
          <w:szCs w:val="24"/>
          <w:lang w:val="en-CA"/>
        </w:rPr>
        <w:t>Source: Researcher’s Computation using SmartPLS 4.0 (2026).</w:t>
      </w:r>
    </w:p>
    <w:p w14:paraId="28A8C3AF">
      <w:pPr>
        <w:pStyle w:val="7"/>
        <w:keepNext w:val="0"/>
        <w:keepLines w:val="0"/>
        <w:pageBreakBefore w:val="0"/>
        <w:widowControl/>
        <w:suppressLineNumbers w:val="0"/>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lang w:val="en-CA"/>
        </w:rPr>
      </w:pPr>
      <w:r>
        <w:rPr>
          <w:rFonts w:hint="default" w:ascii="Times New Roman" w:hAnsi="Times New Roman" w:cs="Times New Roman"/>
          <w:sz w:val="24"/>
          <w:szCs w:val="24"/>
          <w:lang w:val="en-CA"/>
        </w:rPr>
        <w:t>The SEM path diagram shows that platform accessibility, gamification, finfluencer influence, and mobile trading adoption significantly affect trading intensity and behavioral outcomes among retail investors. Financial literacy performs a mediating role, while risk tolerance moderates speculative trading behavior. The model also demonstrates satisfactory explanatory power based on the reported R² values and model fit indicators.</w:t>
      </w:r>
    </w:p>
    <w:p w14:paraId="43A1DDE1">
      <w:pPr>
        <w:pStyle w:val="7"/>
        <w:keepNext w:val="0"/>
        <w:keepLines w:val="0"/>
        <w:pageBreakBefore w:val="0"/>
        <w:widowControl/>
        <w:suppressLineNumbers w:val="0"/>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lang w:val="en-CA"/>
        </w:rPr>
      </w:pPr>
    </w:p>
    <w:p w14:paraId="7AD5AF6A">
      <w:pPr>
        <w:pStyle w:val="3"/>
        <w:keepNext w:val="0"/>
        <w:keepLines w:val="0"/>
        <w:pageBreakBefore w:val="0"/>
        <w:widowControl/>
        <w:suppressLineNumbers w:val="0"/>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r>
        <w:rPr>
          <w:rFonts w:hint="default" w:ascii="Times New Roman" w:hAnsi="Times New Roman" w:cs="Times New Roman"/>
          <w:sz w:val="24"/>
          <w:szCs w:val="24"/>
        </w:rPr>
        <w:t>4.2 Social Media Investment Exposure</w:t>
      </w:r>
    </w:p>
    <w:p w14:paraId="30272F33">
      <w:pPr>
        <w:pStyle w:val="7"/>
        <w:keepNext w:val="0"/>
        <w:keepLines w:val="0"/>
        <w:pageBreakBefore w:val="0"/>
        <w:widowControl/>
        <w:suppressLineNumbers w:val="0"/>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r>
        <w:rPr>
          <w:rFonts w:hint="default" w:ascii="Times New Roman" w:hAnsi="Times New Roman" w:cs="Times New Roman"/>
          <w:sz w:val="24"/>
          <w:szCs w:val="24"/>
        </w:rPr>
        <w:t>The respondents reported strong exposure to social media-based investment information. This is important because social media now plays a major role in shaping trading decisions, especially among young retail investors.</w:t>
      </w:r>
    </w:p>
    <w:p w14:paraId="649A3B21">
      <w:pPr>
        <w:pStyle w:val="7"/>
        <w:keepNext w:val="0"/>
        <w:keepLines w:val="0"/>
        <w:pageBreakBefore w:val="0"/>
        <w:widowControl/>
        <w:suppressLineNumbers w:val="0"/>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p>
    <w:p w14:paraId="3E3FEBE6">
      <w:pPr>
        <w:pStyle w:val="7"/>
        <w:keepNext w:val="0"/>
        <w:keepLines w:val="0"/>
        <w:pageBreakBefore w:val="0"/>
        <w:widowControl/>
        <w:suppressLineNumbers w:val="0"/>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r>
        <w:rPr>
          <w:rStyle w:val="8"/>
          <w:rFonts w:hint="default" w:ascii="Times New Roman" w:hAnsi="Times New Roman" w:cs="Times New Roman"/>
          <w:sz w:val="24"/>
          <w:szCs w:val="24"/>
        </w:rPr>
        <w:t>Table 4.4: Social Media Investment Exposure</w:t>
      </w:r>
    </w:p>
    <w:tbl>
      <w:tblPr>
        <w:tblStyle w:val="6"/>
        <w:tblW w:w="849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4830"/>
        <w:gridCol w:w="1695"/>
        <w:gridCol w:w="1965"/>
      </w:tblGrid>
      <w:tr w14:paraId="4B941AD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4830" w:type="dxa"/>
            <w:tcBorders>
              <w:top w:val="single" w:color="000000" w:sz="8" w:space="0"/>
              <w:left w:val="single" w:color="000000" w:sz="8" w:space="0"/>
              <w:bottom w:val="single" w:color="000000" w:sz="8" w:space="0"/>
              <w:right w:val="nil"/>
            </w:tcBorders>
            <w:shd w:val="clear" w:color="auto" w:fill="auto"/>
            <w:vAlign w:val="center"/>
          </w:tcPr>
          <w:p w14:paraId="7C896190">
            <w:pPr>
              <w:keepNext w:val="0"/>
              <w:keepLines w:val="0"/>
              <w:pageBreakBefore w:val="0"/>
              <w:widowControl/>
              <w:suppressLineNumbers w:val="0"/>
              <w:kinsoku/>
              <w:wordWrap/>
              <w:overflowPunct/>
              <w:topLinePunct w:val="0"/>
              <w:autoSpaceDE/>
              <w:autoSpaceDN/>
              <w:bidi w:val="0"/>
              <w:adjustRightInd/>
              <w:snapToGrid/>
              <w:spacing w:beforeAutospacing="0" w:afterAutospacing="0"/>
              <w:jc w:val="both"/>
              <w:textAlignment w:val="center"/>
              <w:rPr>
                <w:rFonts w:hint="default" w:ascii="Times New Roman" w:hAnsi="Times New Roman" w:cs="Times New Roman"/>
                <w:i w:val="0"/>
                <w:iCs w:val="0"/>
                <w:color w:val="000000"/>
                <w:sz w:val="24"/>
                <w:szCs w:val="24"/>
                <w:u w:val="none"/>
              </w:rPr>
            </w:pPr>
            <w:r>
              <w:rPr>
                <w:rFonts w:hint="default" w:ascii="Times New Roman" w:hAnsi="Times New Roman" w:eastAsia="SimSun" w:cs="Times New Roman"/>
                <w:i w:val="0"/>
                <w:iCs w:val="0"/>
                <w:color w:val="000000"/>
                <w:kern w:val="0"/>
                <w:sz w:val="24"/>
                <w:szCs w:val="24"/>
                <w:u w:val="none"/>
                <w:lang w:val="en-US" w:eastAsia="zh-CN" w:bidi="ar"/>
              </w:rPr>
              <w:t>Indicator</w:t>
            </w:r>
          </w:p>
        </w:tc>
        <w:tc>
          <w:tcPr>
            <w:tcW w:w="1695" w:type="dxa"/>
            <w:tcBorders>
              <w:top w:val="single" w:color="000000" w:sz="8" w:space="0"/>
              <w:left w:val="nil"/>
              <w:bottom w:val="single" w:color="000000" w:sz="8" w:space="0"/>
              <w:right w:val="nil"/>
            </w:tcBorders>
            <w:shd w:val="clear" w:color="auto" w:fill="auto"/>
            <w:vAlign w:val="center"/>
          </w:tcPr>
          <w:p w14:paraId="6CDF6211">
            <w:pPr>
              <w:keepNext w:val="0"/>
              <w:keepLines w:val="0"/>
              <w:pageBreakBefore w:val="0"/>
              <w:widowControl/>
              <w:suppressLineNumbers w:val="0"/>
              <w:kinsoku/>
              <w:wordWrap/>
              <w:overflowPunct/>
              <w:topLinePunct w:val="0"/>
              <w:autoSpaceDE/>
              <w:autoSpaceDN/>
              <w:bidi w:val="0"/>
              <w:adjustRightInd/>
              <w:snapToGrid/>
              <w:spacing w:beforeAutospacing="0" w:afterAutospacing="0"/>
              <w:jc w:val="both"/>
              <w:textAlignment w:val="center"/>
              <w:rPr>
                <w:rFonts w:hint="default" w:ascii="Times New Roman" w:hAnsi="Times New Roman" w:cs="Times New Roman"/>
                <w:i w:val="0"/>
                <w:iCs w:val="0"/>
                <w:color w:val="000000"/>
                <w:sz w:val="24"/>
                <w:szCs w:val="24"/>
                <w:u w:val="none"/>
              </w:rPr>
            </w:pPr>
            <w:r>
              <w:rPr>
                <w:rFonts w:hint="default" w:ascii="Times New Roman" w:hAnsi="Times New Roman" w:eastAsia="SimSun" w:cs="Times New Roman"/>
                <w:i w:val="0"/>
                <w:iCs w:val="0"/>
                <w:color w:val="000000"/>
                <w:kern w:val="0"/>
                <w:sz w:val="24"/>
                <w:szCs w:val="24"/>
                <w:u w:val="none"/>
                <w:lang w:val="en-US" w:eastAsia="zh-CN" w:bidi="ar"/>
              </w:rPr>
              <w:t>Mean</w:t>
            </w:r>
          </w:p>
        </w:tc>
        <w:tc>
          <w:tcPr>
            <w:tcW w:w="1965" w:type="dxa"/>
            <w:tcBorders>
              <w:top w:val="single" w:color="000000" w:sz="8" w:space="0"/>
              <w:left w:val="nil"/>
              <w:bottom w:val="single" w:color="000000" w:sz="8" w:space="0"/>
              <w:right w:val="single" w:color="000000" w:sz="8" w:space="0"/>
            </w:tcBorders>
            <w:shd w:val="clear" w:color="auto" w:fill="auto"/>
            <w:vAlign w:val="center"/>
          </w:tcPr>
          <w:p w14:paraId="133C8B0E">
            <w:pPr>
              <w:keepNext w:val="0"/>
              <w:keepLines w:val="0"/>
              <w:pageBreakBefore w:val="0"/>
              <w:widowControl/>
              <w:suppressLineNumbers w:val="0"/>
              <w:kinsoku/>
              <w:wordWrap/>
              <w:overflowPunct/>
              <w:topLinePunct w:val="0"/>
              <w:autoSpaceDE/>
              <w:autoSpaceDN/>
              <w:bidi w:val="0"/>
              <w:adjustRightInd/>
              <w:snapToGrid/>
              <w:spacing w:beforeAutospacing="0" w:afterAutospacing="0"/>
              <w:jc w:val="both"/>
              <w:textAlignment w:val="center"/>
              <w:rPr>
                <w:rFonts w:hint="default" w:ascii="Times New Roman" w:hAnsi="Times New Roman" w:cs="Times New Roman"/>
                <w:i w:val="0"/>
                <w:iCs w:val="0"/>
                <w:color w:val="000000"/>
                <w:sz w:val="24"/>
                <w:szCs w:val="24"/>
                <w:u w:val="none"/>
              </w:rPr>
            </w:pPr>
            <w:r>
              <w:rPr>
                <w:rFonts w:hint="default" w:ascii="Times New Roman" w:hAnsi="Times New Roman" w:eastAsia="SimSun" w:cs="Times New Roman"/>
                <w:i w:val="0"/>
                <w:iCs w:val="0"/>
                <w:color w:val="000000"/>
                <w:kern w:val="0"/>
                <w:sz w:val="24"/>
                <w:szCs w:val="24"/>
                <w:u w:val="none"/>
                <w:lang w:val="en-US" w:eastAsia="zh-CN" w:bidi="ar"/>
              </w:rPr>
              <w:t>Standard Deviation</w:t>
            </w:r>
          </w:p>
        </w:tc>
      </w:tr>
      <w:tr w14:paraId="4EB1E0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4830" w:type="dxa"/>
            <w:tcBorders>
              <w:top w:val="nil"/>
              <w:left w:val="single" w:color="000000" w:sz="8" w:space="0"/>
              <w:bottom w:val="nil"/>
              <w:right w:val="nil"/>
            </w:tcBorders>
            <w:shd w:val="clear" w:color="auto" w:fill="auto"/>
            <w:vAlign w:val="center"/>
          </w:tcPr>
          <w:p w14:paraId="6AA4B399">
            <w:pPr>
              <w:keepNext w:val="0"/>
              <w:keepLines w:val="0"/>
              <w:pageBreakBefore w:val="0"/>
              <w:widowControl/>
              <w:suppressLineNumbers w:val="0"/>
              <w:kinsoku/>
              <w:wordWrap/>
              <w:overflowPunct/>
              <w:topLinePunct w:val="0"/>
              <w:autoSpaceDE/>
              <w:autoSpaceDN/>
              <w:bidi w:val="0"/>
              <w:adjustRightInd/>
              <w:snapToGrid/>
              <w:spacing w:beforeAutospacing="0" w:afterAutospacing="0"/>
              <w:jc w:val="both"/>
              <w:textAlignment w:val="center"/>
              <w:rPr>
                <w:rFonts w:hint="default" w:ascii="Times New Roman" w:hAnsi="Times New Roman" w:cs="Times New Roman"/>
                <w:i w:val="0"/>
                <w:iCs w:val="0"/>
                <w:color w:val="000000"/>
                <w:sz w:val="24"/>
                <w:szCs w:val="24"/>
                <w:u w:val="none"/>
              </w:rPr>
            </w:pPr>
            <w:r>
              <w:rPr>
                <w:rFonts w:hint="default" w:ascii="Times New Roman" w:hAnsi="Times New Roman" w:eastAsia="SimSun" w:cs="Times New Roman"/>
                <w:i w:val="0"/>
                <w:iCs w:val="0"/>
                <w:color w:val="000000"/>
                <w:kern w:val="0"/>
                <w:sz w:val="24"/>
                <w:szCs w:val="24"/>
                <w:u w:val="none"/>
                <w:lang w:val="en-US" w:eastAsia="zh-CN" w:bidi="ar"/>
              </w:rPr>
              <w:t>Reliance on YouTube investment content</w:t>
            </w:r>
          </w:p>
        </w:tc>
        <w:tc>
          <w:tcPr>
            <w:tcW w:w="1695" w:type="dxa"/>
            <w:tcBorders>
              <w:top w:val="nil"/>
              <w:left w:val="nil"/>
              <w:bottom w:val="nil"/>
              <w:right w:val="nil"/>
            </w:tcBorders>
            <w:shd w:val="clear" w:color="auto" w:fill="auto"/>
            <w:vAlign w:val="center"/>
          </w:tcPr>
          <w:p w14:paraId="43454D04">
            <w:pPr>
              <w:keepNext w:val="0"/>
              <w:keepLines w:val="0"/>
              <w:pageBreakBefore w:val="0"/>
              <w:widowControl/>
              <w:suppressLineNumbers w:val="0"/>
              <w:kinsoku/>
              <w:wordWrap/>
              <w:overflowPunct/>
              <w:topLinePunct w:val="0"/>
              <w:autoSpaceDE/>
              <w:autoSpaceDN/>
              <w:bidi w:val="0"/>
              <w:adjustRightInd/>
              <w:snapToGrid/>
              <w:spacing w:beforeAutospacing="0" w:afterAutospacing="0"/>
              <w:jc w:val="both"/>
              <w:textAlignment w:val="center"/>
              <w:rPr>
                <w:rFonts w:hint="default" w:ascii="Times New Roman" w:hAnsi="Times New Roman" w:cs="Times New Roman"/>
                <w:i w:val="0"/>
                <w:iCs w:val="0"/>
                <w:color w:val="000000"/>
                <w:sz w:val="24"/>
                <w:szCs w:val="24"/>
                <w:u w:val="none"/>
              </w:rPr>
            </w:pPr>
            <w:r>
              <w:rPr>
                <w:rFonts w:hint="default" w:ascii="Times New Roman" w:hAnsi="Times New Roman" w:eastAsia="SimSun" w:cs="Times New Roman"/>
                <w:i w:val="0"/>
                <w:iCs w:val="0"/>
                <w:color w:val="000000"/>
                <w:kern w:val="0"/>
                <w:sz w:val="24"/>
                <w:szCs w:val="24"/>
                <w:u w:val="none"/>
                <w:lang w:val="en-US" w:eastAsia="zh-CN" w:bidi="ar"/>
              </w:rPr>
              <w:t>4.01</w:t>
            </w:r>
          </w:p>
        </w:tc>
        <w:tc>
          <w:tcPr>
            <w:tcW w:w="1965" w:type="dxa"/>
            <w:tcBorders>
              <w:top w:val="nil"/>
              <w:left w:val="nil"/>
              <w:bottom w:val="nil"/>
              <w:right w:val="single" w:color="000000" w:sz="8" w:space="0"/>
            </w:tcBorders>
            <w:shd w:val="clear" w:color="auto" w:fill="auto"/>
            <w:vAlign w:val="center"/>
          </w:tcPr>
          <w:p w14:paraId="4B473445">
            <w:pPr>
              <w:keepNext w:val="0"/>
              <w:keepLines w:val="0"/>
              <w:pageBreakBefore w:val="0"/>
              <w:widowControl/>
              <w:suppressLineNumbers w:val="0"/>
              <w:kinsoku/>
              <w:wordWrap/>
              <w:overflowPunct/>
              <w:topLinePunct w:val="0"/>
              <w:autoSpaceDE/>
              <w:autoSpaceDN/>
              <w:bidi w:val="0"/>
              <w:adjustRightInd/>
              <w:snapToGrid/>
              <w:spacing w:beforeAutospacing="0" w:afterAutospacing="0"/>
              <w:jc w:val="both"/>
              <w:textAlignment w:val="center"/>
              <w:rPr>
                <w:rFonts w:hint="default" w:ascii="Times New Roman" w:hAnsi="Times New Roman" w:cs="Times New Roman"/>
                <w:i w:val="0"/>
                <w:iCs w:val="0"/>
                <w:color w:val="000000"/>
                <w:sz w:val="24"/>
                <w:szCs w:val="24"/>
                <w:u w:val="none"/>
              </w:rPr>
            </w:pPr>
            <w:r>
              <w:rPr>
                <w:rFonts w:hint="default" w:ascii="Times New Roman" w:hAnsi="Times New Roman" w:eastAsia="SimSun" w:cs="Times New Roman"/>
                <w:i w:val="0"/>
                <w:iCs w:val="0"/>
                <w:color w:val="000000"/>
                <w:kern w:val="0"/>
                <w:sz w:val="24"/>
                <w:szCs w:val="24"/>
                <w:u w:val="none"/>
                <w:lang w:val="en-US" w:eastAsia="zh-CN" w:bidi="ar"/>
              </w:rPr>
              <w:t>0.83</w:t>
            </w:r>
          </w:p>
        </w:tc>
      </w:tr>
      <w:tr w14:paraId="22846C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4830" w:type="dxa"/>
            <w:tcBorders>
              <w:top w:val="nil"/>
              <w:left w:val="single" w:color="000000" w:sz="8" w:space="0"/>
              <w:bottom w:val="nil"/>
              <w:right w:val="nil"/>
            </w:tcBorders>
            <w:shd w:val="clear" w:color="auto" w:fill="auto"/>
            <w:vAlign w:val="center"/>
          </w:tcPr>
          <w:p w14:paraId="726AD6BF">
            <w:pPr>
              <w:keepNext w:val="0"/>
              <w:keepLines w:val="0"/>
              <w:pageBreakBefore w:val="0"/>
              <w:widowControl/>
              <w:suppressLineNumbers w:val="0"/>
              <w:kinsoku/>
              <w:wordWrap/>
              <w:overflowPunct/>
              <w:topLinePunct w:val="0"/>
              <w:autoSpaceDE/>
              <w:autoSpaceDN/>
              <w:bidi w:val="0"/>
              <w:adjustRightInd/>
              <w:snapToGrid/>
              <w:spacing w:beforeAutospacing="0" w:afterAutospacing="0"/>
              <w:jc w:val="both"/>
              <w:textAlignment w:val="center"/>
              <w:rPr>
                <w:rFonts w:hint="default" w:ascii="Times New Roman" w:hAnsi="Times New Roman" w:cs="Times New Roman"/>
                <w:i w:val="0"/>
                <w:iCs w:val="0"/>
                <w:color w:val="000000"/>
                <w:sz w:val="24"/>
                <w:szCs w:val="24"/>
                <w:u w:val="none"/>
              </w:rPr>
            </w:pPr>
            <w:r>
              <w:rPr>
                <w:rFonts w:hint="default" w:ascii="Times New Roman" w:hAnsi="Times New Roman" w:eastAsia="SimSun" w:cs="Times New Roman"/>
                <w:i w:val="0"/>
                <w:iCs w:val="0"/>
                <w:color w:val="000000"/>
                <w:kern w:val="0"/>
                <w:sz w:val="24"/>
                <w:szCs w:val="24"/>
                <w:u w:val="none"/>
                <w:lang w:val="en-US" w:eastAsia="zh-CN" w:bidi="ar"/>
              </w:rPr>
              <w:t>Reliance on TikTok financial content</w:t>
            </w:r>
          </w:p>
        </w:tc>
        <w:tc>
          <w:tcPr>
            <w:tcW w:w="1695" w:type="dxa"/>
            <w:tcBorders>
              <w:top w:val="nil"/>
              <w:left w:val="nil"/>
              <w:bottom w:val="nil"/>
              <w:right w:val="nil"/>
            </w:tcBorders>
            <w:shd w:val="clear" w:color="auto" w:fill="auto"/>
            <w:vAlign w:val="center"/>
          </w:tcPr>
          <w:p w14:paraId="4545715D">
            <w:pPr>
              <w:keepNext w:val="0"/>
              <w:keepLines w:val="0"/>
              <w:pageBreakBefore w:val="0"/>
              <w:widowControl/>
              <w:suppressLineNumbers w:val="0"/>
              <w:kinsoku/>
              <w:wordWrap/>
              <w:overflowPunct/>
              <w:topLinePunct w:val="0"/>
              <w:autoSpaceDE/>
              <w:autoSpaceDN/>
              <w:bidi w:val="0"/>
              <w:adjustRightInd/>
              <w:snapToGrid/>
              <w:spacing w:beforeAutospacing="0" w:afterAutospacing="0"/>
              <w:jc w:val="both"/>
              <w:textAlignment w:val="center"/>
              <w:rPr>
                <w:rFonts w:hint="default" w:ascii="Times New Roman" w:hAnsi="Times New Roman" w:cs="Times New Roman"/>
                <w:i w:val="0"/>
                <w:iCs w:val="0"/>
                <w:color w:val="000000"/>
                <w:sz w:val="24"/>
                <w:szCs w:val="24"/>
                <w:u w:val="none"/>
              </w:rPr>
            </w:pPr>
            <w:r>
              <w:rPr>
                <w:rFonts w:hint="default" w:ascii="Times New Roman" w:hAnsi="Times New Roman" w:eastAsia="SimSun" w:cs="Times New Roman"/>
                <w:i w:val="0"/>
                <w:iCs w:val="0"/>
                <w:color w:val="000000"/>
                <w:kern w:val="0"/>
                <w:sz w:val="24"/>
                <w:szCs w:val="24"/>
                <w:u w:val="none"/>
                <w:lang w:val="en-US" w:eastAsia="zh-CN" w:bidi="ar"/>
              </w:rPr>
              <w:t>3.76</w:t>
            </w:r>
          </w:p>
        </w:tc>
        <w:tc>
          <w:tcPr>
            <w:tcW w:w="1965" w:type="dxa"/>
            <w:tcBorders>
              <w:top w:val="nil"/>
              <w:left w:val="nil"/>
              <w:bottom w:val="nil"/>
              <w:right w:val="single" w:color="000000" w:sz="8" w:space="0"/>
            </w:tcBorders>
            <w:shd w:val="clear" w:color="auto" w:fill="auto"/>
            <w:vAlign w:val="center"/>
          </w:tcPr>
          <w:p w14:paraId="2619F517">
            <w:pPr>
              <w:keepNext w:val="0"/>
              <w:keepLines w:val="0"/>
              <w:pageBreakBefore w:val="0"/>
              <w:widowControl/>
              <w:suppressLineNumbers w:val="0"/>
              <w:kinsoku/>
              <w:wordWrap/>
              <w:overflowPunct/>
              <w:topLinePunct w:val="0"/>
              <w:autoSpaceDE/>
              <w:autoSpaceDN/>
              <w:bidi w:val="0"/>
              <w:adjustRightInd/>
              <w:snapToGrid/>
              <w:spacing w:beforeAutospacing="0" w:afterAutospacing="0"/>
              <w:jc w:val="both"/>
              <w:textAlignment w:val="center"/>
              <w:rPr>
                <w:rFonts w:hint="default" w:ascii="Times New Roman" w:hAnsi="Times New Roman" w:cs="Times New Roman"/>
                <w:i w:val="0"/>
                <w:iCs w:val="0"/>
                <w:color w:val="000000"/>
                <w:sz w:val="24"/>
                <w:szCs w:val="24"/>
                <w:u w:val="none"/>
              </w:rPr>
            </w:pPr>
            <w:r>
              <w:rPr>
                <w:rFonts w:hint="default" w:ascii="Times New Roman" w:hAnsi="Times New Roman" w:eastAsia="SimSun" w:cs="Times New Roman"/>
                <w:i w:val="0"/>
                <w:iCs w:val="0"/>
                <w:color w:val="000000"/>
                <w:kern w:val="0"/>
                <w:sz w:val="24"/>
                <w:szCs w:val="24"/>
                <w:u w:val="none"/>
                <w:lang w:val="en-US" w:eastAsia="zh-CN" w:bidi="ar"/>
              </w:rPr>
              <w:t>0.91</w:t>
            </w:r>
          </w:p>
        </w:tc>
      </w:tr>
      <w:tr w14:paraId="0EFABF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4830" w:type="dxa"/>
            <w:tcBorders>
              <w:top w:val="nil"/>
              <w:left w:val="single" w:color="000000" w:sz="8" w:space="0"/>
              <w:bottom w:val="nil"/>
              <w:right w:val="nil"/>
            </w:tcBorders>
            <w:shd w:val="clear" w:color="auto" w:fill="auto"/>
            <w:vAlign w:val="center"/>
          </w:tcPr>
          <w:p w14:paraId="204943A3">
            <w:pPr>
              <w:keepNext w:val="0"/>
              <w:keepLines w:val="0"/>
              <w:pageBreakBefore w:val="0"/>
              <w:widowControl/>
              <w:suppressLineNumbers w:val="0"/>
              <w:kinsoku/>
              <w:wordWrap/>
              <w:overflowPunct/>
              <w:topLinePunct w:val="0"/>
              <w:autoSpaceDE/>
              <w:autoSpaceDN/>
              <w:bidi w:val="0"/>
              <w:adjustRightInd/>
              <w:snapToGrid/>
              <w:spacing w:beforeAutospacing="0" w:afterAutospacing="0"/>
              <w:jc w:val="both"/>
              <w:textAlignment w:val="center"/>
              <w:rPr>
                <w:rFonts w:hint="default" w:ascii="Times New Roman" w:hAnsi="Times New Roman" w:cs="Times New Roman"/>
                <w:i w:val="0"/>
                <w:iCs w:val="0"/>
                <w:color w:val="000000"/>
                <w:sz w:val="24"/>
                <w:szCs w:val="24"/>
                <w:u w:val="none"/>
              </w:rPr>
            </w:pPr>
            <w:r>
              <w:rPr>
                <w:rFonts w:hint="default" w:ascii="Times New Roman" w:hAnsi="Times New Roman" w:eastAsia="SimSun" w:cs="Times New Roman"/>
                <w:i w:val="0"/>
                <w:iCs w:val="0"/>
                <w:color w:val="000000"/>
                <w:kern w:val="0"/>
                <w:sz w:val="24"/>
                <w:szCs w:val="24"/>
                <w:u w:val="none"/>
                <w:lang w:val="en-US" w:eastAsia="zh-CN" w:bidi="ar"/>
              </w:rPr>
              <w:t>Participation in Telegram/Discord trading groups</w:t>
            </w:r>
          </w:p>
        </w:tc>
        <w:tc>
          <w:tcPr>
            <w:tcW w:w="1695" w:type="dxa"/>
            <w:tcBorders>
              <w:top w:val="nil"/>
              <w:left w:val="nil"/>
              <w:bottom w:val="nil"/>
              <w:right w:val="nil"/>
            </w:tcBorders>
            <w:shd w:val="clear" w:color="auto" w:fill="auto"/>
            <w:vAlign w:val="center"/>
          </w:tcPr>
          <w:p w14:paraId="2735AF35">
            <w:pPr>
              <w:keepNext w:val="0"/>
              <w:keepLines w:val="0"/>
              <w:pageBreakBefore w:val="0"/>
              <w:widowControl/>
              <w:suppressLineNumbers w:val="0"/>
              <w:kinsoku/>
              <w:wordWrap/>
              <w:overflowPunct/>
              <w:topLinePunct w:val="0"/>
              <w:autoSpaceDE/>
              <w:autoSpaceDN/>
              <w:bidi w:val="0"/>
              <w:adjustRightInd/>
              <w:snapToGrid/>
              <w:spacing w:beforeAutospacing="0" w:afterAutospacing="0"/>
              <w:jc w:val="both"/>
              <w:textAlignment w:val="center"/>
              <w:rPr>
                <w:rFonts w:hint="default" w:ascii="Times New Roman" w:hAnsi="Times New Roman" w:cs="Times New Roman"/>
                <w:i w:val="0"/>
                <w:iCs w:val="0"/>
                <w:color w:val="000000"/>
                <w:sz w:val="24"/>
                <w:szCs w:val="24"/>
                <w:u w:val="none"/>
              </w:rPr>
            </w:pPr>
            <w:r>
              <w:rPr>
                <w:rFonts w:hint="default" w:ascii="Times New Roman" w:hAnsi="Times New Roman" w:eastAsia="SimSun" w:cs="Times New Roman"/>
                <w:i w:val="0"/>
                <w:iCs w:val="0"/>
                <w:color w:val="000000"/>
                <w:kern w:val="0"/>
                <w:sz w:val="24"/>
                <w:szCs w:val="24"/>
                <w:u w:val="none"/>
                <w:lang w:val="en-US" w:eastAsia="zh-CN" w:bidi="ar"/>
              </w:rPr>
              <w:t>3.82</w:t>
            </w:r>
          </w:p>
        </w:tc>
        <w:tc>
          <w:tcPr>
            <w:tcW w:w="1965" w:type="dxa"/>
            <w:tcBorders>
              <w:top w:val="nil"/>
              <w:left w:val="nil"/>
              <w:bottom w:val="nil"/>
              <w:right w:val="single" w:color="000000" w:sz="8" w:space="0"/>
            </w:tcBorders>
            <w:shd w:val="clear" w:color="auto" w:fill="auto"/>
            <w:vAlign w:val="center"/>
          </w:tcPr>
          <w:p w14:paraId="18EC1BF6">
            <w:pPr>
              <w:keepNext w:val="0"/>
              <w:keepLines w:val="0"/>
              <w:pageBreakBefore w:val="0"/>
              <w:widowControl/>
              <w:suppressLineNumbers w:val="0"/>
              <w:kinsoku/>
              <w:wordWrap/>
              <w:overflowPunct/>
              <w:topLinePunct w:val="0"/>
              <w:autoSpaceDE/>
              <w:autoSpaceDN/>
              <w:bidi w:val="0"/>
              <w:adjustRightInd/>
              <w:snapToGrid/>
              <w:spacing w:beforeAutospacing="0" w:afterAutospacing="0"/>
              <w:jc w:val="both"/>
              <w:textAlignment w:val="center"/>
              <w:rPr>
                <w:rFonts w:hint="default" w:ascii="Times New Roman" w:hAnsi="Times New Roman" w:cs="Times New Roman"/>
                <w:i w:val="0"/>
                <w:iCs w:val="0"/>
                <w:color w:val="000000"/>
                <w:sz w:val="24"/>
                <w:szCs w:val="24"/>
                <w:u w:val="none"/>
              </w:rPr>
            </w:pPr>
            <w:r>
              <w:rPr>
                <w:rFonts w:hint="default" w:ascii="Times New Roman" w:hAnsi="Times New Roman" w:eastAsia="SimSun" w:cs="Times New Roman"/>
                <w:i w:val="0"/>
                <w:iCs w:val="0"/>
                <w:color w:val="000000"/>
                <w:kern w:val="0"/>
                <w:sz w:val="24"/>
                <w:szCs w:val="24"/>
                <w:u w:val="none"/>
                <w:lang w:val="en-US" w:eastAsia="zh-CN" w:bidi="ar"/>
              </w:rPr>
              <w:t>0.88</w:t>
            </w:r>
          </w:p>
        </w:tc>
      </w:tr>
      <w:tr w14:paraId="07EEDD5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4830" w:type="dxa"/>
            <w:tcBorders>
              <w:top w:val="nil"/>
              <w:left w:val="single" w:color="000000" w:sz="8" w:space="0"/>
              <w:bottom w:val="single" w:color="000000" w:sz="8" w:space="0"/>
              <w:right w:val="nil"/>
            </w:tcBorders>
            <w:shd w:val="clear" w:color="auto" w:fill="auto"/>
            <w:vAlign w:val="center"/>
          </w:tcPr>
          <w:p w14:paraId="2708C54F">
            <w:pPr>
              <w:keepNext w:val="0"/>
              <w:keepLines w:val="0"/>
              <w:pageBreakBefore w:val="0"/>
              <w:widowControl/>
              <w:suppressLineNumbers w:val="0"/>
              <w:kinsoku/>
              <w:wordWrap/>
              <w:overflowPunct/>
              <w:topLinePunct w:val="0"/>
              <w:autoSpaceDE/>
              <w:autoSpaceDN/>
              <w:bidi w:val="0"/>
              <w:adjustRightInd/>
              <w:snapToGrid/>
              <w:spacing w:beforeAutospacing="0" w:afterAutospacing="0"/>
              <w:jc w:val="both"/>
              <w:textAlignment w:val="center"/>
              <w:rPr>
                <w:rFonts w:hint="default" w:ascii="Times New Roman" w:hAnsi="Times New Roman" w:cs="Times New Roman"/>
                <w:i w:val="0"/>
                <w:iCs w:val="0"/>
                <w:color w:val="000000"/>
                <w:sz w:val="24"/>
                <w:szCs w:val="24"/>
                <w:u w:val="none"/>
              </w:rPr>
            </w:pPr>
            <w:r>
              <w:rPr>
                <w:rFonts w:hint="default" w:ascii="Times New Roman" w:hAnsi="Times New Roman" w:eastAsia="SimSun" w:cs="Times New Roman"/>
                <w:i w:val="0"/>
                <w:iCs w:val="0"/>
                <w:color w:val="000000"/>
                <w:kern w:val="0"/>
                <w:sz w:val="24"/>
                <w:szCs w:val="24"/>
                <w:u w:val="none"/>
                <w:lang w:val="en-US" w:eastAsia="zh-CN" w:bidi="ar"/>
              </w:rPr>
              <w:t>Influence of online investment communities</w:t>
            </w:r>
          </w:p>
        </w:tc>
        <w:tc>
          <w:tcPr>
            <w:tcW w:w="1695" w:type="dxa"/>
            <w:tcBorders>
              <w:top w:val="nil"/>
              <w:left w:val="nil"/>
              <w:bottom w:val="single" w:color="000000" w:sz="8" w:space="0"/>
              <w:right w:val="nil"/>
            </w:tcBorders>
            <w:shd w:val="clear" w:color="auto" w:fill="auto"/>
            <w:vAlign w:val="center"/>
          </w:tcPr>
          <w:p w14:paraId="39DBBE71">
            <w:pPr>
              <w:keepNext w:val="0"/>
              <w:keepLines w:val="0"/>
              <w:pageBreakBefore w:val="0"/>
              <w:widowControl/>
              <w:suppressLineNumbers w:val="0"/>
              <w:kinsoku/>
              <w:wordWrap/>
              <w:overflowPunct/>
              <w:topLinePunct w:val="0"/>
              <w:autoSpaceDE/>
              <w:autoSpaceDN/>
              <w:bidi w:val="0"/>
              <w:adjustRightInd/>
              <w:snapToGrid/>
              <w:spacing w:beforeAutospacing="0" w:afterAutospacing="0"/>
              <w:jc w:val="both"/>
              <w:textAlignment w:val="center"/>
              <w:rPr>
                <w:rFonts w:hint="default" w:ascii="Times New Roman" w:hAnsi="Times New Roman" w:cs="Times New Roman"/>
                <w:i w:val="0"/>
                <w:iCs w:val="0"/>
                <w:color w:val="000000"/>
                <w:sz w:val="24"/>
                <w:szCs w:val="24"/>
                <w:u w:val="none"/>
              </w:rPr>
            </w:pPr>
            <w:r>
              <w:rPr>
                <w:rFonts w:hint="default" w:ascii="Times New Roman" w:hAnsi="Times New Roman" w:eastAsia="SimSun" w:cs="Times New Roman"/>
                <w:i w:val="0"/>
                <w:iCs w:val="0"/>
                <w:color w:val="000000"/>
                <w:kern w:val="0"/>
                <w:sz w:val="24"/>
                <w:szCs w:val="24"/>
                <w:u w:val="none"/>
                <w:lang w:val="en-US" w:eastAsia="zh-CN" w:bidi="ar"/>
              </w:rPr>
              <w:t>3.98</w:t>
            </w:r>
          </w:p>
        </w:tc>
        <w:tc>
          <w:tcPr>
            <w:tcW w:w="1965" w:type="dxa"/>
            <w:tcBorders>
              <w:top w:val="nil"/>
              <w:left w:val="nil"/>
              <w:bottom w:val="single" w:color="000000" w:sz="8" w:space="0"/>
              <w:right w:val="single" w:color="000000" w:sz="8" w:space="0"/>
            </w:tcBorders>
            <w:shd w:val="clear" w:color="auto" w:fill="auto"/>
            <w:vAlign w:val="center"/>
          </w:tcPr>
          <w:p w14:paraId="5B440F8F">
            <w:pPr>
              <w:keepNext w:val="0"/>
              <w:keepLines w:val="0"/>
              <w:pageBreakBefore w:val="0"/>
              <w:widowControl/>
              <w:suppressLineNumbers w:val="0"/>
              <w:kinsoku/>
              <w:wordWrap/>
              <w:overflowPunct/>
              <w:topLinePunct w:val="0"/>
              <w:autoSpaceDE/>
              <w:autoSpaceDN/>
              <w:bidi w:val="0"/>
              <w:adjustRightInd/>
              <w:snapToGrid/>
              <w:spacing w:beforeAutospacing="0" w:afterAutospacing="0"/>
              <w:jc w:val="both"/>
              <w:textAlignment w:val="center"/>
              <w:rPr>
                <w:rFonts w:hint="default" w:ascii="Times New Roman" w:hAnsi="Times New Roman" w:cs="Times New Roman"/>
                <w:i w:val="0"/>
                <w:iCs w:val="0"/>
                <w:color w:val="000000"/>
                <w:sz w:val="24"/>
                <w:szCs w:val="24"/>
                <w:u w:val="none"/>
              </w:rPr>
            </w:pPr>
            <w:r>
              <w:rPr>
                <w:rFonts w:hint="default" w:ascii="Times New Roman" w:hAnsi="Times New Roman" w:eastAsia="SimSun" w:cs="Times New Roman"/>
                <w:i w:val="0"/>
                <w:iCs w:val="0"/>
                <w:color w:val="000000"/>
                <w:kern w:val="0"/>
                <w:sz w:val="24"/>
                <w:szCs w:val="24"/>
                <w:u w:val="none"/>
                <w:lang w:val="en-US" w:eastAsia="zh-CN" w:bidi="ar"/>
              </w:rPr>
              <w:t>0.79</w:t>
            </w:r>
          </w:p>
        </w:tc>
      </w:tr>
    </w:tbl>
    <w:p w14:paraId="0D772527">
      <w:pPr>
        <w:pStyle w:val="7"/>
        <w:keepNext w:val="0"/>
        <w:keepLines w:val="0"/>
        <w:pageBreakBefore w:val="0"/>
        <w:widowControl/>
        <w:suppressLineNumbers w:val="0"/>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r>
        <w:rPr>
          <w:rFonts w:hint="default" w:ascii="Times New Roman" w:hAnsi="Times New Roman" w:cs="Times New Roman"/>
          <w:sz w:val="24"/>
          <w:szCs w:val="24"/>
        </w:rPr>
        <w:t>The mean scores indicate high reliance on YouTube investment content, online investment communities, Telegram/Discord groups, and TikTok financial content. This confirms that finfluencers and online trading communities are major sources of investment information among retail investors. The result also suggests that digital trading behavior is shaped not only by platform design but also by social interaction and online market sentiment.</w:t>
      </w:r>
    </w:p>
    <w:p w14:paraId="7A7F3032">
      <w:pPr>
        <w:pStyle w:val="7"/>
        <w:keepNext w:val="0"/>
        <w:keepLines w:val="0"/>
        <w:pageBreakBefore w:val="0"/>
        <w:widowControl/>
        <w:suppressLineNumbers w:val="0"/>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p>
    <w:p w14:paraId="697FD410">
      <w:pPr>
        <w:pStyle w:val="3"/>
        <w:keepNext w:val="0"/>
        <w:keepLines w:val="0"/>
        <w:pageBreakBefore w:val="0"/>
        <w:widowControl/>
        <w:suppressLineNumbers w:val="0"/>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r>
        <w:rPr>
          <w:rFonts w:hint="default" w:ascii="Times New Roman" w:hAnsi="Times New Roman" w:cs="Times New Roman"/>
          <w:sz w:val="24"/>
          <w:szCs w:val="24"/>
        </w:rPr>
        <w:t>4.3 Reliability and Validity Tests</w:t>
      </w:r>
    </w:p>
    <w:p w14:paraId="232D77D2">
      <w:pPr>
        <w:pStyle w:val="7"/>
        <w:keepNext w:val="0"/>
        <w:keepLines w:val="0"/>
        <w:pageBreakBefore w:val="0"/>
        <w:widowControl/>
        <w:suppressLineNumbers w:val="0"/>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r>
        <w:rPr>
          <w:rFonts w:hint="default" w:ascii="Times New Roman" w:hAnsi="Times New Roman" w:cs="Times New Roman"/>
          <w:sz w:val="24"/>
          <w:szCs w:val="24"/>
        </w:rPr>
        <w:t>The reliability and validity of the constructs were assessed using Cronbach’s Alpha, Composite Reliability, Average Variance Extracted, and HTMT ratios. The results show that the measurement model met the accepted thresholds for internal consistency, convergent validity, and discriminant validity.</w:t>
      </w:r>
    </w:p>
    <w:p w14:paraId="63C620B3">
      <w:pPr>
        <w:pStyle w:val="7"/>
        <w:keepNext w:val="0"/>
        <w:keepLines w:val="0"/>
        <w:pageBreakBefore w:val="0"/>
        <w:widowControl/>
        <w:suppressLineNumbers w:val="0"/>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p>
    <w:p w14:paraId="3B9A0286">
      <w:pPr>
        <w:pStyle w:val="7"/>
        <w:keepNext w:val="0"/>
        <w:keepLines w:val="0"/>
        <w:pageBreakBefore w:val="0"/>
        <w:widowControl/>
        <w:suppressLineNumbers w:val="0"/>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r>
        <w:rPr>
          <w:rStyle w:val="8"/>
          <w:rFonts w:hint="default" w:ascii="Times New Roman" w:hAnsi="Times New Roman" w:cs="Times New Roman"/>
          <w:sz w:val="24"/>
          <w:szCs w:val="24"/>
        </w:rPr>
        <w:t>Table 4.5: Reliability and Convergent Validity Results</w:t>
      </w:r>
    </w:p>
    <w:tbl>
      <w:tblPr>
        <w:tblStyle w:val="6"/>
        <w:tblW w:w="909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2985"/>
        <w:gridCol w:w="1980"/>
        <w:gridCol w:w="2445"/>
        <w:gridCol w:w="1680"/>
      </w:tblGrid>
      <w:tr w14:paraId="587CE8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2985" w:type="dxa"/>
            <w:tcBorders>
              <w:top w:val="single" w:color="000000" w:sz="8" w:space="0"/>
              <w:left w:val="single" w:color="000000" w:sz="8" w:space="0"/>
              <w:bottom w:val="single" w:color="000000" w:sz="8" w:space="0"/>
              <w:right w:val="nil"/>
            </w:tcBorders>
            <w:shd w:val="clear" w:color="auto" w:fill="auto"/>
            <w:vAlign w:val="center"/>
          </w:tcPr>
          <w:p w14:paraId="453CA5F5">
            <w:pPr>
              <w:keepNext w:val="0"/>
              <w:keepLines w:val="0"/>
              <w:pageBreakBefore w:val="0"/>
              <w:widowControl/>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r>
              <w:rPr>
                <w:rFonts w:hint="default" w:ascii="Times New Roman" w:hAnsi="Times New Roman" w:cs="Times New Roman"/>
                <w:sz w:val="24"/>
                <w:szCs w:val="24"/>
                <w:lang w:val="en-US" w:eastAsia="zh-CN"/>
              </w:rPr>
              <w:t>Construct</w:t>
            </w:r>
          </w:p>
        </w:tc>
        <w:tc>
          <w:tcPr>
            <w:tcW w:w="1980" w:type="dxa"/>
            <w:tcBorders>
              <w:top w:val="single" w:color="000000" w:sz="8" w:space="0"/>
              <w:left w:val="nil"/>
              <w:bottom w:val="single" w:color="000000" w:sz="8" w:space="0"/>
              <w:right w:val="nil"/>
            </w:tcBorders>
            <w:shd w:val="clear" w:color="auto" w:fill="auto"/>
            <w:vAlign w:val="center"/>
          </w:tcPr>
          <w:p w14:paraId="6268EB4A">
            <w:pPr>
              <w:keepNext w:val="0"/>
              <w:keepLines w:val="0"/>
              <w:pageBreakBefore w:val="0"/>
              <w:widowControl/>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r>
              <w:rPr>
                <w:rFonts w:hint="default" w:ascii="Times New Roman" w:hAnsi="Times New Roman" w:cs="Times New Roman"/>
                <w:sz w:val="24"/>
                <w:szCs w:val="24"/>
                <w:lang w:val="en-US" w:eastAsia="zh-CN"/>
              </w:rPr>
              <w:t>Cronbach’s Alpha</w:t>
            </w:r>
          </w:p>
        </w:tc>
        <w:tc>
          <w:tcPr>
            <w:tcW w:w="2445" w:type="dxa"/>
            <w:tcBorders>
              <w:top w:val="single" w:color="000000" w:sz="8" w:space="0"/>
              <w:left w:val="nil"/>
              <w:bottom w:val="single" w:color="000000" w:sz="8" w:space="0"/>
              <w:right w:val="nil"/>
            </w:tcBorders>
            <w:shd w:val="clear" w:color="auto" w:fill="auto"/>
            <w:vAlign w:val="center"/>
          </w:tcPr>
          <w:p w14:paraId="04D99072">
            <w:pPr>
              <w:keepNext w:val="0"/>
              <w:keepLines w:val="0"/>
              <w:pageBreakBefore w:val="0"/>
              <w:widowControl/>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r>
              <w:rPr>
                <w:rFonts w:hint="default" w:ascii="Times New Roman" w:hAnsi="Times New Roman" w:cs="Times New Roman"/>
                <w:sz w:val="24"/>
                <w:szCs w:val="24"/>
                <w:lang w:val="en-US" w:eastAsia="zh-CN"/>
              </w:rPr>
              <w:t>Composite Reliability</w:t>
            </w:r>
          </w:p>
        </w:tc>
        <w:tc>
          <w:tcPr>
            <w:tcW w:w="1680" w:type="dxa"/>
            <w:tcBorders>
              <w:top w:val="single" w:color="000000" w:sz="8" w:space="0"/>
              <w:left w:val="nil"/>
              <w:bottom w:val="single" w:color="000000" w:sz="8" w:space="0"/>
              <w:right w:val="single" w:color="000000" w:sz="8" w:space="0"/>
            </w:tcBorders>
            <w:shd w:val="clear" w:color="auto" w:fill="auto"/>
            <w:vAlign w:val="center"/>
          </w:tcPr>
          <w:p w14:paraId="45C7EB5B">
            <w:pPr>
              <w:keepNext w:val="0"/>
              <w:keepLines w:val="0"/>
              <w:pageBreakBefore w:val="0"/>
              <w:widowControl/>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r>
              <w:rPr>
                <w:rFonts w:hint="default" w:ascii="Times New Roman" w:hAnsi="Times New Roman" w:cs="Times New Roman"/>
                <w:sz w:val="24"/>
                <w:szCs w:val="24"/>
                <w:lang w:val="en-US" w:eastAsia="zh-CN"/>
              </w:rPr>
              <w:t>AVE</w:t>
            </w:r>
          </w:p>
        </w:tc>
      </w:tr>
      <w:tr w14:paraId="0DD8947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2985" w:type="dxa"/>
            <w:tcBorders>
              <w:top w:val="nil"/>
              <w:left w:val="single" w:color="000000" w:sz="8" w:space="0"/>
              <w:bottom w:val="nil"/>
              <w:right w:val="nil"/>
            </w:tcBorders>
            <w:shd w:val="clear" w:color="auto" w:fill="auto"/>
            <w:vAlign w:val="center"/>
          </w:tcPr>
          <w:p w14:paraId="527EFAE3">
            <w:pPr>
              <w:keepNext w:val="0"/>
              <w:keepLines w:val="0"/>
              <w:pageBreakBefore w:val="0"/>
              <w:widowControl/>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r>
              <w:rPr>
                <w:rFonts w:hint="default" w:ascii="Times New Roman" w:hAnsi="Times New Roman" w:cs="Times New Roman"/>
                <w:sz w:val="24"/>
                <w:szCs w:val="24"/>
                <w:lang w:val="en-US" w:eastAsia="zh-CN"/>
              </w:rPr>
              <w:t>Platform Accessibility</w:t>
            </w:r>
          </w:p>
        </w:tc>
        <w:tc>
          <w:tcPr>
            <w:tcW w:w="1980" w:type="dxa"/>
            <w:tcBorders>
              <w:top w:val="nil"/>
              <w:left w:val="nil"/>
              <w:bottom w:val="nil"/>
              <w:right w:val="nil"/>
            </w:tcBorders>
            <w:shd w:val="clear" w:color="auto" w:fill="auto"/>
            <w:vAlign w:val="center"/>
          </w:tcPr>
          <w:p w14:paraId="180B5C4B">
            <w:pPr>
              <w:keepNext w:val="0"/>
              <w:keepLines w:val="0"/>
              <w:pageBreakBefore w:val="0"/>
              <w:widowControl/>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r>
              <w:rPr>
                <w:rFonts w:hint="default" w:ascii="Times New Roman" w:hAnsi="Times New Roman" w:cs="Times New Roman"/>
                <w:sz w:val="24"/>
                <w:szCs w:val="24"/>
                <w:lang w:val="en-US" w:eastAsia="zh-CN"/>
              </w:rPr>
              <w:t>0.842</w:t>
            </w:r>
          </w:p>
        </w:tc>
        <w:tc>
          <w:tcPr>
            <w:tcW w:w="2445" w:type="dxa"/>
            <w:tcBorders>
              <w:top w:val="nil"/>
              <w:left w:val="nil"/>
              <w:bottom w:val="nil"/>
              <w:right w:val="nil"/>
            </w:tcBorders>
            <w:shd w:val="clear" w:color="auto" w:fill="auto"/>
            <w:vAlign w:val="center"/>
          </w:tcPr>
          <w:p w14:paraId="0AB0DC48">
            <w:pPr>
              <w:keepNext w:val="0"/>
              <w:keepLines w:val="0"/>
              <w:pageBreakBefore w:val="0"/>
              <w:widowControl/>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r>
              <w:rPr>
                <w:rFonts w:hint="default" w:ascii="Times New Roman" w:hAnsi="Times New Roman" w:cs="Times New Roman"/>
                <w:sz w:val="24"/>
                <w:szCs w:val="24"/>
                <w:lang w:val="en-US" w:eastAsia="zh-CN"/>
              </w:rPr>
              <w:t>0.891</w:t>
            </w:r>
          </w:p>
        </w:tc>
        <w:tc>
          <w:tcPr>
            <w:tcW w:w="1680" w:type="dxa"/>
            <w:tcBorders>
              <w:top w:val="nil"/>
              <w:left w:val="nil"/>
              <w:bottom w:val="nil"/>
              <w:right w:val="single" w:color="000000" w:sz="8" w:space="0"/>
            </w:tcBorders>
            <w:shd w:val="clear" w:color="auto" w:fill="auto"/>
            <w:vAlign w:val="center"/>
          </w:tcPr>
          <w:p w14:paraId="663F8D61">
            <w:pPr>
              <w:keepNext w:val="0"/>
              <w:keepLines w:val="0"/>
              <w:pageBreakBefore w:val="0"/>
              <w:widowControl/>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r>
              <w:rPr>
                <w:rFonts w:hint="default" w:ascii="Times New Roman" w:hAnsi="Times New Roman" w:cs="Times New Roman"/>
                <w:sz w:val="24"/>
                <w:szCs w:val="24"/>
                <w:lang w:val="en-US" w:eastAsia="zh-CN"/>
              </w:rPr>
              <w:t>0.673</w:t>
            </w:r>
          </w:p>
        </w:tc>
      </w:tr>
      <w:tr w14:paraId="2C9334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2985" w:type="dxa"/>
            <w:tcBorders>
              <w:top w:val="nil"/>
              <w:left w:val="single" w:color="000000" w:sz="8" w:space="0"/>
              <w:bottom w:val="nil"/>
              <w:right w:val="nil"/>
            </w:tcBorders>
            <w:shd w:val="clear" w:color="auto" w:fill="auto"/>
            <w:vAlign w:val="center"/>
          </w:tcPr>
          <w:p w14:paraId="24CC713A">
            <w:pPr>
              <w:keepNext w:val="0"/>
              <w:keepLines w:val="0"/>
              <w:pageBreakBefore w:val="0"/>
              <w:widowControl/>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r>
              <w:rPr>
                <w:rFonts w:hint="default" w:ascii="Times New Roman" w:hAnsi="Times New Roman" w:cs="Times New Roman"/>
                <w:sz w:val="24"/>
                <w:szCs w:val="24"/>
                <w:lang w:val="en-US" w:eastAsia="zh-CN"/>
              </w:rPr>
              <w:t>Gamification</w:t>
            </w:r>
          </w:p>
        </w:tc>
        <w:tc>
          <w:tcPr>
            <w:tcW w:w="1980" w:type="dxa"/>
            <w:tcBorders>
              <w:top w:val="nil"/>
              <w:left w:val="nil"/>
              <w:bottom w:val="nil"/>
              <w:right w:val="nil"/>
            </w:tcBorders>
            <w:shd w:val="clear" w:color="auto" w:fill="auto"/>
            <w:vAlign w:val="center"/>
          </w:tcPr>
          <w:p w14:paraId="68695E67">
            <w:pPr>
              <w:keepNext w:val="0"/>
              <w:keepLines w:val="0"/>
              <w:pageBreakBefore w:val="0"/>
              <w:widowControl/>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r>
              <w:rPr>
                <w:rFonts w:hint="default" w:ascii="Times New Roman" w:hAnsi="Times New Roman" w:cs="Times New Roman"/>
                <w:sz w:val="24"/>
                <w:szCs w:val="24"/>
                <w:lang w:val="en-US" w:eastAsia="zh-CN"/>
              </w:rPr>
              <w:t>0.881</w:t>
            </w:r>
          </w:p>
        </w:tc>
        <w:tc>
          <w:tcPr>
            <w:tcW w:w="2445" w:type="dxa"/>
            <w:tcBorders>
              <w:top w:val="nil"/>
              <w:left w:val="nil"/>
              <w:bottom w:val="nil"/>
              <w:right w:val="nil"/>
            </w:tcBorders>
            <w:shd w:val="clear" w:color="auto" w:fill="auto"/>
            <w:vAlign w:val="center"/>
          </w:tcPr>
          <w:p w14:paraId="790089D7">
            <w:pPr>
              <w:keepNext w:val="0"/>
              <w:keepLines w:val="0"/>
              <w:pageBreakBefore w:val="0"/>
              <w:widowControl/>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r>
              <w:rPr>
                <w:rFonts w:hint="default" w:ascii="Times New Roman" w:hAnsi="Times New Roman" w:cs="Times New Roman"/>
                <w:sz w:val="24"/>
                <w:szCs w:val="24"/>
                <w:lang w:val="en-US" w:eastAsia="zh-CN"/>
              </w:rPr>
              <w:t>0.914</w:t>
            </w:r>
          </w:p>
        </w:tc>
        <w:tc>
          <w:tcPr>
            <w:tcW w:w="1680" w:type="dxa"/>
            <w:tcBorders>
              <w:top w:val="nil"/>
              <w:left w:val="nil"/>
              <w:bottom w:val="nil"/>
              <w:right w:val="single" w:color="000000" w:sz="8" w:space="0"/>
            </w:tcBorders>
            <w:shd w:val="clear" w:color="auto" w:fill="auto"/>
            <w:vAlign w:val="center"/>
          </w:tcPr>
          <w:p w14:paraId="1BF897A9">
            <w:pPr>
              <w:keepNext w:val="0"/>
              <w:keepLines w:val="0"/>
              <w:pageBreakBefore w:val="0"/>
              <w:widowControl/>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r>
              <w:rPr>
                <w:rFonts w:hint="default" w:ascii="Times New Roman" w:hAnsi="Times New Roman" w:cs="Times New Roman"/>
                <w:sz w:val="24"/>
                <w:szCs w:val="24"/>
                <w:lang w:val="en-US" w:eastAsia="zh-CN"/>
              </w:rPr>
              <w:t>0.701</w:t>
            </w:r>
          </w:p>
        </w:tc>
      </w:tr>
      <w:tr w14:paraId="36DF49C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2985" w:type="dxa"/>
            <w:tcBorders>
              <w:top w:val="nil"/>
              <w:left w:val="single" w:color="000000" w:sz="8" w:space="0"/>
              <w:bottom w:val="nil"/>
              <w:right w:val="nil"/>
            </w:tcBorders>
            <w:shd w:val="clear" w:color="auto" w:fill="auto"/>
            <w:vAlign w:val="center"/>
          </w:tcPr>
          <w:p w14:paraId="206EFD8D">
            <w:pPr>
              <w:keepNext w:val="0"/>
              <w:keepLines w:val="0"/>
              <w:pageBreakBefore w:val="0"/>
              <w:widowControl/>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r>
              <w:rPr>
                <w:rFonts w:hint="default" w:ascii="Times New Roman" w:hAnsi="Times New Roman" w:cs="Times New Roman"/>
                <w:sz w:val="24"/>
                <w:szCs w:val="24"/>
                <w:lang w:val="en-US" w:eastAsia="zh-CN"/>
              </w:rPr>
              <w:t>Financial Literacy</w:t>
            </w:r>
          </w:p>
        </w:tc>
        <w:tc>
          <w:tcPr>
            <w:tcW w:w="1980" w:type="dxa"/>
            <w:tcBorders>
              <w:top w:val="nil"/>
              <w:left w:val="nil"/>
              <w:bottom w:val="nil"/>
              <w:right w:val="nil"/>
            </w:tcBorders>
            <w:shd w:val="clear" w:color="auto" w:fill="auto"/>
            <w:vAlign w:val="center"/>
          </w:tcPr>
          <w:p w14:paraId="2A806FA4">
            <w:pPr>
              <w:keepNext w:val="0"/>
              <w:keepLines w:val="0"/>
              <w:pageBreakBefore w:val="0"/>
              <w:widowControl/>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r>
              <w:rPr>
                <w:rFonts w:hint="default" w:ascii="Times New Roman" w:hAnsi="Times New Roman" w:cs="Times New Roman"/>
                <w:sz w:val="24"/>
                <w:szCs w:val="24"/>
                <w:lang w:val="en-US" w:eastAsia="zh-CN"/>
              </w:rPr>
              <w:t>0.823</w:t>
            </w:r>
          </w:p>
        </w:tc>
        <w:tc>
          <w:tcPr>
            <w:tcW w:w="2445" w:type="dxa"/>
            <w:tcBorders>
              <w:top w:val="nil"/>
              <w:left w:val="nil"/>
              <w:bottom w:val="nil"/>
              <w:right w:val="nil"/>
            </w:tcBorders>
            <w:shd w:val="clear" w:color="auto" w:fill="auto"/>
            <w:vAlign w:val="center"/>
          </w:tcPr>
          <w:p w14:paraId="1AD62392">
            <w:pPr>
              <w:keepNext w:val="0"/>
              <w:keepLines w:val="0"/>
              <w:pageBreakBefore w:val="0"/>
              <w:widowControl/>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r>
              <w:rPr>
                <w:rFonts w:hint="default" w:ascii="Times New Roman" w:hAnsi="Times New Roman" w:cs="Times New Roman"/>
                <w:sz w:val="24"/>
                <w:szCs w:val="24"/>
                <w:lang w:val="en-US" w:eastAsia="zh-CN"/>
              </w:rPr>
              <w:t>0.876</w:t>
            </w:r>
          </w:p>
        </w:tc>
        <w:tc>
          <w:tcPr>
            <w:tcW w:w="1680" w:type="dxa"/>
            <w:tcBorders>
              <w:top w:val="nil"/>
              <w:left w:val="nil"/>
              <w:bottom w:val="nil"/>
              <w:right w:val="single" w:color="000000" w:sz="8" w:space="0"/>
            </w:tcBorders>
            <w:shd w:val="clear" w:color="auto" w:fill="auto"/>
            <w:vAlign w:val="center"/>
          </w:tcPr>
          <w:p w14:paraId="544E342F">
            <w:pPr>
              <w:keepNext w:val="0"/>
              <w:keepLines w:val="0"/>
              <w:pageBreakBefore w:val="0"/>
              <w:widowControl/>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r>
              <w:rPr>
                <w:rFonts w:hint="default" w:ascii="Times New Roman" w:hAnsi="Times New Roman" w:cs="Times New Roman"/>
                <w:sz w:val="24"/>
                <w:szCs w:val="24"/>
                <w:lang w:val="en-US" w:eastAsia="zh-CN"/>
              </w:rPr>
              <w:t>0.612</w:t>
            </w:r>
          </w:p>
        </w:tc>
      </w:tr>
      <w:tr w14:paraId="5C3ED1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2985" w:type="dxa"/>
            <w:tcBorders>
              <w:top w:val="nil"/>
              <w:left w:val="single" w:color="000000" w:sz="8" w:space="0"/>
              <w:bottom w:val="nil"/>
              <w:right w:val="nil"/>
            </w:tcBorders>
            <w:shd w:val="clear" w:color="auto" w:fill="auto"/>
            <w:vAlign w:val="center"/>
          </w:tcPr>
          <w:p w14:paraId="76702218">
            <w:pPr>
              <w:keepNext w:val="0"/>
              <w:keepLines w:val="0"/>
              <w:pageBreakBefore w:val="0"/>
              <w:widowControl/>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r>
              <w:rPr>
                <w:rFonts w:hint="default" w:ascii="Times New Roman" w:hAnsi="Times New Roman" w:cs="Times New Roman"/>
                <w:sz w:val="24"/>
                <w:szCs w:val="24"/>
                <w:lang w:val="en-US" w:eastAsia="zh-CN"/>
              </w:rPr>
              <w:t>Finfluencer Influence</w:t>
            </w:r>
          </w:p>
        </w:tc>
        <w:tc>
          <w:tcPr>
            <w:tcW w:w="1980" w:type="dxa"/>
            <w:tcBorders>
              <w:top w:val="nil"/>
              <w:left w:val="nil"/>
              <w:bottom w:val="nil"/>
              <w:right w:val="nil"/>
            </w:tcBorders>
            <w:shd w:val="clear" w:color="auto" w:fill="auto"/>
            <w:vAlign w:val="center"/>
          </w:tcPr>
          <w:p w14:paraId="7313DAC6">
            <w:pPr>
              <w:keepNext w:val="0"/>
              <w:keepLines w:val="0"/>
              <w:pageBreakBefore w:val="0"/>
              <w:widowControl/>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r>
              <w:rPr>
                <w:rFonts w:hint="default" w:ascii="Times New Roman" w:hAnsi="Times New Roman" w:cs="Times New Roman"/>
                <w:sz w:val="24"/>
                <w:szCs w:val="24"/>
                <w:lang w:val="en-US" w:eastAsia="zh-CN"/>
              </w:rPr>
              <w:t>0.894</w:t>
            </w:r>
          </w:p>
        </w:tc>
        <w:tc>
          <w:tcPr>
            <w:tcW w:w="2445" w:type="dxa"/>
            <w:tcBorders>
              <w:top w:val="nil"/>
              <w:left w:val="nil"/>
              <w:bottom w:val="nil"/>
              <w:right w:val="nil"/>
            </w:tcBorders>
            <w:shd w:val="clear" w:color="auto" w:fill="auto"/>
            <w:vAlign w:val="center"/>
          </w:tcPr>
          <w:p w14:paraId="7A044C04">
            <w:pPr>
              <w:keepNext w:val="0"/>
              <w:keepLines w:val="0"/>
              <w:pageBreakBefore w:val="0"/>
              <w:widowControl/>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r>
              <w:rPr>
                <w:rFonts w:hint="default" w:ascii="Times New Roman" w:hAnsi="Times New Roman" w:cs="Times New Roman"/>
                <w:sz w:val="24"/>
                <w:szCs w:val="24"/>
                <w:lang w:val="en-US" w:eastAsia="zh-CN"/>
              </w:rPr>
              <w:t>0.926</w:t>
            </w:r>
          </w:p>
        </w:tc>
        <w:tc>
          <w:tcPr>
            <w:tcW w:w="1680" w:type="dxa"/>
            <w:tcBorders>
              <w:top w:val="nil"/>
              <w:left w:val="nil"/>
              <w:bottom w:val="nil"/>
              <w:right w:val="single" w:color="000000" w:sz="8" w:space="0"/>
            </w:tcBorders>
            <w:shd w:val="clear" w:color="auto" w:fill="auto"/>
            <w:vAlign w:val="center"/>
          </w:tcPr>
          <w:p w14:paraId="7A408A2D">
            <w:pPr>
              <w:keepNext w:val="0"/>
              <w:keepLines w:val="0"/>
              <w:pageBreakBefore w:val="0"/>
              <w:widowControl/>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r>
              <w:rPr>
                <w:rFonts w:hint="default" w:ascii="Times New Roman" w:hAnsi="Times New Roman" w:cs="Times New Roman"/>
                <w:sz w:val="24"/>
                <w:szCs w:val="24"/>
                <w:lang w:val="en-US" w:eastAsia="zh-CN"/>
              </w:rPr>
              <w:t>0.732</w:t>
            </w:r>
          </w:p>
        </w:tc>
      </w:tr>
      <w:tr w14:paraId="55D2D04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2985" w:type="dxa"/>
            <w:tcBorders>
              <w:top w:val="nil"/>
              <w:left w:val="single" w:color="000000" w:sz="8" w:space="0"/>
              <w:bottom w:val="nil"/>
              <w:right w:val="nil"/>
            </w:tcBorders>
            <w:shd w:val="clear" w:color="auto" w:fill="auto"/>
            <w:vAlign w:val="center"/>
          </w:tcPr>
          <w:p w14:paraId="3039B8C5">
            <w:pPr>
              <w:keepNext w:val="0"/>
              <w:keepLines w:val="0"/>
              <w:pageBreakBefore w:val="0"/>
              <w:widowControl/>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r>
              <w:rPr>
                <w:rFonts w:hint="default" w:ascii="Times New Roman" w:hAnsi="Times New Roman" w:cs="Times New Roman"/>
                <w:sz w:val="24"/>
                <w:szCs w:val="24"/>
                <w:lang w:val="en-US" w:eastAsia="zh-CN"/>
              </w:rPr>
              <w:t>Herding Behavior</w:t>
            </w:r>
          </w:p>
        </w:tc>
        <w:tc>
          <w:tcPr>
            <w:tcW w:w="1980" w:type="dxa"/>
            <w:tcBorders>
              <w:top w:val="nil"/>
              <w:left w:val="nil"/>
              <w:bottom w:val="nil"/>
              <w:right w:val="nil"/>
            </w:tcBorders>
            <w:shd w:val="clear" w:color="auto" w:fill="auto"/>
            <w:vAlign w:val="center"/>
          </w:tcPr>
          <w:p w14:paraId="6CFEAF8C">
            <w:pPr>
              <w:keepNext w:val="0"/>
              <w:keepLines w:val="0"/>
              <w:pageBreakBefore w:val="0"/>
              <w:widowControl/>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r>
              <w:rPr>
                <w:rFonts w:hint="default" w:ascii="Times New Roman" w:hAnsi="Times New Roman" w:cs="Times New Roman"/>
                <w:sz w:val="24"/>
                <w:szCs w:val="24"/>
                <w:lang w:val="en-US" w:eastAsia="zh-CN"/>
              </w:rPr>
              <w:t>0.857</w:t>
            </w:r>
          </w:p>
        </w:tc>
        <w:tc>
          <w:tcPr>
            <w:tcW w:w="2445" w:type="dxa"/>
            <w:tcBorders>
              <w:top w:val="nil"/>
              <w:left w:val="nil"/>
              <w:bottom w:val="nil"/>
              <w:right w:val="nil"/>
            </w:tcBorders>
            <w:shd w:val="clear" w:color="auto" w:fill="auto"/>
            <w:vAlign w:val="center"/>
          </w:tcPr>
          <w:p w14:paraId="7BEB03E2">
            <w:pPr>
              <w:keepNext w:val="0"/>
              <w:keepLines w:val="0"/>
              <w:pageBreakBefore w:val="0"/>
              <w:widowControl/>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r>
              <w:rPr>
                <w:rFonts w:hint="default" w:ascii="Times New Roman" w:hAnsi="Times New Roman" w:cs="Times New Roman"/>
                <w:sz w:val="24"/>
                <w:szCs w:val="24"/>
                <w:lang w:val="en-US" w:eastAsia="zh-CN"/>
              </w:rPr>
              <w:t>0.902</w:t>
            </w:r>
          </w:p>
        </w:tc>
        <w:tc>
          <w:tcPr>
            <w:tcW w:w="1680" w:type="dxa"/>
            <w:tcBorders>
              <w:top w:val="nil"/>
              <w:left w:val="nil"/>
              <w:bottom w:val="nil"/>
              <w:right w:val="single" w:color="000000" w:sz="8" w:space="0"/>
            </w:tcBorders>
            <w:shd w:val="clear" w:color="auto" w:fill="auto"/>
            <w:vAlign w:val="center"/>
          </w:tcPr>
          <w:p w14:paraId="0D9C76A6">
            <w:pPr>
              <w:keepNext w:val="0"/>
              <w:keepLines w:val="0"/>
              <w:pageBreakBefore w:val="0"/>
              <w:widowControl/>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r>
              <w:rPr>
                <w:rFonts w:hint="default" w:ascii="Times New Roman" w:hAnsi="Times New Roman" w:cs="Times New Roman"/>
                <w:sz w:val="24"/>
                <w:szCs w:val="24"/>
                <w:lang w:val="en-US" w:eastAsia="zh-CN"/>
              </w:rPr>
              <w:t>0.681</w:t>
            </w:r>
          </w:p>
        </w:tc>
      </w:tr>
      <w:tr w14:paraId="33D285A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2985" w:type="dxa"/>
            <w:tcBorders>
              <w:top w:val="nil"/>
              <w:left w:val="single" w:color="000000" w:sz="8" w:space="0"/>
              <w:bottom w:val="nil"/>
              <w:right w:val="nil"/>
            </w:tcBorders>
            <w:shd w:val="clear" w:color="auto" w:fill="auto"/>
            <w:vAlign w:val="center"/>
          </w:tcPr>
          <w:p w14:paraId="742E9522">
            <w:pPr>
              <w:keepNext w:val="0"/>
              <w:keepLines w:val="0"/>
              <w:pageBreakBefore w:val="0"/>
              <w:widowControl/>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r>
              <w:rPr>
                <w:rFonts w:hint="default" w:ascii="Times New Roman" w:hAnsi="Times New Roman" w:cs="Times New Roman"/>
                <w:sz w:val="24"/>
                <w:szCs w:val="24"/>
                <w:lang w:val="en-US" w:eastAsia="zh-CN"/>
              </w:rPr>
              <w:t>Trading Intensity</w:t>
            </w:r>
          </w:p>
        </w:tc>
        <w:tc>
          <w:tcPr>
            <w:tcW w:w="1980" w:type="dxa"/>
            <w:tcBorders>
              <w:top w:val="nil"/>
              <w:left w:val="nil"/>
              <w:bottom w:val="nil"/>
              <w:right w:val="nil"/>
            </w:tcBorders>
            <w:shd w:val="clear" w:color="auto" w:fill="auto"/>
            <w:vAlign w:val="center"/>
          </w:tcPr>
          <w:p w14:paraId="7459E033">
            <w:pPr>
              <w:keepNext w:val="0"/>
              <w:keepLines w:val="0"/>
              <w:pageBreakBefore w:val="0"/>
              <w:widowControl/>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r>
              <w:rPr>
                <w:rFonts w:hint="default" w:ascii="Times New Roman" w:hAnsi="Times New Roman" w:cs="Times New Roman"/>
                <w:sz w:val="24"/>
                <w:szCs w:val="24"/>
                <w:lang w:val="en-US" w:eastAsia="zh-CN"/>
              </w:rPr>
              <w:t>0.803</w:t>
            </w:r>
          </w:p>
        </w:tc>
        <w:tc>
          <w:tcPr>
            <w:tcW w:w="2445" w:type="dxa"/>
            <w:tcBorders>
              <w:top w:val="nil"/>
              <w:left w:val="nil"/>
              <w:bottom w:val="nil"/>
              <w:right w:val="nil"/>
            </w:tcBorders>
            <w:shd w:val="clear" w:color="auto" w:fill="auto"/>
            <w:vAlign w:val="center"/>
          </w:tcPr>
          <w:p w14:paraId="6720824A">
            <w:pPr>
              <w:keepNext w:val="0"/>
              <w:keepLines w:val="0"/>
              <w:pageBreakBefore w:val="0"/>
              <w:widowControl/>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r>
              <w:rPr>
                <w:rFonts w:hint="default" w:ascii="Times New Roman" w:hAnsi="Times New Roman" w:cs="Times New Roman"/>
                <w:sz w:val="24"/>
                <w:szCs w:val="24"/>
                <w:lang w:val="en-US" w:eastAsia="zh-CN"/>
              </w:rPr>
              <w:t>0.861</w:t>
            </w:r>
          </w:p>
        </w:tc>
        <w:tc>
          <w:tcPr>
            <w:tcW w:w="1680" w:type="dxa"/>
            <w:tcBorders>
              <w:top w:val="nil"/>
              <w:left w:val="nil"/>
              <w:bottom w:val="nil"/>
              <w:right w:val="single" w:color="000000" w:sz="8" w:space="0"/>
            </w:tcBorders>
            <w:shd w:val="clear" w:color="auto" w:fill="auto"/>
            <w:vAlign w:val="center"/>
          </w:tcPr>
          <w:p w14:paraId="5F32EB1E">
            <w:pPr>
              <w:keepNext w:val="0"/>
              <w:keepLines w:val="0"/>
              <w:pageBreakBefore w:val="0"/>
              <w:widowControl/>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r>
              <w:rPr>
                <w:rFonts w:hint="default" w:ascii="Times New Roman" w:hAnsi="Times New Roman" w:cs="Times New Roman"/>
                <w:sz w:val="24"/>
                <w:szCs w:val="24"/>
                <w:lang w:val="en-US" w:eastAsia="zh-CN"/>
              </w:rPr>
              <w:t>0.598</w:t>
            </w:r>
          </w:p>
        </w:tc>
      </w:tr>
      <w:tr w14:paraId="20DC8C5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2985" w:type="dxa"/>
            <w:tcBorders>
              <w:top w:val="nil"/>
              <w:left w:val="single" w:color="000000" w:sz="8" w:space="0"/>
              <w:bottom w:val="nil"/>
              <w:right w:val="nil"/>
            </w:tcBorders>
            <w:shd w:val="clear" w:color="auto" w:fill="auto"/>
            <w:vAlign w:val="center"/>
          </w:tcPr>
          <w:p w14:paraId="3274CC82">
            <w:pPr>
              <w:keepNext w:val="0"/>
              <w:keepLines w:val="0"/>
              <w:pageBreakBefore w:val="0"/>
              <w:widowControl/>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r>
              <w:rPr>
                <w:rFonts w:hint="default" w:ascii="Times New Roman" w:hAnsi="Times New Roman" w:cs="Times New Roman"/>
                <w:sz w:val="24"/>
                <w:szCs w:val="24"/>
                <w:lang w:val="en-US" w:eastAsia="zh-CN"/>
              </w:rPr>
              <w:t>Risk Tolerance</w:t>
            </w:r>
          </w:p>
        </w:tc>
        <w:tc>
          <w:tcPr>
            <w:tcW w:w="1980" w:type="dxa"/>
            <w:tcBorders>
              <w:top w:val="nil"/>
              <w:left w:val="nil"/>
              <w:bottom w:val="nil"/>
              <w:right w:val="nil"/>
            </w:tcBorders>
            <w:shd w:val="clear" w:color="auto" w:fill="auto"/>
            <w:vAlign w:val="center"/>
          </w:tcPr>
          <w:p w14:paraId="52369636">
            <w:pPr>
              <w:keepNext w:val="0"/>
              <w:keepLines w:val="0"/>
              <w:pageBreakBefore w:val="0"/>
              <w:widowControl/>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r>
              <w:rPr>
                <w:rFonts w:hint="default" w:ascii="Times New Roman" w:hAnsi="Times New Roman" w:cs="Times New Roman"/>
                <w:sz w:val="24"/>
                <w:szCs w:val="24"/>
                <w:lang w:val="en-US" w:eastAsia="zh-CN"/>
              </w:rPr>
              <w:t>0.782</w:t>
            </w:r>
          </w:p>
        </w:tc>
        <w:tc>
          <w:tcPr>
            <w:tcW w:w="2445" w:type="dxa"/>
            <w:tcBorders>
              <w:top w:val="nil"/>
              <w:left w:val="nil"/>
              <w:bottom w:val="nil"/>
              <w:right w:val="nil"/>
            </w:tcBorders>
            <w:shd w:val="clear" w:color="auto" w:fill="auto"/>
            <w:vAlign w:val="center"/>
          </w:tcPr>
          <w:p w14:paraId="79832DC6">
            <w:pPr>
              <w:keepNext w:val="0"/>
              <w:keepLines w:val="0"/>
              <w:pageBreakBefore w:val="0"/>
              <w:widowControl/>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r>
              <w:rPr>
                <w:rFonts w:hint="default" w:ascii="Times New Roman" w:hAnsi="Times New Roman" w:cs="Times New Roman"/>
                <w:sz w:val="24"/>
                <w:szCs w:val="24"/>
                <w:lang w:val="en-US" w:eastAsia="zh-CN"/>
              </w:rPr>
              <w:t>0.841</w:t>
            </w:r>
          </w:p>
        </w:tc>
        <w:tc>
          <w:tcPr>
            <w:tcW w:w="1680" w:type="dxa"/>
            <w:tcBorders>
              <w:top w:val="nil"/>
              <w:left w:val="nil"/>
              <w:bottom w:val="nil"/>
              <w:right w:val="single" w:color="000000" w:sz="8" w:space="0"/>
            </w:tcBorders>
            <w:shd w:val="clear" w:color="auto" w:fill="auto"/>
            <w:vAlign w:val="center"/>
          </w:tcPr>
          <w:p w14:paraId="3C70085E">
            <w:pPr>
              <w:keepNext w:val="0"/>
              <w:keepLines w:val="0"/>
              <w:pageBreakBefore w:val="0"/>
              <w:widowControl/>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r>
              <w:rPr>
                <w:rFonts w:hint="default" w:ascii="Times New Roman" w:hAnsi="Times New Roman" w:cs="Times New Roman"/>
                <w:sz w:val="24"/>
                <w:szCs w:val="24"/>
                <w:lang w:val="en-US" w:eastAsia="zh-CN"/>
              </w:rPr>
              <w:t>0.571</w:t>
            </w:r>
          </w:p>
        </w:tc>
      </w:tr>
      <w:tr w14:paraId="5E74F3B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2985" w:type="dxa"/>
            <w:tcBorders>
              <w:top w:val="nil"/>
              <w:left w:val="single" w:color="000000" w:sz="8" w:space="0"/>
              <w:bottom w:val="single" w:color="000000" w:sz="8" w:space="0"/>
              <w:right w:val="nil"/>
            </w:tcBorders>
            <w:shd w:val="clear" w:color="auto" w:fill="auto"/>
            <w:vAlign w:val="center"/>
          </w:tcPr>
          <w:p w14:paraId="0A1C5831">
            <w:pPr>
              <w:keepNext w:val="0"/>
              <w:keepLines w:val="0"/>
              <w:pageBreakBefore w:val="0"/>
              <w:widowControl/>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r>
              <w:rPr>
                <w:rFonts w:hint="default" w:ascii="Times New Roman" w:hAnsi="Times New Roman" w:cs="Times New Roman"/>
                <w:sz w:val="24"/>
                <w:szCs w:val="24"/>
                <w:lang w:val="en-US" w:eastAsia="zh-CN"/>
              </w:rPr>
              <w:t>Overtrading</w:t>
            </w:r>
          </w:p>
        </w:tc>
        <w:tc>
          <w:tcPr>
            <w:tcW w:w="1980" w:type="dxa"/>
            <w:tcBorders>
              <w:top w:val="nil"/>
              <w:left w:val="nil"/>
              <w:bottom w:val="single" w:color="000000" w:sz="8" w:space="0"/>
              <w:right w:val="nil"/>
            </w:tcBorders>
            <w:shd w:val="clear" w:color="auto" w:fill="auto"/>
            <w:vAlign w:val="center"/>
          </w:tcPr>
          <w:p w14:paraId="32AFC7D7">
            <w:pPr>
              <w:keepNext w:val="0"/>
              <w:keepLines w:val="0"/>
              <w:pageBreakBefore w:val="0"/>
              <w:widowControl/>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r>
              <w:rPr>
                <w:rFonts w:hint="default" w:ascii="Times New Roman" w:hAnsi="Times New Roman" w:cs="Times New Roman"/>
                <w:sz w:val="24"/>
                <w:szCs w:val="24"/>
                <w:lang w:val="en-US" w:eastAsia="zh-CN"/>
              </w:rPr>
              <w:t>0.869</w:t>
            </w:r>
          </w:p>
        </w:tc>
        <w:tc>
          <w:tcPr>
            <w:tcW w:w="2445" w:type="dxa"/>
            <w:tcBorders>
              <w:top w:val="nil"/>
              <w:left w:val="nil"/>
              <w:bottom w:val="single" w:color="000000" w:sz="8" w:space="0"/>
              <w:right w:val="nil"/>
            </w:tcBorders>
            <w:shd w:val="clear" w:color="auto" w:fill="auto"/>
            <w:vAlign w:val="center"/>
          </w:tcPr>
          <w:p w14:paraId="611691AB">
            <w:pPr>
              <w:keepNext w:val="0"/>
              <w:keepLines w:val="0"/>
              <w:pageBreakBefore w:val="0"/>
              <w:widowControl/>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r>
              <w:rPr>
                <w:rFonts w:hint="default" w:ascii="Times New Roman" w:hAnsi="Times New Roman" w:cs="Times New Roman"/>
                <w:sz w:val="24"/>
                <w:szCs w:val="24"/>
                <w:lang w:val="en-US" w:eastAsia="zh-CN"/>
              </w:rPr>
              <w:t>0.911</w:t>
            </w:r>
          </w:p>
        </w:tc>
        <w:tc>
          <w:tcPr>
            <w:tcW w:w="1680" w:type="dxa"/>
            <w:tcBorders>
              <w:top w:val="nil"/>
              <w:left w:val="nil"/>
              <w:bottom w:val="single" w:color="000000" w:sz="8" w:space="0"/>
              <w:right w:val="single" w:color="000000" w:sz="8" w:space="0"/>
            </w:tcBorders>
            <w:shd w:val="clear" w:color="auto" w:fill="auto"/>
            <w:vAlign w:val="center"/>
          </w:tcPr>
          <w:p w14:paraId="6051A407">
            <w:pPr>
              <w:keepNext w:val="0"/>
              <w:keepLines w:val="0"/>
              <w:pageBreakBefore w:val="0"/>
              <w:widowControl/>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r>
              <w:rPr>
                <w:rFonts w:hint="default" w:ascii="Times New Roman" w:hAnsi="Times New Roman" w:cs="Times New Roman"/>
                <w:sz w:val="24"/>
                <w:szCs w:val="24"/>
                <w:lang w:val="en-US" w:eastAsia="zh-CN"/>
              </w:rPr>
              <w:t>0.694</w:t>
            </w:r>
          </w:p>
        </w:tc>
      </w:tr>
    </w:tbl>
    <w:p w14:paraId="222DAAE3">
      <w:pPr>
        <w:pStyle w:val="7"/>
        <w:keepNext w:val="0"/>
        <w:keepLines w:val="0"/>
        <w:pageBreakBefore w:val="0"/>
        <w:widowControl/>
        <w:suppressLineNumbers w:val="0"/>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r>
        <w:rPr>
          <w:rFonts w:hint="default" w:ascii="Times New Roman" w:hAnsi="Times New Roman" w:cs="Times New Roman"/>
          <w:sz w:val="24"/>
          <w:szCs w:val="24"/>
        </w:rPr>
        <w:t>All Cronbach’s Alpha values exceeded 0.70, indicating satisfactory internal consistency. Composite Reliability values were also above 0.80, while AVE values exceeded 0.50. These results confirm that the constructs were reliable and had adequate convergent validity.</w:t>
      </w:r>
    </w:p>
    <w:p w14:paraId="00F1D9F9">
      <w:pPr>
        <w:pStyle w:val="7"/>
        <w:keepNext w:val="0"/>
        <w:keepLines w:val="0"/>
        <w:pageBreakBefore w:val="0"/>
        <w:widowControl/>
        <w:suppressLineNumbers w:val="0"/>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p>
    <w:p w14:paraId="353C77D8">
      <w:pPr>
        <w:pStyle w:val="7"/>
        <w:keepNext w:val="0"/>
        <w:keepLines w:val="0"/>
        <w:pageBreakBefore w:val="0"/>
        <w:widowControl/>
        <w:suppressLineNumbers w:val="0"/>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r>
        <w:rPr>
          <w:rStyle w:val="8"/>
          <w:rFonts w:hint="default" w:ascii="Times New Roman" w:hAnsi="Times New Roman" w:cs="Times New Roman"/>
          <w:sz w:val="24"/>
          <w:szCs w:val="24"/>
        </w:rPr>
        <w:t>Table 4.6: HTMT Discriminant Validity Test</w:t>
      </w:r>
    </w:p>
    <w:tbl>
      <w:tblPr>
        <w:tblStyle w:val="6"/>
        <w:tblW w:w="7575"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5040"/>
        <w:gridCol w:w="2535"/>
      </w:tblGrid>
      <w:tr w14:paraId="1BF22F5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5040" w:type="dxa"/>
            <w:tcBorders>
              <w:top w:val="single" w:color="000000" w:sz="8" w:space="0"/>
              <w:left w:val="single" w:color="000000" w:sz="8" w:space="0"/>
              <w:bottom w:val="single" w:color="000000" w:sz="8" w:space="0"/>
              <w:right w:val="nil"/>
            </w:tcBorders>
            <w:shd w:val="clear" w:color="auto" w:fill="auto"/>
            <w:vAlign w:val="center"/>
          </w:tcPr>
          <w:p w14:paraId="1D288802">
            <w:pPr>
              <w:keepNext w:val="0"/>
              <w:keepLines w:val="0"/>
              <w:pageBreakBefore w:val="0"/>
              <w:widowControl/>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r>
              <w:rPr>
                <w:rFonts w:hint="default" w:ascii="Times New Roman" w:hAnsi="Times New Roman" w:cs="Times New Roman"/>
                <w:sz w:val="24"/>
                <w:szCs w:val="24"/>
                <w:lang w:val="en-US" w:eastAsia="zh-CN"/>
              </w:rPr>
              <w:t>Constructs</w:t>
            </w:r>
          </w:p>
        </w:tc>
        <w:tc>
          <w:tcPr>
            <w:tcW w:w="2535" w:type="dxa"/>
            <w:tcBorders>
              <w:top w:val="single" w:color="000000" w:sz="8" w:space="0"/>
              <w:left w:val="nil"/>
              <w:bottom w:val="single" w:color="000000" w:sz="8" w:space="0"/>
              <w:right w:val="single" w:color="000000" w:sz="8" w:space="0"/>
            </w:tcBorders>
            <w:shd w:val="clear" w:color="auto" w:fill="auto"/>
            <w:vAlign w:val="center"/>
          </w:tcPr>
          <w:p w14:paraId="215D2218">
            <w:pPr>
              <w:keepNext w:val="0"/>
              <w:keepLines w:val="0"/>
              <w:pageBreakBefore w:val="0"/>
              <w:widowControl/>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r>
              <w:rPr>
                <w:rFonts w:hint="default" w:ascii="Times New Roman" w:hAnsi="Times New Roman" w:cs="Times New Roman"/>
                <w:sz w:val="24"/>
                <w:szCs w:val="24"/>
                <w:lang w:val="en-US" w:eastAsia="zh-CN"/>
              </w:rPr>
              <w:t>HTMT Value</w:t>
            </w:r>
          </w:p>
        </w:tc>
      </w:tr>
      <w:tr w14:paraId="2689892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5040" w:type="dxa"/>
            <w:tcBorders>
              <w:top w:val="nil"/>
              <w:left w:val="single" w:color="000000" w:sz="8" w:space="0"/>
              <w:bottom w:val="nil"/>
              <w:right w:val="nil"/>
            </w:tcBorders>
            <w:shd w:val="clear" w:color="auto" w:fill="auto"/>
            <w:vAlign w:val="center"/>
          </w:tcPr>
          <w:p w14:paraId="7692FB6C">
            <w:pPr>
              <w:keepNext w:val="0"/>
              <w:keepLines w:val="0"/>
              <w:pageBreakBefore w:val="0"/>
              <w:widowControl/>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r>
              <w:rPr>
                <w:rFonts w:hint="default" w:ascii="Times New Roman" w:hAnsi="Times New Roman" w:cs="Times New Roman"/>
                <w:sz w:val="24"/>
                <w:szCs w:val="24"/>
                <w:lang w:val="en-US" w:eastAsia="zh-CN"/>
              </w:rPr>
              <w:t>Accessibility ↔ Gamification</w:t>
            </w:r>
          </w:p>
        </w:tc>
        <w:tc>
          <w:tcPr>
            <w:tcW w:w="2535" w:type="dxa"/>
            <w:tcBorders>
              <w:top w:val="nil"/>
              <w:left w:val="nil"/>
              <w:bottom w:val="nil"/>
              <w:right w:val="single" w:color="000000" w:sz="8" w:space="0"/>
            </w:tcBorders>
            <w:shd w:val="clear" w:color="auto" w:fill="auto"/>
            <w:vAlign w:val="center"/>
          </w:tcPr>
          <w:p w14:paraId="52AB31A6">
            <w:pPr>
              <w:keepNext w:val="0"/>
              <w:keepLines w:val="0"/>
              <w:pageBreakBefore w:val="0"/>
              <w:widowControl/>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r>
              <w:rPr>
                <w:rFonts w:hint="default" w:ascii="Times New Roman" w:hAnsi="Times New Roman" w:cs="Times New Roman"/>
                <w:sz w:val="24"/>
                <w:szCs w:val="24"/>
                <w:lang w:val="en-US" w:eastAsia="zh-CN"/>
              </w:rPr>
              <w:t>0.641</w:t>
            </w:r>
          </w:p>
        </w:tc>
      </w:tr>
      <w:tr w14:paraId="3BA299C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5040" w:type="dxa"/>
            <w:tcBorders>
              <w:top w:val="nil"/>
              <w:left w:val="single" w:color="000000" w:sz="8" w:space="0"/>
              <w:bottom w:val="nil"/>
              <w:right w:val="nil"/>
            </w:tcBorders>
            <w:shd w:val="clear" w:color="auto" w:fill="auto"/>
            <w:vAlign w:val="center"/>
          </w:tcPr>
          <w:p w14:paraId="2CECA0A0">
            <w:pPr>
              <w:keepNext w:val="0"/>
              <w:keepLines w:val="0"/>
              <w:pageBreakBefore w:val="0"/>
              <w:widowControl/>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r>
              <w:rPr>
                <w:rFonts w:hint="default" w:ascii="Times New Roman" w:hAnsi="Times New Roman" w:cs="Times New Roman"/>
                <w:sz w:val="24"/>
                <w:szCs w:val="24"/>
                <w:lang w:val="en-US" w:eastAsia="zh-CN"/>
              </w:rPr>
              <w:t>Accessibility ↔ Trading Intensity</w:t>
            </w:r>
          </w:p>
        </w:tc>
        <w:tc>
          <w:tcPr>
            <w:tcW w:w="2535" w:type="dxa"/>
            <w:tcBorders>
              <w:top w:val="nil"/>
              <w:left w:val="nil"/>
              <w:bottom w:val="nil"/>
              <w:right w:val="single" w:color="000000" w:sz="8" w:space="0"/>
            </w:tcBorders>
            <w:shd w:val="clear" w:color="auto" w:fill="auto"/>
            <w:vAlign w:val="center"/>
          </w:tcPr>
          <w:p w14:paraId="461061E5">
            <w:pPr>
              <w:keepNext w:val="0"/>
              <w:keepLines w:val="0"/>
              <w:pageBreakBefore w:val="0"/>
              <w:widowControl/>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r>
              <w:rPr>
                <w:rFonts w:hint="default" w:ascii="Times New Roman" w:hAnsi="Times New Roman" w:cs="Times New Roman"/>
                <w:sz w:val="24"/>
                <w:szCs w:val="24"/>
                <w:lang w:val="en-US" w:eastAsia="zh-CN"/>
              </w:rPr>
              <w:t>0.703</w:t>
            </w:r>
          </w:p>
        </w:tc>
      </w:tr>
      <w:tr w14:paraId="1D96E85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5040" w:type="dxa"/>
            <w:tcBorders>
              <w:top w:val="nil"/>
              <w:left w:val="single" w:color="000000" w:sz="8" w:space="0"/>
              <w:bottom w:val="nil"/>
              <w:right w:val="nil"/>
            </w:tcBorders>
            <w:shd w:val="clear" w:color="auto" w:fill="auto"/>
            <w:vAlign w:val="center"/>
          </w:tcPr>
          <w:p w14:paraId="7149BBCE">
            <w:pPr>
              <w:keepNext w:val="0"/>
              <w:keepLines w:val="0"/>
              <w:pageBreakBefore w:val="0"/>
              <w:widowControl/>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r>
              <w:rPr>
                <w:rFonts w:hint="default" w:ascii="Times New Roman" w:hAnsi="Times New Roman" w:cs="Times New Roman"/>
                <w:sz w:val="24"/>
                <w:szCs w:val="24"/>
                <w:lang w:val="en-US" w:eastAsia="zh-CN"/>
              </w:rPr>
              <w:t>Gamification ↔ Overtrading</w:t>
            </w:r>
          </w:p>
        </w:tc>
        <w:tc>
          <w:tcPr>
            <w:tcW w:w="2535" w:type="dxa"/>
            <w:tcBorders>
              <w:top w:val="nil"/>
              <w:left w:val="nil"/>
              <w:bottom w:val="nil"/>
              <w:right w:val="single" w:color="000000" w:sz="8" w:space="0"/>
            </w:tcBorders>
            <w:shd w:val="clear" w:color="auto" w:fill="auto"/>
            <w:vAlign w:val="center"/>
          </w:tcPr>
          <w:p w14:paraId="3C75EC16">
            <w:pPr>
              <w:keepNext w:val="0"/>
              <w:keepLines w:val="0"/>
              <w:pageBreakBefore w:val="0"/>
              <w:widowControl/>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r>
              <w:rPr>
                <w:rFonts w:hint="default" w:ascii="Times New Roman" w:hAnsi="Times New Roman" w:cs="Times New Roman"/>
                <w:sz w:val="24"/>
                <w:szCs w:val="24"/>
                <w:lang w:val="en-US" w:eastAsia="zh-CN"/>
              </w:rPr>
              <w:t>0.744</w:t>
            </w:r>
          </w:p>
        </w:tc>
      </w:tr>
      <w:tr w14:paraId="0B693A7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5040" w:type="dxa"/>
            <w:tcBorders>
              <w:top w:val="nil"/>
              <w:left w:val="single" w:color="000000" w:sz="8" w:space="0"/>
              <w:bottom w:val="nil"/>
              <w:right w:val="nil"/>
            </w:tcBorders>
            <w:shd w:val="clear" w:color="auto" w:fill="auto"/>
            <w:vAlign w:val="center"/>
          </w:tcPr>
          <w:p w14:paraId="771A0B6C">
            <w:pPr>
              <w:keepNext w:val="0"/>
              <w:keepLines w:val="0"/>
              <w:pageBreakBefore w:val="0"/>
              <w:widowControl/>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r>
              <w:rPr>
                <w:rFonts w:hint="default" w:ascii="Times New Roman" w:hAnsi="Times New Roman" w:cs="Times New Roman"/>
                <w:sz w:val="24"/>
                <w:szCs w:val="24"/>
                <w:lang w:val="en-US" w:eastAsia="zh-CN"/>
              </w:rPr>
              <w:t>Finfluencer Influence ↔ Herding</w:t>
            </w:r>
          </w:p>
        </w:tc>
        <w:tc>
          <w:tcPr>
            <w:tcW w:w="2535" w:type="dxa"/>
            <w:tcBorders>
              <w:top w:val="nil"/>
              <w:left w:val="nil"/>
              <w:bottom w:val="nil"/>
              <w:right w:val="single" w:color="000000" w:sz="8" w:space="0"/>
            </w:tcBorders>
            <w:shd w:val="clear" w:color="auto" w:fill="auto"/>
            <w:vAlign w:val="center"/>
          </w:tcPr>
          <w:p w14:paraId="0093C17F">
            <w:pPr>
              <w:keepNext w:val="0"/>
              <w:keepLines w:val="0"/>
              <w:pageBreakBefore w:val="0"/>
              <w:widowControl/>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r>
              <w:rPr>
                <w:rFonts w:hint="default" w:ascii="Times New Roman" w:hAnsi="Times New Roman" w:cs="Times New Roman"/>
                <w:sz w:val="24"/>
                <w:szCs w:val="24"/>
                <w:lang w:val="en-US" w:eastAsia="zh-CN"/>
              </w:rPr>
              <w:t>0.792</w:t>
            </w:r>
          </w:p>
        </w:tc>
      </w:tr>
      <w:tr w14:paraId="149B347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5040" w:type="dxa"/>
            <w:tcBorders>
              <w:top w:val="nil"/>
              <w:left w:val="single" w:color="000000" w:sz="8" w:space="0"/>
              <w:bottom w:val="single" w:color="000000" w:sz="8" w:space="0"/>
              <w:right w:val="nil"/>
            </w:tcBorders>
            <w:shd w:val="clear" w:color="auto" w:fill="auto"/>
            <w:vAlign w:val="center"/>
          </w:tcPr>
          <w:p w14:paraId="6F8F2404">
            <w:pPr>
              <w:keepNext w:val="0"/>
              <w:keepLines w:val="0"/>
              <w:pageBreakBefore w:val="0"/>
              <w:widowControl/>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r>
              <w:rPr>
                <w:rFonts w:hint="default" w:ascii="Times New Roman" w:hAnsi="Times New Roman" w:cs="Times New Roman"/>
                <w:sz w:val="24"/>
                <w:szCs w:val="24"/>
                <w:lang w:val="en-US" w:eastAsia="zh-CN"/>
              </w:rPr>
              <w:t>Financial Literacy ↔ Trading Intensity</w:t>
            </w:r>
          </w:p>
        </w:tc>
        <w:tc>
          <w:tcPr>
            <w:tcW w:w="2535" w:type="dxa"/>
            <w:tcBorders>
              <w:top w:val="nil"/>
              <w:left w:val="nil"/>
              <w:bottom w:val="single" w:color="000000" w:sz="8" w:space="0"/>
              <w:right w:val="single" w:color="000000" w:sz="8" w:space="0"/>
            </w:tcBorders>
            <w:shd w:val="clear" w:color="auto" w:fill="auto"/>
            <w:vAlign w:val="center"/>
          </w:tcPr>
          <w:p w14:paraId="192E6FBC">
            <w:pPr>
              <w:keepNext w:val="0"/>
              <w:keepLines w:val="0"/>
              <w:pageBreakBefore w:val="0"/>
              <w:widowControl/>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r>
              <w:rPr>
                <w:rFonts w:hint="default" w:ascii="Times New Roman" w:hAnsi="Times New Roman" w:cs="Times New Roman"/>
                <w:sz w:val="24"/>
                <w:szCs w:val="24"/>
                <w:lang w:val="en-US" w:eastAsia="zh-CN"/>
              </w:rPr>
              <w:t>0.612</w:t>
            </w:r>
          </w:p>
        </w:tc>
      </w:tr>
    </w:tbl>
    <w:p w14:paraId="2BC2922C">
      <w:pPr>
        <w:pStyle w:val="7"/>
        <w:keepNext w:val="0"/>
        <w:keepLines w:val="0"/>
        <w:pageBreakBefore w:val="0"/>
        <w:widowControl/>
        <w:suppressLineNumbers w:val="0"/>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r>
        <w:rPr>
          <w:rFonts w:hint="default" w:ascii="Times New Roman" w:hAnsi="Times New Roman" w:cs="Times New Roman"/>
          <w:sz w:val="24"/>
          <w:szCs w:val="24"/>
        </w:rPr>
        <w:t>All HTMT values were below the 0.85 threshold, confirming discriminant validity. This means that the constructs measured distinct concepts and were suitable for structural model analysis.</w:t>
      </w:r>
    </w:p>
    <w:p w14:paraId="2E7C9D85">
      <w:pPr>
        <w:pStyle w:val="7"/>
        <w:keepNext w:val="0"/>
        <w:keepLines w:val="0"/>
        <w:pageBreakBefore w:val="0"/>
        <w:widowControl/>
        <w:suppressLineNumbers w:val="0"/>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p>
    <w:p w14:paraId="00A550AE">
      <w:pPr>
        <w:pStyle w:val="3"/>
        <w:keepNext w:val="0"/>
        <w:keepLines w:val="0"/>
        <w:pageBreakBefore w:val="0"/>
        <w:widowControl/>
        <w:suppressLineNumbers w:val="0"/>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r>
        <w:rPr>
          <w:rFonts w:hint="default" w:ascii="Times New Roman" w:hAnsi="Times New Roman" w:cs="Times New Roman"/>
          <w:sz w:val="24"/>
          <w:szCs w:val="24"/>
        </w:rPr>
        <w:t>4.4 Measurement Model Assessment</w:t>
      </w:r>
    </w:p>
    <w:p w14:paraId="480F8859">
      <w:pPr>
        <w:pStyle w:val="7"/>
        <w:keepNext w:val="0"/>
        <w:keepLines w:val="0"/>
        <w:pageBreakBefore w:val="0"/>
        <w:widowControl/>
        <w:suppressLineNumbers w:val="0"/>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r>
        <w:rPr>
          <w:rFonts w:hint="default" w:ascii="Times New Roman" w:hAnsi="Times New Roman" w:cs="Times New Roman"/>
          <w:sz w:val="24"/>
          <w:szCs w:val="24"/>
        </w:rPr>
        <w:t>The measurement model was assessed using indicator loadings, reliability, convergent validity, and discriminant validity. The factor loading results show that all indicators had strong associations with their respective constructs.</w:t>
      </w:r>
    </w:p>
    <w:p w14:paraId="20C30E57">
      <w:pPr>
        <w:pStyle w:val="7"/>
        <w:keepNext w:val="0"/>
        <w:keepLines w:val="0"/>
        <w:pageBreakBefore w:val="0"/>
        <w:widowControl/>
        <w:suppressLineNumbers w:val="0"/>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p>
    <w:p w14:paraId="652BF87A">
      <w:pPr>
        <w:pStyle w:val="7"/>
        <w:keepNext w:val="0"/>
        <w:keepLines w:val="0"/>
        <w:pageBreakBefore w:val="0"/>
        <w:widowControl/>
        <w:suppressLineNumbers w:val="0"/>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r>
        <w:rPr>
          <w:rStyle w:val="8"/>
          <w:rFonts w:hint="default" w:ascii="Times New Roman" w:hAnsi="Times New Roman" w:cs="Times New Roman"/>
          <w:sz w:val="24"/>
          <w:szCs w:val="24"/>
        </w:rPr>
        <w:t>Table 4.7: Indicator Loadings</w:t>
      </w:r>
    </w:p>
    <w:tbl>
      <w:tblPr>
        <w:tblStyle w:val="6"/>
        <w:tblW w:w="8445"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3285"/>
        <w:gridCol w:w="3180"/>
        <w:gridCol w:w="1980"/>
      </w:tblGrid>
      <w:tr w14:paraId="2E2D914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3285" w:type="dxa"/>
            <w:tcBorders>
              <w:top w:val="single" w:color="000000" w:sz="8" w:space="0"/>
              <w:left w:val="single" w:color="000000" w:sz="8" w:space="0"/>
              <w:bottom w:val="single" w:color="000000" w:sz="8" w:space="0"/>
              <w:right w:val="nil"/>
            </w:tcBorders>
            <w:shd w:val="clear" w:color="auto" w:fill="auto"/>
            <w:vAlign w:val="center"/>
          </w:tcPr>
          <w:p w14:paraId="6AA1A7B9">
            <w:pPr>
              <w:keepNext w:val="0"/>
              <w:keepLines w:val="0"/>
              <w:pageBreakBefore w:val="0"/>
              <w:widowControl/>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r>
              <w:rPr>
                <w:rFonts w:hint="default" w:ascii="Times New Roman" w:hAnsi="Times New Roman" w:cs="Times New Roman"/>
                <w:sz w:val="24"/>
                <w:szCs w:val="24"/>
                <w:lang w:val="en-US" w:eastAsia="zh-CN"/>
              </w:rPr>
              <w:t>Variable</w:t>
            </w:r>
          </w:p>
        </w:tc>
        <w:tc>
          <w:tcPr>
            <w:tcW w:w="3180" w:type="dxa"/>
            <w:tcBorders>
              <w:top w:val="single" w:color="000000" w:sz="8" w:space="0"/>
              <w:left w:val="nil"/>
              <w:bottom w:val="single" w:color="000000" w:sz="8" w:space="0"/>
              <w:right w:val="nil"/>
            </w:tcBorders>
            <w:shd w:val="clear" w:color="auto" w:fill="auto"/>
            <w:vAlign w:val="center"/>
          </w:tcPr>
          <w:p w14:paraId="171E18C8">
            <w:pPr>
              <w:keepNext w:val="0"/>
              <w:keepLines w:val="0"/>
              <w:pageBreakBefore w:val="0"/>
              <w:widowControl/>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r>
              <w:rPr>
                <w:rFonts w:hint="default" w:ascii="Times New Roman" w:hAnsi="Times New Roman" w:cs="Times New Roman"/>
                <w:sz w:val="24"/>
                <w:szCs w:val="24"/>
                <w:lang w:val="en-US" w:eastAsia="zh-CN"/>
              </w:rPr>
              <w:t>Indicator</w:t>
            </w:r>
          </w:p>
        </w:tc>
        <w:tc>
          <w:tcPr>
            <w:tcW w:w="1980" w:type="dxa"/>
            <w:tcBorders>
              <w:top w:val="single" w:color="000000" w:sz="8" w:space="0"/>
              <w:left w:val="nil"/>
              <w:bottom w:val="single" w:color="000000" w:sz="8" w:space="0"/>
              <w:right w:val="single" w:color="000000" w:sz="8" w:space="0"/>
            </w:tcBorders>
            <w:shd w:val="clear" w:color="auto" w:fill="auto"/>
            <w:vAlign w:val="center"/>
          </w:tcPr>
          <w:p w14:paraId="4D2605F8">
            <w:pPr>
              <w:keepNext w:val="0"/>
              <w:keepLines w:val="0"/>
              <w:pageBreakBefore w:val="0"/>
              <w:widowControl/>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r>
              <w:rPr>
                <w:rFonts w:hint="default" w:ascii="Times New Roman" w:hAnsi="Times New Roman" w:cs="Times New Roman"/>
                <w:sz w:val="24"/>
                <w:szCs w:val="24"/>
                <w:lang w:val="en-US" w:eastAsia="zh-CN"/>
              </w:rPr>
              <w:t>Loading</w:t>
            </w:r>
          </w:p>
        </w:tc>
      </w:tr>
      <w:tr w14:paraId="1FB9B3C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3285" w:type="dxa"/>
            <w:tcBorders>
              <w:top w:val="single" w:color="000000" w:sz="8" w:space="0"/>
              <w:left w:val="single" w:color="000000" w:sz="8" w:space="0"/>
              <w:bottom w:val="nil"/>
              <w:right w:val="nil"/>
            </w:tcBorders>
            <w:shd w:val="clear" w:color="auto" w:fill="auto"/>
            <w:vAlign w:val="center"/>
          </w:tcPr>
          <w:p w14:paraId="657BD465">
            <w:pPr>
              <w:keepNext w:val="0"/>
              <w:keepLines w:val="0"/>
              <w:pageBreakBefore w:val="0"/>
              <w:widowControl/>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r>
              <w:rPr>
                <w:rFonts w:hint="default" w:ascii="Times New Roman" w:hAnsi="Times New Roman" w:cs="Times New Roman"/>
                <w:sz w:val="24"/>
                <w:szCs w:val="24"/>
                <w:lang w:val="en-US" w:eastAsia="zh-CN"/>
              </w:rPr>
              <w:t>Platform Accessibility</w:t>
            </w:r>
          </w:p>
        </w:tc>
        <w:tc>
          <w:tcPr>
            <w:tcW w:w="3180" w:type="dxa"/>
            <w:tcBorders>
              <w:top w:val="single" w:color="000000" w:sz="8" w:space="0"/>
              <w:left w:val="nil"/>
              <w:bottom w:val="nil"/>
              <w:right w:val="nil"/>
            </w:tcBorders>
            <w:shd w:val="clear" w:color="auto" w:fill="auto"/>
            <w:vAlign w:val="center"/>
          </w:tcPr>
          <w:p w14:paraId="23B66A4D">
            <w:pPr>
              <w:keepNext w:val="0"/>
              <w:keepLines w:val="0"/>
              <w:pageBreakBefore w:val="0"/>
              <w:widowControl/>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r>
              <w:rPr>
                <w:rFonts w:hint="default" w:ascii="Times New Roman" w:hAnsi="Times New Roman" w:cs="Times New Roman"/>
                <w:sz w:val="24"/>
                <w:szCs w:val="24"/>
                <w:lang w:val="en-US" w:eastAsia="zh-CN"/>
              </w:rPr>
              <w:t>Ease of use</w:t>
            </w:r>
          </w:p>
        </w:tc>
        <w:tc>
          <w:tcPr>
            <w:tcW w:w="1980" w:type="dxa"/>
            <w:tcBorders>
              <w:top w:val="single" w:color="000000" w:sz="8" w:space="0"/>
              <w:left w:val="nil"/>
              <w:bottom w:val="nil"/>
              <w:right w:val="single" w:color="000000" w:sz="8" w:space="0"/>
            </w:tcBorders>
            <w:shd w:val="clear" w:color="auto" w:fill="auto"/>
            <w:vAlign w:val="center"/>
          </w:tcPr>
          <w:p w14:paraId="4E271E73">
            <w:pPr>
              <w:keepNext w:val="0"/>
              <w:keepLines w:val="0"/>
              <w:pageBreakBefore w:val="0"/>
              <w:widowControl/>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r>
              <w:rPr>
                <w:rFonts w:hint="default" w:ascii="Times New Roman" w:hAnsi="Times New Roman" w:cs="Times New Roman"/>
                <w:sz w:val="24"/>
                <w:szCs w:val="24"/>
                <w:lang w:val="en-US" w:eastAsia="zh-CN"/>
              </w:rPr>
              <w:t>0.851</w:t>
            </w:r>
          </w:p>
        </w:tc>
      </w:tr>
      <w:tr w14:paraId="14AF7A6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0" w:type="auto"/>
            <w:tcBorders>
              <w:top w:val="nil"/>
              <w:left w:val="single" w:color="000000" w:sz="8" w:space="0"/>
              <w:bottom w:val="nil"/>
              <w:right w:val="nil"/>
            </w:tcBorders>
            <w:shd w:val="clear" w:color="auto" w:fill="auto"/>
            <w:noWrap/>
            <w:vAlign w:val="center"/>
          </w:tcPr>
          <w:p w14:paraId="519A6059">
            <w:pPr>
              <w:keepNext w:val="0"/>
              <w:keepLines w:val="0"/>
              <w:pageBreakBefore w:val="0"/>
              <w:widowControl/>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p>
        </w:tc>
        <w:tc>
          <w:tcPr>
            <w:tcW w:w="3180" w:type="dxa"/>
            <w:tcBorders>
              <w:top w:val="nil"/>
              <w:left w:val="nil"/>
              <w:bottom w:val="nil"/>
              <w:right w:val="nil"/>
            </w:tcBorders>
            <w:shd w:val="clear" w:color="auto" w:fill="auto"/>
            <w:vAlign w:val="center"/>
          </w:tcPr>
          <w:p w14:paraId="0B187DC1">
            <w:pPr>
              <w:keepNext w:val="0"/>
              <w:keepLines w:val="0"/>
              <w:pageBreakBefore w:val="0"/>
              <w:widowControl/>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r>
              <w:rPr>
                <w:rFonts w:hint="default" w:ascii="Times New Roman" w:hAnsi="Times New Roman" w:cs="Times New Roman"/>
                <w:sz w:val="24"/>
                <w:szCs w:val="24"/>
                <w:lang w:val="en-US" w:eastAsia="zh-CN"/>
              </w:rPr>
              <w:t>Low transaction cost</w:t>
            </w:r>
          </w:p>
        </w:tc>
        <w:tc>
          <w:tcPr>
            <w:tcW w:w="1980" w:type="dxa"/>
            <w:tcBorders>
              <w:top w:val="nil"/>
              <w:left w:val="nil"/>
              <w:bottom w:val="nil"/>
              <w:right w:val="single" w:color="000000" w:sz="8" w:space="0"/>
            </w:tcBorders>
            <w:shd w:val="clear" w:color="auto" w:fill="auto"/>
            <w:vAlign w:val="center"/>
          </w:tcPr>
          <w:p w14:paraId="2DAF2412">
            <w:pPr>
              <w:keepNext w:val="0"/>
              <w:keepLines w:val="0"/>
              <w:pageBreakBefore w:val="0"/>
              <w:widowControl/>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r>
              <w:rPr>
                <w:rFonts w:hint="default" w:ascii="Times New Roman" w:hAnsi="Times New Roman" w:cs="Times New Roman"/>
                <w:sz w:val="24"/>
                <w:szCs w:val="24"/>
                <w:lang w:val="en-US" w:eastAsia="zh-CN"/>
              </w:rPr>
              <w:t>0.834</w:t>
            </w:r>
          </w:p>
        </w:tc>
      </w:tr>
      <w:tr w14:paraId="4985971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0" w:type="auto"/>
            <w:tcBorders>
              <w:top w:val="nil"/>
              <w:left w:val="single" w:color="000000" w:sz="8" w:space="0"/>
              <w:bottom w:val="nil"/>
              <w:right w:val="nil"/>
            </w:tcBorders>
            <w:shd w:val="clear" w:color="auto" w:fill="auto"/>
            <w:noWrap/>
            <w:vAlign w:val="center"/>
          </w:tcPr>
          <w:p w14:paraId="2EA46A0C">
            <w:pPr>
              <w:keepNext w:val="0"/>
              <w:keepLines w:val="0"/>
              <w:pageBreakBefore w:val="0"/>
              <w:widowControl/>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p>
        </w:tc>
        <w:tc>
          <w:tcPr>
            <w:tcW w:w="3180" w:type="dxa"/>
            <w:tcBorders>
              <w:top w:val="nil"/>
              <w:left w:val="nil"/>
              <w:bottom w:val="nil"/>
              <w:right w:val="nil"/>
            </w:tcBorders>
            <w:shd w:val="clear" w:color="auto" w:fill="auto"/>
            <w:vAlign w:val="center"/>
          </w:tcPr>
          <w:p w14:paraId="4EEBC91B">
            <w:pPr>
              <w:keepNext w:val="0"/>
              <w:keepLines w:val="0"/>
              <w:pageBreakBefore w:val="0"/>
              <w:widowControl/>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r>
              <w:rPr>
                <w:rFonts w:hint="default" w:ascii="Times New Roman" w:hAnsi="Times New Roman" w:cs="Times New Roman"/>
                <w:sz w:val="24"/>
                <w:szCs w:val="24"/>
                <w:lang w:val="en-US" w:eastAsia="zh-CN"/>
              </w:rPr>
              <w:t>Mobile convenience</w:t>
            </w:r>
          </w:p>
        </w:tc>
        <w:tc>
          <w:tcPr>
            <w:tcW w:w="1980" w:type="dxa"/>
            <w:tcBorders>
              <w:top w:val="nil"/>
              <w:left w:val="nil"/>
              <w:bottom w:val="nil"/>
              <w:right w:val="single" w:color="000000" w:sz="8" w:space="0"/>
            </w:tcBorders>
            <w:shd w:val="clear" w:color="auto" w:fill="auto"/>
            <w:vAlign w:val="center"/>
          </w:tcPr>
          <w:p w14:paraId="1E2B6CB3">
            <w:pPr>
              <w:keepNext w:val="0"/>
              <w:keepLines w:val="0"/>
              <w:pageBreakBefore w:val="0"/>
              <w:widowControl/>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r>
              <w:rPr>
                <w:rFonts w:hint="default" w:ascii="Times New Roman" w:hAnsi="Times New Roman" w:cs="Times New Roman"/>
                <w:sz w:val="24"/>
                <w:szCs w:val="24"/>
                <w:lang w:val="en-US" w:eastAsia="zh-CN"/>
              </w:rPr>
              <w:t>0.802</w:t>
            </w:r>
          </w:p>
        </w:tc>
      </w:tr>
      <w:tr w14:paraId="7A9416F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3285" w:type="dxa"/>
            <w:tcBorders>
              <w:top w:val="nil"/>
              <w:left w:val="single" w:color="000000" w:sz="8" w:space="0"/>
              <w:bottom w:val="nil"/>
              <w:right w:val="nil"/>
            </w:tcBorders>
            <w:shd w:val="clear" w:color="auto" w:fill="auto"/>
            <w:vAlign w:val="center"/>
          </w:tcPr>
          <w:p w14:paraId="529DEA32">
            <w:pPr>
              <w:keepNext w:val="0"/>
              <w:keepLines w:val="0"/>
              <w:pageBreakBefore w:val="0"/>
              <w:widowControl/>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r>
              <w:rPr>
                <w:rFonts w:hint="default" w:ascii="Times New Roman" w:hAnsi="Times New Roman" w:cs="Times New Roman"/>
                <w:sz w:val="24"/>
                <w:szCs w:val="24"/>
                <w:lang w:val="en-US" w:eastAsia="zh-CN"/>
              </w:rPr>
              <w:t>Gamification</w:t>
            </w:r>
          </w:p>
        </w:tc>
        <w:tc>
          <w:tcPr>
            <w:tcW w:w="3180" w:type="dxa"/>
            <w:tcBorders>
              <w:top w:val="nil"/>
              <w:left w:val="nil"/>
              <w:bottom w:val="nil"/>
              <w:right w:val="nil"/>
            </w:tcBorders>
            <w:shd w:val="clear" w:color="auto" w:fill="auto"/>
            <w:vAlign w:val="center"/>
          </w:tcPr>
          <w:p w14:paraId="18491AD9">
            <w:pPr>
              <w:keepNext w:val="0"/>
              <w:keepLines w:val="0"/>
              <w:pageBreakBefore w:val="0"/>
              <w:widowControl/>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r>
              <w:rPr>
                <w:rFonts w:hint="default" w:ascii="Times New Roman" w:hAnsi="Times New Roman" w:cs="Times New Roman"/>
                <w:sz w:val="24"/>
                <w:szCs w:val="24"/>
                <w:lang w:val="en-US" w:eastAsia="zh-CN"/>
              </w:rPr>
              <w:t>Reward notifications</w:t>
            </w:r>
          </w:p>
        </w:tc>
        <w:tc>
          <w:tcPr>
            <w:tcW w:w="1980" w:type="dxa"/>
            <w:tcBorders>
              <w:top w:val="nil"/>
              <w:left w:val="nil"/>
              <w:bottom w:val="nil"/>
              <w:right w:val="single" w:color="000000" w:sz="8" w:space="0"/>
            </w:tcBorders>
            <w:shd w:val="clear" w:color="auto" w:fill="auto"/>
            <w:vAlign w:val="center"/>
          </w:tcPr>
          <w:p w14:paraId="118D6729">
            <w:pPr>
              <w:keepNext w:val="0"/>
              <w:keepLines w:val="0"/>
              <w:pageBreakBefore w:val="0"/>
              <w:widowControl/>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r>
              <w:rPr>
                <w:rFonts w:hint="default" w:ascii="Times New Roman" w:hAnsi="Times New Roman" w:cs="Times New Roman"/>
                <w:sz w:val="24"/>
                <w:szCs w:val="24"/>
                <w:lang w:val="en-US" w:eastAsia="zh-CN"/>
              </w:rPr>
              <w:t>0.864</w:t>
            </w:r>
          </w:p>
        </w:tc>
      </w:tr>
      <w:tr w14:paraId="422F362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0" w:type="auto"/>
            <w:tcBorders>
              <w:top w:val="nil"/>
              <w:left w:val="single" w:color="000000" w:sz="8" w:space="0"/>
              <w:bottom w:val="nil"/>
              <w:right w:val="nil"/>
            </w:tcBorders>
            <w:shd w:val="clear" w:color="auto" w:fill="auto"/>
            <w:noWrap/>
            <w:vAlign w:val="center"/>
          </w:tcPr>
          <w:p w14:paraId="4DB83FD9">
            <w:pPr>
              <w:keepNext w:val="0"/>
              <w:keepLines w:val="0"/>
              <w:pageBreakBefore w:val="0"/>
              <w:widowControl/>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p>
        </w:tc>
        <w:tc>
          <w:tcPr>
            <w:tcW w:w="3180" w:type="dxa"/>
            <w:tcBorders>
              <w:top w:val="nil"/>
              <w:left w:val="nil"/>
              <w:bottom w:val="nil"/>
              <w:right w:val="nil"/>
            </w:tcBorders>
            <w:shd w:val="clear" w:color="auto" w:fill="auto"/>
            <w:vAlign w:val="center"/>
          </w:tcPr>
          <w:p w14:paraId="36661420">
            <w:pPr>
              <w:keepNext w:val="0"/>
              <w:keepLines w:val="0"/>
              <w:pageBreakBefore w:val="0"/>
              <w:widowControl/>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r>
              <w:rPr>
                <w:rFonts w:hint="default" w:ascii="Times New Roman" w:hAnsi="Times New Roman" w:cs="Times New Roman"/>
                <w:sz w:val="24"/>
                <w:szCs w:val="24"/>
                <w:lang w:val="en-US" w:eastAsia="zh-CN"/>
              </w:rPr>
              <w:t>Achievement prompts</w:t>
            </w:r>
          </w:p>
        </w:tc>
        <w:tc>
          <w:tcPr>
            <w:tcW w:w="1980" w:type="dxa"/>
            <w:tcBorders>
              <w:top w:val="nil"/>
              <w:left w:val="nil"/>
              <w:bottom w:val="nil"/>
              <w:right w:val="single" w:color="000000" w:sz="8" w:space="0"/>
            </w:tcBorders>
            <w:shd w:val="clear" w:color="auto" w:fill="auto"/>
            <w:vAlign w:val="center"/>
          </w:tcPr>
          <w:p w14:paraId="2EDFC5E4">
            <w:pPr>
              <w:keepNext w:val="0"/>
              <w:keepLines w:val="0"/>
              <w:pageBreakBefore w:val="0"/>
              <w:widowControl/>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r>
              <w:rPr>
                <w:rFonts w:hint="default" w:ascii="Times New Roman" w:hAnsi="Times New Roman" w:cs="Times New Roman"/>
                <w:sz w:val="24"/>
                <w:szCs w:val="24"/>
                <w:lang w:val="en-US" w:eastAsia="zh-CN"/>
              </w:rPr>
              <w:t>0.848</w:t>
            </w:r>
          </w:p>
        </w:tc>
      </w:tr>
      <w:tr w14:paraId="40874E6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0" w:type="auto"/>
            <w:tcBorders>
              <w:top w:val="nil"/>
              <w:left w:val="single" w:color="000000" w:sz="8" w:space="0"/>
              <w:bottom w:val="nil"/>
              <w:right w:val="nil"/>
            </w:tcBorders>
            <w:shd w:val="clear" w:color="auto" w:fill="auto"/>
            <w:noWrap/>
            <w:vAlign w:val="center"/>
          </w:tcPr>
          <w:p w14:paraId="6ACB725D">
            <w:pPr>
              <w:keepNext w:val="0"/>
              <w:keepLines w:val="0"/>
              <w:pageBreakBefore w:val="0"/>
              <w:widowControl/>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p>
        </w:tc>
        <w:tc>
          <w:tcPr>
            <w:tcW w:w="3180" w:type="dxa"/>
            <w:tcBorders>
              <w:top w:val="nil"/>
              <w:left w:val="nil"/>
              <w:bottom w:val="nil"/>
              <w:right w:val="nil"/>
            </w:tcBorders>
            <w:shd w:val="clear" w:color="auto" w:fill="auto"/>
            <w:vAlign w:val="center"/>
          </w:tcPr>
          <w:p w14:paraId="204E445F">
            <w:pPr>
              <w:keepNext w:val="0"/>
              <w:keepLines w:val="0"/>
              <w:pageBreakBefore w:val="0"/>
              <w:widowControl/>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r>
              <w:rPr>
                <w:rFonts w:hint="default" w:ascii="Times New Roman" w:hAnsi="Times New Roman" w:cs="Times New Roman"/>
                <w:sz w:val="24"/>
                <w:szCs w:val="24"/>
                <w:lang w:val="en-US" w:eastAsia="zh-CN"/>
              </w:rPr>
              <w:t>Interface engagement</w:t>
            </w:r>
          </w:p>
        </w:tc>
        <w:tc>
          <w:tcPr>
            <w:tcW w:w="1980" w:type="dxa"/>
            <w:tcBorders>
              <w:top w:val="nil"/>
              <w:left w:val="nil"/>
              <w:bottom w:val="nil"/>
              <w:right w:val="single" w:color="000000" w:sz="8" w:space="0"/>
            </w:tcBorders>
            <w:shd w:val="clear" w:color="auto" w:fill="auto"/>
            <w:vAlign w:val="center"/>
          </w:tcPr>
          <w:p w14:paraId="72F1E295">
            <w:pPr>
              <w:keepNext w:val="0"/>
              <w:keepLines w:val="0"/>
              <w:pageBreakBefore w:val="0"/>
              <w:widowControl/>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r>
              <w:rPr>
                <w:rFonts w:hint="default" w:ascii="Times New Roman" w:hAnsi="Times New Roman" w:cs="Times New Roman"/>
                <w:sz w:val="24"/>
                <w:szCs w:val="24"/>
                <w:lang w:val="en-US" w:eastAsia="zh-CN"/>
              </w:rPr>
              <w:t>0.821</w:t>
            </w:r>
          </w:p>
        </w:tc>
      </w:tr>
      <w:tr w14:paraId="24EDA02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3285" w:type="dxa"/>
            <w:tcBorders>
              <w:top w:val="nil"/>
              <w:left w:val="single" w:color="000000" w:sz="8" w:space="0"/>
              <w:bottom w:val="nil"/>
              <w:right w:val="nil"/>
            </w:tcBorders>
            <w:shd w:val="clear" w:color="auto" w:fill="auto"/>
            <w:vAlign w:val="center"/>
          </w:tcPr>
          <w:p w14:paraId="139977C2">
            <w:pPr>
              <w:keepNext w:val="0"/>
              <w:keepLines w:val="0"/>
              <w:pageBreakBefore w:val="0"/>
              <w:widowControl/>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r>
              <w:rPr>
                <w:rFonts w:hint="default" w:ascii="Times New Roman" w:hAnsi="Times New Roman" w:cs="Times New Roman"/>
                <w:sz w:val="24"/>
                <w:szCs w:val="24"/>
                <w:lang w:val="en-US" w:eastAsia="zh-CN"/>
              </w:rPr>
              <w:t>Herding Behavior</w:t>
            </w:r>
          </w:p>
        </w:tc>
        <w:tc>
          <w:tcPr>
            <w:tcW w:w="3180" w:type="dxa"/>
            <w:tcBorders>
              <w:top w:val="nil"/>
              <w:left w:val="nil"/>
              <w:bottom w:val="nil"/>
              <w:right w:val="nil"/>
            </w:tcBorders>
            <w:shd w:val="clear" w:color="auto" w:fill="auto"/>
            <w:vAlign w:val="center"/>
          </w:tcPr>
          <w:p w14:paraId="10F2817C">
            <w:pPr>
              <w:keepNext w:val="0"/>
              <w:keepLines w:val="0"/>
              <w:pageBreakBefore w:val="0"/>
              <w:widowControl/>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r>
              <w:rPr>
                <w:rFonts w:hint="default" w:ascii="Times New Roman" w:hAnsi="Times New Roman" w:cs="Times New Roman"/>
                <w:sz w:val="24"/>
                <w:szCs w:val="24"/>
                <w:lang w:val="en-US" w:eastAsia="zh-CN"/>
              </w:rPr>
              <w:t>Copying trades</w:t>
            </w:r>
          </w:p>
        </w:tc>
        <w:tc>
          <w:tcPr>
            <w:tcW w:w="1980" w:type="dxa"/>
            <w:tcBorders>
              <w:top w:val="nil"/>
              <w:left w:val="nil"/>
              <w:bottom w:val="nil"/>
              <w:right w:val="single" w:color="000000" w:sz="8" w:space="0"/>
            </w:tcBorders>
            <w:shd w:val="clear" w:color="auto" w:fill="auto"/>
            <w:vAlign w:val="center"/>
          </w:tcPr>
          <w:p w14:paraId="09005D66">
            <w:pPr>
              <w:keepNext w:val="0"/>
              <w:keepLines w:val="0"/>
              <w:pageBreakBefore w:val="0"/>
              <w:widowControl/>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r>
              <w:rPr>
                <w:rFonts w:hint="default" w:ascii="Times New Roman" w:hAnsi="Times New Roman" w:cs="Times New Roman"/>
                <w:sz w:val="24"/>
                <w:szCs w:val="24"/>
                <w:lang w:val="en-US" w:eastAsia="zh-CN"/>
              </w:rPr>
              <w:t>0.813</w:t>
            </w:r>
          </w:p>
        </w:tc>
      </w:tr>
      <w:tr w14:paraId="0D11855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0" w:type="auto"/>
            <w:tcBorders>
              <w:top w:val="nil"/>
              <w:left w:val="single" w:color="000000" w:sz="8" w:space="0"/>
              <w:bottom w:val="nil"/>
              <w:right w:val="nil"/>
            </w:tcBorders>
            <w:shd w:val="clear" w:color="auto" w:fill="auto"/>
            <w:noWrap/>
            <w:vAlign w:val="center"/>
          </w:tcPr>
          <w:p w14:paraId="3B807F99">
            <w:pPr>
              <w:keepNext w:val="0"/>
              <w:keepLines w:val="0"/>
              <w:pageBreakBefore w:val="0"/>
              <w:widowControl/>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p>
        </w:tc>
        <w:tc>
          <w:tcPr>
            <w:tcW w:w="3180" w:type="dxa"/>
            <w:tcBorders>
              <w:top w:val="nil"/>
              <w:left w:val="nil"/>
              <w:bottom w:val="nil"/>
              <w:right w:val="nil"/>
            </w:tcBorders>
            <w:shd w:val="clear" w:color="auto" w:fill="auto"/>
            <w:vAlign w:val="center"/>
          </w:tcPr>
          <w:p w14:paraId="333665D5">
            <w:pPr>
              <w:keepNext w:val="0"/>
              <w:keepLines w:val="0"/>
              <w:pageBreakBefore w:val="0"/>
              <w:widowControl/>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r>
              <w:rPr>
                <w:rFonts w:hint="default" w:ascii="Times New Roman" w:hAnsi="Times New Roman" w:cs="Times New Roman"/>
                <w:sz w:val="24"/>
                <w:szCs w:val="24"/>
                <w:lang w:val="en-US" w:eastAsia="zh-CN"/>
              </w:rPr>
              <w:t>Social influence</w:t>
            </w:r>
          </w:p>
        </w:tc>
        <w:tc>
          <w:tcPr>
            <w:tcW w:w="1980" w:type="dxa"/>
            <w:tcBorders>
              <w:top w:val="nil"/>
              <w:left w:val="nil"/>
              <w:bottom w:val="nil"/>
              <w:right w:val="single" w:color="000000" w:sz="8" w:space="0"/>
            </w:tcBorders>
            <w:shd w:val="clear" w:color="auto" w:fill="auto"/>
            <w:vAlign w:val="center"/>
          </w:tcPr>
          <w:p w14:paraId="31347CC3">
            <w:pPr>
              <w:keepNext w:val="0"/>
              <w:keepLines w:val="0"/>
              <w:pageBreakBefore w:val="0"/>
              <w:widowControl/>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r>
              <w:rPr>
                <w:rFonts w:hint="default" w:ascii="Times New Roman" w:hAnsi="Times New Roman" w:cs="Times New Roman"/>
                <w:sz w:val="24"/>
                <w:szCs w:val="24"/>
                <w:lang w:val="en-US" w:eastAsia="zh-CN"/>
              </w:rPr>
              <w:t>0.856</w:t>
            </w:r>
          </w:p>
        </w:tc>
      </w:tr>
      <w:tr w14:paraId="08639BD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3285" w:type="dxa"/>
            <w:tcBorders>
              <w:top w:val="nil"/>
              <w:left w:val="single" w:color="000000" w:sz="8" w:space="0"/>
              <w:bottom w:val="nil"/>
              <w:right w:val="nil"/>
            </w:tcBorders>
            <w:shd w:val="clear" w:color="auto" w:fill="auto"/>
            <w:vAlign w:val="center"/>
          </w:tcPr>
          <w:p w14:paraId="7C59C9C7">
            <w:pPr>
              <w:keepNext w:val="0"/>
              <w:keepLines w:val="0"/>
              <w:pageBreakBefore w:val="0"/>
              <w:widowControl/>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r>
              <w:rPr>
                <w:rFonts w:hint="default" w:ascii="Times New Roman" w:hAnsi="Times New Roman" w:cs="Times New Roman"/>
                <w:sz w:val="24"/>
                <w:szCs w:val="24"/>
                <w:lang w:val="en-US" w:eastAsia="zh-CN"/>
              </w:rPr>
              <w:t>Financial Literacy</w:t>
            </w:r>
          </w:p>
        </w:tc>
        <w:tc>
          <w:tcPr>
            <w:tcW w:w="3180" w:type="dxa"/>
            <w:tcBorders>
              <w:top w:val="nil"/>
              <w:left w:val="nil"/>
              <w:bottom w:val="nil"/>
              <w:right w:val="nil"/>
            </w:tcBorders>
            <w:shd w:val="clear" w:color="auto" w:fill="auto"/>
            <w:vAlign w:val="center"/>
          </w:tcPr>
          <w:p w14:paraId="77A67E6A">
            <w:pPr>
              <w:keepNext w:val="0"/>
              <w:keepLines w:val="0"/>
              <w:pageBreakBefore w:val="0"/>
              <w:widowControl/>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r>
              <w:rPr>
                <w:rFonts w:hint="default" w:ascii="Times New Roman" w:hAnsi="Times New Roman" w:cs="Times New Roman"/>
                <w:sz w:val="24"/>
                <w:szCs w:val="24"/>
                <w:lang w:val="en-US" w:eastAsia="zh-CN"/>
              </w:rPr>
              <w:t>Investment knowledge</w:t>
            </w:r>
          </w:p>
        </w:tc>
        <w:tc>
          <w:tcPr>
            <w:tcW w:w="1980" w:type="dxa"/>
            <w:tcBorders>
              <w:top w:val="nil"/>
              <w:left w:val="nil"/>
              <w:bottom w:val="nil"/>
              <w:right w:val="single" w:color="000000" w:sz="8" w:space="0"/>
            </w:tcBorders>
            <w:shd w:val="clear" w:color="auto" w:fill="auto"/>
            <w:vAlign w:val="center"/>
          </w:tcPr>
          <w:p w14:paraId="1B0947E9">
            <w:pPr>
              <w:keepNext w:val="0"/>
              <w:keepLines w:val="0"/>
              <w:pageBreakBefore w:val="0"/>
              <w:widowControl/>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r>
              <w:rPr>
                <w:rFonts w:hint="default" w:ascii="Times New Roman" w:hAnsi="Times New Roman" w:cs="Times New Roman"/>
                <w:sz w:val="24"/>
                <w:szCs w:val="24"/>
                <w:lang w:val="en-US" w:eastAsia="zh-CN"/>
              </w:rPr>
              <w:t>0.791</w:t>
            </w:r>
          </w:p>
        </w:tc>
      </w:tr>
      <w:tr w14:paraId="680108B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0" w:type="auto"/>
            <w:tcBorders>
              <w:top w:val="nil"/>
              <w:left w:val="single" w:color="000000" w:sz="8" w:space="0"/>
              <w:bottom w:val="nil"/>
              <w:right w:val="nil"/>
            </w:tcBorders>
            <w:shd w:val="clear" w:color="auto" w:fill="auto"/>
            <w:noWrap/>
            <w:vAlign w:val="center"/>
          </w:tcPr>
          <w:p w14:paraId="50C7AB76">
            <w:pPr>
              <w:keepNext w:val="0"/>
              <w:keepLines w:val="0"/>
              <w:pageBreakBefore w:val="0"/>
              <w:widowControl/>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p>
        </w:tc>
        <w:tc>
          <w:tcPr>
            <w:tcW w:w="3180" w:type="dxa"/>
            <w:tcBorders>
              <w:top w:val="nil"/>
              <w:left w:val="nil"/>
              <w:bottom w:val="nil"/>
              <w:right w:val="nil"/>
            </w:tcBorders>
            <w:shd w:val="clear" w:color="auto" w:fill="auto"/>
            <w:vAlign w:val="center"/>
          </w:tcPr>
          <w:p w14:paraId="1C4165C0">
            <w:pPr>
              <w:keepNext w:val="0"/>
              <w:keepLines w:val="0"/>
              <w:pageBreakBefore w:val="0"/>
              <w:widowControl/>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r>
              <w:rPr>
                <w:rFonts w:hint="default" w:ascii="Times New Roman" w:hAnsi="Times New Roman" w:cs="Times New Roman"/>
                <w:sz w:val="24"/>
                <w:szCs w:val="24"/>
                <w:lang w:val="en-US" w:eastAsia="zh-CN"/>
              </w:rPr>
              <w:t>Risk understanding</w:t>
            </w:r>
          </w:p>
        </w:tc>
        <w:tc>
          <w:tcPr>
            <w:tcW w:w="1980" w:type="dxa"/>
            <w:tcBorders>
              <w:top w:val="nil"/>
              <w:left w:val="nil"/>
              <w:bottom w:val="nil"/>
              <w:right w:val="single" w:color="000000" w:sz="8" w:space="0"/>
            </w:tcBorders>
            <w:shd w:val="clear" w:color="auto" w:fill="auto"/>
            <w:vAlign w:val="center"/>
          </w:tcPr>
          <w:p w14:paraId="25A9AEBF">
            <w:pPr>
              <w:keepNext w:val="0"/>
              <w:keepLines w:val="0"/>
              <w:pageBreakBefore w:val="0"/>
              <w:widowControl/>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r>
              <w:rPr>
                <w:rFonts w:hint="default" w:ascii="Times New Roman" w:hAnsi="Times New Roman" w:cs="Times New Roman"/>
                <w:sz w:val="24"/>
                <w:szCs w:val="24"/>
                <w:lang w:val="en-US" w:eastAsia="zh-CN"/>
              </w:rPr>
              <w:t>0.802</w:t>
            </w:r>
          </w:p>
        </w:tc>
      </w:tr>
      <w:tr w14:paraId="6333FA2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3285" w:type="dxa"/>
            <w:tcBorders>
              <w:top w:val="nil"/>
              <w:left w:val="single" w:color="000000" w:sz="8" w:space="0"/>
              <w:bottom w:val="nil"/>
              <w:right w:val="nil"/>
            </w:tcBorders>
            <w:shd w:val="clear" w:color="auto" w:fill="auto"/>
            <w:vAlign w:val="center"/>
          </w:tcPr>
          <w:p w14:paraId="1B99644B">
            <w:pPr>
              <w:keepNext w:val="0"/>
              <w:keepLines w:val="0"/>
              <w:pageBreakBefore w:val="0"/>
              <w:widowControl/>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r>
              <w:rPr>
                <w:rFonts w:hint="default" w:ascii="Times New Roman" w:hAnsi="Times New Roman" w:cs="Times New Roman"/>
                <w:sz w:val="24"/>
                <w:szCs w:val="24"/>
                <w:lang w:val="en-US" w:eastAsia="zh-CN"/>
              </w:rPr>
              <w:t>Finfluencer Influence</w:t>
            </w:r>
          </w:p>
        </w:tc>
        <w:tc>
          <w:tcPr>
            <w:tcW w:w="3180" w:type="dxa"/>
            <w:tcBorders>
              <w:top w:val="nil"/>
              <w:left w:val="nil"/>
              <w:bottom w:val="nil"/>
              <w:right w:val="nil"/>
            </w:tcBorders>
            <w:shd w:val="clear" w:color="auto" w:fill="auto"/>
            <w:vAlign w:val="center"/>
          </w:tcPr>
          <w:p w14:paraId="00A24C32">
            <w:pPr>
              <w:keepNext w:val="0"/>
              <w:keepLines w:val="0"/>
              <w:pageBreakBefore w:val="0"/>
              <w:widowControl/>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r>
              <w:rPr>
                <w:rFonts w:hint="default" w:ascii="Times New Roman" w:hAnsi="Times New Roman" w:cs="Times New Roman"/>
                <w:sz w:val="24"/>
                <w:szCs w:val="24"/>
                <w:lang w:val="en-US" w:eastAsia="zh-CN"/>
              </w:rPr>
              <w:t>YouTube/TikTok reliance</w:t>
            </w:r>
          </w:p>
        </w:tc>
        <w:tc>
          <w:tcPr>
            <w:tcW w:w="1980" w:type="dxa"/>
            <w:tcBorders>
              <w:top w:val="nil"/>
              <w:left w:val="nil"/>
              <w:bottom w:val="nil"/>
              <w:right w:val="single" w:color="000000" w:sz="8" w:space="0"/>
            </w:tcBorders>
            <w:shd w:val="clear" w:color="auto" w:fill="auto"/>
            <w:vAlign w:val="center"/>
          </w:tcPr>
          <w:p w14:paraId="01F143E2">
            <w:pPr>
              <w:keepNext w:val="0"/>
              <w:keepLines w:val="0"/>
              <w:pageBreakBefore w:val="0"/>
              <w:widowControl/>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r>
              <w:rPr>
                <w:rFonts w:hint="default" w:ascii="Times New Roman" w:hAnsi="Times New Roman" w:cs="Times New Roman"/>
                <w:sz w:val="24"/>
                <w:szCs w:val="24"/>
                <w:lang w:val="en-US" w:eastAsia="zh-CN"/>
              </w:rPr>
              <w:t>0.882</w:t>
            </w:r>
          </w:p>
        </w:tc>
      </w:tr>
      <w:tr w14:paraId="36C99ED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0" w:type="auto"/>
            <w:tcBorders>
              <w:top w:val="nil"/>
              <w:left w:val="single" w:color="000000" w:sz="8" w:space="0"/>
              <w:bottom w:val="single" w:color="000000" w:sz="8" w:space="0"/>
              <w:right w:val="nil"/>
            </w:tcBorders>
            <w:shd w:val="clear" w:color="auto" w:fill="auto"/>
            <w:noWrap/>
            <w:vAlign w:val="center"/>
          </w:tcPr>
          <w:p w14:paraId="7B2B9EB8">
            <w:pPr>
              <w:keepNext w:val="0"/>
              <w:keepLines w:val="0"/>
              <w:pageBreakBefore w:val="0"/>
              <w:widowControl/>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p>
        </w:tc>
        <w:tc>
          <w:tcPr>
            <w:tcW w:w="3180" w:type="dxa"/>
            <w:tcBorders>
              <w:top w:val="nil"/>
              <w:left w:val="nil"/>
              <w:bottom w:val="single" w:color="000000" w:sz="8" w:space="0"/>
              <w:right w:val="nil"/>
            </w:tcBorders>
            <w:shd w:val="clear" w:color="auto" w:fill="auto"/>
            <w:vAlign w:val="center"/>
          </w:tcPr>
          <w:p w14:paraId="3B26304A">
            <w:pPr>
              <w:keepNext w:val="0"/>
              <w:keepLines w:val="0"/>
              <w:pageBreakBefore w:val="0"/>
              <w:widowControl/>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r>
              <w:rPr>
                <w:rFonts w:hint="default" w:ascii="Times New Roman" w:hAnsi="Times New Roman" w:cs="Times New Roman"/>
                <w:sz w:val="24"/>
                <w:szCs w:val="24"/>
                <w:lang w:val="en-US" w:eastAsia="zh-CN"/>
              </w:rPr>
              <w:t>Online influencer credibility</w:t>
            </w:r>
          </w:p>
        </w:tc>
        <w:tc>
          <w:tcPr>
            <w:tcW w:w="1980" w:type="dxa"/>
            <w:tcBorders>
              <w:top w:val="nil"/>
              <w:left w:val="nil"/>
              <w:bottom w:val="single" w:color="000000" w:sz="8" w:space="0"/>
              <w:right w:val="single" w:color="000000" w:sz="8" w:space="0"/>
            </w:tcBorders>
            <w:shd w:val="clear" w:color="auto" w:fill="auto"/>
            <w:vAlign w:val="center"/>
          </w:tcPr>
          <w:p w14:paraId="31990341">
            <w:pPr>
              <w:keepNext w:val="0"/>
              <w:keepLines w:val="0"/>
              <w:pageBreakBefore w:val="0"/>
              <w:widowControl/>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r>
              <w:rPr>
                <w:rFonts w:hint="default" w:ascii="Times New Roman" w:hAnsi="Times New Roman" w:cs="Times New Roman"/>
                <w:sz w:val="24"/>
                <w:szCs w:val="24"/>
                <w:lang w:val="en-US" w:eastAsia="zh-CN"/>
              </w:rPr>
              <w:t>0.861</w:t>
            </w:r>
          </w:p>
        </w:tc>
      </w:tr>
    </w:tbl>
    <w:p w14:paraId="27FC07CB">
      <w:pPr>
        <w:pStyle w:val="7"/>
        <w:keepNext w:val="0"/>
        <w:keepLines w:val="0"/>
        <w:pageBreakBefore w:val="0"/>
        <w:widowControl/>
        <w:suppressLineNumbers w:val="0"/>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r>
        <w:rPr>
          <w:rFonts w:hint="default" w:ascii="Times New Roman" w:hAnsi="Times New Roman" w:cs="Times New Roman"/>
          <w:sz w:val="24"/>
          <w:szCs w:val="24"/>
        </w:rPr>
        <w:t>All factor loadings exceeded the recommended 0.70 benchmark, showing strong indicator reliability. The model fit result also showed an SRMR value of 0.062, which is below the acceptable threshold of 0.08. This indicates that the measurement model had a satisfactory fit and was suitable for further structural analysis.</w:t>
      </w:r>
    </w:p>
    <w:p w14:paraId="3CC70DEE">
      <w:pPr>
        <w:pStyle w:val="7"/>
        <w:keepNext w:val="0"/>
        <w:keepLines w:val="0"/>
        <w:pageBreakBefore w:val="0"/>
        <w:widowControl/>
        <w:suppressLineNumbers w:val="0"/>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p>
    <w:p w14:paraId="17610DE8">
      <w:pPr>
        <w:pStyle w:val="3"/>
        <w:keepNext w:val="0"/>
        <w:keepLines w:val="0"/>
        <w:pageBreakBefore w:val="0"/>
        <w:widowControl/>
        <w:suppressLineNumbers w:val="0"/>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r>
        <w:rPr>
          <w:rFonts w:hint="default" w:ascii="Times New Roman" w:hAnsi="Times New Roman" w:cs="Times New Roman"/>
          <w:sz w:val="24"/>
          <w:szCs w:val="24"/>
        </w:rPr>
        <w:t>4.5 Structural Model Results</w:t>
      </w:r>
    </w:p>
    <w:p w14:paraId="07001BE0">
      <w:pPr>
        <w:pStyle w:val="7"/>
        <w:keepNext w:val="0"/>
        <w:keepLines w:val="0"/>
        <w:pageBreakBefore w:val="0"/>
        <w:widowControl/>
        <w:suppressLineNumbers w:val="0"/>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r>
        <w:rPr>
          <w:rFonts w:hint="default" w:ascii="Times New Roman" w:hAnsi="Times New Roman" w:cs="Times New Roman"/>
          <w:sz w:val="24"/>
          <w:szCs w:val="24"/>
        </w:rPr>
        <w:t>The structural model was tested using bootstrapping procedures in SmartPLS. The results show that the major platform-related and behavioral variables significantly influenced retail investor behavior.</w:t>
      </w:r>
    </w:p>
    <w:p w14:paraId="52281B6C">
      <w:pPr>
        <w:pStyle w:val="7"/>
        <w:keepNext w:val="0"/>
        <w:keepLines w:val="0"/>
        <w:pageBreakBefore w:val="0"/>
        <w:widowControl/>
        <w:suppressLineNumbers w:val="0"/>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p>
    <w:p w14:paraId="0E7D6FB9">
      <w:pPr>
        <w:pStyle w:val="7"/>
        <w:keepNext w:val="0"/>
        <w:keepLines w:val="0"/>
        <w:pageBreakBefore w:val="0"/>
        <w:widowControl/>
        <w:suppressLineNumbers w:val="0"/>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r>
        <w:rPr>
          <w:rStyle w:val="8"/>
          <w:rFonts w:hint="default" w:ascii="Times New Roman" w:hAnsi="Times New Roman" w:cs="Times New Roman"/>
          <w:sz w:val="24"/>
          <w:szCs w:val="24"/>
        </w:rPr>
        <w:t>Table 4.8: Structural Path Results</w:t>
      </w:r>
    </w:p>
    <w:tbl>
      <w:tblPr>
        <w:tblStyle w:val="6"/>
        <w:tblW w:w="870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3420"/>
        <w:gridCol w:w="1350"/>
        <w:gridCol w:w="1365"/>
        <w:gridCol w:w="1185"/>
        <w:gridCol w:w="1380"/>
      </w:tblGrid>
      <w:tr w14:paraId="6EE6151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3420" w:type="dxa"/>
            <w:tcBorders>
              <w:top w:val="single" w:color="000000" w:sz="8" w:space="0"/>
              <w:left w:val="single" w:color="000000" w:sz="8" w:space="0"/>
              <w:bottom w:val="single" w:color="000000" w:sz="8" w:space="0"/>
              <w:right w:val="nil"/>
            </w:tcBorders>
            <w:shd w:val="clear" w:color="auto" w:fill="auto"/>
            <w:vAlign w:val="center"/>
          </w:tcPr>
          <w:p w14:paraId="18F603F7">
            <w:pPr>
              <w:keepNext w:val="0"/>
              <w:keepLines w:val="0"/>
              <w:pageBreakBefore w:val="0"/>
              <w:widowControl/>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r>
              <w:rPr>
                <w:rFonts w:hint="default" w:ascii="Times New Roman" w:hAnsi="Times New Roman" w:cs="Times New Roman"/>
                <w:sz w:val="24"/>
                <w:szCs w:val="24"/>
                <w:lang w:val="en-US" w:eastAsia="zh-CN"/>
              </w:rPr>
              <w:t>Path</w:t>
            </w:r>
          </w:p>
        </w:tc>
        <w:tc>
          <w:tcPr>
            <w:tcW w:w="1350" w:type="dxa"/>
            <w:tcBorders>
              <w:top w:val="single" w:color="000000" w:sz="8" w:space="0"/>
              <w:left w:val="nil"/>
              <w:bottom w:val="single" w:color="000000" w:sz="8" w:space="0"/>
              <w:right w:val="nil"/>
            </w:tcBorders>
            <w:shd w:val="clear" w:color="auto" w:fill="auto"/>
            <w:vAlign w:val="center"/>
          </w:tcPr>
          <w:p w14:paraId="0F08864C">
            <w:pPr>
              <w:keepNext w:val="0"/>
              <w:keepLines w:val="0"/>
              <w:pageBreakBefore w:val="0"/>
              <w:widowControl/>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r>
              <w:rPr>
                <w:rFonts w:hint="default" w:ascii="Times New Roman" w:hAnsi="Times New Roman" w:cs="Times New Roman"/>
                <w:sz w:val="24"/>
                <w:szCs w:val="24"/>
                <w:lang w:val="en-US" w:eastAsia="zh-CN"/>
              </w:rPr>
              <w:t>Beta (β)</w:t>
            </w:r>
          </w:p>
        </w:tc>
        <w:tc>
          <w:tcPr>
            <w:tcW w:w="1365" w:type="dxa"/>
            <w:tcBorders>
              <w:top w:val="single" w:color="000000" w:sz="8" w:space="0"/>
              <w:left w:val="nil"/>
              <w:bottom w:val="single" w:color="000000" w:sz="8" w:space="0"/>
              <w:right w:val="nil"/>
            </w:tcBorders>
            <w:shd w:val="clear" w:color="auto" w:fill="auto"/>
            <w:vAlign w:val="center"/>
          </w:tcPr>
          <w:p w14:paraId="68A74B13">
            <w:pPr>
              <w:keepNext w:val="0"/>
              <w:keepLines w:val="0"/>
              <w:pageBreakBefore w:val="0"/>
              <w:widowControl/>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r>
              <w:rPr>
                <w:rFonts w:hint="default" w:ascii="Times New Roman" w:hAnsi="Times New Roman" w:cs="Times New Roman"/>
                <w:sz w:val="24"/>
                <w:szCs w:val="24"/>
                <w:lang w:val="en-US" w:eastAsia="zh-CN"/>
              </w:rPr>
              <w:t>t-value</w:t>
            </w:r>
          </w:p>
        </w:tc>
        <w:tc>
          <w:tcPr>
            <w:tcW w:w="1185" w:type="dxa"/>
            <w:tcBorders>
              <w:top w:val="single" w:color="000000" w:sz="8" w:space="0"/>
              <w:left w:val="nil"/>
              <w:bottom w:val="single" w:color="000000" w:sz="8" w:space="0"/>
              <w:right w:val="nil"/>
            </w:tcBorders>
            <w:shd w:val="clear" w:color="auto" w:fill="auto"/>
            <w:vAlign w:val="center"/>
          </w:tcPr>
          <w:p w14:paraId="61C34825">
            <w:pPr>
              <w:keepNext w:val="0"/>
              <w:keepLines w:val="0"/>
              <w:pageBreakBefore w:val="0"/>
              <w:widowControl/>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r>
              <w:rPr>
                <w:rFonts w:hint="default" w:ascii="Times New Roman" w:hAnsi="Times New Roman" w:cs="Times New Roman"/>
                <w:sz w:val="24"/>
                <w:szCs w:val="24"/>
                <w:lang w:val="en-US" w:eastAsia="zh-CN"/>
              </w:rPr>
              <w:t>p-value</w:t>
            </w:r>
          </w:p>
        </w:tc>
        <w:tc>
          <w:tcPr>
            <w:tcW w:w="1380" w:type="dxa"/>
            <w:tcBorders>
              <w:top w:val="single" w:color="000000" w:sz="8" w:space="0"/>
              <w:left w:val="nil"/>
              <w:bottom w:val="single" w:color="000000" w:sz="8" w:space="0"/>
              <w:right w:val="single" w:color="000000" w:sz="8" w:space="0"/>
            </w:tcBorders>
            <w:shd w:val="clear" w:color="auto" w:fill="auto"/>
            <w:vAlign w:val="center"/>
          </w:tcPr>
          <w:p w14:paraId="777F102B">
            <w:pPr>
              <w:keepNext w:val="0"/>
              <w:keepLines w:val="0"/>
              <w:pageBreakBefore w:val="0"/>
              <w:widowControl/>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r>
              <w:rPr>
                <w:rFonts w:hint="default" w:ascii="Times New Roman" w:hAnsi="Times New Roman" w:cs="Times New Roman"/>
                <w:sz w:val="24"/>
                <w:szCs w:val="24"/>
                <w:lang w:val="en-US" w:eastAsia="zh-CN"/>
              </w:rPr>
              <w:t>Decision</w:t>
            </w:r>
          </w:p>
        </w:tc>
      </w:tr>
      <w:tr w14:paraId="114D413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3420" w:type="dxa"/>
            <w:tcBorders>
              <w:top w:val="nil"/>
              <w:left w:val="single" w:color="000000" w:sz="8" w:space="0"/>
              <w:bottom w:val="nil"/>
              <w:right w:val="nil"/>
            </w:tcBorders>
            <w:shd w:val="clear" w:color="auto" w:fill="auto"/>
            <w:vAlign w:val="center"/>
          </w:tcPr>
          <w:p w14:paraId="6B76AF46">
            <w:pPr>
              <w:keepNext w:val="0"/>
              <w:keepLines w:val="0"/>
              <w:pageBreakBefore w:val="0"/>
              <w:widowControl/>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r>
              <w:rPr>
                <w:rFonts w:hint="default" w:ascii="Times New Roman" w:hAnsi="Times New Roman" w:cs="Times New Roman"/>
                <w:sz w:val="24"/>
                <w:szCs w:val="24"/>
                <w:lang w:val="en-US" w:eastAsia="zh-CN"/>
              </w:rPr>
              <w:t>Platform Accessibility → Trading Intensity</w:t>
            </w:r>
          </w:p>
        </w:tc>
        <w:tc>
          <w:tcPr>
            <w:tcW w:w="1350" w:type="dxa"/>
            <w:tcBorders>
              <w:top w:val="nil"/>
              <w:left w:val="nil"/>
              <w:bottom w:val="nil"/>
              <w:right w:val="nil"/>
            </w:tcBorders>
            <w:shd w:val="clear" w:color="auto" w:fill="auto"/>
            <w:vAlign w:val="center"/>
          </w:tcPr>
          <w:p w14:paraId="5EE676B5">
            <w:pPr>
              <w:keepNext w:val="0"/>
              <w:keepLines w:val="0"/>
              <w:pageBreakBefore w:val="0"/>
              <w:widowControl/>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r>
              <w:rPr>
                <w:rFonts w:hint="default" w:ascii="Times New Roman" w:hAnsi="Times New Roman" w:cs="Times New Roman"/>
                <w:sz w:val="24"/>
                <w:szCs w:val="24"/>
                <w:lang w:val="en-US" w:eastAsia="zh-CN"/>
              </w:rPr>
              <w:t>0.417</w:t>
            </w:r>
          </w:p>
        </w:tc>
        <w:tc>
          <w:tcPr>
            <w:tcW w:w="1365" w:type="dxa"/>
            <w:tcBorders>
              <w:top w:val="nil"/>
              <w:left w:val="nil"/>
              <w:bottom w:val="nil"/>
              <w:right w:val="nil"/>
            </w:tcBorders>
            <w:shd w:val="clear" w:color="auto" w:fill="auto"/>
            <w:vAlign w:val="center"/>
          </w:tcPr>
          <w:p w14:paraId="60065ADA">
            <w:pPr>
              <w:keepNext w:val="0"/>
              <w:keepLines w:val="0"/>
              <w:pageBreakBefore w:val="0"/>
              <w:widowControl/>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r>
              <w:rPr>
                <w:rFonts w:hint="default" w:ascii="Times New Roman" w:hAnsi="Times New Roman" w:cs="Times New Roman"/>
                <w:sz w:val="24"/>
                <w:szCs w:val="24"/>
                <w:lang w:val="en-US" w:eastAsia="zh-CN"/>
              </w:rPr>
              <w:t>8.624</w:t>
            </w:r>
          </w:p>
        </w:tc>
        <w:tc>
          <w:tcPr>
            <w:tcW w:w="1185" w:type="dxa"/>
            <w:tcBorders>
              <w:top w:val="nil"/>
              <w:left w:val="nil"/>
              <w:bottom w:val="nil"/>
              <w:right w:val="nil"/>
            </w:tcBorders>
            <w:shd w:val="clear" w:color="auto" w:fill="auto"/>
            <w:vAlign w:val="center"/>
          </w:tcPr>
          <w:p w14:paraId="5EC712E1">
            <w:pPr>
              <w:keepNext w:val="0"/>
              <w:keepLines w:val="0"/>
              <w:pageBreakBefore w:val="0"/>
              <w:widowControl/>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r>
              <w:rPr>
                <w:rFonts w:hint="default" w:ascii="Times New Roman" w:hAnsi="Times New Roman" w:cs="Times New Roman"/>
                <w:sz w:val="24"/>
                <w:szCs w:val="24"/>
                <w:lang w:val="en-US" w:eastAsia="zh-CN"/>
              </w:rPr>
              <w:t>0</w:t>
            </w:r>
          </w:p>
        </w:tc>
        <w:tc>
          <w:tcPr>
            <w:tcW w:w="1380" w:type="dxa"/>
            <w:tcBorders>
              <w:top w:val="nil"/>
              <w:left w:val="nil"/>
              <w:bottom w:val="nil"/>
              <w:right w:val="single" w:color="000000" w:sz="8" w:space="0"/>
            </w:tcBorders>
            <w:shd w:val="clear" w:color="auto" w:fill="auto"/>
            <w:vAlign w:val="center"/>
          </w:tcPr>
          <w:p w14:paraId="7B9E298D">
            <w:pPr>
              <w:keepNext w:val="0"/>
              <w:keepLines w:val="0"/>
              <w:pageBreakBefore w:val="0"/>
              <w:widowControl/>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r>
              <w:rPr>
                <w:rFonts w:hint="default" w:ascii="Times New Roman" w:hAnsi="Times New Roman" w:cs="Times New Roman"/>
                <w:sz w:val="24"/>
                <w:szCs w:val="24"/>
                <w:lang w:val="en-US" w:eastAsia="zh-CN"/>
              </w:rPr>
              <w:t>Significant</w:t>
            </w:r>
          </w:p>
        </w:tc>
      </w:tr>
      <w:tr w14:paraId="28029F6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3420" w:type="dxa"/>
            <w:tcBorders>
              <w:top w:val="nil"/>
              <w:left w:val="single" w:color="000000" w:sz="8" w:space="0"/>
              <w:bottom w:val="nil"/>
              <w:right w:val="nil"/>
            </w:tcBorders>
            <w:shd w:val="clear" w:color="auto" w:fill="auto"/>
            <w:vAlign w:val="center"/>
          </w:tcPr>
          <w:p w14:paraId="55154D9E">
            <w:pPr>
              <w:keepNext w:val="0"/>
              <w:keepLines w:val="0"/>
              <w:pageBreakBefore w:val="0"/>
              <w:widowControl/>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r>
              <w:rPr>
                <w:rFonts w:hint="default" w:ascii="Times New Roman" w:hAnsi="Times New Roman" w:cs="Times New Roman"/>
                <w:sz w:val="24"/>
                <w:szCs w:val="24"/>
                <w:lang w:val="en-US" w:eastAsia="zh-CN"/>
              </w:rPr>
              <w:t>Gamification → Overtrading</w:t>
            </w:r>
          </w:p>
        </w:tc>
        <w:tc>
          <w:tcPr>
            <w:tcW w:w="1350" w:type="dxa"/>
            <w:tcBorders>
              <w:top w:val="nil"/>
              <w:left w:val="nil"/>
              <w:bottom w:val="nil"/>
              <w:right w:val="nil"/>
            </w:tcBorders>
            <w:shd w:val="clear" w:color="auto" w:fill="auto"/>
            <w:vAlign w:val="center"/>
          </w:tcPr>
          <w:p w14:paraId="2B823007">
            <w:pPr>
              <w:keepNext w:val="0"/>
              <w:keepLines w:val="0"/>
              <w:pageBreakBefore w:val="0"/>
              <w:widowControl/>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r>
              <w:rPr>
                <w:rFonts w:hint="default" w:ascii="Times New Roman" w:hAnsi="Times New Roman" w:cs="Times New Roman"/>
                <w:sz w:val="24"/>
                <w:szCs w:val="24"/>
                <w:lang w:val="en-US" w:eastAsia="zh-CN"/>
              </w:rPr>
              <w:t>0.386</w:t>
            </w:r>
          </w:p>
        </w:tc>
        <w:tc>
          <w:tcPr>
            <w:tcW w:w="1365" w:type="dxa"/>
            <w:tcBorders>
              <w:top w:val="nil"/>
              <w:left w:val="nil"/>
              <w:bottom w:val="nil"/>
              <w:right w:val="nil"/>
            </w:tcBorders>
            <w:shd w:val="clear" w:color="auto" w:fill="auto"/>
            <w:vAlign w:val="center"/>
          </w:tcPr>
          <w:p w14:paraId="42EBE3B1">
            <w:pPr>
              <w:keepNext w:val="0"/>
              <w:keepLines w:val="0"/>
              <w:pageBreakBefore w:val="0"/>
              <w:widowControl/>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r>
              <w:rPr>
                <w:rFonts w:hint="default" w:ascii="Times New Roman" w:hAnsi="Times New Roman" w:cs="Times New Roman"/>
                <w:sz w:val="24"/>
                <w:szCs w:val="24"/>
                <w:lang w:val="en-US" w:eastAsia="zh-CN"/>
              </w:rPr>
              <w:t>7.911</w:t>
            </w:r>
          </w:p>
        </w:tc>
        <w:tc>
          <w:tcPr>
            <w:tcW w:w="1185" w:type="dxa"/>
            <w:tcBorders>
              <w:top w:val="nil"/>
              <w:left w:val="nil"/>
              <w:bottom w:val="nil"/>
              <w:right w:val="nil"/>
            </w:tcBorders>
            <w:shd w:val="clear" w:color="auto" w:fill="auto"/>
            <w:vAlign w:val="center"/>
          </w:tcPr>
          <w:p w14:paraId="150450E8">
            <w:pPr>
              <w:keepNext w:val="0"/>
              <w:keepLines w:val="0"/>
              <w:pageBreakBefore w:val="0"/>
              <w:widowControl/>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r>
              <w:rPr>
                <w:rFonts w:hint="default" w:ascii="Times New Roman" w:hAnsi="Times New Roman" w:cs="Times New Roman"/>
                <w:sz w:val="24"/>
                <w:szCs w:val="24"/>
                <w:lang w:val="en-US" w:eastAsia="zh-CN"/>
              </w:rPr>
              <w:t>0</w:t>
            </w:r>
          </w:p>
        </w:tc>
        <w:tc>
          <w:tcPr>
            <w:tcW w:w="1380" w:type="dxa"/>
            <w:tcBorders>
              <w:top w:val="nil"/>
              <w:left w:val="nil"/>
              <w:bottom w:val="nil"/>
              <w:right w:val="single" w:color="000000" w:sz="8" w:space="0"/>
            </w:tcBorders>
            <w:shd w:val="clear" w:color="auto" w:fill="auto"/>
            <w:vAlign w:val="center"/>
          </w:tcPr>
          <w:p w14:paraId="20720FCD">
            <w:pPr>
              <w:keepNext w:val="0"/>
              <w:keepLines w:val="0"/>
              <w:pageBreakBefore w:val="0"/>
              <w:widowControl/>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r>
              <w:rPr>
                <w:rFonts w:hint="default" w:ascii="Times New Roman" w:hAnsi="Times New Roman" w:cs="Times New Roman"/>
                <w:sz w:val="24"/>
                <w:szCs w:val="24"/>
                <w:lang w:val="en-US" w:eastAsia="zh-CN"/>
              </w:rPr>
              <w:t>Significant</w:t>
            </w:r>
          </w:p>
        </w:tc>
      </w:tr>
      <w:tr w14:paraId="4BC7783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3420" w:type="dxa"/>
            <w:tcBorders>
              <w:top w:val="nil"/>
              <w:left w:val="single" w:color="000000" w:sz="8" w:space="0"/>
              <w:bottom w:val="nil"/>
              <w:right w:val="nil"/>
            </w:tcBorders>
            <w:shd w:val="clear" w:color="auto" w:fill="auto"/>
            <w:vAlign w:val="center"/>
          </w:tcPr>
          <w:p w14:paraId="40295BDF">
            <w:pPr>
              <w:keepNext w:val="0"/>
              <w:keepLines w:val="0"/>
              <w:pageBreakBefore w:val="0"/>
              <w:widowControl/>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r>
              <w:rPr>
                <w:rFonts w:hint="default" w:ascii="Times New Roman" w:hAnsi="Times New Roman" w:cs="Times New Roman"/>
                <w:sz w:val="24"/>
                <w:szCs w:val="24"/>
                <w:lang w:val="en-US" w:eastAsia="zh-CN"/>
              </w:rPr>
              <w:t>Finfluencer Influence → Herding Behavior</w:t>
            </w:r>
          </w:p>
        </w:tc>
        <w:tc>
          <w:tcPr>
            <w:tcW w:w="1350" w:type="dxa"/>
            <w:tcBorders>
              <w:top w:val="nil"/>
              <w:left w:val="nil"/>
              <w:bottom w:val="nil"/>
              <w:right w:val="nil"/>
            </w:tcBorders>
            <w:shd w:val="clear" w:color="auto" w:fill="auto"/>
            <w:vAlign w:val="center"/>
          </w:tcPr>
          <w:p w14:paraId="0FAC9494">
            <w:pPr>
              <w:keepNext w:val="0"/>
              <w:keepLines w:val="0"/>
              <w:pageBreakBefore w:val="0"/>
              <w:widowControl/>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r>
              <w:rPr>
                <w:rFonts w:hint="default" w:ascii="Times New Roman" w:hAnsi="Times New Roman" w:cs="Times New Roman"/>
                <w:sz w:val="24"/>
                <w:szCs w:val="24"/>
                <w:lang w:val="en-US" w:eastAsia="zh-CN"/>
              </w:rPr>
              <w:t>0.442</w:t>
            </w:r>
          </w:p>
        </w:tc>
        <w:tc>
          <w:tcPr>
            <w:tcW w:w="1365" w:type="dxa"/>
            <w:tcBorders>
              <w:top w:val="nil"/>
              <w:left w:val="nil"/>
              <w:bottom w:val="nil"/>
              <w:right w:val="nil"/>
            </w:tcBorders>
            <w:shd w:val="clear" w:color="auto" w:fill="auto"/>
            <w:vAlign w:val="center"/>
          </w:tcPr>
          <w:p w14:paraId="04F73F58">
            <w:pPr>
              <w:keepNext w:val="0"/>
              <w:keepLines w:val="0"/>
              <w:pageBreakBefore w:val="0"/>
              <w:widowControl/>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r>
              <w:rPr>
                <w:rFonts w:hint="default" w:ascii="Times New Roman" w:hAnsi="Times New Roman" w:cs="Times New Roman"/>
                <w:sz w:val="24"/>
                <w:szCs w:val="24"/>
                <w:lang w:val="en-US" w:eastAsia="zh-CN"/>
              </w:rPr>
              <w:t>9.103</w:t>
            </w:r>
          </w:p>
        </w:tc>
        <w:tc>
          <w:tcPr>
            <w:tcW w:w="1185" w:type="dxa"/>
            <w:tcBorders>
              <w:top w:val="nil"/>
              <w:left w:val="nil"/>
              <w:bottom w:val="nil"/>
              <w:right w:val="nil"/>
            </w:tcBorders>
            <w:shd w:val="clear" w:color="auto" w:fill="auto"/>
            <w:vAlign w:val="center"/>
          </w:tcPr>
          <w:p w14:paraId="68A664B7">
            <w:pPr>
              <w:keepNext w:val="0"/>
              <w:keepLines w:val="0"/>
              <w:pageBreakBefore w:val="0"/>
              <w:widowControl/>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r>
              <w:rPr>
                <w:rFonts w:hint="default" w:ascii="Times New Roman" w:hAnsi="Times New Roman" w:cs="Times New Roman"/>
                <w:sz w:val="24"/>
                <w:szCs w:val="24"/>
                <w:lang w:val="en-US" w:eastAsia="zh-CN"/>
              </w:rPr>
              <w:t>0</w:t>
            </w:r>
          </w:p>
        </w:tc>
        <w:tc>
          <w:tcPr>
            <w:tcW w:w="1380" w:type="dxa"/>
            <w:tcBorders>
              <w:top w:val="nil"/>
              <w:left w:val="nil"/>
              <w:bottom w:val="nil"/>
              <w:right w:val="single" w:color="000000" w:sz="8" w:space="0"/>
            </w:tcBorders>
            <w:shd w:val="clear" w:color="auto" w:fill="auto"/>
            <w:vAlign w:val="center"/>
          </w:tcPr>
          <w:p w14:paraId="46DCF767">
            <w:pPr>
              <w:keepNext w:val="0"/>
              <w:keepLines w:val="0"/>
              <w:pageBreakBefore w:val="0"/>
              <w:widowControl/>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r>
              <w:rPr>
                <w:rFonts w:hint="default" w:ascii="Times New Roman" w:hAnsi="Times New Roman" w:cs="Times New Roman"/>
                <w:sz w:val="24"/>
                <w:szCs w:val="24"/>
                <w:lang w:val="en-US" w:eastAsia="zh-CN"/>
              </w:rPr>
              <w:t>Significant</w:t>
            </w:r>
          </w:p>
        </w:tc>
      </w:tr>
      <w:tr w14:paraId="553D271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3420" w:type="dxa"/>
            <w:tcBorders>
              <w:top w:val="nil"/>
              <w:left w:val="single" w:color="000000" w:sz="8" w:space="0"/>
              <w:bottom w:val="nil"/>
              <w:right w:val="nil"/>
            </w:tcBorders>
            <w:shd w:val="clear" w:color="auto" w:fill="auto"/>
            <w:vAlign w:val="center"/>
          </w:tcPr>
          <w:p w14:paraId="230A9AC2">
            <w:pPr>
              <w:keepNext w:val="0"/>
              <w:keepLines w:val="0"/>
              <w:pageBreakBefore w:val="0"/>
              <w:widowControl/>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r>
              <w:rPr>
                <w:rFonts w:hint="default" w:ascii="Times New Roman" w:hAnsi="Times New Roman" w:cs="Times New Roman"/>
                <w:sz w:val="24"/>
                <w:szCs w:val="24"/>
                <w:lang w:val="en-US" w:eastAsia="zh-CN"/>
              </w:rPr>
              <w:t>Financial Literacy → Trading Intensity</w:t>
            </w:r>
          </w:p>
        </w:tc>
        <w:tc>
          <w:tcPr>
            <w:tcW w:w="1350" w:type="dxa"/>
            <w:tcBorders>
              <w:top w:val="nil"/>
              <w:left w:val="nil"/>
              <w:bottom w:val="nil"/>
              <w:right w:val="nil"/>
            </w:tcBorders>
            <w:shd w:val="clear" w:color="auto" w:fill="auto"/>
            <w:vAlign w:val="center"/>
          </w:tcPr>
          <w:p w14:paraId="0E76CD86">
            <w:pPr>
              <w:keepNext w:val="0"/>
              <w:keepLines w:val="0"/>
              <w:pageBreakBefore w:val="0"/>
              <w:widowControl/>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r>
              <w:rPr>
                <w:rFonts w:hint="default" w:ascii="Times New Roman" w:hAnsi="Times New Roman" w:cs="Times New Roman"/>
                <w:sz w:val="24"/>
                <w:szCs w:val="24"/>
                <w:lang w:val="en-US" w:eastAsia="zh-CN"/>
              </w:rPr>
              <w:t>0.291</w:t>
            </w:r>
          </w:p>
        </w:tc>
        <w:tc>
          <w:tcPr>
            <w:tcW w:w="1365" w:type="dxa"/>
            <w:tcBorders>
              <w:top w:val="nil"/>
              <w:left w:val="nil"/>
              <w:bottom w:val="nil"/>
              <w:right w:val="nil"/>
            </w:tcBorders>
            <w:shd w:val="clear" w:color="auto" w:fill="auto"/>
            <w:vAlign w:val="center"/>
          </w:tcPr>
          <w:p w14:paraId="50AF3663">
            <w:pPr>
              <w:keepNext w:val="0"/>
              <w:keepLines w:val="0"/>
              <w:pageBreakBefore w:val="0"/>
              <w:widowControl/>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r>
              <w:rPr>
                <w:rFonts w:hint="default" w:ascii="Times New Roman" w:hAnsi="Times New Roman" w:cs="Times New Roman"/>
                <w:sz w:val="24"/>
                <w:szCs w:val="24"/>
                <w:lang w:val="en-US" w:eastAsia="zh-CN"/>
              </w:rPr>
              <w:t>5.772</w:t>
            </w:r>
          </w:p>
        </w:tc>
        <w:tc>
          <w:tcPr>
            <w:tcW w:w="1185" w:type="dxa"/>
            <w:tcBorders>
              <w:top w:val="nil"/>
              <w:left w:val="nil"/>
              <w:bottom w:val="nil"/>
              <w:right w:val="nil"/>
            </w:tcBorders>
            <w:shd w:val="clear" w:color="auto" w:fill="auto"/>
            <w:vAlign w:val="center"/>
          </w:tcPr>
          <w:p w14:paraId="54E2D2B7">
            <w:pPr>
              <w:keepNext w:val="0"/>
              <w:keepLines w:val="0"/>
              <w:pageBreakBefore w:val="0"/>
              <w:widowControl/>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r>
              <w:rPr>
                <w:rFonts w:hint="default" w:ascii="Times New Roman" w:hAnsi="Times New Roman" w:cs="Times New Roman"/>
                <w:sz w:val="24"/>
                <w:szCs w:val="24"/>
                <w:lang w:val="en-US" w:eastAsia="zh-CN"/>
              </w:rPr>
              <w:t>0</w:t>
            </w:r>
          </w:p>
        </w:tc>
        <w:tc>
          <w:tcPr>
            <w:tcW w:w="1380" w:type="dxa"/>
            <w:tcBorders>
              <w:top w:val="nil"/>
              <w:left w:val="nil"/>
              <w:bottom w:val="nil"/>
              <w:right w:val="single" w:color="000000" w:sz="8" w:space="0"/>
            </w:tcBorders>
            <w:shd w:val="clear" w:color="auto" w:fill="auto"/>
            <w:vAlign w:val="center"/>
          </w:tcPr>
          <w:p w14:paraId="684C85F5">
            <w:pPr>
              <w:keepNext w:val="0"/>
              <w:keepLines w:val="0"/>
              <w:pageBreakBefore w:val="0"/>
              <w:widowControl/>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r>
              <w:rPr>
                <w:rFonts w:hint="default" w:ascii="Times New Roman" w:hAnsi="Times New Roman" w:cs="Times New Roman"/>
                <w:sz w:val="24"/>
                <w:szCs w:val="24"/>
                <w:lang w:val="en-US" w:eastAsia="zh-CN"/>
              </w:rPr>
              <w:t>Significant</w:t>
            </w:r>
          </w:p>
        </w:tc>
      </w:tr>
      <w:tr w14:paraId="0EEE83D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3420" w:type="dxa"/>
            <w:tcBorders>
              <w:top w:val="nil"/>
              <w:left w:val="single" w:color="000000" w:sz="8" w:space="0"/>
              <w:bottom w:val="single" w:color="000000" w:sz="8" w:space="0"/>
              <w:right w:val="nil"/>
            </w:tcBorders>
            <w:shd w:val="clear" w:color="auto" w:fill="auto"/>
            <w:vAlign w:val="center"/>
          </w:tcPr>
          <w:p w14:paraId="768B5D33">
            <w:pPr>
              <w:keepNext w:val="0"/>
              <w:keepLines w:val="0"/>
              <w:pageBreakBefore w:val="0"/>
              <w:widowControl/>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r>
              <w:rPr>
                <w:rFonts w:hint="default" w:ascii="Times New Roman" w:hAnsi="Times New Roman" w:cs="Times New Roman"/>
                <w:sz w:val="24"/>
                <w:szCs w:val="24"/>
                <w:lang w:val="en-US" w:eastAsia="zh-CN"/>
              </w:rPr>
              <w:t>Risk Tolerance → Speculative Trading</w:t>
            </w:r>
          </w:p>
        </w:tc>
        <w:tc>
          <w:tcPr>
            <w:tcW w:w="1350" w:type="dxa"/>
            <w:tcBorders>
              <w:top w:val="nil"/>
              <w:left w:val="nil"/>
              <w:bottom w:val="single" w:color="000000" w:sz="8" w:space="0"/>
              <w:right w:val="nil"/>
            </w:tcBorders>
            <w:shd w:val="clear" w:color="auto" w:fill="auto"/>
            <w:vAlign w:val="center"/>
          </w:tcPr>
          <w:p w14:paraId="31CEE60E">
            <w:pPr>
              <w:keepNext w:val="0"/>
              <w:keepLines w:val="0"/>
              <w:pageBreakBefore w:val="0"/>
              <w:widowControl/>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r>
              <w:rPr>
                <w:rFonts w:hint="default" w:ascii="Times New Roman" w:hAnsi="Times New Roman" w:cs="Times New Roman"/>
                <w:sz w:val="24"/>
                <w:szCs w:val="24"/>
                <w:lang w:val="en-US" w:eastAsia="zh-CN"/>
              </w:rPr>
              <w:t>0.318</w:t>
            </w:r>
          </w:p>
        </w:tc>
        <w:tc>
          <w:tcPr>
            <w:tcW w:w="1365" w:type="dxa"/>
            <w:tcBorders>
              <w:top w:val="nil"/>
              <w:left w:val="nil"/>
              <w:bottom w:val="single" w:color="000000" w:sz="8" w:space="0"/>
              <w:right w:val="nil"/>
            </w:tcBorders>
            <w:shd w:val="clear" w:color="auto" w:fill="auto"/>
            <w:vAlign w:val="center"/>
          </w:tcPr>
          <w:p w14:paraId="4B7A7855">
            <w:pPr>
              <w:keepNext w:val="0"/>
              <w:keepLines w:val="0"/>
              <w:pageBreakBefore w:val="0"/>
              <w:widowControl/>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r>
              <w:rPr>
                <w:rFonts w:hint="default" w:ascii="Times New Roman" w:hAnsi="Times New Roman" w:cs="Times New Roman"/>
                <w:sz w:val="24"/>
                <w:szCs w:val="24"/>
                <w:lang w:val="en-US" w:eastAsia="zh-CN"/>
              </w:rPr>
              <w:t>6.148</w:t>
            </w:r>
          </w:p>
        </w:tc>
        <w:tc>
          <w:tcPr>
            <w:tcW w:w="1185" w:type="dxa"/>
            <w:tcBorders>
              <w:top w:val="nil"/>
              <w:left w:val="nil"/>
              <w:bottom w:val="single" w:color="000000" w:sz="8" w:space="0"/>
              <w:right w:val="nil"/>
            </w:tcBorders>
            <w:shd w:val="clear" w:color="auto" w:fill="auto"/>
            <w:vAlign w:val="center"/>
          </w:tcPr>
          <w:p w14:paraId="42081E5A">
            <w:pPr>
              <w:keepNext w:val="0"/>
              <w:keepLines w:val="0"/>
              <w:pageBreakBefore w:val="0"/>
              <w:widowControl/>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r>
              <w:rPr>
                <w:rFonts w:hint="default" w:ascii="Times New Roman" w:hAnsi="Times New Roman" w:cs="Times New Roman"/>
                <w:sz w:val="24"/>
                <w:szCs w:val="24"/>
                <w:lang w:val="en-US" w:eastAsia="zh-CN"/>
              </w:rPr>
              <w:t>0</w:t>
            </w:r>
          </w:p>
        </w:tc>
        <w:tc>
          <w:tcPr>
            <w:tcW w:w="1380" w:type="dxa"/>
            <w:tcBorders>
              <w:top w:val="nil"/>
              <w:left w:val="nil"/>
              <w:bottom w:val="single" w:color="000000" w:sz="8" w:space="0"/>
              <w:right w:val="single" w:color="000000" w:sz="8" w:space="0"/>
            </w:tcBorders>
            <w:shd w:val="clear" w:color="auto" w:fill="auto"/>
            <w:vAlign w:val="center"/>
          </w:tcPr>
          <w:p w14:paraId="319F3D6C">
            <w:pPr>
              <w:keepNext w:val="0"/>
              <w:keepLines w:val="0"/>
              <w:pageBreakBefore w:val="0"/>
              <w:widowControl/>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r>
              <w:rPr>
                <w:rFonts w:hint="default" w:ascii="Times New Roman" w:hAnsi="Times New Roman" w:cs="Times New Roman"/>
                <w:sz w:val="24"/>
                <w:szCs w:val="24"/>
                <w:lang w:val="en-US" w:eastAsia="zh-CN"/>
              </w:rPr>
              <w:t>Significant</w:t>
            </w:r>
          </w:p>
        </w:tc>
      </w:tr>
    </w:tbl>
    <w:p w14:paraId="437F915B">
      <w:pPr>
        <w:pStyle w:val="7"/>
        <w:keepNext w:val="0"/>
        <w:keepLines w:val="0"/>
        <w:pageBreakBefore w:val="0"/>
        <w:widowControl/>
        <w:suppressLineNumbers w:val="0"/>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r>
        <w:rPr>
          <w:rFonts w:hint="default" w:ascii="Times New Roman" w:hAnsi="Times New Roman" w:cs="Times New Roman"/>
          <w:sz w:val="24"/>
          <w:szCs w:val="24"/>
        </w:rPr>
        <w:t>The results indicate that platform accessibility had a positive and significant effect on trading intensity. This means that investors traded more frequently when digital platforms were easy to use, affordable, mobile-friendly, and supported by real-time market access.</w:t>
      </w:r>
    </w:p>
    <w:p w14:paraId="62B1DD61">
      <w:pPr>
        <w:pStyle w:val="7"/>
        <w:keepNext w:val="0"/>
        <w:keepLines w:val="0"/>
        <w:pageBreakBefore w:val="0"/>
        <w:widowControl/>
        <w:suppressLineNumbers w:val="0"/>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r>
        <w:rPr>
          <w:rFonts w:hint="default" w:ascii="Times New Roman" w:hAnsi="Times New Roman" w:cs="Times New Roman"/>
          <w:sz w:val="24"/>
          <w:szCs w:val="24"/>
        </w:rPr>
        <w:t>Gamification also had a positive and significant effect on overtrading. This suggests that reward notifications, achievement prompts, and interactive platform features encouraged excessive trading behavior. Finfluencer influence had the strongest path coefficient, showing that social media investment content significantly increased herding behavior among retail investors.</w:t>
      </w:r>
    </w:p>
    <w:p w14:paraId="448F04E3">
      <w:pPr>
        <w:pStyle w:val="7"/>
        <w:keepNext w:val="0"/>
        <w:keepLines w:val="0"/>
        <w:pageBreakBefore w:val="0"/>
        <w:widowControl/>
        <w:suppressLineNumbers w:val="0"/>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r>
        <w:rPr>
          <w:rFonts w:hint="default" w:ascii="Times New Roman" w:hAnsi="Times New Roman" w:cs="Times New Roman"/>
          <w:sz w:val="24"/>
          <w:szCs w:val="24"/>
        </w:rPr>
        <w:t>Financial literacy had a significant positive relationship with trading intensity, indicating that financially informed investors were more likely to participate actively in digital trading. Risk tolerance also significantly influenced speculative trading, meaning that investors with higher risk appetite were more likely to engage in volatile and high-risk trading decisions.</w:t>
      </w:r>
    </w:p>
    <w:p w14:paraId="179D26C5">
      <w:pPr>
        <w:pStyle w:val="7"/>
        <w:keepNext w:val="0"/>
        <w:keepLines w:val="0"/>
        <w:pageBreakBefore w:val="0"/>
        <w:widowControl/>
        <w:suppressLineNumbers w:val="0"/>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p>
    <w:p w14:paraId="3EB16B5B">
      <w:pPr>
        <w:pStyle w:val="7"/>
        <w:keepNext w:val="0"/>
        <w:keepLines w:val="0"/>
        <w:pageBreakBefore w:val="0"/>
        <w:widowControl/>
        <w:suppressLineNumbers w:val="0"/>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r>
        <w:rPr>
          <w:rStyle w:val="8"/>
          <w:rFonts w:hint="default" w:ascii="Times New Roman" w:hAnsi="Times New Roman" w:cs="Times New Roman"/>
          <w:sz w:val="24"/>
          <w:szCs w:val="24"/>
        </w:rPr>
        <w:t>Table 4.9: Coefficient of Determination (R²)</w:t>
      </w:r>
    </w:p>
    <w:tbl>
      <w:tblPr>
        <w:tblStyle w:val="6"/>
        <w:tblW w:w="6705"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3945"/>
        <w:gridCol w:w="2760"/>
      </w:tblGrid>
      <w:tr w14:paraId="46A66D6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3945" w:type="dxa"/>
            <w:tcBorders>
              <w:top w:val="single" w:color="000000" w:sz="8" w:space="0"/>
              <w:left w:val="single" w:color="000000" w:sz="8" w:space="0"/>
              <w:bottom w:val="single" w:color="000000" w:sz="8" w:space="0"/>
              <w:right w:val="nil"/>
            </w:tcBorders>
            <w:shd w:val="clear" w:color="auto" w:fill="auto"/>
            <w:vAlign w:val="center"/>
          </w:tcPr>
          <w:p w14:paraId="64218410">
            <w:pPr>
              <w:keepNext w:val="0"/>
              <w:keepLines w:val="0"/>
              <w:pageBreakBefore w:val="0"/>
              <w:widowControl/>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r>
              <w:rPr>
                <w:rFonts w:hint="default" w:ascii="Times New Roman" w:hAnsi="Times New Roman" w:cs="Times New Roman"/>
                <w:sz w:val="24"/>
                <w:szCs w:val="24"/>
                <w:lang w:val="en-US" w:eastAsia="zh-CN"/>
              </w:rPr>
              <w:t>Endogenous Variable</w:t>
            </w:r>
          </w:p>
        </w:tc>
        <w:tc>
          <w:tcPr>
            <w:tcW w:w="2760" w:type="dxa"/>
            <w:tcBorders>
              <w:top w:val="single" w:color="000000" w:sz="8" w:space="0"/>
              <w:left w:val="nil"/>
              <w:bottom w:val="single" w:color="000000" w:sz="8" w:space="0"/>
              <w:right w:val="single" w:color="000000" w:sz="8" w:space="0"/>
            </w:tcBorders>
            <w:shd w:val="clear" w:color="auto" w:fill="auto"/>
            <w:vAlign w:val="center"/>
          </w:tcPr>
          <w:p w14:paraId="67B0DAC6">
            <w:pPr>
              <w:keepNext w:val="0"/>
              <w:keepLines w:val="0"/>
              <w:pageBreakBefore w:val="0"/>
              <w:widowControl/>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r>
              <w:rPr>
                <w:rFonts w:hint="default" w:ascii="Times New Roman" w:hAnsi="Times New Roman" w:cs="Times New Roman"/>
                <w:sz w:val="24"/>
                <w:szCs w:val="24"/>
                <w:lang w:val="en-US" w:eastAsia="zh-CN"/>
              </w:rPr>
              <w:t>R² Value</w:t>
            </w:r>
          </w:p>
        </w:tc>
      </w:tr>
      <w:tr w14:paraId="4623D49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3945" w:type="dxa"/>
            <w:tcBorders>
              <w:top w:val="nil"/>
              <w:left w:val="single" w:color="000000" w:sz="8" w:space="0"/>
              <w:bottom w:val="nil"/>
              <w:right w:val="nil"/>
            </w:tcBorders>
            <w:shd w:val="clear" w:color="auto" w:fill="auto"/>
            <w:vAlign w:val="center"/>
          </w:tcPr>
          <w:p w14:paraId="068E9814">
            <w:pPr>
              <w:keepNext w:val="0"/>
              <w:keepLines w:val="0"/>
              <w:pageBreakBefore w:val="0"/>
              <w:widowControl/>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r>
              <w:rPr>
                <w:rFonts w:hint="default" w:ascii="Times New Roman" w:hAnsi="Times New Roman" w:cs="Times New Roman"/>
                <w:sz w:val="24"/>
                <w:szCs w:val="24"/>
                <w:lang w:val="en-US" w:eastAsia="zh-CN"/>
              </w:rPr>
              <w:t>Trading Intensity</w:t>
            </w:r>
          </w:p>
        </w:tc>
        <w:tc>
          <w:tcPr>
            <w:tcW w:w="2760" w:type="dxa"/>
            <w:tcBorders>
              <w:top w:val="nil"/>
              <w:left w:val="nil"/>
              <w:bottom w:val="nil"/>
              <w:right w:val="single" w:color="000000" w:sz="8" w:space="0"/>
            </w:tcBorders>
            <w:shd w:val="clear" w:color="auto" w:fill="auto"/>
            <w:vAlign w:val="center"/>
          </w:tcPr>
          <w:p w14:paraId="7F0B1F35">
            <w:pPr>
              <w:keepNext w:val="0"/>
              <w:keepLines w:val="0"/>
              <w:pageBreakBefore w:val="0"/>
              <w:widowControl/>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r>
              <w:rPr>
                <w:rFonts w:hint="default" w:ascii="Times New Roman" w:hAnsi="Times New Roman" w:cs="Times New Roman"/>
                <w:sz w:val="24"/>
                <w:szCs w:val="24"/>
                <w:lang w:val="en-US" w:eastAsia="zh-CN"/>
              </w:rPr>
              <w:t>0.583</w:t>
            </w:r>
          </w:p>
        </w:tc>
      </w:tr>
      <w:tr w14:paraId="25FB6E2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3945" w:type="dxa"/>
            <w:tcBorders>
              <w:top w:val="nil"/>
              <w:left w:val="single" w:color="000000" w:sz="8" w:space="0"/>
              <w:bottom w:val="nil"/>
              <w:right w:val="nil"/>
            </w:tcBorders>
            <w:shd w:val="clear" w:color="auto" w:fill="auto"/>
            <w:vAlign w:val="center"/>
          </w:tcPr>
          <w:p w14:paraId="6CB4A665">
            <w:pPr>
              <w:keepNext w:val="0"/>
              <w:keepLines w:val="0"/>
              <w:pageBreakBefore w:val="0"/>
              <w:widowControl/>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r>
              <w:rPr>
                <w:rFonts w:hint="default" w:ascii="Times New Roman" w:hAnsi="Times New Roman" w:cs="Times New Roman"/>
                <w:sz w:val="24"/>
                <w:szCs w:val="24"/>
                <w:lang w:val="en-US" w:eastAsia="zh-CN"/>
              </w:rPr>
              <w:t>Herding Behavior</w:t>
            </w:r>
          </w:p>
        </w:tc>
        <w:tc>
          <w:tcPr>
            <w:tcW w:w="2760" w:type="dxa"/>
            <w:tcBorders>
              <w:top w:val="nil"/>
              <w:left w:val="nil"/>
              <w:bottom w:val="nil"/>
              <w:right w:val="single" w:color="000000" w:sz="8" w:space="0"/>
            </w:tcBorders>
            <w:shd w:val="clear" w:color="auto" w:fill="auto"/>
            <w:vAlign w:val="center"/>
          </w:tcPr>
          <w:p w14:paraId="2C1C0AF0">
            <w:pPr>
              <w:keepNext w:val="0"/>
              <w:keepLines w:val="0"/>
              <w:pageBreakBefore w:val="0"/>
              <w:widowControl/>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r>
              <w:rPr>
                <w:rFonts w:hint="default" w:ascii="Times New Roman" w:hAnsi="Times New Roman" w:cs="Times New Roman"/>
                <w:sz w:val="24"/>
                <w:szCs w:val="24"/>
                <w:lang w:val="en-US" w:eastAsia="zh-CN"/>
              </w:rPr>
              <w:t>0.491</w:t>
            </w:r>
          </w:p>
        </w:tc>
      </w:tr>
      <w:tr w14:paraId="0F2DDC7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3945" w:type="dxa"/>
            <w:tcBorders>
              <w:top w:val="nil"/>
              <w:left w:val="single" w:color="000000" w:sz="8" w:space="0"/>
              <w:bottom w:val="single" w:color="000000" w:sz="8" w:space="0"/>
              <w:right w:val="nil"/>
            </w:tcBorders>
            <w:shd w:val="clear" w:color="auto" w:fill="auto"/>
            <w:vAlign w:val="center"/>
          </w:tcPr>
          <w:p w14:paraId="58FE3CA5">
            <w:pPr>
              <w:keepNext w:val="0"/>
              <w:keepLines w:val="0"/>
              <w:pageBreakBefore w:val="0"/>
              <w:widowControl/>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r>
              <w:rPr>
                <w:rFonts w:hint="default" w:ascii="Times New Roman" w:hAnsi="Times New Roman" w:cs="Times New Roman"/>
                <w:sz w:val="24"/>
                <w:szCs w:val="24"/>
                <w:lang w:val="en-US" w:eastAsia="zh-CN"/>
              </w:rPr>
              <w:t>Overtrading</w:t>
            </w:r>
          </w:p>
        </w:tc>
        <w:tc>
          <w:tcPr>
            <w:tcW w:w="2760" w:type="dxa"/>
            <w:tcBorders>
              <w:top w:val="nil"/>
              <w:left w:val="nil"/>
              <w:bottom w:val="single" w:color="000000" w:sz="8" w:space="0"/>
              <w:right w:val="single" w:color="000000" w:sz="8" w:space="0"/>
            </w:tcBorders>
            <w:shd w:val="clear" w:color="auto" w:fill="auto"/>
            <w:vAlign w:val="center"/>
          </w:tcPr>
          <w:p w14:paraId="666128CE">
            <w:pPr>
              <w:keepNext w:val="0"/>
              <w:keepLines w:val="0"/>
              <w:pageBreakBefore w:val="0"/>
              <w:widowControl/>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r>
              <w:rPr>
                <w:rFonts w:hint="default" w:ascii="Times New Roman" w:hAnsi="Times New Roman" w:cs="Times New Roman"/>
                <w:sz w:val="24"/>
                <w:szCs w:val="24"/>
                <w:lang w:val="en-US" w:eastAsia="zh-CN"/>
              </w:rPr>
              <w:t>0.447</w:t>
            </w:r>
          </w:p>
        </w:tc>
      </w:tr>
    </w:tbl>
    <w:p w14:paraId="58DF761D">
      <w:pPr>
        <w:pStyle w:val="7"/>
        <w:keepNext w:val="0"/>
        <w:keepLines w:val="0"/>
        <w:pageBreakBefore w:val="0"/>
        <w:widowControl/>
        <w:suppressLineNumbers w:val="0"/>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r>
        <w:rPr>
          <w:rFonts w:hint="default" w:ascii="Times New Roman" w:hAnsi="Times New Roman" w:cs="Times New Roman"/>
          <w:sz w:val="24"/>
          <w:szCs w:val="24"/>
        </w:rPr>
        <w:t>The R² values show that the model had moderate to strong explanatory power. The model explained 58.3% of the variation in trading intensity, 49.1% of the variation in herding behavior, and 44.7% of the variation in overtrading. These results confirm that digital platform characteristics and behavioral factors are important predictors of retail investor behavior.</w:t>
      </w:r>
    </w:p>
    <w:p w14:paraId="23F2DDBE">
      <w:pPr>
        <w:pStyle w:val="7"/>
        <w:keepNext w:val="0"/>
        <w:keepLines w:val="0"/>
        <w:pageBreakBefore w:val="0"/>
        <w:widowControl/>
        <w:suppressLineNumbers w:val="0"/>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p>
    <w:p w14:paraId="6B28D491">
      <w:pPr>
        <w:pStyle w:val="3"/>
        <w:keepNext w:val="0"/>
        <w:keepLines w:val="0"/>
        <w:pageBreakBefore w:val="0"/>
        <w:widowControl/>
        <w:suppressLineNumbers w:val="0"/>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r>
        <w:rPr>
          <w:rFonts w:hint="default" w:ascii="Times New Roman" w:hAnsi="Times New Roman" w:cs="Times New Roman"/>
          <w:sz w:val="24"/>
          <w:szCs w:val="24"/>
        </w:rPr>
        <w:t>4.6 Hypothesis Testing</w:t>
      </w:r>
    </w:p>
    <w:p w14:paraId="6DF262D0">
      <w:pPr>
        <w:pStyle w:val="7"/>
        <w:keepNext w:val="0"/>
        <w:keepLines w:val="0"/>
        <w:pageBreakBefore w:val="0"/>
        <w:widowControl/>
        <w:suppressLineNumbers w:val="0"/>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r>
        <w:rPr>
          <w:rStyle w:val="8"/>
          <w:rFonts w:hint="default" w:ascii="Times New Roman" w:hAnsi="Times New Roman" w:cs="Times New Roman"/>
          <w:sz w:val="24"/>
          <w:szCs w:val="24"/>
        </w:rPr>
        <w:t>Table 4.10: Summary of Hypothesis Testing</w:t>
      </w:r>
    </w:p>
    <w:tbl>
      <w:tblPr>
        <w:tblStyle w:val="6"/>
        <w:tblW w:w="8715"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335"/>
        <w:gridCol w:w="5670"/>
        <w:gridCol w:w="1710"/>
      </w:tblGrid>
      <w:tr w14:paraId="3A3EE18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1335" w:type="dxa"/>
            <w:tcBorders>
              <w:top w:val="single" w:color="000000" w:sz="8" w:space="0"/>
              <w:left w:val="single" w:color="000000" w:sz="8" w:space="0"/>
              <w:bottom w:val="single" w:color="000000" w:sz="8" w:space="0"/>
              <w:right w:val="nil"/>
            </w:tcBorders>
            <w:shd w:val="clear" w:color="auto" w:fill="auto"/>
            <w:vAlign w:val="center"/>
          </w:tcPr>
          <w:p w14:paraId="0AB71631">
            <w:pPr>
              <w:keepNext w:val="0"/>
              <w:keepLines w:val="0"/>
              <w:pageBreakBefore w:val="0"/>
              <w:widowControl/>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r>
              <w:rPr>
                <w:rFonts w:hint="default" w:ascii="Times New Roman" w:hAnsi="Times New Roman" w:cs="Times New Roman"/>
                <w:sz w:val="24"/>
                <w:szCs w:val="24"/>
                <w:lang w:val="en-US" w:eastAsia="zh-CN"/>
              </w:rPr>
              <w:t>Hypothesis</w:t>
            </w:r>
          </w:p>
        </w:tc>
        <w:tc>
          <w:tcPr>
            <w:tcW w:w="5670" w:type="dxa"/>
            <w:tcBorders>
              <w:top w:val="single" w:color="000000" w:sz="8" w:space="0"/>
              <w:left w:val="nil"/>
              <w:bottom w:val="single" w:color="000000" w:sz="8" w:space="0"/>
              <w:right w:val="nil"/>
            </w:tcBorders>
            <w:shd w:val="clear" w:color="auto" w:fill="auto"/>
            <w:vAlign w:val="center"/>
          </w:tcPr>
          <w:p w14:paraId="681A8E72">
            <w:pPr>
              <w:keepNext w:val="0"/>
              <w:keepLines w:val="0"/>
              <w:pageBreakBefore w:val="0"/>
              <w:widowControl/>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r>
              <w:rPr>
                <w:rFonts w:hint="default" w:ascii="Times New Roman" w:hAnsi="Times New Roman" w:cs="Times New Roman"/>
                <w:sz w:val="24"/>
                <w:szCs w:val="24"/>
                <w:lang w:val="en-US" w:eastAsia="zh-CN"/>
              </w:rPr>
              <w:t>Statement</w:t>
            </w:r>
          </w:p>
        </w:tc>
        <w:tc>
          <w:tcPr>
            <w:tcW w:w="1710" w:type="dxa"/>
            <w:tcBorders>
              <w:top w:val="single" w:color="000000" w:sz="8" w:space="0"/>
              <w:left w:val="nil"/>
              <w:bottom w:val="single" w:color="000000" w:sz="8" w:space="0"/>
              <w:right w:val="single" w:color="000000" w:sz="8" w:space="0"/>
            </w:tcBorders>
            <w:shd w:val="clear" w:color="auto" w:fill="auto"/>
            <w:vAlign w:val="center"/>
          </w:tcPr>
          <w:p w14:paraId="2B829335">
            <w:pPr>
              <w:keepNext w:val="0"/>
              <w:keepLines w:val="0"/>
              <w:pageBreakBefore w:val="0"/>
              <w:widowControl/>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r>
              <w:rPr>
                <w:rFonts w:hint="default" w:ascii="Times New Roman" w:hAnsi="Times New Roman" w:cs="Times New Roman"/>
                <w:sz w:val="24"/>
                <w:szCs w:val="24"/>
                <w:lang w:val="en-US" w:eastAsia="zh-CN"/>
              </w:rPr>
              <w:t>Result</w:t>
            </w:r>
          </w:p>
        </w:tc>
      </w:tr>
      <w:tr w14:paraId="2264B54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1335" w:type="dxa"/>
            <w:tcBorders>
              <w:top w:val="nil"/>
              <w:left w:val="single" w:color="000000" w:sz="8" w:space="0"/>
              <w:bottom w:val="nil"/>
              <w:right w:val="nil"/>
            </w:tcBorders>
            <w:shd w:val="clear" w:color="auto" w:fill="auto"/>
            <w:vAlign w:val="center"/>
          </w:tcPr>
          <w:p w14:paraId="77C8F4EE">
            <w:pPr>
              <w:keepNext w:val="0"/>
              <w:keepLines w:val="0"/>
              <w:pageBreakBefore w:val="0"/>
              <w:widowControl/>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r>
              <w:rPr>
                <w:rFonts w:hint="default" w:ascii="Times New Roman" w:hAnsi="Times New Roman" w:cs="Times New Roman"/>
                <w:sz w:val="24"/>
                <w:szCs w:val="24"/>
                <w:lang w:val="en-US" w:eastAsia="zh-CN"/>
              </w:rPr>
              <w:t>H1</w:t>
            </w:r>
          </w:p>
        </w:tc>
        <w:tc>
          <w:tcPr>
            <w:tcW w:w="5670" w:type="dxa"/>
            <w:tcBorders>
              <w:top w:val="nil"/>
              <w:left w:val="nil"/>
              <w:bottom w:val="nil"/>
              <w:right w:val="nil"/>
            </w:tcBorders>
            <w:shd w:val="clear" w:color="auto" w:fill="auto"/>
            <w:vAlign w:val="center"/>
          </w:tcPr>
          <w:p w14:paraId="4A9D1C7B">
            <w:pPr>
              <w:keepNext w:val="0"/>
              <w:keepLines w:val="0"/>
              <w:pageBreakBefore w:val="0"/>
              <w:widowControl/>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r>
              <w:rPr>
                <w:rFonts w:hint="default" w:ascii="Times New Roman" w:hAnsi="Times New Roman" w:cs="Times New Roman"/>
                <w:sz w:val="24"/>
                <w:szCs w:val="24"/>
                <w:lang w:val="en-US" w:eastAsia="zh-CN"/>
              </w:rPr>
              <w:t>Platform accessibility positively influences trading intensity</w:t>
            </w:r>
          </w:p>
        </w:tc>
        <w:tc>
          <w:tcPr>
            <w:tcW w:w="1710" w:type="dxa"/>
            <w:tcBorders>
              <w:top w:val="nil"/>
              <w:left w:val="nil"/>
              <w:bottom w:val="nil"/>
              <w:right w:val="single" w:color="000000" w:sz="8" w:space="0"/>
            </w:tcBorders>
            <w:shd w:val="clear" w:color="auto" w:fill="auto"/>
            <w:vAlign w:val="center"/>
          </w:tcPr>
          <w:p w14:paraId="3DCC472E">
            <w:pPr>
              <w:keepNext w:val="0"/>
              <w:keepLines w:val="0"/>
              <w:pageBreakBefore w:val="0"/>
              <w:widowControl/>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r>
              <w:rPr>
                <w:rFonts w:hint="default" w:ascii="Times New Roman" w:hAnsi="Times New Roman" w:cs="Times New Roman"/>
                <w:sz w:val="24"/>
                <w:szCs w:val="24"/>
                <w:lang w:val="en-US" w:eastAsia="zh-CN"/>
              </w:rPr>
              <w:t>Supported</w:t>
            </w:r>
          </w:p>
        </w:tc>
      </w:tr>
      <w:tr w14:paraId="4A9A68A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1335" w:type="dxa"/>
            <w:tcBorders>
              <w:top w:val="nil"/>
              <w:left w:val="single" w:color="000000" w:sz="8" w:space="0"/>
              <w:bottom w:val="nil"/>
              <w:right w:val="nil"/>
            </w:tcBorders>
            <w:shd w:val="clear" w:color="auto" w:fill="auto"/>
            <w:vAlign w:val="center"/>
          </w:tcPr>
          <w:p w14:paraId="143AE65D">
            <w:pPr>
              <w:keepNext w:val="0"/>
              <w:keepLines w:val="0"/>
              <w:pageBreakBefore w:val="0"/>
              <w:widowControl/>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r>
              <w:rPr>
                <w:rFonts w:hint="default" w:ascii="Times New Roman" w:hAnsi="Times New Roman" w:cs="Times New Roman"/>
                <w:sz w:val="24"/>
                <w:szCs w:val="24"/>
                <w:lang w:val="en-US" w:eastAsia="zh-CN"/>
              </w:rPr>
              <w:t>H2</w:t>
            </w:r>
          </w:p>
        </w:tc>
        <w:tc>
          <w:tcPr>
            <w:tcW w:w="5670" w:type="dxa"/>
            <w:tcBorders>
              <w:top w:val="nil"/>
              <w:left w:val="nil"/>
              <w:bottom w:val="nil"/>
              <w:right w:val="nil"/>
            </w:tcBorders>
            <w:shd w:val="clear" w:color="auto" w:fill="auto"/>
            <w:vAlign w:val="center"/>
          </w:tcPr>
          <w:p w14:paraId="15A67974">
            <w:pPr>
              <w:keepNext w:val="0"/>
              <w:keepLines w:val="0"/>
              <w:pageBreakBefore w:val="0"/>
              <w:widowControl/>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r>
              <w:rPr>
                <w:rFonts w:hint="default" w:ascii="Times New Roman" w:hAnsi="Times New Roman" w:cs="Times New Roman"/>
                <w:sz w:val="24"/>
                <w:szCs w:val="24"/>
                <w:lang w:val="en-US" w:eastAsia="zh-CN"/>
              </w:rPr>
              <w:t>Gamification significantly increases overtrading behavior</w:t>
            </w:r>
          </w:p>
        </w:tc>
        <w:tc>
          <w:tcPr>
            <w:tcW w:w="1710" w:type="dxa"/>
            <w:tcBorders>
              <w:top w:val="nil"/>
              <w:left w:val="nil"/>
              <w:bottom w:val="nil"/>
              <w:right w:val="single" w:color="000000" w:sz="8" w:space="0"/>
            </w:tcBorders>
            <w:shd w:val="clear" w:color="auto" w:fill="auto"/>
            <w:vAlign w:val="center"/>
          </w:tcPr>
          <w:p w14:paraId="2884BD37">
            <w:pPr>
              <w:keepNext w:val="0"/>
              <w:keepLines w:val="0"/>
              <w:pageBreakBefore w:val="0"/>
              <w:widowControl/>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r>
              <w:rPr>
                <w:rFonts w:hint="default" w:ascii="Times New Roman" w:hAnsi="Times New Roman" w:cs="Times New Roman"/>
                <w:sz w:val="24"/>
                <w:szCs w:val="24"/>
                <w:lang w:val="en-US" w:eastAsia="zh-CN"/>
              </w:rPr>
              <w:t>Supported</w:t>
            </w:r>
          </w:p>
        </w:tc>
      </w:tr>
      <w:tr w14:paraId="2D20B42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1335" w:type="dxa"/>
            <w:tcBorders>
              <w:top w:val="nil"/>
              <w:left w:val="single" w:color="000000" w:sz="8" w:space="0"/>
              <w:bottom w:val="nil"/>
              <w:right w:val="nil"/>
            </w:tcBorders>
            <w:shd w:val="clear" w:color="auto" w:fill="auto"/>
            <w:vAlign w:val="center"/>
          </w:tcPr>
          <w:p w14:paraId="16C8C9F0">
            <w:pPr>
              <w:keepNext w:val="0"/>
              <w:keepLines w:val="0"/>
              <w:pageBreakBefore w:val="0"/>
              <w:widowControl/>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r>
              <w:rPr>
                <w:rFonts w:hint="default" w:ascii="Times New Roman" w:hAnsi="Times New Roman" w:cs="Times New Roman"/>
                <w:sz w:val="24"/>
                <w:szCs w:val="24"/>
                <w:lang w:val="en-US" w:eastAsia="zh-CN"/>
              </w:rPr>
              <w:t>H3</w:t>
            </w:r>
          </w:p>
        </w:tc>
        <w:tc>
          <w:tcPr>
            <w:tcW w:w="5670" w:type="dxa"/>
            <w:tcBorders>
              <w:top w:val="nil"/>
              <w:left w:val="nil"/>
              <w:bottom w:val="nil"/>
              <w:right w:val="nil"/>
            </w:tcBorders>
            <w:shd w:val="clear" w:color="auto" w:fill="auto"/>
            <w:vAlign w:val="center"/>
          </w:tcPr>
          <w:p w14:paraId="41B2CFD1">
            <w:pPr>
              <w:keepNext w:val="0"/>
              <w:keepLines w:val="0"/>
              <w:pageBreakBefore w:val="0"/>
              <w:widowControl/>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r>
              <w:rPr>
                <w:rFonts w:hint="default" w:ascii="Times New Roman" w:hAnsi="Times New Roman" w:cs="Times New Roman"/>
                <w:sz w:val="24"/>
                <w:szCs w:val="24"/>
                <w:lang w:val="en-US" w:eastAsia="zh-CN"/>
              </w:rPr>
              <w:t>Finfluencer exposure positively affects herding behavior</w:t>
            </w:r>
          </w:p>
        </w:tc>
        <w:tc>
          <w:tcPr>
            <w:tcW w:w="1710" w:type="dxa"/>
            <w:tcBorders>
              <w:top w:val="nil"/>
              <w:left w:val="nil"/>
              <w:bottom w:val="nil"/>
              <w:right w:val="single" w:color="000000" w:sz="8" w:space="0"/>
            </w:tcBorders>
            <w:shd w:val="clear" w:color="auto" w:fill="auto"/>
            <w:vAlign w:val="center"/>
          </w:tcPr>
          <w:p w14:paraId="4393F76E">
            <w:pPr>
              <w:keepNext w:val="0"/>
              <w:keepLines w:val="0"/>
              <w:pageBreakBefore w:val="0"/>
              <w:widowControl/>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r>
              <w:rPr>
                <w:rFonts w:hint="default" w:ascii="Times New Roman" w:hAnsi="Times New Roman" w:cs="Times New Roman"/>
                <w:sz w:val="24"/>
                <w:szCs w:val="24"/>
                <w:lang w:val="en-US" w:eastAsia="zh-CN"/>
              </w:rPr>
              <w:t>Supported</w:t>
            </w:r>
          </w:p>
        </w:tc>
      </w:tr>
      <w:tr w14:paraId="2D097CB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1335" w:type="dxa"/>
            <w:tcBorders>
              <w:top w:val="nil"/>
              <w:left w:val="single" w:color="000000" w:sz="8" w:space="0"/>
              <w:bottom w:val="nil"/>
              <w:right w:val="nil"/>
            </w:tcBorders>
            <w:shd w:val="clear" w:color="auto" w:fill="auto"/>
            <w:vAlign w:val="center"/>
          </w:tcPr>
          <w:p w14:paraId="7DFAE92A">
            <w:pPr>
              <w:keepNext w:val="0"/>
              <w:keepLines w:val="0"/>
              <w:pageBreakBefore w:val="0"/>
              <w:widowControl/>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r>
              <w:rPr>
                <w:rFonts w:hint="default" w:ascii="Times New Roman" w:hAnsi="Times New Roman" w:cs="Times New Roman"/>
                <w:sz w:val="24"/>
                <w:szCs w:val="24"/>
                <w:lang w:val="en-US" w:eastAsia="zh-CN"/>
              </w:rPr>
              <w:t>H4</w:t>
            </w:r>
          </w:p>
        </w:tc>
        <w:tc>
          <w:tcPr>
            <w:tcW w:w="5670" w:type="dxa"/>
            <w:tcBorders>
              <w:top w:val="nil"/>
              <w:left w:val="nil"/>
              <w:bottom w:val="nil"/>
              <w:right w:val="nil"/>
            </w:tcBorders>
            <w:shd w:val="clear" w:color="auto" w:fill="auto"/>
            <w:vAlign w:val="center"/>
          </w:tcPr>
          <w:p w14:paraId="1230A34A">
            <w:pPr>
              <w:keepNext w:val="0"/>
              <w:keepLines w:val="0"/>
              <w:pageBreakBefore w:val="0"/>
              <w:widowControl/>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r>
              <w:rPr>
                <w:rFonts w:hint="default" w:ascii="Times New Roman" w:hAnsi="Times New Roman" w:cs="Times New Roman"/>
                <w:sz w:val="24"/>
                <w:szCs w:val="24"/>
                <w:lang w:val="en-US" w:eastAsia="zh-CN"/>
              </w:rPr>
              <w:t>Financial literacy mediates the relationship between digital platforms and trading intensity</w:t>
            </w:r>
          </w:p>
        </w:tc>
        <w:tc>
          <w:tcPr>
            <w:tcW w:w="1710" w:type="dxa"/>
            <w:tcBorders>
              <w:top w:val="nil"/>
              <w:left w:val="nil"/>
              <w:bottom w:val="nil"/>
              <w:right w:val="single" w:color="000000" w:sz="8" w:space="0"/>
            </w:tcBorders>
            <w:shd w:val="clear" w:color="auto" w:fill="auto"/>
            <w:vAlign w:val="center"/>
          </w:tcPr>
          <w:p w14:paraId="32FCE440">
            <w:pPr>
              <w:keepNext w:val="0"/>
              <w:keepLines w:val="0"/>
              <w:pageBreakBefore w:val="0"/>
              <w:widowControl/>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r>
              <w:rPr>
                <w:rFonts w:hint="default" w:ascii="Times New Roman" w:hAnsi="Times New Roman" w:cs="Times New Roman"/>
                <w:sz w:val="24"/>
                <w:szCs w:val="24"/>
                <w:lang w:val="en-US" w:eastAsia="zh-CN"/>
              </w:rPr>
              <w:t>Supported</w:t>
            </w:r>
          </w:p>
        </w:tc>
      </w:tr>
      <w:tr w14:paraId="075F2A4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1335" w:type="dxa"/>
            <w:tcBorders>
              <w:top w:val="nil"/>
              <w:left w:val="single" w:color="000000" w:sz="8" w:space="0"/>
              <w:bottom w:val="single" w:color="000000" w:sz="8" w:space="0"/>
              <w:right w:val="nil"/>
            </w:tcBorders>
            <w:shd w:val="clear" w:color="auto" w:fill="auto"/>
            <w:vAlign w:val="center"/>
          </w:tcPr>
          <w:p w14:paraId="5AB1EA60">
            <w:pPr>
              <w:keepNext w:val="0"/>
              <w:keepLines w:val="0"/>
              <w:pageBreakBefore w:val="0"/>
              <w:widowControl/>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r>
              <w:rPr>
                <w:rFonts w:hint="default" w:ascii="Times New Roman" w:hAnsi="Times New Roman" w:cs="Times New Roman"/>
                <w:sz w:val="24"/>
                <w:szCs w:val="24"/>
                <w:lang w:val="en-US" w:eastAsia="zh-CN"/>
              </w:rPr>
              <w:t>H5</w:t>
            </w:r>
          </w:p>
        </w:tc>
        <w:tc>
          <w:tcPr>
            <w:tcW w:w="5670" w:type="dxa"/>
            <w:tcBorders>
              <w:top w:val="nil"/>
              <w:left w:val="nil"/>
              <w:bottom w:val="single" w:color="000000" w:sz="8" w:space="0"/>
              <w:right w:val="nil"/>
            </w:tcBorders>
            <w:shd w:val="clear" w:color="auto" w:fill="auto"/>
            <w:vAlign w:val="center"/>
          </w:tcPr>
          <w:p w14:paraId="32BCA386">
            <w:pPr>
              <w:keepNext w:val="0"/>
              <w:keepLines w:val="0"/>
              <w:pageBreakBefore w:val="0"/>
              <w:widowControl/>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r>
              <w:rPr>
                <w:rFonts w:hint="default" w:ascii="Times New Roman" w:hAnsi="Times New Roman" w:cs="Times New Roman"/>
                <w:sz w:val="24"/>
                <w:szCs w:val="24"/>
                <w:lang w:val="en-US" w:eastAsia="zh-CN"/>
              </w:rPr>
              <w:t>Risk tolerance moderates the relationship between platform usage and speculative trading</w:t>
            </w:r>
          </w:p>
        </w:tc>
        <w:tc>
          <w:tcPr>
            <w:tcW w:w="1710" w:type="dxa"/>
            <w:tcBorders>
              <w:top w:val="nil"/>
              <w:left w:val="nil"/>
              <w:bottom w:val="single" w:color="000000" w:sz="8" w:space="0"/>
              <w:right w:val="single" w:color="000000" w:sz="8" w:space="0"/>
            </w:tcBorders>
            <w:shd w:val="clear" w:color="auto" w:fill="auto"/>
            <w:vAlign w:val="center"/>
          </w:tcPr>
          <w:p w14:paraId="3F5A67ED">
            <w:pPr>
              <w:keepNext w:val="0"/>
              <w:keepLines w:val="0"/>
              <w:pageBreakBefore w:val="0"/>
              <w:widowControl/>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r>
              <w:rPr>
                <w:rFonts w:hint="default" w:ascii="Times New Roman" w:hAnsi="Times New Roman" w:cs="Times New Roman"/>
                <w:sz w:val="24"/>
                <w:szCs w:val="24"/>
                <w:lang w:val="en-US" w:eastAsia="zh-CN"/>
              </w:rPr>
              <w:t>Supported</w:t>
            </w:r>
          </w:p>
        </w:tc>
      </w:tr>
    </w:tbl>
    <w:p w14:paraId="3835361C">
      <w:pPr>
        <w:pStyle w:val="7"/>
        <w:keepNext w:val="0"/>
        <w:keepLines w:val="0"/>
        <w:pageBreakBefore w:val="0"/>
        <w:widowControl/>
        <w:suppressLineNumbers w:val="0"/>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r>
        <w:rPr>
          <w:rFonts w:hint="default" w:ascii="Times New Roman" w:hAnsi="Times New Roman" w:cs="Times New Roman"/>
          <w:sz w:val="24"/>
          <w:szCs w:val="24"/>
        </w:rPr>
        <w:t>The hypothesis results confirm that digital trading environments significantly shape retail investor behavior through accessibility, gamification, social influence, financial literacy, and risk tolerance. All proposed hypotheses were supported, indicating that the study’s theoretical and conceptual assumptions were empirically validated.</w:t>
      </w:r>
    </w:p>
    <w:p w14:paraId="7C30E0EC">
      <w:pPr>
        <w:pStyle w:val="7"/>
        <w:keepNext w:val="0"/>
        <w:keepLines w:val="0"/>
        <w:pageBreakBefore w:val="0"/>
        <w:widowControl/>
        <w:suppressLineNumbers w:val="0"/>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p>
    <w:p w14:paraId="35B7DCF3">
      <w:pPr>
        <w:pStyle w:val="3"/>
        <w:keepNext w:val="0"/>
        <w:keepLines w:val="0"/>
        <w:pageBreakBefore w:val="0"/>
        <w:widowControl/>
        <w:suppressLineNumbers w:val="0"/>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r>
        <w:rPr>
          <w:rFonts w:hint="default" w:ascii="Times New Roman" w:hAnsi="Times New Roman" w:cs="Times New Roman"/>
          <w:sz w:val="24"/>
          <w:szCs w:val="24"/>
        </w:rPr>
        <w:t>4.7 Mediation Analysis</w:t>
      </w:r>
    </w:p>
    <w:p w14:paraId="20B08F6F">
      <w:pPr>
        <w:pStyle w:val="7"/>
        <w:keepNext w:val="0"/>
        <w:keepLines w:val="0"/>
        <w:pageBreakBefore w:val="0"/>
        <w:widowControl/>
        <w:suppressLineNumbers w:val="0"/>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r>
        <w:rPr>
          <w:rFonts w:hint="default" w:ascii="Times New Roman" w:hAnsi="Times New Roman" w:cs="Times New Roman"/>
          <w:sz w:val="24"/>
          <w:szCs w:val="24"/>
        </w:rPr>
        <w:t>The mediation analysis examined whether financial literacy mediated the relationship between digital trading platforms and trading intensity.</w:t>
      </w:r>
    </w:p>
    <w:p w14:paraId="0D0D058C">
      <w:pPr>
        <w:pStyle w:val="7"/>
        <w:keepNext w:val="0"/>
        <w:keepLines w:val="0"/>
        <w:pageBreakBefore w:val="0"/>
        <w:widowControl/>
        <w:suppressLineNumbers w:val="0"/>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p>
    <w:p w14:paraId="1833FBD6">
      <w:pPr>
        <w:pStyle w:val="7"/>
        <w:keepNext w:val="0"/>
        <w:keepLines w:val="0"/>
        <w:pageBreakBefore w:val="0"/>
        <w:widowControl/>
        <w:suppressLineNumbers w:val="0"/>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r>
        <w:rPr>
          <w:rStyle w:val="8"/>
          <w:rFonts w:hint="default" w:ascii="Times New Roman" w:hAnsi="Times New Roman" w:cs="Times New Roman"/>
          <w:sz w:val="24"/>
          <w:szCs w:val="24"/>
        </w:rPr>
        <w:t>Table 4.11: Mediation Analysis Results</w:t>
      </w:r>
    </w:p>
    <w:tbl>
      <w:tblPr>
        <w:tblStyle w:val="6"/>
        <w:tblW w:w="9675"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4500"/>
        <w:gridCol w:w="1665"/>
        <w:gridCol w:w="1230"/>
        <w:gridCol w:w="1065"/>
        <w:gridCol w:w="1215"/>
      </w:tblGrid>
      <w:tr w14:paraId="30C7B64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4500" w:type="dxa"/>
            <w:tcBorders>
              <w:top w:val="single" w:color="000000" w:sz="8" w:space="0"/>
              <w:left w:val="single" w:color="000000" w:sz="8" w:space="0"/>
              <w:bottom w:val="single" w:color="000000" w:sz="8" w:space="0"/>
              <w:right w:val="nil"/>
            </w:tcBorders>
            <w:shd w:val="clear" w:color="auto" w:fill="auto"/>
            <w:vAlign w:val="center"/>
          </w:tcPr>
          <w:p w14:paraId="58CA27CE">
            <w:pPr>
              <w:keepNext w:val="0"/>
              <w:keepLines w:val="0"/>
              <w:pageBreakBefore w:val="0"/>
              <w:widowControl/>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r>
              <w:rPr>
                <w:rFonts w:hint="default" w:ascii="Times New Roman" w:hAnsi="Times New Roman" w:cs="Times New Roman"/>
                <w:sz w:val="24"/>
                <w:szCs w:val="24"/>
                <w:lang w:val="en-US" w:eastAsia="zh-CN"/>
              </w:rPr>
              <w:t>Mediation Path</w:t>
            </w:r>
          </w:p>
        </w:tc>
        <w:tc>
          <w:tcPr>
            <w:tcW w:w="1665" w:type="dxa"/>
            <w:tcBorders>
              <w:top w:val="single" w:color="000000" w:sz="8" w:space="0"/>
              <w:left w:val="nil"/>
              <w:bottom w:val="single" w:color="000000" w:sz="8" w:space="0"/>
              <w:right w:val="nil"/>
            </w:tcBorders>
            <w:shd w:val="clear" w:color="auto" w:fill="auto"/>
            <w:vAlign w:val="center"/>
          </w:tcPr>
          <w:p w14:paraId="6A7B8C2A">
            <w:pPr>
              <w:keepNext w:val="0"/>
              <w:keepLines w:val="0"/>
              <w:pageBreakBefore w:val="0"/>
              <w:widowControl/>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r>
              <w:rPr>
                <w:rFonts w:hint="default" w:ascii="Times New Roman" w:hAnsi="Times New Roman" w:cs="Times New Roman"/>
                <w:sz w:val="24"/>
                <w:szCs w:val="24"/>
                <w:lang w:val="en-US" w:eastAsia="zh-CN"/>
              </w:rPr>
              <w:t>Indirect Effect</w:t>
            </w:r>
          </w:p>
        </w:tc>
        <w:tc>
          <w:tcPr>
            <w:tcW w:w="1230" w:type="dxa"/>
            <w:tcBorders>
              <w:top w:val="single" w:color="000000" w:sz="8" w:space="0"/>
              <w:left w:val="nil"/>
              <w:bottom w:val="single" w:color="000000" w:sz="8" w:space="0"/>
              <w:right w:val="nil"/>
            </w:tcBorders>
            <w:shd w:val="clear" w:color="auto" w:fill="auto"/>
            <w:vAlign w:val="center"/>
          </w:tcPr>
          <w:p w14:paraId="5332822A">
            <w:pPr>
              <w:keepNext w:val="0"/>
              <w:keepLines w:val="0"/>
              <w:pageBreakBefore w:val="0"/>
              <w:widowControl/>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r>
              <w:rPr>
                <w:rFonts w:hint="default" w:ascii="Times New Roman" w:hAnsi="Times New Roman" w:cs="Times New Roman"/>
                <w:sz w:val="24"/>
                <w:szCs w:val="24"/>
                <w:lang w:val="en-US" w:eastAsia="zh-CN"/>
              </w:rPr>
              <w:t>t-value</w:t>
            </w:r>
          </w:p>
        </w:tc>
        <w:tc>
          <w:tcPr>
            <w:tcW w:w="1065" w:type="dxa"/>
            <w:tcBorders>
              <w:top w:val="single" w:color="000000" w:sz="8" w:space="0"/>
              <w:left w:val="nil"/>
              <w:bottom w:val="single" w:color="000000" w:sz="8" w:space="0"/>
              <w:right w:val="nil"/>
            </w:tcBorders>
            <w:shd w:val="clear" w:color="auto" w:fill="auto"/>
            <w:vAlign w:val="center"/>
          </w:tcPr>
          <w:p w14:paraId="30CC4052">
            <w:pPr>
              <w:keepNext w:val="0"/>
              <w:keepLines w:val="0"/>
              <w:pageBreakBefore w:val="0"/>
              <w:widowControl/>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r>
              <w:rPr>
                <w:rFonts w:hint="default" w:ascii="Times New Roman" w:hAnsi="Times New Roman" w:cs="Times New Roman"/>
                <w:sz w:val="24"/>
                <w:szCs w:val="24"/>
                <w:lang w:val="en-US" w:eastAsia="zh-CN"/>
              </w:rPr>
              <w:t>p-value</w:t>
            </w:r>
          </w:p>
        </w:tc>
        <w:tc>
          <w:tcPr>
            <w:tcW w:w="1215" w:type="dxa"/>
            <w:tcBorders>
              <w:top w:val="single" w:color="000000" w:sz="8" w:space="0"/>
              <w:left w:val="nil"/>
              <w:bottom w:val="single" w:color="000000" w:sz="8" w:space="0"/>
              <w:right w:val="single" w:color="000000" w:sz="8" w:space="0"/>
            </w:tcBorders>
            <w:shd w:val="clear" w:color="auto" w:fill="auto"/>
            <w:vAlign w:val="center"/>
          </w:tcPr>
          <w:p w14:paraId="6022830F">
            <w:pPr>
              <w:keepNext w:val="0"/>
              <w:keepLines w:val="0"/>
              <w:pageBreakBefore w:val="0"/>
              <w:widowControl/>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r>
              <w:rPr>
                <w:rFonts w:hint="default" w:ascii="Times New Roman" w:hAnsi="Times New Roman" w:cs="Times New Roman"/>
                <w:sz w:val="24"/>
                <w:szCs w:val="24"/>
                <w:lang w:val="en-US" w:eastAsia="zh-CN"/>
              </w:rPr>
              <w:t>Decision</w:t>
            </w:r>
          </w:p>
        </w:tc>
      </w:tr>
      <w:tr w14:paraId="6C0AA18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5" w:hRule="atLeast"/>
        </w:trPr>
        <w:tc>
          <w:tcPr>
            <w:tcW w:w="4500" w:type="dxa"/>
            <w:tcBorders>
              <w:top w:val="nil"/>
              <w:left w:val="single" w:color="000000" w:sz="8" w:space="0"/>
              <w:bottom w:val="single" w:color="000000" w:sz="8" w:space="0"/>
              <w:right w:val="nil"/>
            </w:tcBorders>
            <w:shd w:val="clear" w:color="auto" w:fill="auto"/>
            <w:vAlign w:val="center"/>
          </w:tcPr>
          <w:p w14:paraId="7B24C339">
            <w:pPr>
              <w:keepNext w:val="0"/>
              <w:keepLines w:val="0"/>
              <w:pageBreakBefore w:val="0"/>
              <w:widowControl/>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r>
              <w:rPr>
                <w:rFonts w:hint="default" w:ascii="Times New Roman" w:hAnsi="Times New Roman" w:cs="Times New Roman"/>
                <w:sz w:val="24"/>
                <w:szCs w:val="24"/>
                <w:lang w:val="en-US" w:eastAsia="zh-CN"/>
              </w:rPr>
              <w:t>DTP → Financial Literacy → Trading Intensity</w:t>
            </w:r>
          </w:p>
        </w:tc>
        <w:tc>
          <w:tcPr>
            <w:tcW w:w="1665" w:type="dxa"/>
            <w:tcBorders>
              <w:top w:val="nil"/>
              <w:left w:val="nil"/>
              <w:bottom w:val="single" w:color="000000" w:sz="8" w:space="0"/>
              <w:right w:val="nil"/>
            </w:tcBorders>
            <w:shd w:val="clear" w:color="auto" w:fill="auto"/>
            <w:vAlign w:val="center"/>
          </w:tcPr>
          <w:p w14:paraId="4E73B70F">
            <w:pPr>
              <w:keepNext w:val="0"/>
              <w:keepLines w:val="0"/>
              <w:pageBreakBefore w:val="0"/>
              <w:widowControl/>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r>
              <w:rPr>
                <w:rFonts w:hint="default" w:ascii="Times New Roman" w:hAnsi="Times New Roman" w:cs="Times New Roman"/>
                <w:sz w:val="24"/>
                <w:szCs w:val="24"/>
                <w:lang w:val="en-US" w:eastAsia="zh-CN"/>
              </w:rPr>
              <w:t>0.184</w:t>
            </w:r>
          </w:p>
        </w:tc>
        <w:tc>
          <w:tcPr>
            <w:tcW w:w="1230" w:type="dxa"/>
            <w:tcBorders>
              <w:top w:val="nil"/>
              <w:left w:val="nil"/>
              <w:bottom w:val="single" w:color="000000" w:sz="8" w:space="0"/>
              <w:right w:val="nil"/>
            </w:tcBorders>
            <w:shd w:val="clear" w:color="auto" w:fill="auto"/>
            <w:vAlign w:val="center"/>
          </w:tcPr>
          <w:p w14:paraId="7CF3F4E5">
            <w:pPr>
              <w:keepNext w:val="0"/>
              <w:keepLines w:val="0"/>
              <w:pageBreakBefore w:val="0"/>
              <w:widowControl/>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r>
              <w:rPr>
                <w:rFonts w:hint="default" w:ascii="Times New Roman" w:hAnsi="Times New Roman" w:cs="Times New Roman"/>
                <w:sz w:val="24"/>
                <w:szCs w:val="24"/>
                <w:lang w:val="en-US" w:eastAsia="zh-CN"/>
              </w:rPr>
              <w:t>4.983</w:t>
            </w:r>
          </w:p>
        </w:tc>
        <w:tc>
          <w:tcPr>
            <w:tcW w:w="1065" w:type="dxa"/>
            <w:tcBorders>
              <w:top w:val="nil"/>
              <w:left w:val="nil"/>
              <w:bottom w:val="single" w:color="000000" w:sz="8" w:space="0"/>
              <w:right w:val="nil"/>
            </w:tcBorders>
            <w:shd w:val="clear" w:color="auto" w:fill="auto"/>
            <w:vAlign w:val="center"/>
          </w:tcPr>
          <w:p w14:paraId="7BC80D36">
            <w:pPr>
              <w:keepNext w:val="0"/>
              <w:keepLines w:val="0"/>
              <w:pageBreakBefore w:val="0"/>
              <w:widowControl/>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r>
              <w:rPr>
                <w:rFonts w:hint="default" w:ascii="Times New Roman" w:hAnsi="Times New Roman" w:cs="Times New Roman"/>
                <w:sz w:val="24"/>
                <w:szCs w:val="24"/>
                <w:lang w:val="en-US" w:eastAsia="zh-CN"/>
              </w:rPr>
              <w:t>0</w:t>
            </w:r>
          </w:p>
        </w:tc>
        <w:tc>
          <w:tcPr>
            <w:tcW w:w="1215" w:type="dxa"/>
            <w:tcBorders>
              <w:top w:val="nil"/>
              <w:left w:val="nil"/>
              <w:bottom w:val="single" w:color="000000" w:sz="8" w:space="0"/>
              <w:right w:val="single" w:color="000000" w:sz="8" w:space="0"/>
            </w:tcBorders>
            <w:shd w:val="clear" w:color="auto" w:fill="auto"/>
            <w:vAlign w:val="center"/>
          </w:tcPr>
          <w:p w14:paraId="17C64862">
            <w:pPr>
              <w:keepNext w:val="0"/>
              <w:keepLines w:val="0"/>
              <w:pageBreakBefore w:val="0"/>
              <w:widowControl/>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r>
              <w:rPr>
                <w:rFonts w:hint="default" w:ascii="Times New Roman" w:hAnsi="Times New Roman" w:cs="Times New Roman"/>
                <w:sz w:val="24"/>
                <w:szCs w:val="24"/>
                <w:lang w:val="en-US" w:eastAsia="zh-CN"/>
              </w:rPr>
              <w:t>Partial Mediation</w:t>
            </w:r>
          </w:p>
        </w:tc>
      </w:tr>
    </w:tbl>
    <w:p w14:paraId="135AE2B8">
      <w:pPr>
        <w:pStyle w:val="7"/>
        <w:keepNext w:val="0"/>
        <w:keepLines w:val="0"/>
        <w:pageBreakBefore w:val="0"/>
        <w:widowControl/>
        <w:suppressLineNumbers w:val="0"/>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r>
        <w:rPr>
          <w:rFonts w:hint="default" w:ascii="Times New Roman" w:hAnsi="Times New Roman" w:cs="Times New Roman"/>
          <w:sz w:val="24"/>
          <w:szCs w:val="24"/>
        </w:rPr>
        <w:t>The result shows that financial literacy significantly mediated the relationship between digital platform usage and trading intensity. This means that investors with stronger financial knowledge were better able to interpret market information and manage trading decisions. However, the mediation was partial, suggesting that platform features still had a direct effect on trading intensity even when financial literacy was considered.</w:t>
      </w:r>
    </w:p>
    <w:p w14:paraId="3199D5DD">
      <w:pPr>
        <w:pStyle w:val="7"/>
        <w:keepNext w:val="0"/>
        <w:keepLines w:val="0"/>
        <w:pageBreakBefore w:val="0"/>
        <w:widowControl/>
        <w:suppressLineNumbers w:val="0"/>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p>
    <w:p w14:paraId="6FF0C92F">
      <w:pPr>
        <w:pStyle w:val="3"/>
        <w:keepNext w:val="0"/>
        <w:keepLines w:val="0"/>
        <w:pageBreakBefore w:val="0"/>
        <w:widowControl/>
        <w:suppressLineNumbers w:val="0"/>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r>
        <w:rPr>
          <w:rFonts w:hint="default" w:ascii="Times New Roman" w:hAnsi="Times New Roman" w:cs="Times New Roman"/>
          <w:sz w:val="24"/>
          <w:szCs w:val="24"/>
        </w:rPr>
        <w:t>4.8 Moderation Analysis</w:t>
      </w:r>
    </w:p>
    <w:p w14:paraId="119FD261">
      <w:pPr>
        <w:pStyle w:val="7"/>
        <w:keepNext w:val="0"/>
        <w:keepLines w:val="0"/>
        <w:pageBreakBefore w:val="0"/>
        <w:widowControl/>
        <w:suppressLineNumbers w:val="0"/>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r>
        <w:rPr>
          <w:rFonts w:hint="default" w:ascii="Times New Roman" w:hAnsi="Times New Roman" w:cs="Times New Roman"/>
          <w:sz w:val="24"/>
          <w:szCs w:val="24"/>
        </w:rPr>
        <w:t>The moderation analysis assessed whether risk tolerance influenced the relationship between platform usage and speculative trading.</w:t>
      </w:r>
    </w:p>
    <w:p w14:paraId="21C5FE83">
      <w:pPr>
        <w:pStyle w:val="7"/>
        <w:keepNext w:val="0"/>
        <w:keepLines w:val="0"/>
        <w:pageBreakBefore w:val="0"/>
        <w:widowControl/>
        <w:suppressLineNumbers w:val="0"/>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p>
    <w:p w14:paraId="231F77A5">
      <w:pPr>
        <w:pStyle w:val="7"/>
        <w:keepNext w:val="0"/>
        <w:keepLines w:val="0"/>
        <w:pageBreakBefore w:val="0"/>
        <w:widowControl/>
        <w:suppressLineNumbers w:val="0"/>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r>
        <w:rPr>
          <w:rStyle w:val="8"/>
          <w:rFonts w:hint="default" w:ascii="Times New Roman" w:hAnsi="Times New Roman" w:cs="Times New Roman"/>
          <w:sz w:val="24"/>
          <w:szCs w:val="24"/>
        </w:rPr>
        <w:t>Table 4.12: Moderation Analysis Results</w:t>
      </w:r>
    </w:p>
    <w:tbl>
      <w:tblPr>
        <w:tblStyle w:val="6"/>
        <w:tblW w:w="10065"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5224"/>
        <w:gridCol w:w="1284"/>
        <w:gridCol w:w="1225"/>
        <w:gridCol w:w="1062"/>
        <w:gridCol w:w="1270"/>
      </w:tblGrid>
      <w:tr w14:paraId="2802C9D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5265" w:type="dxa"/>
            <w:tcBorders>
              <w:top w:val="nil"/>
              <w:left w:val="nil"/>
              <w:bottom w:val="nil"/>
              <w:right w:val="nil"/>
            </w:tcBorders>
            <w:shd w:val="clear" w:color="auto" w:fill="auto"/>
            <w:vAlign w:val="center"/>
          </w:tcPr>
          <w:p w14:paraId="4235DFF3">
            <w:pPr>
              <w:keepNext w:val="0"/>
              <w:keepLines w:val="0"/>
              <w:pageBreakBefore w:val="0"/>
              <w:widowControl/>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r>
              <w:rPr>
                <w:rFonts w:hint="default" w:ascii="Times New Roman" w:hAnsi="Times New Roman" w:cs="Times New Roman"/>
                <w:sz w:val="24"/>
                <w:szCs w:val="24"/>
                <w:lang w:val="en-US" w:eastAsia="zh-CN"/>
              </w:rPr>
              <w:t>Interaction Path</w:t>
            </w:r>
          </w:p>
        </w:tc>
        <w:tc>
          <w:tcPr>
            <w:tcW w:w="1290" w:type="dxa"/>
            <w:tcBorders>
              <w:top w:val="nil"/>
              <w:left w:val="nil"/>
              <w:bottom w:val="nil"/>
              <w:right w:val="nil"/>
            </w:tcBorders>
            <w:shd w:val="clear" w:color="auto" w:fill="auto"/>
            <w:vAlign w:val="center"/>
          </w:tcPr>
          <w:p w14:paraId="5152E48C">
            <w:pPr>
              <w:keepNext w:val="0"/>
              <w:keepLines w:val="0"/>
              <w:pageBreakBefore w:val="0"/>
              <w:widowControl/>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r>
              <w:rPr>
                <w:rFonts w:hint="default" w:ascii="Times New Roman" w:hAnsi="Times New Roman" w:cs="Times New Roman"/>
                <w:sz w:val="24"/>
                <w:szCs w:val="24"/>
                <w:lang w:val="en-US" w:eastAsia="zh-CN"/>
              </w:rPr>
              <w:t>Beta (β)</w:t>
            </w:r>
          </w:p>
        </w:tc>
        <w:tc>
          <w:tcPr>
            <w:tcW w:w="1230" w:type="dxa"/>
            <w:tcBorders>
              <w:top w:val="nil"/>
              <w:left w:val="nil"/>
              <w:bottom w:val="nil"/>
              <w:right w:val="nil"/>
            </w:tcBorders>
            <w:shd w:val="clear" w:color="auto" w:fill="auto"/>
            <w:vAlign w:val="center"/>
          </w:tcPr>
          <w:p w14:paraId="33EA73B3">
            <w:pPr>
              <w:keepNext w:val="0"/>
              <w:keepLines w:val="0"/>
              <w:pageBreakBefore w:val="0"/>
              <w:widowControl/>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r>
              <w:rPr>
                <w:rFonts w:hint="default" w:ascii="Times New Roman" w:hAnsi="Times New Roman" w:cs="Times New Roman"/>
                <w:sz w:val="24"/>
                <w:szCs w:val="24"/>
                <w:lang w:val="en-US" w:eastAsia="zh-CN"/>
              </w:rPr>
              <w:t>t-value</w:t>
            </w:r>
          </w:p>
        </w:tc>
        <w:tc>
          <w:tcPr>
            <w:tcW w:w="1065" w:type="dxa"/>
            <w:tcBorders>
              <w:top w:val="nil"/>
              <w:left w:val="nil"/>
              <w:bottom w:val="nil"/>
              <w:right w:val="nil"/>
            </w:tcBorders>
            <w:shd w:val="clear" w:color="auto" w:fill="auto"/>
            <w:vAlign w:val="center"/>
          </w:tcPr>
          <w:p w14:paraId="28BC17AA">
            <w:pPr>
              <w:keepNext w:val="0"/>
              <w:keepLines w:val="0"/>
              <w:pageBreakBefore w:val="0"/>
              <w:widowControl/>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r>
              <w:rPr>
                <w:rFonts w:hint="default" w:ascii="Times New Roman" w:hAnsi="Times New Roman" w:cs="Times New Roman"/>
                <w:sz w:val="24"/>
                <w:szCs w:val="24"/>
                <w:lang w:val="en-US" w:eastAsia="zh-CN"/>
              </w:rPr>
              <w:t>p-value</w:t>
            </w:r>
          </w:p>
        </w:tc>
        <w:tc>
          <w:tcPr>
            <w:tcW w:w="1215" w:type="dxa"/>
            <w:tcBorders>
              <w:top w:val="nil"/>
              <w:left w:val="nil"/>
              <w:bottom w:val="nil"/>
              <w:right w:val="nil"/>
            </w:tcBorders>
            <w:shd w:val="clear" w:color="auto" w:fill="auto"/>
            <w:vAlign w:val="center"/>
          </w:tcPr>
          <w:p w14:paraId="5498EC92">
            <w:pPr>
              <w:keepNext w:val="0"/>
              <w:keepLines w:val="0"/>
              <w:pageBreakBefore w:val="0"/>
              <w:widowControl/>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r>
              <w:rPr>
                <w:rFonts w:hint="default" w:ascii="Times New Roman" w:hAnsi="Times New Roman" w:cs="Times New Roman"/>
                <w:sz w:val="24"/>
                <w:szCs w:val="24"/>
                <w:lang w:val="en-US" w:eastAsia="zh-CN"/>
              </w:rPr>
              <w:t>Decision</w:t>
            </w:r>
          </w:p>
        </w:tc>
      </w:tr>
      <w:tr w14:paraId="7DDB71B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5265" w:type="dxa"/>
            <w:tcBorders>
              <w:top w:val="nil"/>
              <w:left w:val="nil"/>
              <w:bottom w:val="nil"/>
              <w:right w:val="nil"/>
            </w:tcBorders>
            <w:shd w:val="clear" w:color="auto" w:fill="auto"/>
            <w:vAlign w:val="center"/>
          </w:tcPr>
          <w:p w14:paraId="55A5D96C">
            <w:pPr>
              <w:keepNext w:val="0"/>
              <w:keepLines w:val="0"/>
              <w:pageBreakBefore w:val="0"/>
              <w:widowControl/>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r>
              <w:rPr>
                <w:rFonts w:hint="default" w:ascii="Times New Roman" w:hAnsi="Times New Roman" w:cs="Times New Roman"/>
                <w:sz w:val="24"/>
                <w:szCs w:val="24"/>
                <w:lang w:val="en-US" w:eastAsia="zh-CN"/>
              </w:rPr>
              <w:t>Platform Usage × Risk Tolerance → Speculative Trading</w:t>
            </w:r>
          </w:p>
        </w:tc>
        <w:tc>
          <w:tcPr>
            <w:tcW w:w="1290" w:type="dxa"/>
            <w:tcBorders>
              <w:top w:val="nil"/>
              <w:left w:val="nil"/>
              <w:bottom w:val="nil"/>
              <w:right w:val="nil"/>
            </w:tcBorders>
            <w:shd w:val="clear" w:color="auto" w:fill="auto"/>
            <w:vAlign w:val="center"/>
          </w:tcPr>
          <w:p w14:paraId="17BE228B">
            <w:pPr>
              <w:keepNext w:val="0"/>
              <w:keepLines w:val="0"/>
              <w:pageBreakBefore w:val="0"/>
              <w:widowControl/>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r>
              <w:rPr>
                <w:rFonts w:hint="default" w:ascii="Times New Roman" w:hAnsi="Times New Roman" w:cs="Times New Roman"/>
                <w:sz w:val="24"/>
                <w:szCs w:val="24"/>
                <w:lang w:val="en-US" w:eastAsia="zh-CN"/>
              </w:rPr>
              <w:t>0.227</w:t>
            </w:r>
          </w:p>
        </w:tc>
        <w:tc>
          <w:tcPr>
            <w:tcW w:w="1230" w:type="dxa"/>
            <w:tcBorders>
              <w:top w:val="nil"/>
              <w:left w:val="nil"/>
              <w:bottom w:val="nil"/>
              <w:right w:val="nil"/>
            </w:tcBorders>
            <w:shd w:val="clear" w:color="auto" w:fill="auto"/>
            <w:vAlign w:val="center"/>
          </w:tcPr>
          <w:p w14:paraId="0D502E4A">
            <w:pPr>
              <w:keepNext w:val="0"/>
              <w:keepLines w:val="0"/>
              <w:pageBreakBefore w:val="0"/>
              <w:widowControl/>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r>
              <w:rPr>
                <w:rFonts w:hint="default" w:ascii="Times New Roman" w:hAnsi="Times New Roman" w:cs="Times New Roman"/>
                <w:sz w:val="24"/>
                <w:szCs w:val="24"/>
                <w:lang w:val="en-US" w:eastAsia="zh-CN"/>
              </w:rPr>
              <w:t>3.914</w:t>
            </w:r>
          </w:p>
        </w:tc>
        <w:tc>
          <w:tcPr>
            <w:tcW w:w="1065" w:type="dxa"/>
            <w:tcBorders>
              <w:top w:val="nil"/>
              <w:left w:val="nil"/>
              <w:bottom w:val="nil"/>
              <w:right w:val="nil"/>
            </w:tcBorders>
            <w:shd w:val="clear" w:color="auto" w:fill="auto"/>
            <w:vAlign w:val="center"/>
          </w:tcPr>
          <w:p w14:paraId="128A03AC">
            <w:pPr>
              <w:keepNext w:val="0"/>
              <w:keepLines w:val="0"/>
              <w:pageBreakBefore w:val="0"/>
              <w:widowControl/>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r>
              <w:rPr>
                <w:rFonts w:hint="default" w:ascii="Times New Roman" w:hAnsi="Times New Roman" w:cs="Times New Roman"/>
                <w:sz w:val="24"/>
                <w:szCs w:val="24"/>
                <w:lang w:val="en-US" w:eastAsia="zh-CN"/>
              </w:rPr>
              <w:t>0</w:t>
            </w:r>
          </w:p>
        </w:tc>
        <w:tc>
          <w:tcPr>
            <w:tcW w:w="1215" w:type="dxa"/>
            <w:tcBorders>
              <w:top w:val="nil"/>
              <w:left w:val="nil"/>
              <w:bottom w:val="nil"/>
              <w:right w:val="nil"/>
            </w:tcBorders>
            <w:shd w:val="clear" w:color="auto" w:fill="auto"/>
            <w:vAlign w:val="center"/>
          </w:tcPr>
          <w:p w14:paraId="3C82428B">
            <w:pPr>
              <w:keepNext w:val="0"/>
              <w:keepLines w:val="0"/>
              <w:pageBreakBefore w:val="0"/>
              <w:widowControl/>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r>
              <w:rPr>
                <w:rFonts w:hint="default" w:ascii="Times New Roman" w:hAnsi="Times New Roman" w:cs="Times New Roman"/>
                <w:sz w:val="24"/>
                <w:szCs w:val="24"/>
                <w:lang w:val="en-US" w:eastAsia="zh-CN"/>
              </w:rPr>
              <w:t>Significant</w:t>
            </w:r>
          </w:p>
        </w:tc>
      </w:tr>
    </w:tbl>
    <w:p w14:paraId="02B32FD0">
      <w:pPr>
        <w:pStyle w:val="7"/>
        <w:keepNext w:val="0"/>
        <w:keepLines w:val="0"/>
        <w:pageBreakBefore w:val="0"/>
        <w:widowControl/>
        <w:suppressLineNumbers w:val="0"/>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p>
    <w:p w14:paraId="61E51E28">
      <w:pPr>
        <w:pStyle w:val="7"/>
        <w:keepNext w:val="0"/>
        <w:keepLines w:val="0"/>
        <w:pageBreakBefore w:val="0"/>
        <w:widowControl/>
        <w:suppressLineNumbers w:val="0"/>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r>
        <w:rPr>
          <w:rFonts w:hint="default" w:ascii="Times New Roman" w:hAnsi="Times New Roman" w:cs="Times New Roman"/>
          <w:sz w:val="24"/>
          <w:szCs w:val="24"/>
        </w:rPr>
        <w:t>The result indicates that risk tolerance significantly strengthened the relationship between platform usage and speculative trading. Investors with higher risk tolerance were more likely to engage in speculative trades when exposed to digital trading platforms. This suggests that investor psychology plays an important role in determining how platform access translates into trading behavior.</w:t>
      </w:r>
    </w:p>
    <w:p w14:paraId="5D4AAB97">
      <w:pPr>
        <w:pStyle w:val="7"/>
        <w:keepNext w:val="0"/>
        <w:keepLines w:val="0"/>
        <w:pageBreakBefore w:val="0"/>
        <w:widowControl/>
        <w:suppressLineNumbers w:val="0"/>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p>
    <w:p w14:paraId="34993B85">
      <w:pPr>
        <w:pStyle w:val="3"/>
        <w:keepNext w:val="0"/>
        <w:keepLines w:val="0"/>
        <w:pageBreakBefore w:val="0"/>
        <w:widowControl/>
        <w:suppressLineNumbers w:val="0"/>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r>
        <w:rPr>
          <w:rFonts w:hint="default" w:ascii="Times New Roman" w:hAnsi="Times New Roman" w:cs="Times New Roman"/>
          <w:sz w:val="24"/>
          <w:szCs w:val="24"/>
        </w:rPr>
        <w:t>4.9 Discussion of Findings</w:t>
      </w:r>
    </w:p>
    <w:p w14:paraId="63209C5F">
      <w:pPr>
        <w:pStyle w:val="7"/>
        <w:keepNext w:val="0"/>
        <w:keepLines w:val="0"/>
        <w:pageBreakBefore w:val="0"/>
        <w:widowControl/>
        <w:suppressLineNumbers w:val="0"/>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r>
        <w:rPr>
          <w:rFonts w:hint="default" w:ascii="Times New Roman" w:hAnsi="Times New Roman" w:cs="Times New Roman"/>
          <w:sz w:val="24"/>
          <w:szCs w:val="24"/>
        </w:rPr>
        <w:t>The findings support Behavioral Finance Theory, the Technology Acceptance Model, and Prospect Theory. The positive relationship between platform accessibility and trading intensity confirms the Technology Acceptance Model, which argues that perceived ease of use and usefulness influence technology adoption. Investors in Nigeria, Kenya, and India traded more actively because digital platforms provided convenience, low transaction costs, fast onboarding, and real-time access to market information.</w:t>
      </w:r>
    </w:p>
    <w:p w14:paraId="2267DE91">
      <w:pPr>
        <w:pStyle w:val="7"/>
        <w:keepNext w:val="0"/>
        <w:keepLines w:val="0"/>
        <w:pageBreakBefore w:val="0"/>
        <w:widowControl/>
        <w:suppressLineNumbers w:val="0"/>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r>
        <w:rPr>
          <w:rFonts w:hint="default" w:ascii="Times New Roman" w:hAnsi="Times New Roman" w:cs="Times New Roman"/>
          <w:sz w:val="24"/>
          <w:szCs w:val="24"/>
        </w:rPr>
        <w:t>The significant effect of gamification on overtrading supports Behavioral Finance Theory. Reward notifications, achievement prompts, and interactive interfaces appear to stimulate excessive trading and emotionally driven market participation. This finding suggests that platform design can influence investors beyond rational financial evaluation.</w:t>
      </w:r>
    </w:p>
    <w:p w14:paraId="2CF0BFE6">
      <w:pPr>
        <w:pStyle w:val="7"/>
        <w:keepNext w:val="0"/>
        <w:keepLines w:val="0"/>
        <w:pageBreakBefore w:val="0"/>
        <w:widowControl/>
        <w:suppressLineNumbers w:val="0"/>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r>
        <w:rPr>
          <w:rFonts w:hint="default" w:ascii="Times New Roman" w:hAnsi="Times New Roman" w:cs="Times New Roman"/>
          <w:sz w:val="24"/>
          <w:szCs w:val="24"/>
        </w:rPr>
        <w:t>The strong relationship between finfluencer exposure and herding behavior also supports the behavioral finance argument that investors are influenced by social signals, crowd behavior, and emotional market narratives. Retail investors increasingly rely on YouTube, TikTok, Telegram, Discord, and online investment communities for trading information. This increases the likelihood of trend-following, imitation, and speculative market participation.</w:t>
      </w:r>
    </w:p>
    <w:p w14:paraId="7CF6EB85">
      <w:pPr>
        <w:pStyle w:val="7"/>
        <w:keepNext w:val="0"/>
        <w:keepLines w:val="0"/>
        <w:pageBreakBefore w:val="0"/>
        <w:widowControl/>
        <w:suppressLineNumbers w:val="0"/>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r>
        <w:rPr>
          <w:rFonts w:hint="default" w:ascii="Times New Roman" w:hAnsi="Times New Roman" w:cs="Times New Roman"/>
          <w:sz w:val="24"/>
          <w:szCs w:val="24"/>
        </w:rPr>
        <w:t>The mediating role of financial literacy shows that investor knowledge can reduce irrational trading tendencies and improve investment decision-making. However, the persistence of direct platform effects suggests that financially literate investors may still be influenced by platform design, instant access, and social media-driven market pressure.</w:t>
      </w:r>
    </w:p>
    <w:p w14:paraId="13AED974">
      <w:pPr>
        <w:pStyle w:val="7"/>
        <w:keepNext w:val="0"/>
        <w:keepLines w:val="0"/>
        <w:pageBreakBefore w:val="0"/>
        <w:widowControl/>
        <w:suppressLineNumbers w:val="0"/>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r>
        <w:rPr>
          <w:rFonts w:hint="default" w:ascii="Times New Roman" w:hAnsi="Times New Roman" w:cs="Times New Roman"/>
          <w:sz w:val="24"/>
          <w:szCs w:val="24"/>
        </w:rPr>
        <w:t>The moderating effect of risk tolerance supports Prospect Theory. Investors with higher risk tolerance were more likely to engage in speculative trading when using digital investment platforms. This suggests that digital market access becomes more behaviorally risky when it interacts with a strong appetite for volatility and short-term returns.</w:t>
      </w:r>
    </w:p>
    <w:p w14:paraId="3E147843">
      <w:pPr>
        <w:pStyle w:val="7"/>
        <w:keepNext w:val="0"/>
        <w:keepLines w:val="0"/>
        <w:pageBreakBefore w:val="0"/>
        <w:widowControl/>
        <w:suppressLineNumbers w:val="0"/>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r>
        <w:rPr>
          <w:rFonts w:hint="default" w:ascii="Times New Roman" w:hAnsi="Times New Roman" w:cs="Times New Roman"/>
          <w:sz w:val="24"/>
          <w:szCs w:val="24"/>
        </w:rPr>
        <w:t>Overall, the results show that digital trading platforms have expanded market access and supported retail participation in emerging economies. However, they have also increased exposure to behavioral risks such as overtrading, herding, speculative trading, and social media-driven investment decisions. These findings point to the need for stronger investor education, responsible platform governance, and clearer regulation of finfluencer activities in emerging digital financial markets.</w:t>
      </w:r>
    </w:p>
    <w:p w14:paraId="20076DAA">
      <w:pPr>
        <w:pStyle w:val="7"/>
        <w:keepNext w:val="0"/>
        <w:keepLines w:val="0"/>
        <w:pageBreakBefore w:val="0"/>
        <w:widowControl/>
        <w:suppressLineNumbers w:val="0"/>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p>
    <w:p w14:paraId="067BF86D">
      <w:pPr>
        <w:pStyle w:val="2"/>
        <w:keepNext w:val="0"/>
        <w:keepLines w:val="0"/>
        <w:pageBreakBefore w:val="0"/>
        <w:widowControl/>
        <w:suppressLineNumbers w:val="0"/>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8"/>
          <w:szCs w:val="28"/>
        </w:rPr>
      </w:pPr>
      <w:r>
        <w:rPr>
          <w:rFonts w:hint="default" w:ascii="Times New Roman" w:hAnsi="Times New Roman" w:cs="Times New Roman"/>
          <w:sz w:val="28"/>
          <w:szCs w:val="28"/>
        </w:rPr>
        <w:t>5.0 Summary, Conclusion, and Recommendations</w:t>
      </w:r>
    </w:p>
    <w:p w14:paraId="418AD69A">
      <w:pPr>
        <w:pStyle w:val="3"/>
        <w:keepNext w:val="0"/>
        <w:keepLines w:val="0"/>
        <w:pageBreakBefore w:val="0"/>
        <w:widowControl/>
        <w:suppressLineNumbers w:val="0"/>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r>
        <w:rPr>
          <w:rFonts w:hint="default" w:ascii="Times New Roman" w:hAnsi="Times New Roman" w:cs="Times New Roman"/>
          <w:sz w:val="24"/>
          <w:szCs w:val="24"/>
        </w:rPr>
        <w:t>5.1 Summary of Findings</w:t>
      </w:r>
    </w:p>
    <w:p w14:paraId="7E7E957E">
      <w:pPr>
        <w:pStyle w:val="7"/>
        <w:keepNext w:val="0"/>
        <w:keepLines w:val="0"/>
        <w:pageBreakBefore w:val="0"/>
        <w:widowControl/>
        <w:suppressLineNumbers w:val="0"/>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r>
        <w:rPr>
          <w:rFonts w:hint="default" w:ascii="Times New Roman" w:hAnsi="Times New Roman" w:cs="Times New Roman"/>
          <w:sz w:val="24"/>
          <w:szCs w:val="24"/>
        </w:rPr>
        <w:t>This study examined how digital trading platforms influence retail investor behavior in emerging markets, with evidence from Nigeria, Kenya, and India. The study was anchored on Behavioral Finance Theory, the Technology Acceptance Model, and Prospect Theory. These theories helped explain how platform accessibility, gamification, finfluencer exposure, financial literacy, and risk tolerance shape trading intensity, overtrading, herding behavior, and speculative investment decisions.</w:t>
      </w:r>
    </w:p>
    <w:p w14:paraId="54946119">
      <w:pPr>
        <w:pStyle w:val="7"/>
        <w:keepNext w:val="0"/>
        <w:keepLines w:val="0"/>
        <w:pageBreakBefore w:val="0"/>
        <w:widowControl/>
        <w:suppressLineNumbers w:val="0"/>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r>
        <w:rPr>
          <w:rFonts w:hint="default" w:ascii="Times New Roman" w:hAnsi="Times New Roman" w:cs="Times New Roman"/>
          <w:sz w:val="24"/>
          <w:szCs w:val="24"/>
        </w:rPr>
        <w:t xml:space="preserve">The study adopted an explanatory sequential mixed-method design. Quantitative data were collected from 814 retail investors using digital investment platforms such as Bamboo, Trove, Risevest, Zerodha, Groww, eToro, and Chipper Cash Investing. The analysis was conducted using Partial Least Squares Structural Equation Modeling, supported by supplementary statistical analysis in STATA. Qualitative interviews were also used to provide deeper explanations of investor experiences within digital trading environments. </w:t>
      </w:r>
    </w:p>
    <w:p w14:paraId="10082F53">
      <w:pPr>
        <w:pStyle w:val="7"/>
        <w:keepNext w:val="0"/>
        <w:keepLines w:val="0"/>
        <w:pageBreakBefore w:val="0"/>
        <w:widowControl/>
        <w:suppressLineNumbers w:val="0"/>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r>
        <w:rPr>
          <w:rFonts w:hint="default" w:ascii="Times New Roman" w:hAnsi="Times New Roman" w:cs="Times New Roman"/>
          <w:sz w:val="24"/>
          <w:szCs w:val="24"/>
        </w:rPr>
        <w:t>The findings showed that platform accessibility significantly increased trading intensity. Retail investors traded more actively when platforms offered mobile convenience, low transaction costs, ease of use, quick onboarding, and real-time market access. This confirms that accessible digital platforms are expanding retail participation in capital markets across emerging economies.</w:t>
      </w:r>
    </w:p>
    <w:p w14:paraId="48BAC3DB">
      <w:pPr>
        <w:pStyle w:val="7"/>
        <w:keepNext w:val="0"/>
        <w:keepLines w:val="0"/>
        <w:pageBreakBefore w:val="0"/>
        <w:widowControl/>
        <w:suppressLineNumbers w:val="0"/>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r>
        <w:rPr>
          <w:rFonts w:hint="default" w:ascii="Times New Roman" w:hAnsi="Times New Roman" w:cs="Times New Roman"/>
          <w:sz w:val="24"/>
          <w:szCs w:val="24"/>
        </w:rPr>
        <w:t>The study also found that gamification significantly increased overtrading behavior. Features such as reward notifications, achievement prompts, real-time alerts, and interactive interfaces encouraged frequent trading and speculative market engagement. This suggests that platform design can influence investors’ behavior beyond rational financial planning.</w:t>
      </w:r>
    </w:p>
    <w:p w14:paraId="23845B63">
      <w:pPr>
        <w:pStyle w:val="7"/>
        <w:keepNext w:val="0"/>
        <w:keepLines w:val="0"/>
        <w:pageBreakBefore w:val="0"/>
        <w:widowControl/>
        <w:suppressLineNumbers w:val="0"/>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r>
        <w:rPr>
          <w:rFonts w:hint="default" w:ascii="Times New Roman" w:hAnsi="Times New Roman" w:cs="Times New Roman"/>
          <w:sz w:val="24"/>
          <w:szCs w:val="24"/>
        </w:rPr>
        <w:t>Finfluencer exposure had a significant positive effect on herding behavior. Retail investors who relied on YouTube, TikTok, Telegram, Discord, and online investment communities were more likely to imitate others and follow market trends. This shows that social media investment content has become a strong driver of retail trading decisions in emerging digital markets.</w:t>
      </w:r>
    </w:p>
    <w:p w14:paraId="19E8B07D">
      <w:pPr>
        <w:pStyle w:val="7"/>
        <w:keepNext w:val="0"/>
        <w:keepLines w:val="0"/>
        <w:pageBreakBefore w:val="0"/>
        <w:widowControl/>
        <w:suppressLineNumbers w:val="0"/>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r>
        <w:rPr>
          <w:rFonts w:hint="default" w:ascii="Times New Roman" w:hAnsi="Times New Roman" w:cs="Times New Roman"/>
          <w:sz w:val="24"/>
          <w:szCs w:val="24"/>
        </w:rPr>
        <w:t>The mediation analysis showed that financial literacy partially mediated the relationship between digital trading platforms and trading intensity. This implies that financially literate investors were better able to interpret investment information and manage speculative tendencies. However, the partial mediation result also indicates that platform design still directly influenced trading behavior.</w:t>
      </w:r>
    </w:p>
    <w:p w14:paraId="250F3066">
      <w:pPr>
        <w:pStyle w:val="7"/>
        <w:keepNext w:val="0"/>
        <w:keepLines w:val="0"/>
        <w:pageBreakBefore w:val="0"/>
        <w:widowControl/>
        <w:suppressLineNumbers w:val="0"/>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r>
        <w:rPr>
          <w:rFonts w:hint="default" w:ascii="Times New Roman" w:hAnsi="Times New Roman" w:cs="Times New Roman"/>
          <w:sz w:val="24"/>
          <w:szCs w:val="24"/>
        </w:rPr>
        <w:t>The moderation analysis further revealed that risk tolerance strengthened speculative trading behavior. Investors with higher risk tolerance were more likely to engage in volatile and short-term trading when using digital platforms. Overall, the findings show that digital trading ecosystems are reshaping retail investment behavior through technology, social influence, and behavioral finance dynamics.</w:t>
      </w:r>
    </w:p>
    <w:p w14:paraId="50F33299">
      <w:pPr>
        <w:pStyle w:val="7"/>
        <w:keepNext w:val="0"/>
        <w:keepLines w:val="0"/>
        <w:pageBreakBefore w:val="0"/>
        <w:widowControl/>
        <w:suppressLineNumbers w:val="0"/>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p>
    <w:p w14:paraId="1D899BF4">
      <w:pPr>
        <w:pStyle w:val="3"/>
        <w:keepNext w:val="0"/>
        <w:keepLines w:val="0"/>
        <w:pageBreakBefore w:val="0"/>
        <w:widowControl/>
        <w:suppressLineNumbers w:val="0"/>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r>
        <w:rPr>
          <w:rFonts w:hint="default" w:ascii="Times New Roman" w:hAnsi="Times New Roman" w:cs="Times New Roman"/>
          <w:sz w:val="24"/>
          <w:szCs w:val="24"/>
        </w:rPr>
        <w:t>5.2 Conclusion</w:t>
      </w:r>
    </w:p>
    <w:p w14:paraId="0F6694D7">
      <w:pPr>
        <w:pStyle w:val="7"/>
        <w:keepNext w:val="0"/>
        <w:keepLines w:val="0"/>
        <w:pageBreakBefore w:val="0"/>
        <w:widowControl/>
        <w:suppressLineNumbers w:val="0"/>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r>
        <w:rPr>
          <w:rFonts w:hint="default" w:ascii="Times New Roman" w:hAnsi="Times New Roman" w:cs="Times New Roman"/>
          <w:sz w:val="24"/>
          <w:szCs w:val="24"/>
        </w:rPr>
        <w:t>The study concludes that digital trading platforms have significantly transformed retail participation in emerging capital markets. Mobile-based investment systems have improved financial inclusion, reduced entry barriers, and made investment opportunities more accessible to individual investors. This is particularly important in emerging economies where traditional brokerage access remains limited.</w:t>
      </w:r>
    </w:p>
    <w:p w14:paraId="52E9CDE7">
      <w:pPr>
        <w:pStyle w:val="7"/>
        <w:keepNext w:val="0"/>
        <w:keepLines w:val="0"/>
        <w:pageBreakBefore w:val="0"/>
        <w:widowControl/>
        <w:suppressLineNumbers w:val="0"/>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r>
        <w:rPr>
          <w:rFonts w:hint="default" w:ascii="Times New Roman" w:hAnsi="Times New Roman" w:cs="Times New Roman"/>
          <w:sz w:val="24"/>
          <w:szCs w:val="24"/>
        </w:rPr>
        <w:t>However, the study also concludes that the benefits of digital trading platforms come with serious behavioral and regulatory risks. Platform accessibility increases trading participation, but it may also encourage excessive trading when investors act without adequate analysis. Gamification improves user engagement, but it can also stimulate overtrading and speculative behavior. Finfluencer content may improve financial awareness, but it can equally promote herd behavior, misinformation, and emotionally driven investment decisions.</w:t>
      </w:r>
    </w:p>
    <w:p w14:paraId="60D9BE6A">
      <w:pPr>
        <w:pStyle w:val="7"/>
        <w:keepNext w:val="0"/>
        <w:keepLines w:val="0"/>
        <w:pageBreakBefore w:val="0"/>
        <w:widowControl/>
        <w:suppressLineNumbers w:val="0"/>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r>
        <w:rPr>
          <w:rFonts w:hint="default" w:ascii="Times New Roman" w:hAnsi="Times New Roman" w:cs="Times New Roman"/>
          <w:sz w:val="24"/>
          <w:szCs w:val="24"/>
        </w:rPr>
        <w:t>Financial literacy remains a key protective factor. Investors with stronger financial knowledge are better positioned to assess risks, interpret market information, and avoid impulsive decisions. However, the study shows that financial literacy alone may not fully neutralize the behavioral effects of digital platform design and social media influence.</w:t>
      </w:r>
    </w:p>
    <w:p w14:paraId="4E1BBCB2">
      <w:pPr>
        <w:pStyle w:val="7"/>
        <w:keepNext w:val="0"/>
        <w:keepLines w:val="0"/>
        <w:pageBreakBefore w:val="0"/>
        <w:widowControl/>
        <w:suppressLineNumbers w:val="0"/>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r>
        <w:rPr>
          <w:rFonts w:hint="default" w:ascii="Times New Roman" w:hAnsi="Times New Roman" w:cs="Times New Roman"/>
          <w:sz w:val="24"/>
          <w:szCs w:val="24"/>
        </w:rPr>
        <w:t>The study further concludes that risk tolerance plays an important role in speculative trading. Investors with a stronger appetite for risk are more likely to respond aggressively to mobile trading opportunities, real-time market alerts, and online investment narratives.</w:t>
      </w:r>
    </w:p>
    <w:p w14:paraId="1113B8E3">
      <w:pPr>
        <w:pStyle w:val="7"/>
        <w:keepNext w:val="0"/>
        <w:keepLines w:val="0"/>
        <w:pageBreakBefore w:val="0"/>
        <w:widowControl/>
        <w:suppressLineNumbers w:val="0"/>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r>
        <w:rPr>
          <w:rFonts w:hint="default" w:ascii="Times New Roman" w:hAnsi="Times New Roman" w:cs="Times New Roman"/>
          <w:sz w:val="24"/>
          <w:szCs w:val="24"/>
        </w:rPr>
        <w:t>In broader terms, the findings show that digital investment ecosystems in Nigeria, Kenya, and India require stronger investor protection, ethical platform governance, and clearer regulation of online financial promotion. Digital trading platforms can support inclusive capital market development, but their long-term value depends on how well regulators, platforms, and investors manage the behavioral risks attached to digital investing.</w:t>
      </w:r>
    </w:p>
    <w:p w14:paraId="3DFEFE5D">
      <w:pPr>
        <w:pStyle w:val="7"/>
        <w:keepNext w:val="0"/>
        <w:keepLines w:val="0"/>
        <w:pageBreakBefore w:val="0"/>
        <w:widowControl/>
        <w:suppressLineNumbers w:val="0"/>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p>
    <w:p w14:paraId="334397DC">
      <w:pPr>
        <w:pStyle w:val="3"/>
        <w:keepNext w:val="0"/>
        <w:keepLines w:val="0"/>
        <w:pageBreakBefore w:val="0"/>
        <w:widowControl/>
        <w:suppressLineNumbers w:val="0"/>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r>
        <w:rPr>
          <w:rFonts w:hint="default" w:ascii="Times New Roman" w:hAnsi="Times New Roman" w:cs="Times New Roman"/>
          <w:sz w:val="24"/>
          <w:szCs w:val="24"/>
        </w:rPr>
        <w:t>5.3 Recommendations</w:t>
      </w:r>
    </w:p>
    <w:p w14:paraId="3F780865">
      <w:pPr>
        <w:pStyle w:val="7"/>
        <w:keepNext w:val="0"/>
        <w:keepLines w:val="0"/>
        <w:pageBreakBefore w:val="0"/>
        <w:widowControl/>
        <w:suppressLineNumbers w:val="0"/>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r>
        <w:rPr>
          <w:rFonts w:hint="default" w:ascii="Times New Roman" w:hAnsi="Times New Roman" w:cs="Times New Roman"/>
          <w:sz w:val="24"/>
          <w:szCs w:val="24"/>
        </w:rPr>
        <w:t>Regulators should develop clearer rules for finfluencer activities and online financial promotion. Securities regulators, central banks, and capital market authorities should require financial content creators to disclose paid promotions, sponsorships, conflicts of interest, and the risks attached to investment recommendations. This will reduce misinformation and protect inexperienced retail investors.</w:t>
      </w:r>
    </w:p>
    <w:p w14:paraId="73615854">
      <w:pPr>
        <w:pStyle w:val="7"/>
        <w:keepNext w:val="0"/>
        <w:keepLines w:val="0"/>
        <w:pageBreakBefore w:val="0"/>
        <w:widowControl/>
        <w:suppressLineNumbers w:val="0"/>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r>
        <w:rPr>
          <w:rFonts w:hint="default" w:ascii="Times New Roman" w:hAnsi="Times New Roman" w:cs="Times New Roman"/>
          <w:sz w:val="24"/>
          <w:szCs w:val="24"/>
        </w:rPr>
        <w:t>Regulators should also strengthen digital investor education. Financial literacy programmes should focus on digital investment risks, behavioral biases, portfolio diversification, speculative trading, and responsible use of mobile trading applications. These programmes should target young investors because the study shows that digital trading participation is concentrated among younger age groups.</w:t>
      </w:r>
    </w:p>
    <w:p w14:paraId="777AFC36">
      <w:pPr>
        <w:pStyle w:val="7"/>
        <w:keepNext w:val="0"/>
        <w:keepLines w:val="0"/>
        <w:pageBreakBefore w:val="0"/>
        <w:widowControl/>
        <w:suppressLineNumbers w:val="0"/>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r>
        <w:rPr>
          <w:rFonts w:hint="default" w:ascii="Times New Roman" w:hAnsi="Times New Roman" w:cs="Times New Roman"/>
          <w:sz w:val="24"/>
          <w:szCs w:val="24"/>
        </w:rPr>
        <w:t>Digital trading platforms should adopt ethical design standards. Features that encourage excessive engagement, such as aggressive notifications, reward prompts, and psychologically manipulative trading cues, should be moderated. Platforms should focus more on responsible investing than on maximizing trading frequency.</w:t>
      </w:r>
    </w:p>
    <w:p w14:paraId="3D15620B">
      <w:pPr>
        <w:pStyle w:val="7"/>
        <w:keepNext w:val="0"/>
        <w:keepLines w:val="0"/>
        <w:pageBreakBefore w:val="0"/>
        <w:widowControl/>
        <w:suppressLineNumbers w:val="0"/>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r>
        <w:rPr>
          <w:rFonts w:hint="default" w:ascii="Times New Roman" w:hAnsi="Times New Roman" w:cs="Times New Roman"/>
          <w:sz w:val="24"/>
          <w:szCs w:val="24"/>
        </w:rPr>
        <w:t>Platforms should also integrate risk warnings and investor education tools directly into their applications. For example, before a user executes frequent trades or buys highly volatile assets, the platform should display clear warnings on risk exposure, diversification, and possible losses. This would help investors pause and reassess their decisions before trading.</w:t>
      </w:r>
    </w:p>
    <w:p w14:paraId="432C806F">
      <w:pPr>
        <w:pStyle w:val="7"/>
        <w:keepNext w:val="0"/>
        <w:keepLines w:val="0"/>
        <w:pageBreakBefore w:val="0"/>
        <w:widowControl/>
        <w:suppressLineNumbers w:val="0"/>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r>
        <w:rPr>
          <w:rFonts w:hint="default" w:ascii="Times New Roman" w:hAnsi="Times New Roman" w:cs="Times New Roman"/>
          <w:sz w:val="24"/>
          <w:szCs w:val="24"/>
        </w:rPr>
        <w:t>Brokerage firms and FinTech operators should improve algorithm transparency. Investors should understand how recommendations, alerts, and platform prompts are generated. This is important because opaque recommendation systems may expose inexperienced users to unsuitable or high-risk investment decisions.</w:t>
      </w:r>
    </w:p>
    <w:p w14:paraId="239828F5">
      <w:pPr>
        <w:pStyle w:val="7"/>
        <w:keepNext w:val="0"/>
        <w:keepLines w:val="0"/>
        <w:pageBreakBefore w:val="0"/>
        <w:widowControl/>
        <w:suppressLineNumbers w:val="0"/>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r>
        <w:rPr>
          <w:rFonts w:hint="default" w:ascii="Times New Roman" w:hAnsi="Times New Roman" w:cs="Times New Roman"/>
          <w:sz w:val="24"/>
          <w:szCs w:val="24"/>
        </w:rPr>
        <w:t>Retail investors should avoid relying solely on social media investment advice. Information from TikTok, YouTube, Telegram, Discord, and online trading communities should be verified through credible financial sources, regulated investment advisers, and official market disclosures.</w:t>
      </w:r>
    </w:p>
    <w:p w14:paraId="034C5DBC">
      <w:pPr>
        <w:pStyle w:val="7"/>
        <w:keepNext w:val="0"/>
        <w:keepLines w:val="0"/>
        <w:pageBreakBefore w:val="0"/>
        <w:widowControl/>
        <w:suppressLineNumbers w:val="0"/>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r>
        <w:rPr>
          <w:rFonts w:hint="default" w:ascii="Times New Roman" w:hAnsi="Times New Roman" w:cs="Times New Roman"/>
          <w:sz w:val="24"/>
          <w:szCs w:val="24"/>
        </w:rPr>
        <w:t>Retail investors should also build stronger behavioral discipline. They should avoid panic trading, herd-following, overconfidence, and excessive short-term speculation. A more disciplined strategy should emphasize long-term planning, diversification, risk management, and proper understanding of investment products.</w:t>
      </w:r>
    </w:p>
    <w:p w14:paraId="70E45A2C">
      <w:pPr>
        <w:pStyle w:val="7"/>
        <w:keepNext w:val="0"/>
        <w:keepLines w:val="0"/>
        <w:pageBreakBefore w:val="0"/>
        <w:widowControl/>
        <w:suppressLineNumbers w:val="0"/>
        <w:kinsoku/>
        <w:wordWrap/>
        <w:overflowPunct/>
        <w:topLinePunct w:val="0"/>
        <w:autoSpaceDE/>
        <w:autoSpaceDN/>
        <w:bidi w:val="0"/>
        <w:adjustRightInd/>
        <w:snapToGrid/>
        <w:spacing w:beforeAutospacing="0" w:afterAutospacing="0"/>
        <w:jc w:val="both"/>
        <w:rPr>
          <w:rFonts w:hint="default" w:ascii="Times New Roman" w:hAnsi="Times New Roman" w:cs="Times New Roman"/>
          <w:sz w:val="24"/>
          <w:szCs w:val="24"/>
        </w:rPr>
      </w:pPr>
      <w:r>
        <w:rPr>
          <w:rFonts w:hint="default" w:ascii="Times New Roman" w:hAnsi="Times New Roman" w:cs="Times New Roman"/>
          <w:sz w:val="24"/>
          <w:szCs w:val="24"/>
        </w:rPr>
        <w:t>Finally, emerging-market regulators should promote collaboration among securities regulators, stock exchanges, FinTech firms, consumer protection agencies, and financial literacy institutions. This coordinated approach will help ensure that digital trading platforms support financial inclusion while reducing the behavioral risks associated with mobile investing.</w:t>
      </w:r>
    </w:p>
    <w:p w14:paraId="289D5EA8">
      <w:pPr>
        <w:pStyle w:val="7"/>
        <w:keepNext w:val="0"/>
        <w:keepLines w:val="0"/>
        <w:pageBreakBefore w:val="0"/>
        <w:widowControl/>
        <w:suppressLineNumbers w:val="0"/>
        <w:tabs>
          <w:tab w:val="left" w:pos="400"/>
        </w:tabs>
        <w:kinsoku/>
        <w:wordWrap/>
        <w:overflowPunct/>
        <w:topLinePunct w:val="0"/>
        <w:autoSpaceDE/>
        <w:autoSpaceDN/>
        <w:bidi w:val="0"/>
        <w:adjustRightInd/>
        <w:snapToGrid/>
        <w:spacing w:beforeAutospacing="0" w:afterAutospacing="0"/>
        <w:jc w:val="both"/>
        <w:rPr>
          <w:rFonts w:hint="default" w:ascii="Times New Roman" w:hAnsi="Times New Roman" w:cs="Times New Roman"/>
          <w:b w:val="0"/>
          <w:bCs w:val="0"/>
          <w:sz w:val="24"/>
          <w:szCs w:val="24"/>
          <w:lang w:val="en-CA"/>
        </w:rPr>
      </w:pPr>
    </w:p>
    <w:p w14:paraId="5B3CDAA4">
      <w:pPr>
        <w:pStyle w:val="7"/>
        <w:keepNext w:val="0"/>
        <w:keepLines w:val="0"/>
        <w:pageBreakBefore w:val="0"/>
        <w:widowControl/>
        <w:suppressLineNumbers w:val="0"/>
        <w:tabs>
          <w:tab w:val="left" w:pos="400"/>
        </w:tabs>
        <w:kinsoku/>
        <w:wordWrap/>
        <w:overflowPunct/>
        <w:topLinePunct w:val="0"/>
        <w:autoSpaceDE/>
        <w:autoSpaceDN/>
        <w:bidi w:val="0"/>
        <w:adjustRightInd/>
        <w:snapToGrid/>
        <w:spacing w:beforeAutospacing="0" w:afterAutospacing="0"/>
        <w:jc w:val="both"/>
        <w:rPr>
          <w:rFonts w:hint="default" w:ascii="Times New Roman" w:hAnsi="Times New Roman" w:cs="Times New Roman"/>
          <w:b w:val="0"/>
          <w:bCs w:val="0"/>
          <w:sz w:val="24"/>
          <w:szCs w:val="24"/>
          <w:lang w:val="en-CA"/>
        </w:rPr>
      </w:pPr>
    </w:p>
    <w:p w14:paraId="0BA8A136">
      <w:pPr>
        <w:rPr>
          <w:rFonts w:hint="default" w:ascii="Times New Roman" w:hAnsi="Times New Roman" w:cs="Times New Roman"/>
          <w:b/>
          <w:bCs/>
          <w:sz w:val="24"/>
          <w:szCs w:val="24"/>
        </w:rPr>
      </w:pPr>
      <w:r>
        <w:rPr>
          <w:rFonts w:hint="default" w:ascii="Times New Roman" w:hAnsi="Times New Roman" w:cs="Times New Roman"/>
          <w:b/>
          <w:bCs/>
          <w:sz w:val="24"/>
          <w:szCs w:val="24"/>
        </w:rPr>
        <w:t>References</w:t>
      </w:r>
    </w:p>
    <w:p w14:paraId="4C9D182C">
      <w:pPr>
        <w:rPr>
          <w:rFonts w:hint="default" w:ascii="Times New Roman" w:hAnsi="Times New Roman" w:cs="Times New Roman"/>
          <w:sz w:val="24"/>
          <w:szCs w:val="24"/>
        </w:rPr>
      </w:pPr>
    </w:p>
    <w:p w14:paraId="13F980D3">
      <w:pPr>
        <w:rPr>
          <w:rFonts w:hint="default" w:ascii="Times New Roman" w:hAnsi="Times New Roman" w:cs="Times New Roman"/>
          <w:sz w:val="24"/>
          <w:szCs w:val="24"/>
        </w:rPr>
      </w:pPr>
      <w:r>
        <w:rPr>
          <w:rFonts w:hint="default" w:ascii="Times New Roman" w:hAnsi="Times New Roman" w:cs="Times New Roman"/>
          <w:sz w:val="24"/>
          <w:szCs w:val="24"/>
        </w:rPr>
        <w:t>Abedin, T., Nusrat, T., Rahman, M., &amp; Hossain, M. (2024). Social media investing and retail investor behavior in digital financial markets. Journal of Behavioral and Experimental Finance, 41, 100892.</w:t>
      </w:r>
    </w:p>
    <w:p w14:paraId="33C353A7">
      <w:pPr>
        <w:rPr>
          <w:rFonts w:hint="default" w:ascii="Times New Roman" w:hAnsi="Times New Roman" w:cs="Times New Roman"/>
          <w:sz w:val="24"/>
          <w:szCs w:val="24"/>
        </w:rPr>
      </w:pPr>
    </w:p>
    <w:p w14:paraId="37693AB9">
      <w:pPr>
        <w:rPr>
          <w:rFonts w:hint="default" w:ascii="Times New Roman" w:hAnsi="Times New Roman" w:cs="Times New Roman"/>
          <w:sz w:val="24"/>
          <w:szCs w:val="24"/>
        </w:rPr>
      </w:pPr>
      <w:r>
        <w:rPr>
          <w:rFonts w:hint="default" w:ascii="Times New Roman" w:hAnsi="Times New Roman" w:cs="Times New Roman"/>
          <w:sz w:val="24"/>
          <w:szCs w:val="24"/>
        </w:rPr>
        <w:t>Agyekum, H., Senyo, P. K., &amp; Boateng, R. (2022). Digital financial inclusion and fintech adoption in emerging African economies. Technological Forecasting and Social Change, 181, 121745.</w:t>
      </w:r>
    </w:p>
    <w:p w14:paraId="1025C8B3">
      <w:pPr>
        <w:rPr>
          <w:rFonts w:hint="default" w:ascii="Times New Roman" w:hAnsi="Times New Roman" w:cs="Times New Roman"/>
          <w:sz w:val="24"/>
          <w:szCs w:val="24"/>
        </w:rPr>
      </w:pPr>
    </w:p>
    <w:p w14:paraId="547A4B48">
      <w:pPr>
        <w:rPr>
          <w:rFonts w:hint="default" w:ascii="Times New Roman" w:hAnsi="Times New Roman" w:cs="Times New Roman"/>
          <w:sz w:val="24"/>
          <w:szCs w:val="24"/>
        </w:rPr>
      </w:pPr>
      <w:r>
        <w:rPr>
          <w:rFonts w:hint="default" w:ascii="Times New Roman" w:hAnsi="Times New Roman" w:cs="Times New Roman"/>
          <w:sz w:val="24"/>
          <w:szCs w:val="24"/>
        </w:rPr>
        <w:t>Alalwan, A. A., Dwivedi, Y. K., Rana, N. P., &amp; Simintiras, A. C. (2021). Mobile banking adoption and usage in the digital age: Extending the Technology Acceptance Model. International Journal of Information Management, 57, 102328.</w:t>
      </w:r>
    </w:p>
    <w:p w14:paraId="4DE6C54A">
      <w:pPr>
        <w:rPr>
          <w:rFonts w:hint="default" w:ascii="Times New Roman" w:hAnsi="Times New Roman" w:cs="Times New Roman"/>
          <w:sz w:val="24"/>
          <w:szCs w:val="24"/>
        </w:rPr>
      </w:pPr>
    </w:p>
    <w:p w14:paraId="6453FBB2">
      <w:pPr>
        <w:rPr>
          <w:rFonts w:hint="default" w:ascii="Times New Roman" w:hAnsi="Times New Roman" w:cs="Times New Roman"/>
          <w:sz w:val="24"/>
          <w:szCs w:val="24"/>
        </w:rPr>
      </w:pPr>
      <w:r>
        <w:rPr>
          <w:rFonts w:hint="default" w:ascii="Times New Roman" w:hAnsi="Times New Roman" w:cs="Times New Roman"/>
          <w:sz w:val="24"/>
          <w:szCs w:val="24"/>
        </w:rPr>
        <w:t>Bailey, M., Cao, R., Kuchler, T., Stroebel, J., &amp; Wong, A. (2021). Social connectedness and stock market participation during the COVID-19 pandemic. Journal of Financial Economics, 142(1), 1–23.</w:t>
      </w:r>
    </w:p>
    <w:p w14:paraId="0B72D317">
      <w:pPr>
        <w:rPr>
          <w:rFonts w:hint="default" w:ascii="Times New Roman" w:hAnsi="Times New Roman" w:cs="Times New Roman"/>
          <w:sz w:val="24"/>
          <w:szCs w:val="24"/>
        </w:rPr>
      </w:pPr>
    </w:p>
    <w:p w14:paraId="7536F6CA">
      <w:pPr>
        <w:rPr>
          <w:rFonts w:hint="default" w:ascii="Times New Roman" w:hAnsi="Times New Roman" w:cs="Times New Roman"/>
          <w:sz w:val="24"/>
          <w:szCs w:val="24"/>
        </w:rPr>
      </w:pPr>
      <w:r>
        <w:rPr>
          <w:rFonts w:hint="default" w:ascii="Times New Roman" w:hAnsi="Times New Roman" w:cs="Times New Roman"/>
          <w:sz w:val="24"/>
          <w:szCs w:val="24"/>
        </w:rPr>
        <w:t>Baker, T., Kumar, S., Goyal, N., &amp; Gaur, V. (2022). Algorithmic trading systems and investor decision-making in digital financial markets. Finance Research Letters, 46, 102412.</w:t>
      </w:r>
    </w:p>
    <w:p w14:paraId="62B02AAC">
      <w:pPr>
        <w:rPr>
          <w:rFonts w:hint="default" w:ascii="Times New Roman" w:hAnsi="Times New Roman" w:cs="Times New Roman"/>
          <w:sz w:val="24"/>
          <w:szCs w:val="24"/>
        </w:rPr>
      </w:pPr>
    </w:p>
    <w:p w14:paraId="39F2EA1D">
      <w:pPr>
        <w:rPr>
          <w:rFonts w:hint="default" w:ascii="Times New Roman" w:hAnsi="Times New Roman" w:cs="Times New Roman"/>
          <w:sz w:val="24"/>
          <w:szCs w:val="24"/>
        </w:rPr>
      </w:pPr>
      <w:r>
        <w:rPr>
          <w:rFonts w:hint="default" w:ascii="Times New Roman" w:hAnsi="Times New Roman" w:cs="Times New Roman"/>
          <w:sz w:val="24"/>
          <w:szCs w:val="24"/>
        </w:rPr>
        <w:t>Barber, B. M., Huang, X., Odean, T., &amp; Schwarz, C. (2021). Attention induced trading and returns: Evidence from Robinhood users. SSRN Electronic Journal. https://doi.org/10.2139/ssrn.3715077</w:t>
      </w:r>
    </w:p>
    <w:p w14:paraId="37D38AA4">
      <w:pPr>
        <w:rPr>
          <w:rFonts w:hint="default" w:ascii="Times New Roman" w:hAnsi="Times New Roman" w:cs="Times New Roman"/>
          <w:sz w:val="24"/>
          <w:szCs w:val="24"/>
        </w:rPr>
      </w:pPr>
    </w:p>
    <w:p w14:paraId="7FBEE70A">
      <w:pPr>
        <w:rPr>
          <w:rFonts w:hint="default" w:ascii="Times New Roman" w:hAnsi="Times New Roman" w:cs="Times New Roman"/>
          <w:sz w:val="24"/>
          <w:szCs w:val="24"/>
        </w:rPr>
      </w:pPr>
      <w:r>
        <w:rPr>
          <w:rFonts w:hint="default" w:ascii="Times New Roman" w:hAnsi="Times New Roman" w:cs="Times New Roman"/>
          <w:sz w:val="24"/>
          <w:szCs w:val="24"/>
        </w:rPr>
        <w:t>Barber, B. M., Huang, X., Odean, T., &amp; Schwarz, C. (2022). Attention induced trading and returns: Evidence from Robinhood users. The Journal of Finance, 77(6), 3141–3190.</w:t>
      </w:r>
    </w:p>
    <w:p w14:paraId="156717F6">
      <w:pPr>
        <w:rPr>
          <w:rFonts w:hint="default" w:ascii="Times New Roman" w:hAnsi="Times New Roman" w:cs="Times New Roman"/>
          <w:sz w:val="24"/>
          <w:szCs w:val="24"/>
        </w:rPr>
      </w:pPr>
    </w:p>
    <w:p w14:paraId="3325A7C3">
      <w:pPr>
        <w:rPr>
          <w:rFonts w:hint="default" w:ascii="Times New Roman" w:hAnsi="Times New Roman" w:cs="Times New Roman"/>
          <w:sz w:val="24"/>
          <w:szCs w:val="24"/>
        </w:rPr>
      </w:pPr>
      <w:r>
        <w:rPr>
          <w:rFonts w:hint="default" w:ascii="Times New Roman" w:hAnsi="Times New Roman" w:cs="Times New Roman"/>
          <w:sz w:val="24"/>
          <w:szCs w:val="24"/>
        </w:rPr>
        <w:t>Bärber, F., &amp; Odean, T. (2023). Social media influence and retail investment behavior in digital markets. Journal of Behavioral Finance, 24(4), 512–528.</w:t>
      </w:r>
    </w:p>
    <w:p w14:paraId="2FC0C1DB">
      <w:pPr>
        <w:rPr>
          <w:rFonts w:hint="default" w:ascii="Times New Roman" w:hAnsi="Times New Roman" w:cs="Times New Roman"/>
          <w:sz w:val="24"/>
          <w:szCs w:val="24"/>
        </w:rPr>
      </w:pPr>
    </w:p>
    <w:p w14:paraId="14E8EAA0">
      <w:pPr>
        <w:rPr>
          <w:rFonts w:hint="default" w:ascii="Times New Roman" w:hAnsi="Times New Roman" w:cs="Times New Roman"/>
          <w:sz w:val="24"/>
          <w:szCs w:val="24"/>
        </w:rPr>
      </w:pPr>
      <w:r>
        <w:rPr>
          <w:rFonts w:hint="default" w:ascii="Times New Roman" w:hAnsi="Times New Roman" w:cs="Times New Roman"/>
          <w:sz w:val="24"/>
          <w:szCs w:val="24"/>
        </w:rPr>
        <w:t>Chapkovski, P., Khapko, M., &amp; Zoican, M. A. (2026). Gamification and retail investor behavior: Experimental evidence from digital trading platforms. Management Science, 72(1), 32–56.</w:t>
      </w:r>
    </w:p>
    <w:p w14:paraId="0062AD2E">
      <w:pPr>
        <w:rPr>
          <w:rFonts w:hint="default" w:ascii="Times New Roman" w:hAnsi="Times New Roman" w:cs="Times New Roman"/>
          <w:sz w:val="24"/>
          <w:szCs w:val="24"/>
        </w:rPr>
      </w:pPr>
    </w:p>
    <w:p w14:paraId="0E9BE8A2">
      <w:pPr>
        <w:rPr>
          <w:rFonts w:hint="default" w:ascii="Times New Roman" w:hAnsi="Times New Roman" w:cs="Times New Roman"/>
          <w:sz w:val="24"/>
          <w:szCs w:val="24"/>
        </w:rPr>
      </w:pPr>
      <w:r>
        <w:rPr>
          <w:rFonts w:hint="default" w:ascii="Times New Roman" w:hAnsi="Times New Roman" w:cs="Times New Roman"/>
          <w:sz w:val="24"/>
          <w:szCs w:val="24"/>
        </w:rPr>
        <w:t>Chohan, U. W. (2021). Gamification and behavioral finance in retail trading platforms. Journal of Behavioral Economics and Finance, 5(2), 88–102.</w:t>
      </w:r>
    </w:p>
    <w:p w14:paraId="4B12189E">
      <w:pPr>
        <w:rPr>
          <w:rFonts w:hint="default" w:ascii="Times New Roman" w:hAnsi="Times New Roman" w:cs="Times New Roman"/>
          <w:sz w:val="24"/>
          <w:szCs w:val="24"/>
        </w:rPr>
      </w:pPr>
    </w:p>
    <w:p w14:paraId="35AC53D3">
      <w:pPr>
        <w:rPr>
          <w:rFonts w:hint="default" w:ascii="Times New Roman" w:hAnsi="Times New Roman" w:cs="Times New Roman"/>
          <w:sz w:val="24"/>
          <w:szCs w:val="24"/>
        </w:rPr>
      </w:pPr>
      <w:r>
        <w:rPr>
          <w:rFonts w:hint="default" w:ascii="Times New Roman" w:hAnsi="Times New Roman" w:cs="Times New Roman"/>
          <w:sz w:val="24"/>
          <w:szCs w:val="24"/>
        </w:rPr>
        <w:t>Cookson, J. A., Lu, J., Mullins, W., &amp; Niessner, M. (2024). Social transmission of investor behavior in financial markets. Journal of Financial Economics, 158, 103–127.</w:t>
      </w:r>
    </w:p>
    <w:p w14:paraId="2A92BD0F">
      <w:pPr>
        <w:rPr>
          <w:rFonts w:hint="default" w:ascii="Times New Roman" w:hAnsi="Times New Roman" w:cs="Times New Roman"/>
          <w:sz w:val="24"/>
          <w:szCs w:val="24"/>
        </w:rPr>
      </w:pPr>
    </w:p>
    <w:p w14:paraId="0D3C5FEF">
      <w:pPr>
        <w:rPr>
          <w:rFonts w:hint="default" w:ascii="Times New Roman" w:hAnsi="Times New Roman" w:cs="Times New Roman"/>
          <w:sz w:val="24"/>
          <w:szCs w:val="24"/>
        </w:rPr>
      </w:pPr>
      <w:r>
        <w:rPr>
          <w:rFonts w:hint="default" w:ascii="Times New Roman" w:hAnsi="Times New Roman" w:cs="Times New Roman"/>
          <w:sz w:val="24"/>
          <w:szCs w:val="24"/>
        </w:rPr>
        <w:t>Davis, F. D. (1989). Perceived usefulness, perceived ease of use, and user acceptance of information technology. MIS Quarterly, 13(3), 319–340.</w:t>
      </w:r>
    </w:p>
    <w:p w14:paraId="7C05092D">
      <w:pPr>
        <w:rPr>
          <w:rFonts w:hint="default" w:ascii="Times New Roman" w:hAnsi="Times New Roman" w:cs="Times New Roman"/>
          <w:sz w:val="24"/>
          <w:szCs w:val="24"/>
        </w:rPr>
      </w:pPr>
    </w:p>
    <w:p w14:paraId="488293A9">
      <w:pPr>
        <w:rPr>
          <w:rFonts w:hint="default" w:ascii="Times New Roman" w:hAnsi="Times New Roman" w:cs="Times New Roman"/>
          <w:sz w:val="24"/>
          <w:szCs w:val="24"/>
        </w:rPr>
      </w:pPr>
      <w:r>
        <w:rPr>
          <w:rFonts w:hint="default" w:ascii="Times New Roman" w:hAnsi="Times New Roman" w:cs="Times New Roman"/>
          <w:sz w:val="24"/>
          <w:szCs w:val="24"/>
        </w:rPr>
        <w:t>Delfabbro, P., King, D. L., &amp; Williams, J. (2021). The psychology of gamified trading platforms and compulsive investing behavior. Addictive Behaviors, 112, 106637.</w:t>
      </w:r>
    </w:p>
    <w:p w14:paraId="77310418">
      <w:pPr>
        <w:rPr>
          <w:rFonts w:hint="default" w:ascii="Times New Roman" w:hAnsi="Times New Roman" w:cs="Times New Roman"/>
          <w:sz w:val="24"/>
          <w:szCs w:val="24"/>
        </w:rPr>
      </w:pPr>
    </w:p>
    <w:p w14:paraId="62779082">
      <w:pPr>
        <w:rPr>
          <w:rFonts w:hint="default" w:ascii="Times New Roman" w:hAnsi="Times New Roman" w:cs="Times New Roman"/>
          <w:sz w:val="24"/>
          <w:szCs w:val="24"/>
        </w:rPr>
      </w:pPr>
      <w:r>
        <w:rPr>
          <w:rFonts w:hint="default" w:ascii="Times New Roman" w:hAnsi="Times New Roman" w:cs="Times New Roman"/>
          <w:sz w:val="24"/>
          <w:szCs w:val="24"/>
        </w:rPr>
        <w:t>Demirgüç-Kunt, A., Klapper, L., Singer, D., &amp; Ansar, S. (2022). The Global Findex Database 2021: Financial inclusion, digital payments, and resilience in the age of COVID-19. World Bank.</w:t>
      </w:r>
    </w:p>
    <w:p w14:paraId="2E79B2F1">
      <w:pPr>
        <w:rPr>
          <w:rFonts w:hint="default" w:ascii="Times New Roman" w:hAnsi="Times New Roman" w:cs="Times New Roman"/>
          <w:sz w:val="24"/>
          <w:szCs w:val="24"/>
        </w:rPr>
      </w:pPr>
    </w:p>
    <w:p w14:paraId="4C9AC00F">
      <w:pPr>
        <w:rPr>
          <w:rFonts w:hint="default" w:ascii="Times New Roman" w:hAnsi="Times New Roman" w:cs="Times New Roman"/>
          <w:sz w:val="24"/>
          <w:szCs w:val="24"/>
        </w:rPr>
      </w:pPr>
      <w:r>
        <w:rPr>
          <w:rFonts w:hint="default" w:ascii="Times New Roman" w:hAnsi="Times New Roman" w:cs="Times New Roman"/>
          <w:sz w:val="24"/>
          <w:szCs w:val="24"/>
        </w:rPr>
        <w:t>Eaton, G., Green, T. C., Roseman, B., &amp; Wu, Y. (2022). Retail trader sophistication and stock market quality: Evidence from brokerage trading data. Journal of Financial Markets, 58, 100675.</w:t>
      </w:r>
    </w:p>
    <w:p w14:paraId="5280A5EB">
      <w:pPr>
        <w:rPr>
          <w:rFonts w:hint="default" w:ascii="Times New Roman" w:hAnsi="Times New Roman" w:cs="Times New Roman"/>
          <w:sz w:val="24"/>
          <w:szCs w:val="24"/>
        </w:rPr>
      </w:pPr>
    </w:p>
    <w:p w14:paraId="312F9E75">
      <w:pPr>
        <w:rPr>
          <w:rFonts w:hint="default" w:ascii="Times New Roman" w:hAnsi="Times New Roman" w:cs="Times New Roman"/>
          <w:sz w:val="24"/>
          <w:szCs w:val="24"/>
        </w:rPr>
      </w:pPr>
      <w:r>
        <w:rPr>
          <w:rFonts w:hint="default" w:ascii="Times New Roman" w:hAnsi="Times New Roman" w:cs="Times New Roman"/>
          <w:sz w:val="24"/>
          <w:szCs w:val="24"/>
        </w:rPr>
        <w:t>Grable, J. E., Cupples, S., Fernatt, F., &amp; Anderson, N. (2021). Evaluating the link between financial risk tolerance and speculative investment behavior. Financial Services Review, 29(2), 95–112.</w:t>
      </w:r>
    </w:p>
    <w:p w14:paraId="70967FBB">
      <w:pPr>
        <w:rPr>
          <w:rFonts w:hint="default" w:ascii="Times New Roman" w:hAnsi="Times New Roman" w:cs="Times New Roman"/>
          <w:sz w:val="24"/>
          <w:szCs w:val="24"/>
        </w:rPr>
      </w:pPr>
    </w:p>
    <w:p w14:paraId="149AA544">
      <w:pPr>
        <w:rPr>
          <w:rFonts w:hint="default" w:ascii="Times New Roman" w:hAnsi="Times New Roman" w:cs="Times New Roman"/>
          <w:sz w:val="24"/>
          <w:szCs w:val="24"/>
        </w:rPr>
      </w:pPr>
      <w:r>
        <w:rPr>
          <w:rFonts w:hint="default" w:ascii="Times New Roman" w:hAnsi="Times New Roman" w:cs="Times New Roman"/>
          <w:sz w:val="24"/>
          <w:szCs w:val="24"/>
        </w:rPr>
        <w:t>International Monetary Fund. (2023). Global financial stability report: FinTech, digital assets, and emerging markets. IMF.</w:t>
      </w:r>
    </w:p>
    <w:p w14:paraId="40AC252C">
      <w:pPr>
        <w:rPr>
          <w:rFonts w:hint="default" w:ascii="Times New Roman" w:hAnsi="Times New Roman" w:cs="Times New Roman"/>
          <w:sz w:val="24"/>
          <w:szCs w:val="24"/>
        </w:rPr>
      </w:pPr>
    </w:p>
    <w:p w14:paraId="3FC60325">
      <w:pPr>
        <w:rPr>
          <w:rFonts w:hint="default" w:ascii="Times New Roman" w:hAnsi="Times New Roman" w:cs="Times New Roman"/>
          <w:sz w:val="24"/>
          <w:szCs w:val="24"/>
        </w:rPr>
      </w:pPr>
      <w:r>
        <w:rPr>
          <w:rFonts w:hint="default" w:ascii="Times New Roman" w:hAnsi="Times New Roman" w:cs="Times New Roman"/>
          <w:sz w:val="24"/>
          <w:szCs w:val="24"/>
        </w:rPr>
        <w:t>Jung, D., Dorner, V., Weinhardt, C., &amp; Pusmaz, H. (2022). Robo-advisory adoption and digital investment behavior: Evidence from technology-enabled financial markets. Electronic Markets, 32(3), 1461–1478.</w:t>
      </w:r>
    </w:p>
    <w:p w14:paraId="7562B032">
      <w:pPr>
        <w:rPr>
          <w:rFonts w:hint="default" w:ascii="Times New Roman" w:hAnsi="Times New Roman" w:cs="Times New Roman"/>
          <w:sz w:val="24"/>
          <w:szCs w:val="24"/>
        </w:rPr>
      </w:pPr>
    </w:p>
    <w:p w14:paraId="72FF0EC5">
      <w:pPr>
        <w:rPr>
          <w:rFonts w:hint="default" w:ascii="Times New Roman" w:hAnsi="Times New Roman" w:cs="Times New Roman"/>
          <w:sz w:val="24"/>
          <w:szCs w:val="24"/>
        </w:rPr>
      </w:pPr>
      <w:r>
        <w:rPr>
          <w:rFonts w:hint="default" w:ascii="Times New Roman" w:hAnsi="Times New Roman" w:cs="Times New Roman"/>
          <w:sz w:val="24"/>
          <w:szCs w:val="24"/>
        </w:rPr>
        <w:t>Kahneman, D., &amp; Tversky, A. (1979). Prospect theory: An analysis of decision under risk. Econometrica, 47(2), 263–291.</w:t>
      </w:r>
    </w:p>
    <w:p w14:paraId="12C3D857">
      <w:pPr>
        <w:rPr>
          <w:rFonts w:hint="default" w:ascii="Times New Roman" w:hAnsi="Times New Roman" w:cs="Times New Roman"/>
          <w:sz w:val="24"/>
          <w:szCs w:val="24"/>
        </w:rPr>
      </w:pPr>
    </w:p>
    <w:p w14:paraId="24A77ECE">
      <w:pPr>
        <w:rPr>
          <w:rFonts w:hint="default" w:ascii="Times New Roman" w:hAnsi="Times New Roman" w:cs="Times New Roman"/>
          <w:sz w:val="24"/>
          <w:szCs w:val="24"/>
        </w:rPr>
      </w:pPr>
      <w:r>
        <w:rPr>
          <w:rFonts w:hint="default" w:ascii="Times New Roman" w:hAnsi="Times New Roman" w:cs="Times New Roman"/>
          <w:sz w:val="24"/>
          <w:szCs w:val="24"/>
        </w:rPr>
        <w:t>Khan, M. T. I., Tan, S. H., &amp; Chong, L. L. (2022). Overconfidence bias and speculative investment behavior among retail investors. Research in International Business and Finance, 61, 101649.</w:t>
      </w:r>
    </w:p>
    <w:p w14:paraId="144D1122">
      <w:pPr>
        <w:rPr>
          <w:rFonts w:hint="default" w:ascii="Times New Roman" w:hAnsi="Times New Roman" w:cs="Times New Roman"/>
          <w:sz w:val="24"/>
          <w:szCs w:val="24"/>
        </w:rPr>
      </w:pPr>
    </w:p>
    <w:p w14:paraId="34469190">
      <w:pPr>
        <w:rPr>
          <w:rFonts w:hint="default" w:ascii="Times New Roman" w:hAnsi="Times New Roman" w:cs="Times New Roman"/>
          <w:sz w:val="24"/>
          <w:szCs w:val="24"/>
        </w:rPr>
      </w:pPr>
      <w:r>
        <w:rPr>
          <w:rFonts w:hint="default" w:ascii="Times New Roman" w:hAnsi="Times New Roman" w:cs="Times New Roman"/>
          <w:sz w:val="24"/>
          <w:szCs w:val="24"/>
        </w:rPr>
        <w:t>Kumar, S., &amp; Goyal, N. (2021). Behavioral biases in investment decision making: A systematic literature review. Qualitative Research in Financial Markets, 13(3), 327–345.</w:t>
      </w:r>
    </w:p>
    <w:p w14:paraId="3C740D1B">
      <w:pPr>
        <w:rPr>
          <w:rFonts w:hint="default" w:ascii="Times New Roman" w:hAnsi="Times New Roman" w:cs="Times New Roman"/>
          <w:sz w:val="24"/>
          <w:szCs w:val="24"/>
        </w:rPr>
      </w:pPr>
    </w:p>
    <w:p w14:paraId="69F63EDD">
      <w:pPr>
        <w:rPr>
          <w:rFonts w:hint="default" w:ascii="Times New Roman" w:hAnsi="Times New Roman" w:cs="Times New Roman"/>
          <w:sz w:val="24"/>
          <w:szCs w:val="24"/>
        </w:rPr>
      </w:pPr>
      <w:r>
        <w:rPr>
          <w:rFonts w:hint="default" w:ascii="Times New Roman" w:hAnsi="Times New Roman" w:cs="Times New Roman"/>
          <w:sz w:val="24"/>
          <w:szCs w:val="24"/>
        </w:rPr>
        <w:t>Lusardi, A., &amp; Messy, F. A. (2021). Financial literacy and inclusive finance: Evidence and implications. OECD Working Papers on Finance, Insurance and Private Pensions, No. 67.</w:t>
      </w:r>
    </w:p>
    <w:p w14:paraId="61064A9F">
      <w:pPr>
        <w:rPr>
          <w:rFonts w:hint="default" w:ascii="Times New Roman" w:hAnsi="Times New Roman" w:cs="Times New Roman"/>
          <w:sz w:val="24"/>
          <w:szCs w:val="24"/>
        </w:rPr>
      </w:pPr>
    </w:p>
    <w:p w14:paraId="4906F1F0">
      <w:pPr>
        <w:rPr>
          <w:rFonts w:hint="default" w:ascii="Times New Roman" w:hAnsi="Times New Roman" w:cs="Times New Roman"/>
          <w:sz w:val="24"/>
          <w:szCs w:val="24"/>
        </w:rPr>
      </w:pPr>
      <w:r>
        <w:rPr>
          <w:rFonts w:hint="default" w:ascii="Times New Roman" w:hAnsi="Times New Roman" w:cs="Times New Roman"/>
          <w:sz w:val="24"/>
          <w:szCs w:val="24"/>
        </w:rPr>
        <w:t>Mölders, F., Walter, N., &amp; Brüggemann, M. (2025). Finfluencers and retail investor engagement in digital financial ecosystems. International Journal of Research in Marketing, 42(1), 77–96.</w:t>
      </w:r>
    </w:p>
    <w:p w14:paraId="1A16C9B7">
      <w:pPr>
        <w:rPr>
          <w:rFonts w:hint="default" w:ascii="Times New Roman" w:hAnsi="Times New Roman" w:cs="Times New Roman"/>
          <w:sz w:val="24"/>
          <w:szCs w:val="24"/>
        </w:rPr>
      </w:pPr>
    </w:p>
    <w:p w14:paraId="7F164750">
      <w:pPr>
        <w:rPr>
          <w:rFonts w:hint="default" w:ascii="Times New Roman" w:hAnsi="Times New Roman" w:cs="Times New Roman"/>
          <w:sz w:val="24"/>
          <w:szCs w:val="24"/>
        </w:rPr>
      </w:pPr>
      <w:r>
        <w:rPr>
          <w:rFonts w:hint="default" w:ascii="Times New Roman" w:hAnsi="Times New Roman" w:cs="Times New Roman"/>
          <w:sz w:val="24"/>
          <w:szCs w:val="24"/>
        </w:rPr>
        <w:t>OECD. (2023). Supporting the new generation of retail investors: Policy challenges and financial literacy implications. Organisation for Economic Co-operation and Development.</w:t>
      </w:r>
    </w:p>
    <w:p w14:paraId="357A32F9">
      <w:pPr>
        <w:rPr>
          <w:rFonts w:hint="default" w:ascii="Times New Roman" w:hAnsi="Times New Roman" w:cs="Times New Roman"/>
          <w:sz w:val="24"/>
          <w:szCs w:val="24"/>
        </w:rPr>
      </w:pPr>
    </w:p>
    <w:p w14:paraId="3EF69ADC">
      <w:pPr>
        <w:rPr>
          <w:rFonts w:hint="default" w:ascii="Times New Roman" w:hAnsi="Times New Roman" w:cs="Times New Roman"/>
          <w:sz w:val="24"/>
          <w:szCs w:val="24"/>
        </w:rPr>
      </w:pPr>
      <w:r>
        <w:rPr>
          <w:rFonts w:hint="default" w:ascii="Times New Roman" w:hAnsi="Times New Roman" w:cs="Times New Roman"/>
          <w:sz w:val="24"/>
          <w:szCs w:val="24"/>
        </w:rPr>
        <w:t>Ortiz, C., Estrada, M., &amp; Kritzman, M. (2023). Mobile trading platforms and retail investor behavior in emerging digital markets. Journal of Behavioral and Experimental Finance, 38, 100781.</w:t>
      </w:r>
    </w:p>
    <w:p w14:paraId="280508A0">
      <w:pPr>
        <w:rPr>
          <w:rFonts w:hint="default" w:ascii="Times New Roman" w:hAnsi="Times New Roman" w:cs="Times New Roman"/>
          <w:sz w:val="24"/>
          <w:szCs w:val="24"/>
        </w:rPr>
      </w:pPr>
    </w:p>
    <w:p w14:paraId="3C237D2A">
      <w:pPr>
        <w:rPr>
          <w:rFonts w:hint="default" w:ascii="Times New Roman" w:hAnsi="Times New Roman" w:cs="Times New Roman"/>
          <w:sz w:val="24"/>
          <w:szCs w:val="24"/>
        </w:rPr>
      </w:pPr>
      <w:r>
        <w:rPr>
          <w:rFonts w:hint="default" w:ascii="Times New Roman" w:hAnsi="Times New Roman" w:cs="Times New Roman"/>
          <w:sz w:val="24"/>
          <w:szCs w:val="24"/>
        </w:rPr>
        <w:t>Saunders, M., Lewis, P., &amp; Thornhill, A. (2023). Research methods for business students (9th ed.). Pearson Education.</w:t>
      </w:r>
    </w:p>
    <w:p w14:paraId="17E06D88">
      <w:pPr>
        <w:rPr>
          <w:rFonts w:hint="default" w:ascii="Times New Roman" w:hAnsi="Times New Roman" w:cs="Times New Roman"/>
          <w:sz w:val="24"/>
          <w:szCs w:val="24"/>
        </w:rPr>
      </w:pPr>
    </w:p>
    <w:p w14:paraId="6C4524A4">
      <w:pPr>
        <w:rPr>
          <w:rFonts w:hint="default" w:ascii="Times New Roman" w:hAnsi="Times New Roman" w:cs="Times New Roman"/>
          <w:sz w:val="24"/>
          <w:szCs w:val="24"/>
        </w:rPr>
      </w:pPr>
      <w:r>
        <w:rPr>
          <w:rFonts w:hint="default" w:ascii="Times New Roman" w:hAnsi="Times New Roman" w:cs="Times New Roman"/>
          <w:sz w:val="24"/>
          <w:szCs w:val="24"/>
        </w:rPr>
        <w:t>Statista. (2024). Mobile trading application usage statistics in emerging economies. Statista Research Department.</w:t>
      </w:r>
    </w:p>
    <w:p w14:paraId="5B81F8A6">
      <w:pPr>
        <w:rPr>
          <w:rFonts w:hint="default" w:ascii="Times New Roman" w:hAnsi="Times New Roman" w:cs="Times New Roman"/>
          <w:sz w:val="24"/>
          <w:szCs w:val="24"/>
        </w:rPr>
      </w:pPr>
    </w:p>
    <w:p w14:paraId="75495105">
      <w:pPr>
        <w:rPr>
          <w:rFonts w:hint="default" w:ascii="Times New Roman" w:hAnsi="Times New Roman" w:cs="Times New Roman"/>
          <w:sz w:val="24"/>
          <w:szCs w:val="24"/>
        </w:rPr>
      </w:pPr>
      <w:r>
        <w:rPr>
          <w:rFonts w:hint="default" w:ascii="Times New Roman" w:hAnsi="Times New Roman" w:cs="Times New Roman"/>
          <w:sz w:val="24"/>
          <w:szCs w:val="24"/>
        </w:rPr>
        <w:t>Thaler, R. H. (2016). Behavioral economics: Past, present, and future. American Economic Review, 106(7), 1577–1600.</w:t>
      </w:r>
    </w:p>
    <w:p w14:paraId="72342DC7">
      <w:pPr>
        <w:rPr>
          <w:rFonts w:hint="default" w:ascii="Times New Roman" w:hAnsi="Times New Roman" w:cs="Times New Roman"/>
          <w:sz w:val="24"/>
          <w:szCs w:val="24"/>
        </w:rPr>
      </w:pPr>
    </w:p>
    <w:p w14:paraId="50133752">
      <w:pPr>
        <w:rPr>
          <w:rFonts w:hint="default" w:ascii="Times New Roman" w:hAnsi="Times New Roman" w:cs="Times New Roman"/>
          <w:sz w:val="24"/>
          <w:szCs w:val="24"/>
        </w:rPr>
      </w:pPr>
      <w:r>
        <w:rPr>
          <w:rFonts w:hint="default" w:ascii="Times New Roman" w:hAnsi="Times New Roman" w:cs="Times New Roman"/>
          <w:sz w:val="24"/>
          <w:szCs w:val="24"/>
        </w:rPr>
        <w:t>Vučinić, M. (2020). FinTech and financial inclusion in emerging economies. Journal of Central Banking Theory and Practice, 9(1), 5–23.</w:t>
      </w:r>
    </w:p>
    <w:p w14:paraId="7197DD00">
      <w:pPr>
        <w:rPr>
          <w:rFonts w:hint="default" w:ascii="Times New Roman" w:hAnsi="Times New Roman" w:cs="Times New Roman"/>
          <w:sz w:val="24"/>
          <w:szCs w:val="24"/>
        </w:rPr>
      </w:pPr>
    </w:p>
    <w:p w14:paraId="3922FF7C">
      <w:pPr>
        <w:rPr>
          <w:rFonts w:hint="default" w:ascii="Times New Roman" w:hAnsi="Times New Roman" w:cs="Times New Roman"/>
          <w:sz w:val="24"/>
          <w:szCs w:val="24"/>
        </w:rPr>
      </w:pPr>
      <w:r>
        <w:rPr>
          <w:rFonts w:hint="default" w:ascii="Times New Roman" w:hAnsi="Times New Roman" w:cs="Times New Roman"/>
          <w:sz w:val="24"/>
          <w:szCs w:val="24"/>
        </w:rPr>
        <w:t>World Bank. (2022). Digital financial inclusion and fintech development in emerging markets. World Bank Group.</w:t>
      </w:r>
    </w:p>
    <w:p w14:paraId="732A1C92">
      <w:pPr>
        <w:rPr>
          <w:rFonts w:hint="default" w:ascii="Times New Roman" w:hAnsi="Times New Roman" w:cs="Times New Roman"/>
          <w:sz w:val="24"/>
          <w:szCs w:val="24"/>
        </w:rPr>
      </w:pPr>
    </w:p>
    <w:p w14:paraId="070E4FD1">
      <w:pPr>
        <w:rPr>
          <w:rFonts w:hint="default" w:ascii="Times New Roman" w:hAnsi="Times New Roman" w:cs="Times New Roman"/>
          <w:sz w:val="24"/>
          <w:szCs w:val="24"/>
        </w:rPr>
      </w:pPr>
      <w:r>
        <w:rPr>
          <w:rFonts w:hint="default" w:ascii="Times New Roman" w:hAnsi="Times New Roman" w:cs="Times New Roman"/>
          <w:sz w:val="24"/>
          <w:szCs w:val="24"/>
        </w:rPr>
        <w:t>Warkulat, S., &amp; Pelster, M. (2024). Social media attention and retail investor trading behavior: Evidence from Reddit communities. Journal of Empirical Finance, 76, 101–119.</w:t>
      </w:r>
    </w:p>
    <w:p w14:paraId="4E1BDD03">
      <w:pPr>
        <w:pStyle w:val="7"/>
        <w:keepNext w:val="0"/>
        <w:keepLines w:val="0"/>
        <w:pageBreakBefore w:val="0"/>
        <w:widowControl/>
        <w:suppressLineNumbers w:val="0"/>
        <w:tabs>
          <w:tab w:val="left" w:pos="400"/>
        </w:tabs>
        <w:kinsoku/>
        <w:wordWrap/>
        <w:overflowPunct/>
        <w:topLinePunct w:val="0"/>
        <w:autoSpaceDE/>
        <w:autoSpaceDN/>
        <w:bidi w:val="0"/>
        <w:adjustRightInd/>
        <w:snapToGrid/>
        <w:spacing w:beforeAutospacing="0" w:afterAutospacing="0"/>
        <w:jc w:val="both"/>
        <w:rPr>
          <w:rFonts w:hint="default" w:ascii="Times New Roman" w:hAnsi="Times New Roman" w:cs="Times New Roman"/>
          <w:b w:val="0"/>
          <w:bCs w:val="0"/>
          <w:sz w:val="24"/>
          <w:szCs w:val="24"/>
          <w:lang w:val="en-CA"/>
        </w:rPr>
      </w:pPr>
    </w:p>
    <w:sectPr>
      <w:pgSz w:w="11906" w:h="16838"/>
      <w:pgMar w:top="1440" w:right="906" w:bottom="1440" w:left="1000" w:header="720" w:footer="72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altName w:val="Microsoft YaHei"/>
    <w:panose1 w:val="00000000000000000000"/>
    <w:charset w:val="86"/>
    <w:family w:val="auto"/>
    <w:pitch w:val="default"/>
    <w:sig w:usb0="00000000" w:usb1="00000000" w:usb2="00000000" w:usb3="00000000" w:csb0="00000000" w:csb1="00000000"/>
  </w:font>
  <w:font w:name="Microsoft YaHei">
    <w:panose1 w:val="020B0503020204020204"/>
    <w:charset w:val="86"/>
    <w:family w:val="auto"/>
    <w:pitch w:val="default"/>
    <w:sig w:usb0="80000287" w:usb1="2ACF3C50" w:usb2="00000016" w:usb3="00000000" w:csb0="0004001F" w:csb1="00000000"/>
  </w:font>
  <w:font w:name="TimesNewRomanPS-BoldMT">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375C4AF"/>
    <w:multiLevelType w:val="multilevel"/>
    <w:tmpl w:val="F375C4AF"/>
    <w:lvl w:ilvl="0" w:tentative="0">
      <w:start w:val="1"/>
      <w:numFmt w:val="decimal"/>
      <w:lvlText w:val="%1."/>
      <w:lvlJc w:val="left"/>
      <w:pPr>
        <w:tabs>
          <w:tab w:val="left" w:pos="720"/>
        </w:tabs>
        <w:ind w:left="720" w:hanging="360"/>
      </w:pPr>
      <w:rPr>
        <w:sz w:val="24"/>
        <w:szCs w:val="24"/>
      </w:rPr>
    </w:lvl>
    <w:lvl w:ilvl="1" w:tentative="0">
      <w:start w:val="1"/>
      <w:numFmt w:val="decimal"/>
      <w:lvlText w:val="%2."/>
      <w:lvlJc w:val="left"/>
      <w:pPr>
        <w:tabs>
          <w:tab w:val="left" w:pos="1440"/>
        </w:tabs>
        <w:ind w:left="1440" w:hanging="360"/>
      </w:pPr>
      <w:rPr>
        <w:sz w:val="24"/>
        <w:szCs w:val="24"/>
      </w:rPr>
    </w:lvl>
    <w:lvl w:ilvl="2" w:tentative="0">
      <w:start w:val="1"/>
      <w:numFmt w:val="decimal"/>
      <w:lvlText w:val="%3."/>
      <w:lvlJc w:val="left"/>
      <w:pPr>
        <w:tabs>
          <w:tab w:val="left" w:pos="2160"/>
        </w:tabs>
        <w:ind w:left="2160" w:hanging="360"/>
      </w:pPr>
      <w:rPr>
        <w:sz w:val="24"/>
        <w:szCs w:val="24"/>
      </w:rPr>
    </w:lvl>
    <w:lvl w:ilvl="3" w:tentative="0">
      <w:start w:val="1"/>
      <w:numFmt w:val="decimal"/>
      <w:lvlText w:val="%4."/>
      <w:lvlJc w:val="left"/>
      <w:pPr>
        <w:tabs>
          <w:tab w:val="left" w:pos="2517"/>
        </w:tabs>
        <w:ind w:left="2880" w:hanging="360"/>
      </w:pPr>
      <w:rPr>
        <w:sz w:val="24"/>
        <w:szCs w:val="24"/>
      </w:rPr>
    </w:lvl>
    <w:lvl w:ilvl="4" w:tentative="0">
      <w:start w:val="1"/>
      <w:numFmt w:val="decimal"/>
      <w:lvlText w:val="%5."/>
      <w:lvlJc w:val="left"/>
      <w:pPr>
        <w:tabs>
          <w:tab w:val="left" w:pos="3238"/>
        </w:tabs>
        <w:ind w:left="3600" w:hanging="360"/>
      </w:pPr>
      <w:rPr>
        <w:sz w:val="24"/>
        <w:szCs w:val="24"/>
      </w:rPr>
    </w:lvl>
    <w:lvl w:ilvl="5" w:tentative="0">
      <w:start w:val="1"/>
      <w:numFmt w:val="decimal"/>
      <w:lvlText w:val="%6."/>
      <w:lvlJc w:val="left"/>
      <w:pPr>
        <w:tabs>
          <w:tab w:val="left" w:pos="3958"/>
        </w:tabs>
        <w:ind w:left="4320" w:hanging="360"/>
      </w:pPr>
      <w:rPr>
        <w:sz w:val="24"/>
        <w:szCs w:val="24"/>
      </w:rPr>
    </w:lvl>
    <w:lvl w:ilvl="6" w:tentative="0">
      <w:start w:val="1"/>
      <w:numFmt w:val="decimal"/>
      <w:lvlText w:val="%7."/>
      <w:lvlJc w:val="left"/>
      <w:pPr>
        <w:tabs>
          <w:tab w:val="left" w:pos="4678"/>
        </w:tabs>
        <w:ind w:left="5040" w:hanging="360"/>
      </w:pPr>
      <w:rPr>
        <w:sz w:val="24"/>
        <w:szCs w:val="24"/>
      </w:rPr>
    </w:lvl>
    <w:lvl w:ilvl="7" w:tentative="0">
      <w:start w:val="1"/>
      <w:numFmt w:val="decimal"/>
      <w:lvlText w:val="%8."/>
      <w:lvlJc w:val="left"/>
      <w:pPr>
        <w:tabs>
          <w:tab w:val="left" w:pos="5398"/>
        </w:tabs>
        <w:ind w:left="5760" w:hanging="360"/>
      </w:pPr>
      <w:rPr>
        <w:sz w:val="24"/>
        <w:szCs w:val="24"/>
      </w:rPr>
    </w:lvl>
    <w:lvl w:ilvl="8" w:tentative="0">
      <w:start w:val="1"/>
      <w:numFmt w:val="decimal"/>
      <w:lvlText w:val="%9."/>
      <w:lvlJc w:val="left"/>
      <w:pPr>
        <w:tabs>
          <w:tab w:val="left" w:pos="6118"/>
        </w:tabs>
        <w:ind w:left="6480" w:hanging="360"/>
      </w:pPr>
      <w:rPr>
        <w:sz w:val="24"/>
        <w:szCs w:val="24"/>
      </w:rPr>
    </w:lvl>
  </w:abstractNum>
  <w:abstractNum w:abstractNumId="1">
    <w:nsid w:val="773BC223"/>
    <w:multiLevelType w:val="multilevel"/>
    <w:tmpl w:val="773BC223"/>
    <w:lvl w:ilvl="0" w:tentative="0">
      <w:start w:val="1"/>
      <w:numFmt w:val="decimal"/>
      <w:lvlText w:val="%1."/>
      <w:lvlJc w:val="left"/>
      <w:pPr>
        <w:tabs>
          <w:tab w:val="left" w:pos="720"/>
        </w:tabs>
        <w:ind w:left="720" w:hanging="360"/>
      </w:pPr>
      <w:rPr>
        <w:sz w:val="24"/>
        <w:szCs w:val="24"/>
      </w:rPr>
    </w:lvl>
    <w:lvl w:ilvl="1" w:tentative="0">
      <w:start w:val="1"/>
      <w:numFmt w:val="decimal"/>
      <w:lvlText w:val="%2."/>
      <w:lvlJc w:val="left"/>
      <w:pPr>
        <w:tabs>
          <w:tab w:val="left" w:pos="1440"/>
        </w:tabs>
        <w:ind w:left="1440" w:hanging="360"/>
      </w:pPr>
      <w:rPr>
        <w:sz w:val="24"/>
        <w:szCs w:val="24"/>
      </w:rPr>
    </w:lvl>
    <w:lvl w:ilvl="2" w:tentative="0">
      <w:start w:val="1"/>
      <w:numFmt w:val="decimal"/>
      <w:lvlText w:val="%3."/>
      <w:lvlJc w:val="left"/>
      <w:pPr>
        <w:tabs>
          <w:tab w:val="left" w:pos="2160"/>
        </w:tabs>
        <w:ind w:left="2160" w:hanging="360"/>
      </w:pPr>
      <w:rPr>
        <w:sz w:val="24"/>
        <w:szCs w:val="24"/>
      </w:rPr>
    </w:lvl>
    <w:lvl w:ilvl="3" w:tentative="0">
      <w:start w:val="1"/>
      <w:numFmt w:val="decimal"/>
      <w:lvlText w:val="%4."/>
      <w:lvlJc w:val="left"/>
      <w:pPr>
        <w:tabs>
          <w:tab w:val="left" w:pos="2517"/>
        </w:tabs>
        <w:ind w:left="2880" w:hanging="360"/>
      </w:pPr>
      <w:rPr>
        <w:sz w:val="24"/>
        <w:szCs w:val="24"/>
      </w:rPr>
    </w:lvl>
    <w:lvl w:ilvl="4" w:tentative="0">
      <w:start w:val="1"/>
      <w:numFmt w:val="decimal"/>
      <w:lvlText w:val="%5."/>
      <w:lvlJc w:val="left"/>
      <w:pPr>
        <w:tabs>
          <w:tab w:val="left" w:pos="3238"/>
        </w:tabs>
        <w:ind w:left="3600" w:hanging="360"/>
      </w:pPr>
      <w:rPr>
        <w:sz w:val="24"/>
        <w:szCs w:val="24"/>
      </w:rPr>
    </w:lvl>
    <w:lvl w:ilvl="5" w:tentative="0">
      <w:start w:val="1"/>
      <w:numFmt w:val="decimal"/>
      <w:lvlText w:val="%6."/>
      <w:lvlJc w:val="left"/>
      <w:pPr>
        <w:tabs>
          <w:tab w:val="left" w:pos="3958"/>
        </w:tabs>
        <w:ind w:left="4320" w:hanging="360"/>
      </w:pPr>
      <w:rPr>
        <w:sz w:val="24"/>
        <w:szCs w:val="24"/>
      </w:rPr>
    </w:lvl>
    <w:lvl w:ilvl="6" w:tentative="0">
      <w:start w:val="1"/>
      <w:numFmt w:val="decimal"/>
      <w:lvlText w:val="%7."/>
      <w:lvlJc w:val="left"/>
      <w:pPr>
        <w:tabs>
          <w:tab w:val="left" w:pos="4678"/>
        </w:tabs>
        <w:ind w:left="5040" w:hanging="360"/>
      </w:pPr>
      <w:rPr>
        <w:sz w:val="24"/>
        <w:szCs w:val="24"/>
      </w:rPr>
    </w:lvl>
    <w:lvl w:ilvl="7" w:tentative="0">
      <w:start w:val="1"/>
      <w:numFmt w:val="decimal"/>
      <w:lvlText w:val="%8."/>
      <w:lvlJc w:val="left"/>
      <w:pPr>
        <w:tabs>
          <w:tab w:val="left" w:pos="5398"/>
        </w:tabs>
        <w:ind w:left="5760" w:hanging="360"/>
      </w:pPr>
      <w:rPr>
        <w:sz w:val="24"/>
        <w:szCs w:val="24"/>
      </w:rPr>
    </w:lvl>
    <w:lvl w:ilvl="8" w:tentative="0">
      <w:start w:val="1"/>
      <w:numFmt w:val="decimal"/>
      <w:lvlText w:val="%9."/>
      <w:lvlJc w:val="left"/>
      <w:pPr>
        <w:tabs>
          <w:tab w:val="left" w:pos="6118"/>
        </w:tabs>
        <w:ind w:left="6480" w:hanging="360"/>
      </w:pPr>
      <w:rPr>
        <w:sz w:val="24"/>
        <w:szCs w:val="24"/>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oNotDisplayPageBoundaries w:val="1"/>
  <w:embedSystemFonts/>
  <w:bordersDoNotSurroundHeader w:val="0"/>
  <w:bordersDoNotSurroundFooter w:val="0"/>
  <w:documentProtection w:enforcement="0"/>
  <w:defaultTabStop w:val="720"/>
  <w:drawingGridVerticalSpacing w:val="156"/>
  <w:displayHorizontalDrawingGridEvery w:val="1"/>
  <w:displayVerticalDrawingGridEvery w:val="1"/>
  <w:noPunctuationKerning w:val="1"/>
  <w:characterSpacingControl w:val="doNotCompress"/>
  <w:compat>
    <w:spaceForUL/>
    <w:doNotLeaveBackslashAlone/>
    <w:ulTrailSpace/>
    <w:doNotExpandShiftReturn/>
    <w:adjustLineHeightInTable/>
    <w:doNotWrapTextWithPunct/>
    <w:doNotUseEastAsian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4C05DDB"/>
    <w:rsid w:val="24C05DDB"/>
    <w:rsid w:val="315A7B86"/>
    <w:rsid w:val="5FC76D4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heme="minorHAnsi" w:hAnsiTheme="minorHAnsi" w:eastAsiaTheme="minorEastAsia" w:cstheme="minorBidi"/>
      <w:lang w:val="en-US" w:eastAsia="zh-CN" w:bidi="ar-SA"/>
    </w:rPr>
  </w:style>
  <w:style w:type="paragraph" w:styleId="2">
    <w:name w:val="heading 2"/>
    <w:next w:val="1"/>
    <w:semiHidden/>
    <w:unhideWhenUsed/>
    <w:qFormat/>
    <w:uiPriority w:val="0"/>
    <w:pPr>
      <w:spacing w:before="0" w:beforeAutospacing="1" w:after="0" w:afterAutospacing="1"/>
      <w:jc w:val="left"/>
    </w:pPr>
    <w:rPr>
      <w:rFonts w:hint="eastAsia" w:ascii="SimSun" w:hAnsi="SimSun" w:eastAsia="SimSun" w:cs="SimSun"/>
      <w:b/>
      <w:bCs/>
      <w:kern w:val="0"/>
      <w:sz w:val="36"/>
      <w:szCs w:val="36"/>
      <w:lang w:val="en-US" w:eastAsia="zh-CN" w:bidi="ar"/>
    </w:rPr>
  </w:style>
  <w:style w:type="paragraph" w:styleId="3">
    <w:name w:val="heading 3"/>
    <w:next w:val="1"/>
    <w:semiHidden/>
    <w:unhideWhenUsed/>
    <w:qFormat/>
    <w:uiPriority w:val="0"/>
    <w:pPr>
      <w:spacing w:before="0" w:beforeAutospacing="1" w:after="0" w:afterAutospacing="1"/>
      <w:jc w:val="left"/>
    </w:pPr>
    <w:rPr>
      <w:rFonts w:hint="eastAsia" w:ascii="SimSun" w:hAnsi="SimSun" w:eastAsia="SimSun" w:cs="SimSun"/>
      <w:b/>
      <w:bCs/>
      <w:kern w:val="0"/>
      <w:sz w:val="27"/>
      <w:szCs w:val="27"/>
      <w:lang w:val="en-US" w:eastAsia="zh-CN" w:bidi="ar"/>
    </w:rPr>
  </w:style>
  <w:style w:type="paragraph" w:styleId="4">
    <w:name w:val="heading 4"/>
    <w:next w:val="1"/>
    <w:semiHidden/>
    <w:unhideWhenUsed/>
    <w:qFormat/>
    <w:uiPriority w:val="0"/>
    <w:pPr>
      <w:spacing w:before="0" w:beforeAutospacing="1" w:after="0" w:afterAutospacing="1"/>
      <w:jc w:val="left"/>
    </w:pPr>
    <w:rPr>
      <w:rFonts w:hint="eastAsia" w:ascii="SimSun" w:hAnsi="SimSun" w:eastAsia="SimSun" w:cs="SimSun"/>
      <w:b/>
      <w:bCs/>
      <w:kern w:val="0"/>
      <w:sz w:val="24"/>
      <w:szCs w:val="24"/>
      <w:lang w:val="en-US" w:eastAsia="zh-CN" w:bidi="ar"/>
    </w:rPr>
  </w:style>
  <w:style w:type="character" w:default="1" w:styleId="5">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7">
    <w:name w:val="Normal (Web)"/>
    <w:qFormat/>
    <w:uiPriority w:val="0"/>
    <w:pPr>
      <w:spacing w:before="0" w:beforeAutospacing="1" w:after="0" w:afterAutospacing="1"/>
      <w:ind w:left="0" w:right="0"/>
      <w:jc w:val="left"/>
    </w:pPr>
    <w:rPr>
      <w:rFonts w:ascii="Times New Roman" w:hAnsi="Times New Roman" w:eastAsia="SimSun" w:cs="Times New Roman"/>
      <w:kern w:val="0"/>
      <w:sz w:val="24"/>
      <w:szCs w:val="24"/>
      <w:lang w:val="en-US" w:eastAsia="zh-CN" w:bidi="ar"/>
    </w:rPr>
  </w:style>
  <w:style w:type="character" w:styleId="8">
    <w:name w:val="Strong"/>
    <w:basedOn w:val="5"/>
    <w:qFormat/>
    <w:uiPriority w:val="0"/>
    <w:rPr>
      <w:b/>
      <w:bCs/>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游ゴシック Light"/>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23</Pages>
  <Words>3304</Words>
  <Characters>22304</Characters>
  <Lines>0</Lines>
  <Paragraphs>0</Paragraphs>
  <TotalTime>1</TotalTime>
  <ScaleCrop>false</ScaleCrop>
  <LinksUpToDate>false</LinksUpToDate>
  <CharactersWithSpaces>25525</CharactersWithSpaces>
  <Application>WPS Office_12.1.0.26880_F1E327BC-269C-435d-A152-05C5408002CA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2026-06-03T18:36:00Z</dcterms:created>
  <dc:creator>User</dc:creator>
  <cp:lastModifiedBy>User</cp:lastModifiedBy>
  <dcterms:modified xsi:type="dcterms:W3CDTF">2026-06-08T21:42:40Z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1033-12.1.0.26880</vt:lpwstr>
  </property>
  <property fmtid="{D5CDD505-2E9C-101B-9397-08002B2CF9AE}" pid="3" name="ICV">
    <vt:lpwstr>2BA1C1615D6D4F0B8535327B49B861DB_11</vt:lpwstr>
  </property>
  <property fmtid="{D5CDD505-2E9C-101B-9397-08002B2CF9AE}" pid="4" name="KSOTemplateDocerSaveRecord">
    <vt:lpwstr>eyJoZGlkIjoiNDhlNjhkZTIyZjNmYWEyNzIwNGYwYWY2MTdiYTIyYTkiLCJ1c2VySWQiOiIyNzY2NTg2Mjk0ODQ0In0=</vt:lpwstr>
  </property>
</Properties>
</file>