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4084" w14:textId="77777777" w:rsidR="007C587C" w:rsidRDefault="007C587C" w:rsidP="00D40AC6">
      <w:pPr>
        <w:spacing w:after="0" w:line="240" w:lineRule="auto"/>
        <w:jc w:val="center"/>
        <w:rPr>
          <w:rFonts w:ascii="Times New Roman" w:hAnsi="Times New Roman" w:cs="Times New Roman"/>
          <w:b/>
          <w:bCs/>
        </w:rPr>
      </w:pPr>
      <w:r w:rsidRPr="007C587C">
        <w:rPr>
          <w:rFonts w:ascii="Times New Roman" w:hAnsi="Times New Roman" w:cs="Times New Roman"/>
          <w:b/>
          <w:bCs/>
        </w:rPr>
        <w:t>Chalcone–Coumarin Polymers: Synthesis and Antifungal Evaluation with Docking Studie</w:t>
      </w:r>
      <w:r>
        <w:rPr>
          <w:rFonts w:ascii="Times New Roman" w:hAnsi="Times New Roman" w:cs="Times New Roman"/>
          <w:b/>
          <w:bCs/>
        </w:rPr>
        <w:t>s</w:t>
      </w:r>
    </w:p>
    <w:p w14:paraId="35DF0E0F" w14:textId="77777777" w:rsidR="009C4BD3" w:rsidRPr="00840145" w:rsidRDefault="009C4BD3" w:rsidP="009C4BD3">
      <w:pPr>
        <w:spacing w:after="0" w:line="360" w:lineRule="auto"/>
        <w:jc w:val="center"/>
        <w:rPr>
          <w:rFonts w:ascii="Times New Roman" w:hAnsi="Times New Roman" w:cs="Times New Roman"/>
          <w:vertAlign w:val="superscript"/>
        </w:rPr>
      </w:pPr>
      <w:proofErr w:type="spellStart"/>
      <w:r w:rsidRPr="00840145">
        <w:rPr>
          <w:rFonts w:ascii="Times New Roman" w:hAnsi="Times New Roman" w:cs="Times New Roman"/>
        </w:rPr>
        <w:t>Rusvi</w:t>
      </w:r>
      <w:proofErr w:type="spellEnd"/>
      <w:r w:rsidRPr="00840145">
        <w:rPr>
          <w:rFonts w:ascii="Times New Roman" w:hAnsi="Times New Roman" w:cs="Times New Roman"/>
        </w:rPr>
        <w:t xml:space="preserve"> A. Gandhi</w:t>
      </w:r>
      <w:r w:rsidRPr="00840145">
        <w:rPr>
          <w:rFonts w:ascii="Times New Roman" w:hAnsi="Times New Roman" w:cs="Times New Roman"/>
          <w:vertAlign w:val="superscript"/>
        </w:rPr>
        <w:t>1</w:t>
      </w:r>
      <w:r w:rsidRPr="00840145">
        <w:rPr>
          <w:rFonts w:ascii="Times New Roman" w:hAnsi="Times New Roman" w:cs="Times New Roman"/>
        </w:rPr>
        <w:t>, Umesh P. Tarpada</w:t>
      </w:r>
      <w:r w:rsidRPr="00840145">
        <w:rPr>
          <w:rFonts w:ascii="Times New Roman" w:hAnsi="Times New Roman" w:cs="Times New Roman"/>
          <w:vertAlign w:val="superscript"/>
        </w:rPr>
        <w:t>2*</w:t>
      </w:r>
      <w:r w:rsidRPr="00840145">
        <w:rPr>
          <w:rFonts w:ascii="Times New Roman" w:hAnsi="Times New Roman" w:cs="Times New Roman"/>
        </w:rPr>
        <w:t>, Vivek N. Dave</w:t>
      </w:r>
      <w:r w:rsidRPr="00840145">
        <w:rPr>
          <w:rFonts w:ascii="Times New Roman" w:hAnsi="Times New Roman" w:cs="Times New Roman"/>
          <w:vertAlign w:val="superscript"/>
        </w:rPr>
        <w:t>3</w:t>
      </w:r>
      <w:r w:rsidRPr="00840145">
        <w:rPr>
          <w:rFonts w:ascii="Times New Roman" w:hAnsi="Times New Roman" w:cs="Times New Roman"/>
        </w:rPr>
        <w:t>, Kaushik N. Kundaliya</w:t>
      </w:r>
      <w:r w:rsidRPr="00840145">
        <w:rPr>
          <w:rFonts w:ascii="Times New Roman" w:hAnsi="Times New Roman" w:cs="Times New Roman"/>
          <w:vertAlign w:val="superscript"/>
        </w:rPr>
        <w:t>4</w:t>
      </w:r>
    </w:p>
    <w:p w14:paraId="492B1537" w14:textId="77777777" w:rsidR="009C4BD3" w:rsidRPr="00F81588" w:rsidRDefault="009C4BD3" w:rsidP="009C4BD3">
      <w:pPr>
        <w:pStyle w:val="NoSpacing"/>
        <w:spacing w:line="360" w:lineRule="auto"/>
        <w:jc w:val="center"/>
        <w:rPr>
          <w:rFonts w:ascii="Times New Roman" w:eastAsia="Times New Roman" w:hAnsi="Times New Roman" w:cs="Times New Roman"/>
          <w:color w:val="000000" w:themeColor="text1"/>
          <w:sz w:val="24"/>
          <w:szCs w:val="24"/>
        </w:rPr>
      </w:pPr>
      <w:r w:rsidRPr="34240C4B">
        <w:rPr>
          <w:rFonts w:ascii="Times New Roman" w:eastAsia="Times New Roman" w:hAnsi="Times New Roman" w:cs="Times New Roman"/>
          <w:color w:val="000000" w:themeColor="text1"/>
          <w:vertAlign w:val="superscript"/>
        </w:rPr>
        <w:t>1</w:t>
      </w:r>
      <w:r>
        <w:rPr>
          <w:rFonts w:ascii="Times New Roman" w:eastAsia="Times New Roman" w:hAnsi="Times New Roman" w:cs="Times New Roman"/>
          <w:color w:val="000000" w:themeColor="text1"/>
          <w:sz w:val="24"/>
          <w:szCs w:val="24"/>
        </w:rPr>
        <w:t>Research Scholar, Department of Chemistry, Gujarat University, Ahmedabad, Gujarat, India</w:t>
      </w:r>
    </w:p>
    <w:p w14:paraId="14D9A890" w14:textId="77777777" w:rsidR="009C4BD3" w:rsidRDefault="009C4BD3" w:rsidP="009C4BD3">
      <w:pPr>
        <w:pStyle w:val="NoSpacing"/>
        <w:spacing w:line="360" w:lineRule="auto"/>
        <w:jc w:val="center"/>
        <w:rPr>
          <w:rFonts w:ascii="Times New Roman" w:eastAsia="Times New Roman" w:hAnsi="Times New Roman" w:cs="Times New Roman"/>
          <w:color w:val="000000" w:themeColor="text1"/>
        </w:rPr>
      </w:pPr>
      <w:r w:rsidRPr="00F81588">
        <w:rPr>
          <w:rFonts w:ascii="Times New Roman" w:eastAsia="Times New Roman" w:hAnsi="Times New Roman" w:cs="Times New Roman"/>
          <w:color w:val="000000" w:themeColor="text1"/>
          <w:sz w:val="24"/>
          <w:szCs w:val="24"/>
          <w:vertAlign w:val="superscript"/>
        </w:rPr>
        <w:t>2</w:t>
      </w:r>
      <w:r>
        <w:rPr>
          <w:rFonts w:ascii="Times New Roman" w:eastAsia="Times New Roman" w:hAnsi="Times New Roman" w:cs="Times New Roman"/>
          <w:color w:val="000000" w:themeColor="text1"/>
          <w:sz w:val="24"/>
          <w:szCs w:val="24"/>
          <w:vertAlign w:val="superscript"/>
        </w:rPr>
        <w:t>-4</w:t>
      </w:r>
      <w:r w:rsidRPr="34240C4B">
        <w:rPr>
          <w:rFonts w:ascii="Times New Roman" w:eastAsia="Times New Roman" w:hAnsi="Times New Roman" w:cs="Times New Roman"/>
          <w:color w:val="000000" w:themeColor="text1"/>
          <w:sz w:val="24"/>
          <w:szCs w:val="24"/>
        </w:rPr>
        <w:t xml:space="preserve">Department of Chemistry, Government Arts &amp; Science College, </w:t>
      </w:r>
      <w:proofErr w:type="spellStart"/>
      <w:r w:rsidRPr="34240C4B">
        <w:rPr>
          <w:rFonts w:ascii="Times New Roman" w:eastAsia="Times New Roman" w:hAnsi="Times New Roman" w:cs="Times New Roman"/>
          <w:color w:val="000000" w:themeColor="text1"/>
          <w:sz w:val="24"/>
          <w:szCs w:val="24"/>
        </w:rPr>
        <w:t>Bavla</w:t>
      </w:r>
      <w:proofErr w:type="spellEnd"/>
      <w:r w:rsidRPr="34240C4B">
        <w:rPr>
          <w:rFonts w:ascii="Times New Roman" w:eastAsia="Times New Roman" w:hAnsi="Times New Roman" w:cs="Times New Roman"/>
          <w:color w:val="000000" w:themeColor="text1"/>
          <w:sz w:val="24"/>
          <w:szCs w:val="24"/>
        </w:rPr>
        <w:t>, Gujarat University, Ahmedabad, Gujarat, India</w:t>
      </w:r>
    </w:p>
    <w:p w14:paraId="7D245E05" w14:textId="120A3D21" w:rsidR="009C4BD3" w:rsidRDefault="009C4BD3" w:rsidP="009C4BD3">
      <w:pPr>
        <w:spacing w:line="27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w:t>
      </w:r>
      <w:r w:rsidRPr="34240C4B">
        <w:rPr>
          <w:rFonts w:ascii="Times New Roman" w:eastAsia="Times New Roman" w:hAnsi="Times New Roman" w:cs="Times New Roman"/>
          <w:color w:val="000000" w:themeColor="text1"/>
        </w:rPr>
        <w:t xml:space="preserve">E-mail- </w:t>
      </w:r>
      <w:hyperlink r:id="rId4">
        <w:r w:rsidRPr="34240C4B">
          <w:rPr>
            <w:rStyle w:val="Hyperlink"/>
            <w:rFonts w:ascii="Times New Roman" w:eastAsia="Times New Roman" w:hAnsi="Times New Roman" w:cs="Times New Roman"/>
          </w:rPr>
          <w:t>umeshtarpada@gmail.com</w:t>
        </w:r>
      </w:hyperlink>
    </w:p>
    <w:p w14:paraId="6DC46F31" w14:textId="77777777" w:rsidR="00ED3E2B" w:rsidRDefault="00ED3E2B" w:rsidP="009C4BD3">
      <w:pPr>
        <w:pStyle w:val="Heading3"/>
        <w:jc w:val="center"/>
        <w:rPr>
          <w:rFonts w:ascii="Times New Roman" w:hAnsi="Times New Roman" w:cs="Times New Roman"/>
          <w:b/>
          <w:bCs/>
          <w:color w:val="auto"/>
          <w:spacing w:val="-2"/>
          <w:sz w:val="24"/>
          <w:szCs w:val="24"/>
        </w:rPr>
      </w:pPr>
    </w:p>
    <w:p w14:paraId="23EA9F04" w14:textId="77777777" w:rsidR="000B22EB" w:rsidRPr="00EC0751" w:rsidRDefault="00D2685F" w:rsidP="000B22EB">
      <w:pPr>
        <w:pStyle w:val="Heading3"/>
        <w:rPr>
          <w:rFonts w:ascii="Times New Roman" w:hAnsi="Times New Roman" w:cs="Times New Roman"/>
          <w:b/>
          <w:bCs/>
          <w:color w:val="auto"/>
          <w:sz w:val="24"/>
          <w:szCs w:val="24"/>
        </w:rPr>
      </w:pPr>
      <w:r w:rsidRPr="00EC0751">
        <w:rPr>
          <w:rFonts w:ascii="Times New Roman" w:hAnsi="Times New Roman" w:cs="Times New Roman"/>
          <w:b/>
          <w:bCs/>
          <w:color w:val="auto"/>
          <w:spacing w:val="-2"/>
          <w:sz w:val="24"/>
          <w:szCs w:val="24"/>
        </w:rPr>
        <w:t>Abstract</w:t>
      </w:r>
    </w:p>
    <w:p w14:paraId="7AE32BCD" w14:textId="77777777" w:rsidR="000B22EB" w:rsidRPr="000B22EB" w:rsidRDefault="00D2685F" w:rsidP="00EC0751">
      <w:pPr>
        <w:pStyle w:val="BodyText"/>
        <w:spacing w:before="22" w:line="360" w:lineRule="auto"/>
        <w:ind w:left="28" w:right="22"/>
        <w:jc w:val="both"/>
        <w:rPr>
          <w:sz w:val="24"/>
          <w:szCs w:val="24"/>
        </w:rPr>
      </w:pPr>
      <w:r w:rsidRPr="00EC0751">
        <w:rPr>
          <w:sz w:val="24"/>
          <w:szCs w:val="24"/>
        </w:rPr>
        <w:t>This</w:t>
      </w:r>
      <w:r w:rsidRPr="00EC0751">
        <w:rPr>
          <w:spacing w:val="-9"/>
          <w:sz w:val="24"/>
          <w:szCs w:val="24"/>
        </w:rPr>
        <w:t xml:space="preserve"> </w:t>
      </w:r>
      <w:r w:rsidRPr="00EC0751">
        <w:rPr>
          <w:sz w:val="24"/>
          <w:szCs w:val="24"/>
        </w:rPr>
        <w:t>study</w:t>
      </w:r>
      <w:r w:rsidRPr="00EC0751">
        <w:rPr>
          <w:spacing w:val="-9"/>
          <w:sz w:val="24"/>
          <w:szCs w:val="24"/>
        </w:rPr>
        <w:t xml:space="preserve"> </w:t>
      </w:r>
      <w:r w:rsidRPr="00EC0751">
        <w:rPr>
          <w:sz w:val="24"/>
          <w:szCs w:val="24"/>
        </w:rPr>
        <w:t>aimed</w:t>
      </w:r>
      <w:r w:rsidRPr="00EC0751">
        <w:rPr>
          <w:spacing w:val="-9"/>
          <w:sz w:val="24"/>
          <w:szCs w:val="24"/>
        </w:rPr>
        <w:t xml:space="preserve"> </w:t>
      </w:r>
      <w:r w:rsidRPr="00EC0751">
        <w:rPr>
          <w:sz w:val="24"/>
          <w:szCs w:val="24"/>
        </w:rPr>
        <w:t>to</w:t>
      </w:r>
      <w:r w:rsidRPr="00EC0751">
        <w:rPr>
          <w:spacing w:val="-9"/>
          <w:sz w:val="24"/>
          <w:szCs w:val="24"/>
        </w:rPr>
        <w:t xml:space="preserve"> </w:t>
      </w:r>
      <w:r w:rsidRPr="00EC0751">
        <w:rPr>
          <w:sz w:val="24"/>
          <w:szCs w:val="24"/>
        </w:rPr>
        <w:t>investigate</w:t>
      </w:r>
      <w:r w:rsidRPr="00EC0751">
        <w:rPr>
          <w:spacing w:val="-9"/>
          <w:sz w:val="24"/>
          <w:szCs w:val="24"/>
        </w:rPr>
        <w:t xml:space="preserve"> </w:t>
      </w:r>
      <w:r w:rsidRPr="00EC0751">
        <w:rPr>
          <w:sz w:val="24"/>
          <w:szCs w:val="24"/>
        </w:rPr>
        <w:t>the</w:t>
      </w:r>
      <w:r w:rsidRPr="00EC0751">
        <w:rPr>
          <w:spacing w:val="-9"/>
          <w:sz w:val="24"/>
          <w:szCs w:val="24"/>
        </w:rPr>
        <w:t xml:space="preserve"> </w:t>
      </w:r>
      <w:r w:rsidRPr="00EC0751">
        <w:rPr>
          <w:sz w:val="24"/>
          <w:szCs w:val="24"/>
        </w:rPr>
        <w:t>in</w:t>
      </w:r>
      <w:r w:rsidRPr="00EC0751">
        <w:rPr>
          <w:spacing w:val="-9"/>
          <w:sz w:val="24"/>
          <w:szCs w:val="24"/>
        </w:rPr>
        <w:t xml:space="preserve"> </w:t>
      </w:r>
      <w:r w:rsidRPr="00EC0751">
        <w:rPr>
          <w:sz w:val="24"/>
          <w:szCs w:val="24"/>
        </w:rPr>
        <w:t>vitro</w:t>
      </w:r>
      <w:r w:rsidRPr="00EC0751">
        <w:rPr>
          <w:spacing w:val="-10"/>
          <w:sz w:val="24"/>
          <w:szCs w:val="24"/>
        </w:rPr>
        <w:t xml:space="preserve"> </w:t>
      </w:r>
      <w:r w:rsidRPr="00EC0751">
        <w:rPr>
          <w:sz w:val="24"/>
          <w:szCs w:val="24"/>
        </w:rPr>
        <w:t>activity</w:t>
      </w:r>
      <w:r w:rsidRPr="00EC0751">
        <w:rPr>
          <w:spacing w:val="-9"/>
          <w:sz w:val="24"/>
          <w:szCs w:val="24"/>
        </w:rPr>
        <w:t xml:space="preserve"> </w:t>
      </w:r>
      <w:r w:rsidR="00EC0751" w:rsidRPr="00EC0751">
        <w:rPr>
          <w:sz w:val="24"/>
          <w:szCs w:val="24"/>
          <w:lang w:val="en-IN"/>
        </w:rPr>
        <w:t xml:space="preserve">the antifungal activity of chalcone-coumarin-based heterocyclic polymers (8a–8e) against four clinically relevant fungal strains: </w:t>
      </w:r>
      <w:r w:rsidR="00EC0751" w:rsidRPr="00EC0751">
        <w:rPr>
          <w:i/>
          <w:iCs/>
          <w:sz w:val="24"/>
          <w:szCs w:val="24"/>
          <w:lang w:val="en-IN"/>
        </w:rPr>
        <w:t>Candida albicans</w:t>
      </w:r>
      <w:r w:rsidR="00EC0751" w:rsidRPr="00EC0751">
        <w:rPr>
          <w:sz w:val="24"/>
          <w:szCs w:val="24"/>
          <w:lang w:val="en-IN"/>
        </w:rPr>
        <w:t xml:space="preserve">, </w:t>
      </w:r>
      <w:r w:rsidR="00EC0751" w:rsidRPr="00EC0751">
        <w:rPr>
          <w:i/>
          <w:iCs/>
          <w:sz w:val="24"/>
          <w:szCs w:val="24"/>
          <w:lang w:val="en-IN"/>
        </w:rPr>
        <w:t>Aspergillus niger</w:t>
      </w:r>
      <w:r w:rsidR="00EC0751" w:rsidRPr="00EC0751">
        <w:rPr>
          <w:sz w:val="24"/>
          <w:szCs w:val="24"/>
          <w:lang w:val="en-IN"/>
        </w:rPr>
        <w:t xml:space="preserve">, </w:t>
      </w:r>
      <w:r w:rsidR="00EC0751" w:rsidRPr="00EC0751">
        <w:rPr>
          <w:i/>
          <w:iCs/>
          <w:sz w:val="24"/>
          <w:szCs w:val="24"/>
          <w:lang w:val="en-IN"/>
        </w:rPr>
        <w:t>Cryptococcus neoformans</w:t>
      </w:r>
      <w:r w:rsidR="00EC0751" w:rsidRPr="00EC0751">
        <w:rPr>
          <w:sz w:val="24"/>
          <w:szCs w:val="24"/>
          <w:lang w:val="en-IN"/>
        </w:rPr>
        <w:t xml:space="preserve">, and </w:t>
      </w:r>
      <w:r w:rsidR="00EC0751" w:rsidRPr="00EC0751">
        <w:rPr>
          <w:i/>
          <w:iCs/>
          <w:sz w:val="24"/>
          <w:szCs w:val="24"/>
          <w:lang w:val="en-IN"/>
        </w:rPr>
        <w:t>Fusarium solani</w:t>
      </w:r>
      <w:r w:rsidR="00EC0751" w:rsidRPr="00EC0751">
        <w:rPr>
          <w:sz w:val="24"/>
          <w:szCs w:val="24"/>
          <w:lang w:val="en-IN"/>
        </w:rPr>
        <w:t xml:space="preserve">. Using MIC₅₀ values with fluconazole as the reference drug, the study highlighted the superior antifungal potential of these polymers, particularly 8c, which demonstrated significantly lower MIC₅₀ values compared to fluconazole against </w:t>
      </w:r>
      <w:r w:rsidR="00EC0751" w:rsidRPr="00EC0751">
        <w:rPr>
          <w:i/>
          <w:iCs/>
          <w:sz w:val="24"/>
          <w:szCs w:val="24"/>
          <w:lang w:val="en-IN"/>
        </w:rPr>
        <w:t>C. albicans</w:t>
      </w:r>
      <w:r w:rsidR="00EC0751" w:rsidRPr="00EC0751">
        <w:rPr>
          <w:sz w:val="24"/>
          <w:szCs w:val="24"/>
          <w:lang w:val="en-IN"/>
        </w:rPr>
        <w:t xml:space="preserve"> (12.31 ± 0.85 µg/mL vs. 28.51 ± 1.98 µg/mL) and </w:t>
      </w:r>
      <w:r w:rsidR="00EC0751" w:rsidRPr="00EC0751">
        <w:rPr>
          <w:i/>
          <w:iCs/>
          <w:sz w:val="24"/>
          <w:szCs w:val="24"/>
          <w:lang w:val="en-IN"/>
        </w:rPr>
        <w:t>F. solani</w:t>
      </w:r>
      <w:r w:rsidR="00EC0751" w:rsidRPr="00EC0751">
        <w:rPr>
          <w:sz w:val="24"/>
          <w:szCs w:val="24"/>
          <w:lang w:val="en-IN"/>
        </w:rPr>
        <w:t xml:space="preserve"> (13.57 ± 0.79 µg/mL vs. 30.92 ± 2.12 µg/mL). The enhanced efficacy of </w:t>
      </w:r>
      <w:r>
        <w:rPr>
          <w:sz w:val="24"/>
          <w:szCs w:val="24"/>
          <w:lang w:val="en-IN"/>
        </w:rPr>
        <w:t xml:space="preserve">compound 8c is attributed to the synergistic effects of chalcone and coumarin moieties, which improve membrane disruption, ergosterol biosynthesis inhibition, and enzymatic interference. Polymer 8e also showed potent activity, particularly against </w:t>
      </w:r>
      <w:r w:rsidR="00EC0751" w:rsidRPr="00EC0751">
        <w:rPr>
          <w:i/>
          <w:iCs/>
          <w:sz w:val="24"/>
          <w:szCs w:val="24"/>
          <w:lang w:val="en-IN"/>
        </w:rPr>
        <w:t>C. albicans</w:t>
      </w:r>
      <w:r w:rsidR="00EC0751" w:rsidRPr="00EC0751">
        <w:rPr>
          <w:sz w:val="24"/>
          <w:szCs w:val="24"/>
          <w:lang w:val="en-IN"/>
        </w:rPr>
        <w:t xml:space="preserve"> (14.72 ± 0.96 µg/mL) and </w:t>
      </w:r>
      <w:r w:rsidR="00EC0751" w:rsidRPr="00EC0751">
        <w:rPr>
          <w:i/>
          <w:iCs/>
          <w:sz w:val="24"/>
          <w:szCs w:val="24"/>
          <w:lang w:val="en-IN"/>
        </w:rPr>
        <w:t>F. solani</w:t>
      </w:r>
      <w:r w:rsidR="00EC0751" w:rsidRPr="00EC0751">
        <w:rPr>
          <w:sz w:val="24"/>
          <w:szCs w:val="24"/>
          <w:lang w:val="en-IN"/>
        </w:rPr>
        <w:t xml:space="preserve"> (16.89 ± 0.87 µg/mL), </w:t>
      </w:r>
      <w:r w:rsidR="00584221">
        <w:rPr>
          <w:sz w:val="24"/>
          <w:szCs w:val="24"/>
          <w:lang w:val="en-IN"/>
        </w:rPr>
        <w:t>then</w:t>
      </w:r>
      <w:r w:rsidR="008A69EE">
        <w:rPr>
          <w:sz w:val="24"/>
          <w:szCs w:val="24"/>
          <w:lang w:val="en-IN"/>
        </w:rPr>
        <w:t xml:space="preserve"> </w:t>
      </w:r>
      <w:r w:rsidR="00636426">
        <w:rPr>
          <w:sz w:val="24"/>
          <w:szCs w:val="24"/>
          <w:lang w:val="en-IN"/>
        </w:rPr>
        <w:t xml:space="preserve">the </w:t>
      </w:r>
      <w:r w:rsidR="00636426" w:rsidRPr="00EC0751">
        <w:rPr>
          <w:sz w:val="24"/>
          <w:szCs w:val="24"/>
          <w:lang w:val="en-IN"/>
        </w:rPr>
        <w:t>fluconazole</w:t>
      </w:r>
      <w:r w:rsidR="00EC0751" w:rsidRPr="00EC0751">
        <w:rPr>
          <w:sz w:val="24"/>
          <w:szCs w:val="24"/>
          <w:lang w:val="en-IN"/>
        </w:rPr>
        <w:t xml:space="preserve">. While 8a and 8b exhibited moderate activity, 8b showed comparable activity to fluconazole against </w:t>
      </w:r>
      <w:r w:rsidR="00EC0751" w:rsidRPr="00EC0751">
        <w:rPr>
          <w:i/>
          <w:iCs/>
          <w:sz w:val="24"/>
          <w:szCs w:val="24"/>
          <w:lang w:val="en-IN"/>
        </w:rPr>
        <w:t>A. niger</w:t>
      </w:r>
      <w:r w:rsidR="00EC0751" w:rsidRPr="00EC0751">
        <w:rPr>
          <w:sz w:val="24"/>
          <w:szCs w:val="24"/>
          <w:lang w:val="en-IN"/>
        </w:rPr>
        <w:t xml:space="preserve"> (50.39 ± 3.12 µg/mL vs. 35.88 ± 2.04 µg/mL). Polymer 8d showed intermediate efficacy, especially against </w:t>
      </w:r>
      <w:r w:rsidR="00EC0751" w:rsidRPr="00EC0751">
        <w:rPr>
          <w:i/>
          <w:iCs/>
          <w:sz w:val="24"/>
          <w:szCs w:val="24"/>
          <w:lang w:val="en-IN"/>
        </w:rPr>
        <w:t>C. albicans</w:t>
      </w:r>
      <w:r w:rsidR="00EC0751" w:rsidRPr="00EC0751">
        <w:rPr>
          <w:sz w:val="24"/>
          <w:szCs w:val="24"/>
          <w:lang w:val="en-IN"/>
        </w:rPr>
        <w:t xml:space="preserve"> (19.84 ± 1.23 µg/mL) and </w:t>
      </w:r>
      <w:r w:rsidR="00EC0751" w:rsidRPr="00EC0751">
        <w:rPr>
          <w:i/>
          <w:iCs/>
          <w:sz w:val="24"/>
          <w:szCs w:val="24"/>
          <w:lang w:val="en-IN"/>
        </w:rPr>
        <w:t>F. solani</w:t>
      </w:r>
      <w:r w:rsidR="00EC0751" w:rsidRPr="00EC0751">
        <w:rPr>
          <w:sz w:val="24"/>
          <w:szCs w:val="24"/>
          <w:lang w:val="en-IN"/>
        </w:rPr>
        <w:t xml:space="preserve"> (16.34 ± 1.09 µg/mL).</w:t>
      </w:r>
      <w:r w:rsidR="005E24C8">
        <w:rPr>
          <w:sz w:val="24"/>
          <w:szCs w:val="24"/>
          <w:lang w:val="en-IN"/>
        </w:rPr>
        <w:t xml:space="preserve"> </w:t>
      </w:r>
      <w:r w:rsidR="005E24C8" w:rsidRPr="005E24C8">
        <w:rPr>
          <w:sz w:val="24"/>
          <w:szCs w:val="24"/>
          <w:lang w:val="en-IN"/>
        </w:rPr>
        <w:t xml:space="preserve">Polymer 8a </w:t>
      </w:r>
      <w:r w:rsidR="005E24C8">
        <w:rPr>
          <w:sz w:val="24"/>
          <w:szCs w:val="24"/>
          <w:lang w:val="en-IN"/>
        </w:rPr>
        <w:t xml:space="preserve">shows a </w:t>
      </w:r>
      <w:r w:rsidR="005E24C8" w:rsidRPr="005E24C8">
        <w:rPr>
          <w:sz w:val="24"/>
          <w:szCs w:val="24"/>
          <w:lang w:val="en-IN"/>
        </w:rPr>
        <w:t xml:space="preserve">significantly higher binding affinity (–8.92 kcal/mol) toward fungal </w:t>
      </w:r>
      <w:proofErr w:type="spellStart"/>
      <w:r>
        <w:rPr>
          <w:sz w:val="24"/>
          <w:szCs w:val="24"/>
          <w:lang w:val="en-IN"/>
        </w:rPr>
        <w:t>Nmt</w:t>
      </w:r>
      <w:proofErr w:type="spellEnd"/>
      <w:r w:rsidR="005E24C8" w:rsidRPr="005E24C8">
        <w:rPr>
          <w:sz w:val="24"/>
          <w:szCs w:val="24"/>
          <w:lang w:val="en-IN"/>
        </w:rPr>
        <w:t xml:space="preserve"> </w:t>
      </w:r>
      <w:r w:rsidR="005E24C8">
        <w:rPr>
          <w:sz w:val="24"/>
          <w:szCs w:val="24"/>
          <w:lang w:val="en-IN"/>
        </w:rPr>
        <w:t xml:space="preserve">protein </w:t>
      </w:r>
      <w:r w:rsidR="005E24C8" w:rsidRPr="005E24C8">
        <w:rPr>
          <w:sz w:val="24"/>
          <w:szCs w:val="24"/>
          <w:lang w:val="en-IN"/>
        </w:rPr>
        <w:t>compared to fluconazole (–5.44 kcal/mol), suggesting stronger and more stable interactions.</w:t>
      </w:r>
      <w:r w:rsidR="00EC0751" w:rsidRPr="00EC0751">
        <w:rPr>
          <w:sz w:val="24"/>
          <w:szCs w:val="24"/>
          <w:lang w:val="en-IN"/>
        </w:rPr>
        <w:t xml:space="preserve"> These findings underscore the potential of chalcone-coumarin heterocyclic polymers as promising antifungal agents, with 8c and 8e being particularly effective against resistant strains</w:t>
      </w:r>
      <w:r w:rsidR="005E24C8">
        <w:rPr>
          <w:sz w:val="24"/>
          <w:szCs w:val="24"/>
          <w:lang w:val="en-IN"/>
        </w:rPr>
        <w:t>.</w:t>
      </w:r>
    </w:p>
    <w:p w14:paraId="78143F05" w14:textId="77777777" w:rsidR="00EC0751" w:rsidRDefault="00EC0751" w:rsidP="000B22EB">
      <w:pPr>
        <w:spacing w:line="360" w:lineRule="auto"/>
        <w:ind w:left="28"/>
        <w:jc w:val="both"/>
        <w:rPr>
          <w:rFonts w:ascii="Times New Roman" w:hAnsi="Times New Roman" w:cs="Times New Roman"/>
          <w:b/>
          <w:spacing w:val="-2"/>
        </w:rPr>
      </w:pPr>
    </w:p>
    <w:p w14:paraId="3BC2A438" w14:textId="77777777" w:rsidR="000B22EB" w:rsidRPr="008A69EE" w:rsidRDefault="00D2685F" w:rsidP="008A69EE">
      <w:pPr>
        <w:spacing w:line="360" w:lineRule="auto"/>
        <w:ind w:left="28"/>
        <w:jc w:val="both"/>
        <w:rPr>
          <w:rFonts w:ascii="Times New Roman" w:hAnsi="Times New Roman" w:cs="Times New Roman"/>
          <w:i/>
          <w:iCs/>
          <w:spacing w:val="-2"/>
        </w:rPr>
      </w:pPr>
      <w:r w:rsidRPr="000B22EB">
        <w:rPr>
          <w:rFonts w:ascii="Times New Roman" w:hAnsi="Times New Roman" w:cs="Times New Roman"/>
          <w:b/>
          <w:spacing w:val="-2"/>
        </w:rPr>
        <w:t>Keywords</w:t>
      </w:r>
      <w:r w:rsidR="008A69EE">
        <w:rPr>
          <w:rFonts w:ascii="Times New Roman" w:hAnsi="Times New Roman" w:cs="Times New Roman"/>
          <w:b/>
          <w:spacing w:val="-2"/>
        </w:rPr>
        <w:t>:</w:t>
      </w:r>
      <w:r w:rsidRPr="000B22EB">
        <w:rPr>
          <w:rFonts w:ascii="Times New Roman" w:hAnsi="Times New Roman" w:cs="Times New Roman"/>
          <w:b/>
          <w:spacing w:val="27"/>
        </w:rPr>
        <w:t xml:space="preserve"> </w:t>
      </w:r>
      <w:r w:rsidRPr="008A69EE">
        <w:rPr>
          <w:rFonts w:ascii="Times New Roman" w:hAnsi="Times New Roman" w:cs="Times New Roman"/>
          <w:i/>
          <w:iCs/>
          <w:spacing w:val="-2"/>
        </w:rPr>
        <w:t>Antifungal</w:t>
      </w:r>
      <w:r w:rsidRPr="008A69EE">
        <w:rPr>
          <w:rFonts w:ascii="Times New Roman" w:hAnsi="Times New Roman" w:cs="Times New Roman"/>
          <w:i/>
          <w:iCs/>
          <w:spacing w:val="-7"/>
        </w:rPr>
        <w:t xml:space="preserve"> </w:t>
      </w:r>
      <w:r w:rsidRPr="008A69EE">
        <w:rPr>
          <w:rFonts w:ascii="Times New Roman" w:hAnsi="Times New Roman" w:cs="Times New Roman"/>
          <w:i/>
          <w:iCs/>
          <w:spacing w:val="-2"/>
        </w:rPr>
        <w:t>activity</w:t>
      </w:r>
      <w:r w:rsidR="008A69EE" w:rsidRPr="008A69EE">
        <w:rPr>
          <w:rFonts w:ascii="Times New Roman" w:hAnsi="Times New Roman" w:cs="Times New Roman"/>
          <w:i/>
          <w:iCs/>
          <w:spacing w:val="-8"/>
        </w:rPr>
        <w:t xml:space="preserve">, </w:t>
      </w:r>
      <w:r w:rsidR="008A69EE" w:rsidRPr="008A69EE">
        <w:rPr>
          <w:rFonts w:ascii="Times New Roman" w:hAnsi="Times New Roman" w:cs="Times New Roman"/>
          <w:i/>
          <w:iCs/>
          <w:spacing w:val="-2"/>
        </w:rPr>
        <w:t>Heterocyclic Polymer Synthesis, Antifungal Activity, Polymer Characterization, Bioactive Polymers</w:t>
      </w:r>
    </w:p>
    <w:p w14:paraId="3522C67F" w14:textId="77777777" w:rsidR="000B22EB" w:rsidRDefault="000B22EB" w:rsidP="000B22EB">
      <w:pPr>
        <w:spacing w:line="360" w:lineRule="auto"/>
        <w:rPr>
          <w:rFonts w:ascii="Times New Roman" w:hAnsi="Times New Roman" w:cs="Times New Roman"/>
          <w:b/>
          <w:bCs/>
        </w:rPr>
      </w:pPr>
    </w:p>
    <w:p w14:paraId="1225BAED" w14:textId="77777777" w:rsidR="000B22EB" w:rsidRDefault="000B22EB" w:rsidP="000B22EB">
      <w:pPr>
        <w:spacing w:line="360" w:lineRule="auto"/>
        <w:rPr>
          <w:rFonts w:ascii="Times New Roman" w:hAnsi="Times New Roman" w:cs="Times New Roman"/>
          <w:b/>
          <w:bCs/>
        </w:rPr>
      </w:pPr>
    </w:p>
    <w:p w14:paraId="4C80BFD5" w14:textId="77777777" w:rsidR="000B22EB" w:rsidRDefault="000B22EB" w:rsidP="000B22EB">
      <w:pPr>
        <w:spacing w:line="360" w:lineRule="auto"/>
        <w:rPr>
          <w:rFonts w:ascii="Times New Roman" w:hAnsi="Times New Roman" w:cs="Times New Roman"/>
          <w:b/>
          <w:bCs/>
        </w:rPr>
      </w:pPr>
    </w:p>
    <w:p w14:paraId="024C2EE4" w14:textId="77777777" w:rsidR="000B22EB" w:rsidRPr="000B22EB" w:rsidRDefault="00D2685F" w:rsidP="000B22EB">
      <w:pPr>
        <w:spacing w:line="360" w:lineRule="auto"/>
        <w:rPr>
          <w:rFonts w:ascii="Times New Roman" w:hAnsi="Times New Roman" w:cs="Times New Roman"/>
          <w:b/>
          <w:bCs/>
        </w:rPr>
      </w:pPr>
      <w:r>
        <w:rPr>
          <w:rFonts w:ascii="Times New Roman" w:hAnsi="Times New Roman" w:cs="Times New Roman"/>
          <w:b/>
          <w:bCs/>
        </w:rPr>
        <w:t>Introduction</w:t>
      </w:r>
    </w:p>
    <w:p w14:paraId="3FAF9282" w14:textId="77777777" w:rsidR="00FE748D" w:rsidRPr="00FE748D" w:rsidRDefault="00FE748D" w:rsidP="00FE748D">
      <w:pPr>
        <w:spacing w:line="360" w:lineRule="auto"/>
        <w:jc w:val="both"/>
        <w:rPr>
          <w:rFonts w:ascii="Times New Roman" w:hAnsi="Times New Roman" w:cs="Times New Roman"/>
        </w:rPr>
      </w:pPr>
      <w:r w:rsidRPr="00FE748D">
        <w:rPr>
          <w:rFonts w:ascii="Times New Roman" w:hAnsi="Times New Roman" w:cs="Times New Roman"/>
        </w:rPr>
        <w:t xml:space="preserve">Heterocyclic polymers represent a vital class of functional materials in medicinal chemistry due to their structural diversity, </w:t>
      </w:r>
      <w:proofErr w:type="spellStart"/>
      <w:r w:rsidRPr="00FE748D">
        <w:rPr>
          <w:rFonts w:ascii="Times New Roman" w:hAnsi="Times New Roman" w:cs="Times New Roman"/>
        </w:rPr>
        <w:t>tunable</w:t>
      </w:r>
      <w:proofErr w:type="spellEnd"/>
      <w:r w:rsidRPr="00FE748D">
        <w:rPr>
          <w:rFonts w:ascii="Times New Roman" w:hAnsi="Times New Roman" w:cs="Times New Roman"/>
        </w:rPr>
        <w:t xml:space="preserve"> properties, and broad spectrum of biological activities [1], [2]. Among the numerous heterocyclic scaffolds, chalcones and coumarins have attracted significant attention for their potent pharmacological profiles, particularly their antimicrobial and antifungal activities [3]</w:t>
      </w:r>
      <w:proofErr w:type="gramStart"/>
      <w:r w:rsidRPr="00FE748D">
        <w:rPr>
          <w:rFonts w:ascii="Times New Roman" w:hAnsi="Times New Roman" w:cs="Times New Roman"/>
        </w:rPr>
        <w:t>–[</w:t>
      </w:r>
      <w:proofErr w:type="gramEnd"/>
      <w:r w:rsidRPr="00FE748D">
        <w:rPr>
          <w:rFonts w:ascii="Times New Roman" w:hAnsi="Times New Roman" w:cs="Times New Roman"/>
        </w:rPr>
        <w:t xml:space="preserve">5]. Chalcones, bearing an </w:t>
      </w:r>
      <w:proofErr w:type="gramStart"/>
      <w:r w:rsidRPr="00FE748D">
        <w:rPr>
          <w:rFonts w:ascii="Times New Roman" w:hAnsi="Times New Roman" w:cs="Times New Roman"/>
        </w:rPr>
        <w:t>α,β</w:t>
      </w:r>
      <w:proofErr w:type="gramEnd"/>
      <w:r w:rsidRPr="00FE748D">
        <w:rPr>
          <w:rFonts w:ascii="Times New Roman" w:hAnsi="Times New Roman" w:cs="Times New Roman"/>
        </w:rPr>
        <w:t>-unsaturated carbonyl moiety, are well known for their ability to disrupt microbial cell membranes, inhibit biofilm formation, and interfere with key enzymatic pathways in pathogens [6], [7]. On the other hand, coumarins, which are benzopyran-2-one derivatives, exhibit a wide range of bioactivities, including anticoagulant, anti-inflammatory, and antimicrobial effects, and have been extensively investigated as core structures in drug discovery [8], [9].</w:t>
      </w:r>
    </w:p>
    <w:p w14:paraId="4D94491D" w14:textId="13E561E4" w:rsidR="00FE748D" w:rsidRPr="00FE748D" w:rsidRDefault="00FE748D" w:rsidP="00FE748D">
      <w:pPr>
        <w:spacing w:line="360" w:lineRule="auto"/>
        <w:jc w:val="both"/>
        <w:rPr>
          <w:rFonts w:ascii="Times New Roman" w:hAnsi="Times New Roman" w:cs="Times New Roman"/>
        </w:rPr>
      </w:pPr>
      <w:r w:rsidRPr="00FE748D">
        <w:rPr>
          <w:rFonts w:ascii="Times New Roman" w:hAnsi="Times New Roman" w:cs="Times New Roman"/>
        </w:rPr>
        <w:t xml:space="preserve">The increasing prevalence of drug-resistant fungal pathogens, such as </w:t>
      </w:r>
      <w:r w:rsidRPr="00FE748D">
        <w:rPr>
          <w:rFonts w:ascii="Times New Roman" w:hAnsi="Times New Roman" w:cs="Times New Roman"/>
          <w:i/>
          <w:iCs/>
        </w:rPr>
        <w:t>Candida albicans</w:t>
      </w:r>
      <w:r w:rsidRPr="00FE748D">
        <w:rPr>
          <w:rFonts w:ascii="Times New Roman" w:hAnsi="Times New Roman" w:cs="Times New Roman"/>
        </w:rPr>
        <w:t xml:space="preserve">, </w:t>
      </w:r>
      <w:r w:rsidRPr="00FE748D">
        <w:rPr>
          <w:rFonts w:ascii="Times New Roman" w:hAnsi="Times New Roman" w:cs="Times New Roman"/>
          <w:i/>
          <w:iCs/>
        </w:rPr>
        <w:t xml:space="preserve">Aspergillus </w:t>
      </w:r>
      <w:proofErr w:type="spellStart"/>
      <w:r w:rsidRPr="00FE748D">
        <w:rPr>
          <w:rFonts w:ascii="Times New Roman" w:hAnsi="Times New Roman" w:cs="Times New Roman"/>
          <w:i/>
          <w:iCs/>
        </w:rPr>
        <w:t>niger</w:t>
      </w:r>
      <w:proofErr w:type="spellEnd"/>
      <w:r w:rsidRPr="00FE748D">
        <w:rPr>
          <w:rFonts w:ascii="Times New Roman" w:hAnsi="Times New Roman" w:cs="Times New Roman"/>
        </w:rPr>
        <w:t xml:space="preserve">, and </w:t>
      </w:r>
      <w:r w:rsidRPr="00FE748D">
        <w:rPr>
          <w:rFonts w:ascii="Times New Roman" w:hAnsi="Times New Roman" w:cs="Times New Roman"/>
          <w:i/>
          <w:iCs/>
        </w:rPr>
        <w:t>Cryptococcus neoformans</w:t>
      </w:r>
      <w:r w:rsidRPr="00FE748D">
        <w:rPr>
          <w:rFonts w:ascii="Times New Roman" w:hAnsi="Times New Roman" w:cs="Times New Roman"/>
        </w:rPr>
        <w:t>, presents a major public health challenge and underscores the urgent need for alternative therapeutic agents with enhanced potency and reduced toxicity [10], [11]. Current antifungal drugs like azoles and polyenes often face limitations due to poor solubility, resistance, and off-target effects [12]</w:t>
      </w:r>
      <w:r w:rsidR="00D2685F">
        <w:rPr>
          <w:rFonts w:ascii="Times New Roman" w:hAnsi="Times New Roman" w:cs="Times New Roman"/>
        </w:rPr>
        <w:t>,</w:t>
      </w:r>
      <w:r w:rsidRPr="00FE748D">
        <w:rPr>
          <w:rFonts w:ascii="Times New Roman" w:hAnsi="Times New Roman" w:cs="Times New Roman"/>
        </w:rPr>
        <w:t xml:space="preserve">[14]. This has </w:t>
      </w:r>
      <w:proofErr w:type="spellStart"/>
      <w:r w:rsidRPr="00FE748D">
        <w:rPr>
          <w:rFonts w:ascii="Times New Roman" w:hAnsi="Times New Roman" w:cs="Times New Roman"/>
        </w:rPr>
        <w:t>catalyzed</w:t>
      </w:r>
      <w:proofErr w:type="spellEnd"/>
      <w:r w:rsidRPr="00FE748D">
        <w:rPr>
          <w:rFonts w:ascii="Times New Roman" w:hAnsi="Times New Roman" w:cs="Times New Roman"/>
        </w:rPr>
        <w:t xml:space="preserve"> research into polymer-based therapeutics that offer advantages such as improved stability, controlled release profiles, and better interaction with biological membranes [15], [16].</w:t>
      </w:r>
    </w:p>
    <w:p w14:paraId="4CC5BDBE" w14:textId="77777777" w:rsidR="00FE748D" w:rsidRPr="00FE748D" w:rsidRDefault="00FE748D" w:rsidP="00FE748D">
      <w:pPr>
        <w:spacing w:line="360" w:lineRule="auto"/>
        <w:jc w:val="both"/>
        <w:rPr>
          <w:rFonts w:ascii="Times New Roman" w:hAnsi="Times New Roman" w:cs="Times New Roman"/>
        </w:rPr>
      </w:pPr>
      <w:r w:rsidRPr="00FE748D">
        <w:rPr>
          <w:rFonts w:ascii="Times New Roman" w:hAnsi="Times New Roman" w:cs="Times New Roman"/>
        </w:rPr>
        <w:t>In this context, the development of chalcone–coumarin hybrid polymers offers a promising strategy to enhance antifungal efficacy by integrating two bioactive moieties into a single macromolecular framework [17], [18]. Such integration may enhance molecular recognition, membrane permeation, and enzyme inhibition, leading to synergistic antifungal activity [19]. Moreover, the incorporation of heteroaromatic triazole linkers through click chemistry provides further structural stability and bioactivity to the resulting polymers [20], [21].</w:t>
      </w:r>
    </w:p>
    <w:p w14:paraId="590D048E" w14:textId="77777777" w:rsidR="00FE748D" w:rsidRPr="00FE748D" w:rsidRDefault="00FE748D" w:rsidP="00FE748D">
      <w:pPr>
        <w:spacing w:line="360" w:lineRule="auto"/>
        <w:jc w:val="both"/>
        <w:rPr>
          <w:rFonts w:ascii="Times New Roman" w:hAnsi="Times New Roman" w:cs="Times New Roman"/>
        </w:rPr>
      </w:pPr>
      <w:r w:rsidRPr="00FE748D">
        <w:rPr>
          <w:rFonts w:ascii="Times New Roman" w:hAnsi="Times New Roman" w:cs="Times New Roman"/>
        </w:rPr>
        <w:t>In addition to experimental evaluations, molecular docking studies were conducted to assess the binding affinity and interaction of the synthesized compounds with fungal target proteins, including lanosterol 14α-demethylase and N-</w:t>
      </w:r>
      <w:proofErr w:type="spellStart"/>
      <w:r w:rsidRPr="00FE748D">
        <w:rPr>
          <w:rFonts w:ascii="Times New Roman" w:hAnsi="Times New Roman" w:cs="Times New Roman"/>
        </w:rPr>
        <w:t>myristoyltransferase</w:t>
      </w:r>
      <w:proofErr w:type="spellEnd"/>
      <w:r w:rsidRPr="00FE748D">
        <w:rPr>
          <w:rFonts w:ascii="Times New Roman" w:hAnsi="Times New Roman" w:cs="Times New Roman"/>
        </w:rPr>
        <w:t>—key enzymes involved in fungal survival and pathogenesis [22], [23]. Docking simulations offered mechanistic insight into the potential binding modes and supported the observed biological activity profiles of the polymers.</w:t>
      </w:r>
    </w:p>
    <w:p w14:paraId="09C371B7" w14:textId="7799D02F" w:rsidR="00FE748D" w:rsidRDefault="00FE748D" w:rsidP="000B22EB">
      <w:pPr>
        <w:spacing w:line="360" w:lineRule="auto"/>
        <w:jc w:val="both"/>
        <w:rPr>
          <w:rFonts w:ascii="Times New Roman" w:hAnsi="Times New Roman" w:cs="Times New Roman"/>
        </w:rPr>
      </w:pPr>
      <w:r w:rsidRPr="00FE748D">
        <w:rPr>
          <w:rFonts w:ascii="Times New Roman" w:hAnsi="Times New Roman" w:cs="Times New Roman"/>
        </w:rPr>
        <w:lastRenderedPageBreak/>
        <w:t>The present study focuses on the design, synthesis, and structural characterization of novel chalcone–coumarin-based heterocyclic polymers via copper(I)-</w:t>
      </w:r>
      <w:proofErr w:type="spellStart"/>
      <w:r w:rsidRPr="00FE748D">
        <w:rPr>
          <w:rFonts w:ascii="Times New Roman" w:hAnsi="Times New Roman" w:cs="Times New Roman"/>
        </w:rPr>
        <w:t>catalyzed</w:t>
      </w:r>
      <w:proofErr w:type="spellEnd"/>
      <w:r w:rsidRPr="00FE748D">
        <w:rPr>
          <w:rFonts w:ascii="Times New Roman" w:hAnsi="Times New Roman" w:cs="Times New Roman"/>
        </w:rPr>
        <w:t xml:space="preserve"> </w:t>
      </w:r>
      <w:proofErr w:type="spellStart"/>
      <w:r w:rsidRPr="00FE748D">
        <w:rPr>
          <w:rFonts w:ascii="Times New Roman" w:hAnsi="Times New Roman" w:cs="Times New Roman"/>
        </w:rPr>
        <w:t>azide</w:t>
      </w:r>
      <w:proofErr w:type="spellEnd"/>
      <w:r w:rsidRPr="00FE748D">
        <w:rPr>
          <w:rFonts w:ascii="Times New Roman" w:hAnsi="Times New Roman" w:cs="Times New Roman"/>
        </w:rPr>
        <w:t>–alkyne cycloaddition (</w:t>
      </w:r>
      <w:proofErr w:type="spellStart"/>
      <w:r w:rsidRPr="00FE748D">
        <w:rPr>
          <w:rFonts w:ascii="Times New Roman" w:hAnsi="Times New Roman" w:cs="Times New Roman"/>
        </w:rPr>
        <w:t>CuAAC</w:t>
      </w:r>
      <w:proofErr w:type="spellEnd"/>
      <w:r w:rsidRPr="00FE748D">
        <w:rPr>
          <w:rFonts w:ascii="Times New Roman" w:hAnsi="Times New Roman" w:cs="Times New Roman"/>
        </w:rPr>
        <w:t>). The synthesized compounds were thoroughly characterized using ¹H NMR,</w:t>
      </w:r>
      <w:r w:rsidR="002451C3">
        <w:rPr>
          <w:rFonts w:ascii="Times New Roman" w:hAnsi="Times New Roman" w:cs="Times New Roman"/>
        </w:rPr>
        <w:t xml:space="preserve"> and </w:t>
      </w:r>
      <w:r w:rsidRPr="00FE748D">
        <w:rPr>
          <w:rFonts w:ascii="Times New Roman" w:hAnsi="Times New Roman" w:cs="Times New Roman"/>
        </w:rPr>
        <w:t xml:space="preserve">¹³C </w:t>
      </w:r>
      <w:proofErr w:type="gramStart"/>
      <w:r w:rsidRPr="00FE748D">
        <w:rPr>
          <w:rFonts w:ascii="Times New Roman" w:hAnsi="Times New Roman" w:cs="Times New Roman"/>
        </w:rPr>
        <w:t>NMR[</w:t>
      </w:r>
      <w:proofErr w:type="gramEnd"/>
      <w:r w:rsidRPr="00FE748D">
        <w:rPr>
          <w:rFonts w:ascii="Times New Roman" w:hAnsi="Times New Roman" w:cs="Times New Roman"/>
        </w:rPr>
        <w:t>24]. Their antifungal efficacy was evaluated in vitro against clinically relevant fungal strains using minimum inhibitory concentration (MIC₅₀) assays, zone of inhibition studies, and cell viability measurements [25]. The combined experimental and computational results provide a promising platform for the development of next-generation antifungal therapeutics.</w:t>
      </w:r>
    </w:p>
    <w:p w14:paraId="29EE2670" w14:textId="77777777" w:rsidR="003C428A" w:rsidRDefault="00D2685F" w:rsidP="000B22EB">
      <w:pPr>
        <w:spacing w:line="360" w:lineRule="auto"/>
        <w:jc w:val="both"/>
        <w:rPr>
          <w:rFonts w:ascii="Times New Roman" w:hAnsi="Times New Roman" w:cs="Times New Roman"/>
          <w:b/>
          <w:bCs/>
        </w:rPr>
      </w:pPr>
      <w:r w:rsidRPr="003C428A">
        <w:rPr>
          <w:rFonts w:ascii="Times New Roman" w:hAnsi="Times New Roman" w:cs="Times New Roman"/>
          <w:b/>
          <w:bCs/>
        </w:rPr>
        <w:t>Result and Discussions</w:t>
      </w:r>
    </w:p>
    <w:p w14:paraId="30456FEE" w14:textId="77777777" w:rsidR="00EC0751" w:rsidRDefault="00D2685F" w:rsidP="000B22EB">
      <w:pPr>
        <w:spacing w:line="360" w:lineRule="auto"/>
        <w:jc w:val="both"/>
        <w:rPr>
          <w:rFonts w:ascii="Times New Roman" w:hAnsi="Times New Roman" w:cs="Times New Roman"/>
          <w:b/>
          <w:bCs/>
          <w:i/>
          <w:iCs/>
        </w:rPr>
      </w:pPr>
      <w:r w:rsidRPr="00EC0751">
        <w:rPr>
          <w:rFonts w:ascii="Times New Roman" w:hAnsi="Times New Roman" w:cs="Times New Roman"/>
          <w:b/>
          <w:bCs/>
          <w:i/>
          <w:iCs/>
        </w:rPr>
        <w:t>Chemistry</w:t>
      </w:r>
    </w:p>
    <w:p w14:paraId="72E3BDBF" w14:textId="77777777" w:rsidR="00D60E99" w:rsidRPr="00D60E99" w:rsidRDefault="00D2685F" w:rsidP="00D60E99">
      <w:pPr>
        <w:spacing w:line="360" w:lineRule="auto"/>
        <w:jc w:val="both"/>
        <w:rPr>
          <w:rFonts w:ascii="Times New Roman" w:hAnsi="Times New Roman" w:cs="Times New Roman"/>
        </w:rPr>
      </w:pPr>
      <w:r w:rsidRPr="00D60E99">
        <w:rPr>
          <w:rFonts w:ascii="Times New Roman" w:hAnsi="Times New Roman" w:cs="Times New Roman"/>
        </w:rPr>
        <w:t>The final heterocyclic polymer hybrid compound was synthesized using a multi-step protocol, optimizing each step for maximum efficiency, yield, and scalability, as illustrated in Scheme 1-4. Initially, Compound 1 was obtained via aldol condensation of a methoxy-substituted aromatic compound with hydroxybenzaldehyde in ethanol under basic conditions, using sodium hydroxide as a catalyst. The resulting chalcone derivative</w:t>
      </w:r>
      <w:r>
        <w:rPr>
          <w:rFonts w:ascii="Times New Roman" w:eastAsia="Calibri" w:hAnsi="Times New Roman" w:cs="Times New Roman"/>
        </w:rPr>
        <w:t xml:space="preserve">s </w:t>
      </w:r>
      <w:r w:rsidRPr="00D60E99">
        <w:rPr>
          <w:rFonts w:ascii="Times New Roman" w:hAnsi="Times New Roman" w:cs="Times New Roman"/>
        </w:rPr>
        <w:t xml:space="preserve">were crystallized and purified. Next, Compound 3 was synthesized via condensation with a hydrazine derivative in glacial acetic acid, yielding a high-purity product after column chromatography. Compound 4 was prepared by reacting compound 3 with propargyl bromide in dry acetone under reflux using potassium carbonate as the base. Simultaneously, Compound 6 was synthesized by substituting </w:t>
      </w:r>
      <w:proofErr w:type="spellStart"/>
      <w:r w:rsidRPr="00D60E99">
        <w:rPr>
          <w:rFonts w:ascii="Times New Roman" w:hAnsi="Times New Roman" w:cs="Times New Roman"/>
        </w:rPr>
        <w:t>dibromoalkane</w:t>
      </w:r>
      <w:r>
        <w:rPr>
          <w:rFonts w:ascii="Times New Roman" w:eastAsia="Calibri" w:hAnsi="Times New Roman" w:cs="Times New Roman"/>
        </w:rPr>
        <w:t>s</w:t>
      </w:r>
      <w:proofErr w:type="spellEnd"/>
      <w:r>
        <w:rPr>
          <w:rFonts w:ascii="Times New Roman" w:eastAsia="Calibri" w:hAnsi="Times New Roman" w:cs="Times New Roman"/>
        </w:rPr>
        <w:t xml:space="preserve"> with sodium </w:t>
      </w:r>
      <w:proofErr w:type="spellStart"/>
      <w:r w:rsidRPr="00D60E99">
        <w:rPr>
          <w:rFonts w:ascii="Times New Roman" w:hAnsi="Times New Roman" w:cs="Times New Roman"/>
        </w:rPr>
        <w:t>azide</w:t>
      </w:r>
      <w:proofErr w:type="spellEnd"/>
      <w:r w:rsidRPr="00D60E99">
        <w:rPr>
          <w:rFonts w:ascii="Times New Roman" w:hAnsi="Times New Roman" w:cs="Times New Roman"/>
        </w:rPr>
        <w:t xml:space="preserve"> in ethanol, resulting in an </w:t>
      </w:r>
      <w:proofErr w:type="spellStart"/>
      <w:r w:rsidRPr="00D60E99">
        <w:rPr>
          <w:rFonts w:ascii="Times New Roman" w:hAnsi="Times New Roman" w:cs="Times New Roman"/>
        </w:rPr>
        <w:t>azide</w:t>
      </w:r>
      <w:proofErr w:type="spellEnd"/>
      <w:r w:rsidRPr="00D60E99">
        <w:rPr>
          <w:rFonts w:ascii="Times New Roman" w:hAnsi="Times New Roman" w:cs="Times New Roman"/>
        </w:rPr>
        <w:t xml:space="preserve"> derivative after refluxing for 6 h.</w:t>
      </w:r>
    </w:p>
    <w:p w14:paraId="25F342BF" w14:textId="77777777" w:rsidR="00D60E99" w:rsidRPr="00D60E99" w:rsidRDefault="00D2685F" w:rsidP="00D60E99">
      <w:pPr>
        <w:spacing w:line="360" w:lineRule="auto"/>
        <w:jc w:val="both"/>
        <w:rPr>
          <w:rFonts w:ascii="Times New Roman" w:hAnsi="Times New Roman" w:cs="Times New Roman"/>
        </w:rPr>
      </w:pPr>
      <w:r w:rsidRPr="00D60E99">
        <w:rPr>
          <w:rFonts w:ascii="Times New Roman" w:hAnsi="Times New Roman" w:cs="Times New Roman"/>
        </w:rPr>
        <w:t>The final Cu(I)-catalyzed azide-alkyne cycloaddition (CuAAC) reaction was employed to couple compounds 4 and 6 using copper(I) iodide as the catalyst in dry DMF. The reaction proceeded at room temperature to selectively form the triazole-linked product, which was purified using column chromatography. This robust synthetic pathway enabled the preparation of structurally diverse derivatives with significant potential for further applications.</w:t>
      </w:r>
      <w:r>
        <w:rPr>
          <w:rFonts w:ascii="Times New Roman" w:hAnsi="Times New Roman" w:cs="Times New Roman"/>
        </w:rPr>
        <w:t xml:space="preserve"> V</w:t>
      </w:r>
      <w:r w:rsidRPr="00D60E99">
        <w:rPr>
          <w:rFonts w:ascii="Times New Roman" w:hAnsi="Times New Roman" w:cs="Times New Roman"/>
        </w:rPr>
        <w:t xml:space="preserve">arious reaction conditions for </w:t>
      </w:r>
      <w:proofErr w:type="spellStart"/>
      <w:r w:rsidRPr="00D60E99">
        <w:rPr>
          <w:rFonts w:ascii="Times New Roman" w:hAnsi="Times New Roman" w:cs="Times New Roman"/>
        </w:rPr>
        <w:t>CuI-catalyzed</w:t>
      </w:r>
      <w:proofErr w:type="spellEnd"/>
      <w:r w:rsidRPr="00D60E99">
        <w:rPr>
          <w:rFonts w:ascii="Times New Roman" w:hAnsi="Times New Roman" w:cs="Times New Roman"/>
        </w:rPr>
        <w:t xml:space="preserve"> process yield. The highest yield (92%) was obtained with 1% </w:t>
      </w:r>
      <w:proofErr w:type="spellStart"/>
      <w:r w:rsidRPr="00D60E99">
        <w:rPr>
          <w:rFonts w:ascii="Times New Roman" w:hAnsi="Times New Roman" w:cs="Times New Roman"/>
        </w:rPr>
        <w:t>CuI</w:t>
      </w:r>
      <w:proofErr w:type="spellEnd"/>
      <w:r w:rsidRPr="00D60E99">
        <w:rPr>
          <w:rFonts w:ascii="Times New Roman" w:hAnsi="Times New Roman" w:cs="Times New Roman"/>
        </w:rPr>
        <w:t xml:space="preserve"> in DMF at 100°C for 6 h with KOH as the base. Polar solvents, such as DMF and DMSO</w:t>
      </w:r>
      <w:r>
        <w:rPr>
          <w:rFonts w:ascii="Times New Roman" w:eastAsia="Calibri" w:hAnsi="Times New Roman" w:cs="Times New Roman"/>
        </w:rPr>
        <w:t>, enhanced the solubility and reaction kinetics, leading to higher yields compared to non-polar solvents</w:t>
      </w:r>
      <w:r w:rsidRPr="00D60E99">
        <w:rPr>
          <w:rFonts w:ascii="Times New Roman" w:hAnsi="Times New Roman" w:cs="Times New Roman"/>
        </w:rPr>
        <w:t>, such as toluene. Higher temperatures (100–120°C) also contributed to higher yields, while KOH and K₂CO₃ were more effective bases than NaOH and Et₃N, optimizing reaction efficiency.</w:t>
      </w:r>
    </w:p>
    <w:p w14:paraId="005464B2" w14:textId="77777777" w:rsidR="00D60E99" w:rsidRPr="00D60E99" w:rsidRDefault="00D2685F" w:rsidP="00D60E99">
      <w:pPr>
        <w:spacing w:line="360" w:lineRule="auto"/>
        <w:jc w:val="both"/>
        <w:rPr>
          <w:rFonts w:ascii="Times New Roman" w:hAnsi="Times New Roman" w:cs="Times New Roman"/>
        </w:rPr>
      </w:pPr>
      <w:r w:rsidRPr="00D60E99">
        <w:rPr>
          <w:rFonts w:ascii="Times New Roman" w:hAnsi="Times New Roman" w:cs="Times New Roman"/>
        </w:rPr>
        <w:lastRenderedPageBreak/>
        <w:t xml:space="preserve">The </w:t>
      </w:r>
      <w:r w:rsidRPr="00D60E99">
        <w:rPr>
          <w:rFonts w:ascii="Times New Roman" w:hAnsi="Times New Roman" w:cs="Times New Roman"/>
          <w:vertAlign w:val="superscript"/>
        </w:rPr>
        <w:t>1</w:t>
      </w:r>
      <w:r w:rsidRPr="00D60E99">
        <w:rPr>
          <w:rFonts w:ascii="Times New Roman" w:hAnsi="Times New Roman" w:cs="Times New Roman"/>
        </w:rPr>
        <w:t xml:space="preserve">H NMR spectrum of compound 1 showed characteristic aromatic proton peaks in the range of δ ~6.8–8.0 ppm, with hydroxyl (-OH) protons appearing around δ ~9.0 ppm. The 1H NMR </w:t>
      </w:r>
      <w:r>
        <w:rPr>
          <w:rFonts w:ascii="Times New Roman" w:eastAsia="Calibri" w:hAnsi="Times New Roman" w:cs="Times New Roman"/>
        </w:rPr>
        <w:t>spectrum of compound 3 reveal</w:t>
      </w:r>
      <w:r w:rsidRPr="00D60E99">
        <w:rPr>
          <w:rFonts w:ascii="Times New Roman" w:hAnsi="Times New Roman" w:cs="Times New Roman"/>
        </w:rPr>
        <w:t xml:space="preserve">ed aromatic </w:t>
      </w:r>
      <w:proofErr w:type="spellStart"/>
      <w:r w:rsidRPr="00D60E99">
        <w:rPr>
          <w:rFonts w:ascii="Times New Roman" w:hAnsi="Times New Roman" w:cs="Times New Roman"/>
        </w:rPr>
        <w:t>multiplets</w:t>
      </w:r>
      <w:proofErr w:type="spellEnd"/>
      <w:r w:rsidRPr="00D60E99">
        <w:rPr>
          <w:rFonts w:ascii="Times New Roman" w:hAnsi="Times New Roman" w:cs="Times New Roman"/>
        </w:rPr>
        <w:t xml:space="preserve"> (δ 6.5–8.0 ppm) and broad hydroxyl protons (δ 9.0–10.0 ppm). In compound 5, aromatic protons from the coumarin ring system appear at δ 7.0–8.5 ppm, and methylene protons at δ 3.0–4.5 ppm are influenced by adjacent electronegative atoms. </w:t>
      </w:r>
      <w:r>
        <w:rPr>
          <w:rFonts w:ascii="Times New Roman" w:eastAsia="Calibri" w:hAnsi="Times New Roman" w:cs="Times New Roman"/>
        </w:rPr>
        <w:t>The FTIR spectrum of 7a show</w:t>
      </w:r>
      <w:r w:rsidRPr="00D60E99">
        <w:rPr>
          <w:rFonts w:ascii="Times New Roman" w:hAnsi="Times New Roman" w:cs="Times New Roman"/>
        </w:rPr>
        <w:t>ed characteristic carbonyl (C=O) and nitro (–NO₂) stretching bands, confirming the presence of key functional groups.</w:t>
      </w:r>
    </w:p>
    <w:p w14:paraId="7A1E989F" w14:textId="61E91276" w:rsidR="00D60E99" w:rsidRPr="00D2685F" w:rsidRDefault="00D2685F" w:rsidP="000B22EB">
      <w:pPr>
        <w:spacing w:line="360" w:lineRule="auto"/>
        <w:jc w:val="both"/>
        <w:rPr>
          <w:rFonts w:ascii="Times New Roman" w:hAnsi="Times New Roman" w:cs="Times New Roman"/>
        </w:rPr>
      </w:pPr>
      <w:r w:rsidRPr="00D60E99">
        <w:rPr>
          <w:rFonts w:ascii="Times New Roman" w:hAnsi="Times New Roman" w:cs="Times New Roman"/>
        </w:rPr>
        <w:t xml:space="preserve">In the </w:t>
      </w:r>
      <w:r w:rsidRPr="00D60E99">
        <w:rPr>
          <w:rFonts w:ascii="Times New Roman" w:hAnsi="Times New Roman" w:cs="Times New Roman"/>
          <w:vertAlign w:val="superscript"/>
        </w:rPr>
        <w:t>1</w:t>
      </w:r>
      <w:r w:rsidRPr="00D60E99">
        <w:rPr>
          <w:rFonts w:ascii="Times New Roman" w:hAnsi="Times New Roman" w:cs="Times New Roman"/>
        </w:rPr>
        <w:t xml:space="preserve">H NMR of compound 7a, aromatic protons are found in the range of δ 6.5–8.5 ppm, and methylene protons bridging the triazole and coumarin units appear at δ 3.5–5.5 ppm. 13C NMR revealed signals corresponding to aromatic (δ 110–160 ppm) and quaternary carbons near δ 150–160 ppm. During polymerization, the disappearance of the hydroxyl (-OH) proton peak and shifts in </w:t>
      </w:r>
      <w:r>
        <w:rPr>
          <w:rFonts w:ascii="Times New Roman" w:eastAsia="Calibri" w:hAnsi="Times New Roman" w:cs="Times New Roman"/>
        </w:rPr>
        <w:t xml:space="preserve">the proton peaks indicate </w:t>
      </w:r>
      <w:r w:rsidRPr="00D60E99">
        <w:rPr>
          <w:rFonts w:ascii="Times New Roman" w:hAnsi="Times New Roman" w:cs="Times New Roman"/>
        </w:rPr>
        <w:t>successful transformation from monomer to polymer, reflecting changes in the electronic and steric environment within the polymer backbone.</w:t>
      </w:r>
      <w:r>
        <w:rPr>
          <w:rFonts w:ascii="Times New Roman" w:hAnsi="Times New Roman" w:cs="Times New Roman"/>
        </w:rPr>
        <w:t xml:space="preserve"> </w:t>
      </w:r>
      <w:r w:rsidRPr="00D60E99">
        <w:rPr>
          <w:rFonts w:ascii="Times New Roman" w:hAnsi="Times New Roman" w:cs="Times New Roman"/>
        </w:rPr>
        <w:t>The NMR data confirmed successful polymerization by showing significant shifts in both proton and carbon environments. The disappearance of the hydroxyl proton peak indicates its consumption during polymerization, whereas changes in proton shifts near electronegative groups suggest structural modifications. Aromatic and methylene protons, along with carbon signals in the 110–160 ppm range, confirm</w:t>
      </w:r>
      <w:r>
        <w:rPr>
          <w:rFonts w:ascii="Times New Roman" w:eastAsia="Calibri" w:hAnsi="Times New Roman" w:cs="Times New Roman"/>
        </w:rPr>
        <w:t>ed the incorporation of triazole linkages and nitro-</w:t>
      </w:r>
      <w:r w:rsidRPr="00A17D72">
        <w:rPr>
          <w:rFonts w:ascii="Times New Roman" w:eastAsia="Calibri" w:hAnsi="Times New Roman" w:cs="Times New Roman"/>
        </w:rPr>
        <w:t>functionalized coumarin derivatives. These observations validated the formation of a triazole-linked aromatic polymer, highlighting its molecular complexity and structural integrity</w:t>
      </w:r>
      <w:r w:rsidRPr="00A17D72">
        <w:rPr>
          <w:rFonts w:ascii="Times New Roman" w:hAnsi="Times New Roman" w:cs="Times New Roman"/>
        </w:rPr>
        <w:t xml:space="preserve"> in </w:t>
      </w:r>
      <w:r w:rsidRPr="00A17D72">
        <w:rPr>
          <w:rFonts w:ascii="Times New Roman" w:eastAsia="Calibri" w:hAnsi="Times New Roman" w:cs="Times New Roman"/>
        </w:rPr>
        <w:t>the supplementary data.</w:t>
      </w:r>
    </w:p>
    <w:p w14:paraId="02D212C9" w14:textId="77777777" w:rsidR="00EC0751" w:rsidRPr="00EC0751" w:rsidRDefault="00D2685F" w:rsidP="000B22EB">
      <w:pPr>
        <w:spacing w:line="360" w:lineRule="auto"/>
        <w:jc w:val="both"/>
        <w:rPr>
          <w:rFonts w:ascii="Times New Roman" w:hAnsi="Times New Roman" w:cs="Times New Roman"/>
          <w:b/>
          <w:bCs/>
          <w:i/>
          <w:iCs/>
        </w:rPr>
      </w:pPr>
      <w:r w:rsidRPr="00EC0751">
        <w:rPr>
          <w:rFonts w:ascii="Times New Roman" w:hAnsi="Times New Roman" w:cs="Times New Roman"/>
          <w:b/>
          <w:bCs/>
          <w:i/>
          <w:iCs/>
        </w:rPr>
        <w:t>Antifungal activity</w:t>
      </w:r>
    </w:p>
    <w:p w14:paraId="502768C8" w14:textId="77777777" w:rsidR="00B34720" w:rsidRPr="00B34720" w:rsidRDefault="00D2685F" w:rsidP="00B34720">
      <w:pPr>
        <w:spacing w:line="360" w:lineRule="auto"/>
        <w:jc w:val="both"/>
        <w:rPr>
          <w:rFonts w:ascii="Times New Roman" w:hAnsi="Times New Roman" w:cs="Times New Roman"/>
        </w:rPr>
      </w:pPr>
      <w:r w:rsidRPr="00B34720">
        <w:rPr>
          <w:rFonts w:ascii="Times New Roman" w:hAnsi="Times New Roman" w:cs="Times New Roman"/>
        </w:rPr>
        <w:t xml:space="preserve">The antifungal activities of the synthesized chalcone-coumarin-based heterocyclic polymers (8a–8e) were thoroughly investigated against four clinically relevant fungal strains: </w:t>
      </w:r>
      <w:r w:rsidRPr="00B34720">
        <w:rPr>
          <w:rFonts w:ascii="Times New Roman" w:hAnsi="Times New Roman" w:cs="Times New Roman"/>
          <w:i/>
          <w:iCs/>
        </w:rPr>
        <w:t>Candida albicans</w:t>
      </w:r>
      <w:r w:rsidRPr="00B34720">
        <w:rPr>
          <w:rFonts w:ascii="Times New Roman" w:hAnsi="Times New Roman" w:cs="Times New Roman"/>
        </w:rPr>
        <w:t xml:space="preserve">, </w:t>
      </w:r>
      <w:r w:rsidRPr="00B34720">
        <w:rPr>
          <w:rFonts w:ascii="Times New Roman" w:hAnsi="Times New Roman" w:cs="Times New Roman"/>
          <w:i/>
          <w:iCs/>
        </w:rPr>
        <w:t>Aspergillus niger</w:t>
      </w:r>
      <w:r w:rsidRPr="00B34720">
        <w:rPr>
          <w:rFonts w:ascii="Times New Roman" w:hAnsi="Times New Roman" w:cs="Times New Roman"/>
        </w:rPr>
        <w:t xml:space="preserve">, </w:t>
      </w:r>
      <w:r w:rsidRPr="00B34720">
        <w:rPr>
          <w:rFonts w:ascii="Times New Roman" w:hAnsi="Times New Roman" w:cs="Times New Roman"/>
          <w:i/>
          <w:iCs/>
        </w:rPr>
        <w:t>Cryptococcus neoformans</w:t>
      </w:r>
      <w:r w:rsidRPr="00B34720">
        <w:rPr>
          <w:rFonts w:ascii="Times New Roman" w:hAnsi="Times New Roman" w:cs="Times New Roman"/>
        </w:rPr>
        <w:t xml:space="preserve">, and </w:t>
      </w:r>
      <w:r w:rsidRPr="00B34720">
        <w:rPr>
          <w:rFonts w:ascii="Times New Roman" w:hAnsi="Times New Roman" w:cs="Times New Roman"/>
          <w:i/>
          <w:iCs/>
        </w:rPr>
        <w:t>Fusarium solani</w:t>
      </w:r>
      <w:r w:rsidRPr="00B34720">
        <w:rPr>
          <w:rFonts w:ascii="Times New Roman" w:hAnsi="Times New Roman" w:cs="Times New Roman"/>
        </w:rPr>
        <w:t>. Antifungal efficacy was assessed using MIC₅₀ values, with fluconazole serving as a standard reference drug</w:t>
      </w:r>
      <w:r w:rsidR="00670186">
        <w:rPr>
          <w:rFonts w:ascii="Times New Roman" w:hAnsi="Times New Roman" w:cs="Times New Roman"/>
        </w:rPr>
        <w:t xml:space="preserve"> (Fig.1</w:t>
      </w:r>
      <w:r>
        <w:rPr>
          <w:rFonts w:ascii="Times New Roman" w:eastAsia="Calibri" w:hAnsi="Times New Roman" w:cs="Times New Roman"/>
        </w:rPr>
        <w:t>)</w:t>
      </w:r>
      <w:r w:rsidRPr="00B34720">
        <w:rPr>
          <w:rFonts w:ascii="Times New Roman" w:hAnsi="Times New Roman" w:cs="Times New Roman"/>
        </w:rPr>
        <w:t>. This comprehensive evaluation provided valuable insights into the antifungal potential of these novel polymers, highlighting their possible mechanisms of action and emphasizing the significance of their structural features. The integration of chalcone and coumarin moieties in</w:t>
      </w:r>
      <w:r>
        <w:rPr>
          <w:rFonts w:ascii="Times New Roman" w:eastAsia="Calibri" w:hAnsi="Times New Roman" w:cs="Times New Roman"/>
        </w:rPr>
        <w:t xml:space="preserve">to these heterocyclic polymers offers a promising approach </w:t>
      </w:r>
      <w:r w:rsidRPr="00B34720">
        <w:rPr>
          <w:rFonts w:ascii="Times New Roman" w:hAnsi="Times New Roman" w:cs="Times New Roman"/>
        </w:rPr>
        <w:t>for developing potent antifungal agents, addressing the increasing need for effective treatments against resistant fungal infections.</w:t>
      </w:r>
    </w:p>
    <w:p w14:paraId="12EBB09B" w14:textId="77777777" w:rsidR="00B34720" w:rsidRPr="00B34720" w:rsidRDefault="00D2685F" w:rsidP="000B22EB">
      <w:pPr>
        <w:spacing w:line="360" w:lineRule="auto"/>
        <w:jc w:val="both"/>
        <w:rPr>
          <w:rFonts w:ascii="Times New Roman" w:hAnsi="Times New Roman" w:cs="Times New Roman"/>
        </w:rPr>
      </w:pPr>
      <w:r w:rsidRPr="00B34720">
        <w:rPr>
          <w:rFonts w:ascii="Times New Roman" w:hAnsi="Times New Roman" w:cs="Times New Roman"/>
        </w:rPr>
        <w:lastRenderedPageBreak/>
        <w:t xml:space="preserve">Among the tested polymers, 8c exhibited remarkable antifungal potency, with MIC₅₀ values significantly lower than </w:t>
      </w:r>
      <w:r>
        <w:rPr>
          <w:rFonts w:ascii="Times New Roman" w:eastAsia="Calibri" w:hAnsi="Times New Roman" w:cs="Times New Roman"/>
        </w:rPr>
        <w:t xml:space="preserve">that of fluconazole across all tested strains. Notably, for C. albicans (12.31 ± 0.85 µg/mL) and F. </w:t>
      </w:r>
      <w:r w:rsidRPr="00B34720">
        <w:rPr>
          <w:rFonts w:ascii="Times New Roman" w:hAnsi="Times New Roman" w:cs="Times New Roman"/>
        </w:rPr>
        <w:t xml:space="preserve">solani (13.57 ± 0.79 µg/mL), 8c displayed higher efficacy compared to fluconazole (28.51 ± 1.98 µg/mL and 30.92 ± 2.12 µg/mL, respectively), indicating its superior potential as an antifungal agent. This enhanced performance is attributed to the synergistic effects of the chalcone and coumarin moieties, </w:t>
      </w:r>
      <w:r>
        <w:rPr>
          <w:rFonts w:ascii="Times New Roman" w:eastAsia="Calibri" w:hAnsi="Times New Roman" w:cs="Times New Roman"/>
        </w:rPr>
        <w:t>which enhanc</w:t>
      </w:r>
      <w:r w:rsidRPr="00B34720">
        <w:rPr>
          <w:rFonts w:ascii="Times New Roman" w:hAnsi="Times New Roman" w:cs="Times New Roman"/>
        </w:rPr>
        <w:t>e membrane disruption, ergosterol biosynthesis inhibition, and enzymatic interference.</w:t>
      </w:r>
      <w:r>
        <w:rPr>
          <w:rFonts w:ascii="Times New Roman" w:hAnsi="Times New Roman" w:cs="Times New Roman"/>
        </w:rPr>
        <w:t xml:space="preserve"> </w:t>
      </w:r>
      <w:r w:rsidRPr="00B34720">
        <w:rPr>
          <w:rFonts w:ascii="Times New Roman" w:hAnsi="Times New Roman" w:cs="Times New Roman"/>
        </w:rPr>
        <w:t xml:space="preserve">Polymer 8e also demonstrated potent antifungal activity, particularly against C. albicans (14.72 ± 0.96 µg/mL) and F. solani (16.89 ± 0.87 µg/mL), outperforming fluconazole. Its enhanced activity is likely due to strong interactions with fungal cell wall components, leading to </w:t>
      </w:r>
      <w:r>
        <w:rPr>
          <w:rFonts w:ascii="Times New Roman" w:eastAsia="Calibri" w:hAnsi="Times New Roman" w:cs="Times New Roman"/>
        </w:rPr>
        <w:t xml:space="preserve">loss of structural integrity </w:t>
      </w:r>
      <w:r w:rsidRPr="00B34720">
        <w:rPr>
          <w:rFonts w:ascii="Times New Roman" w:hAnsi="Times New Roman" w:cs="Times New Roman"/>
        </w:rPr>
        <w:t>and cell death.</w:t>
      </w:r>
      <w:r>
        <w:rPr>
          <w:rFonts w:ascii="Times New Roman" w:hAnsi="Times New Roman" w:cs="Times New Roman"/>
        </w:rPr>
        <w:t xml:space="preserve"> </w:t>
      </w:r>
      <w:r w:rsidRPr="00B34720">
        <w:rPr>
          <w:rFonts w:ascii="Times New Roman" w:hAnsi="Times New Roman" w:cs="Times New Roman"/>
        </w:rPr>
        <w:t xml:space="preserve">Compounds 8a and 8b exhibited moderate antifungal activity but were less effective than fluconazole in most cases, except against A. niger, where 8b (50.39 ± 3.12 µg/mL) showed comparable activity to fluconazole (35.88 ± 2.04 µg/mL). Polymer 8d, with </w:t>
      </w:r>
      <w:r>
        <w:rPr>
          <w:rFonts w:ascii="Times New Roman" w:eastAsia="Calibri" w:hAnsi="Times New Roman" w:cs="Times New Roman"/>
        </w:rPr>
        <w:t xml:space="preserve">an intermediate activity, was more effective than fluconazole against C. albicans and F. </w:t>
      </w:r>
      <w:r w:rsidRPr="00B34720">
        <w:rPr>
          <w:rFonts w:ascii="Times New Roman" w:hAnsi="Times New Roman" w:cs="Times New Roman"/>
        </w:rPr>
        <w:t>solani, emphasizing the role of its electron-donating groups in membrane penetration. This comparison with fluconazole highlights the potential of 8c and 8e as superior antifungal agents, particularly for strains resistant to conventional treatments. These findings underscore the significance of chalcone-coumarin integration and warrant further studies on molecular interactions</w:t>
      </w:r>
      <w:r>
        <w:rPr>
          <w:rFonts w:ascii="Times New Roman" w:hAnsi="Times New Roman" w:cs="Times New Roman"/>
        </w:rPr>
        <w:t>.</w:t>
      </w:r>
    </w:p>
    <w:tbl>
      <w:tblPr>
        <w:tblW w:w="8789" w:type="dxa"/>
        <w:tblLook w:val="04A0" w:firstRow="1" w:lastRow="0" w:firstColumn="1" w:lastColumn="0" w:noHBand="0" w:noVBand="1"/>
      </w:tblPr>
      <w:tblGrid>
        <w:gridCol w:w="1389"/>
        <w:gridCol w:w="1588"/>
        <w:gridCol w:w="1843"/>
        <w:gridCol w:w="2268"/>
        <w:gridCol w:w="1701"/>
      </w:tblGrid>
      <w:tr w:rsidR="005E2885" w14:paraId="78381BA1" w14:textId="77777777" w:rsidTr="00B34720">
        <w:trPr>
          <w:trHeight w:val="300"/>
        </w:trPr>
        <w:tc>
          <w:tcPr>
            <w:tcW w:w="8789" w:type="dxa"/>
            <w:gridSpan w:val="5"/>
            <w:tcBorders>
              <w:top w:val="single" w:sz="4" w:space="0" w:color="auto"/>
              <w:left w:val="nil"/>
              <w:bottom w:val="single" w:sz="4" w:space="0" w:color="auto"/>
              <w:right w:val="nil"/>
            </w:tcBorders>
            <w:shd w:val="clear" w:color="auto" w:fill="auto"/>
            <w:noWrap/>
            <w:vAlign w:val="bottom"/>
            <w:hideMark/>
          </w:tcPr>
          <w:p w14:paraId="76E2DCA8"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IC₅₀ (µg/mL)</w:t>
            </w:r>
          </w:p>
        </w:tc>
      </w:tr>
      <w:tr w:rsidR="005E2885" w14:paraId="782911F9" w14:textId="77777777" w:rsidTr="00B34720">
        <w:trPr>
          <w:trHeight w:val="300"/>
        </w:trPr>
        <w:tc>
          <w:tcPr>
            <w:tcW w:w="1389" w:type="dxa"/>
            <w:tcBorders>
              <w:top w:val="nil"/>
              <w:left w:val="nil"/>
              <w:bottom w:val="single" w:sz="4" w:space="0" w:color="auto"/>
              <w:right w:val="nil"/>
            </w:tcBorders>
            <w:shd w:val="clear" w:color="auto" w:fill="auto"/>
            <w:noWrap/>
            <w:vAlign w:val="bottom"/>
            <w:hideMark/>
          </w:tcPr>
          <w:p w14:paraId="1B88E068"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Entry</w:t>
            </w:r>
          </w:p>
        </w:tc>
        <w:tc>
          <w:tcPr>
            <w:tcW w:w="1588" w:type="dxa"/>
            <w:tcBorders>
              <w:top w:val="nil"/>
              <w:left w:val="nil"/>
              <w:bottom w:val="single" w:sz="4" w:space="0" w:color="auto"/>
              <w:right w:val="nil"/>
            </w:tcBorders>
            <w:shd w:val="clear" w:color="auto" w:fill="auto"/>
            <w:noWrap/>
            <w:vAlign w:val="bottom"/>
            <w:hideMark/>
          </w:tcPr>
          <w:p w14:paraId="6D15C56D"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Candida albicans</w:t>
            </w:r>
          </w:p>
        </w:tc>
        <w:tc>
          <w:tcPr>
            <w:tcW w:w="1843" w:type="dxa"/>
            <w:tcBorders>
              <w:top w:val="nil"/>
              <w:left w:val="nil"/>
              <w:bottom w:val="single" w:sz="4" w:space="0" w:color="auto"/>
              <w:right w:val="nil"/>
            </w:tcBorders>
            <w:shd w:val="clear" w:color="auto" w:fill="auto"/>
            <w:noWrap/>
            <w:vAlign w:val="bottom"/>
            <w:hideMark/>
          </w:tcPr>
          <w:p w14:paraId="7743EA05"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Aspergillus niger</w:t>
            </w:r>
          </w:p>
        </w:tc>
        <w:tc>
          <w:tcPr>
            <w:tcW w:w="2268" w:type="dxa"/>
            <w:tcBorders>
              <w:top w:val="nil"/>
              <w:left w:val="nil"/>
              <w:bottom w:val="single" w:sz="4" w:space="0" w:color="auto"/>
              <w:right w:val="nil"/>
            </w:tcBorders>
            <w:shd w:val="clear" w:color="auto" w:fill="auto"/>
            <w:noWrap/>
            <w:vAlign w:val="bottom"/>
            <w:hideMark/>
          </w:tcPr>
          <w:p w14:paraId="0375B2BD"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Cryptococcus neoformans</w:t>
            </w:r>
          </w:p>
        </w:tc>
        <w:tc>
          <w:tcPr>
            <w:tcW w:w="1701" w:type="dxa"/>
            <w:tcBorders>
              <w:top w:val="nil"/>
              <w:left w:val="nil"/>
              <w:bottom w:val="single" w:sz="4" w:space="0" w:color="auto"/>
              <w:right w:val="nil"/>
            </w:tcBorders>
            <w:shd w:val="clear" w:color="auto" w:fill="auto"/>
            <w:noWrap/>
            <w:vAlign w:val="bottom"/>
            <w:hideMark/>
          </w:tcPr>
          <w:p w14:paraId="5556A5F2"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Fusarium solani</w:t>
            </w:r>
          </w:p>
        </w:tc>
      </w:tr>
      <w:tr w:rsidR="005E2885" w14:paraId="6D34671A" w14:textId="77777777" w:rsidTr="00B34720">
        <w:trPr>
          <w:trHeight w:val="300"/>
        </w:trPr>
        <w:tc>
          <w:tcPr>
            <w:tcW w:w="1389" w:type="dxa"/>
            <w:tcBorders>
              <w:top w:val="nil"/>
              <w:left w:val="nil"/>
              <w:bottom w:val="nil"/>
              <w:right w:val="nil"/>
            </w:tcBorders>
            <w:shd w:val="clear" w:color="auto" w:fill="auto"/>
            <w:noWrap/>
            <w:vAlign w:val="bottom"/>
            <w:hideMark/>
          </w:tcPr>
          <w:p w14:paraId="5AA36E39"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8a</w:t>
            </w:r>
          </w:p>
        </w:tc>
        <w:tc>
          <w:tcPr>
            <w:tcW w:w="1588" w:type="dxa"/>
            <w:tcBorders>
              <w:top w:val="nil"/>
              <w:left w:val="nil"/>
              <w:bottom w:val="nil"/>
              <w:right w:val="nil"/>
            </w:tcBorders>
            <w:shd w:val="clear" w:color="auto" w:fill="auto"/>
            <w:noWrap/>
            <w:vAlign w:val="bottom"/>
            <w:hideMark/>
          </w:tcPr>
          <w:p w14:paraId="4AC868C8"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35.42 ± 2.15</w:t>
            </w:r>
          </w:p>
        </w:tc>
        <w:tc>
          <w:tcPr>
            <w:tcW w:w="1843" w:type="dxa"/>
            <w:tcBorders>
              <w:top w:val="nil"/>
              <w:left w:val="nil"/>
              <w:bottom w:val="nil"/>
              <w:right w:val="nil"/>
            </w:tcBorders>
            <w:shd w:val="clear" w:color="auto" w:fill="auto"/>
            <w:noWrap/>
            <w:vAlign w:val="bottom"/>
            <w:hideMark/>
          </w:tcPr>
          <w:p w14:paraId="0568A5F7"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42.15 ± 2.39</w:t>
            </w:r>
          </w:p>
        </w:tc>
        <w:tc>
          <w:tcPr>
            <w:tcW w:w="2268" w:type="dxa"/>
            <w:tcBorders>
              <w:top w:val="nil"/>
              <w:left w:val="nil"/>
              <w:bottom w:val="nil"/>
              <w:right w:val="nil"/>
            </w:tcBorders>
            <w:shd w:val="clear" w:color="auto" w:fill="auto"/>
            <w:noWrap/>
            <w:vAlign w:val="bottom"/>
            <w:hideMark/>
          </w:tcPr>
          <w:p w14:paraId="1AB39806"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48.96 ± 2.75</w:t>
            </w:r>
          </w:p>
        </w:tc>
        <w:tc>
          <w:tcPr>
            <w:tcW w:w="1701" w:type="dxa"/>
            <w:tcBorders>
              <w:top w:val="nil"/>
              <w:left w:val="nil"/>
              <w:bottom w:val="nil"/>
              <w:right w:val="nil"/>
            </w:tcBorders>
            <w:shd w:val="clear" w:color="auto" w:fill="auto"/>
            <w:noWrap/>
            <w:vAlign w:val="bottom"/>
            <w:hideMark/>
          </w:tcPr>
          <w:p w14:paraId="76DBE6DB"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39.78 ± 2.21</w:t>
            </w:r>
          </w:p>
        </w:tc>
      </w:tr>
      <w:tr w:rsidR="005E2885" w14:paraId="75067BD9" w14:textId="77777777" w:rsidTr="00B34720">
        <w:trPr>
          <w:trHeight w:val="300"/>
        </w:trPr>
        <w:tc>
          <w:tcPr>
            <w:tcW w:w="1389" w:type="dxa"/>
            <w:tcBorders>
              <w:top w:val="nil"/>
              <w:left w:val="nil"/>
              <w:bottom w:val="nil"/>
              <w:right w:val="nil"/>
            </w:tcBorders>
            <w:shd w:val="clear" w:color="auto" w:fill="auto"/>
            <w:noWrap/>
            <w:vAlign w:val="bottom"/>
            <w:hideMark/>
          </w:tcPr>
          <w:p w14:paraId="0E6440EB"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8b</w:t>
            </w:r>
          </w:p>
        </w:tc>
        <w:tc>
          <w:tcPr>
            <w:tcW w:w="1588" w:type="dxa"/>
            <w:tcBorders>
              <w:top w:val="nil"/>
              <w:left w:val="nil"/>
              <w:bottom w:val="nil"/>
              <w:right w:val="nil"/>
            </w:tcBorders>
            <w:shd w:val="clear" w:color="auto" w:fill="auto"/>
            <w:noWrap/>
            <w:vAlign w:val="bottom"/>
            <w:hideMark/>
          </w:tcPr>
          <w:p w14:paraId="371B1D36"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41.27 ± 2.64</w:t>
            </w:r>
          </w:p>
        </w:tc>
        <w:tc>
          <w:tcPr>
            <w:tcW w:w="1843" w:type="dxa"/>
            <w:tcBorders>
              <w:top w:val="nil"/>
              <w:left w:val="nil"/>
              <w:bottom w:val="nil"/>
              <w:right w:val="nil"/>
            </w:tcBorders>
            <w:shd w:val="clear" w:color="auto" w:fill="auto"/>
            <w:noWrap/>
            <w:vAlign w:val="bottom"/>
            <w:hideMark/>
          </w:tcPr>
          <w:p w14:paraId="263C700B"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50.39 ± 3.12</w:t>
            </w:r>
          </w:p>
        </w:tc>
        <w:tc>
          <w:tcPr>
            <w:tcW w:w="2268" w:type="dxa"/>
            <w:tcBorders>
              <w:top w:val="nil"/>
              <w:left w:val="nil"/>
              <w:bottom w:val="nil"/>
              <w:right w:val="nil"/>
            </w:tcBorders>
            <w:shd w:val="clear" w:color="auto" w:fill="auto"/>
            <w:noWrap/>
            <w:vAlign w:val="bottom"/>
            <w:hideMark/>
          </w:tcPr>
          <w:p w14:paraId="77A31E26"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57.24 ± 3.46</w:t>
            </w:r>
          </w:p>
        </w:tc>
        <w:tc>
          <w:tcPr>
            <w:tcW w:w="1701" w:type="dxa"/>
            <w:tcBorders>
              <w:top w:val="nil"/>
              <w:left w:val="nil"/>
              <w:bottom w:val="nil"/>
              <w:right w:val="nil"/>
            </w:tcBorders>
            <w:shd w:val="clear" w:color="auto" w:fill="auto"/>
            <w:noWrap/>
            <w:vAlign w:val="bottom"/>
            <w:hideMark/>
          </w:tcPr>
          <w:p w14:paraId="47C894EF"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46.31 ± 2.89</w:t>
            </w:r>
          </w:p>
        </w:tc>
      </w:tr>
      <w:tr w:rsidR="005E2885" w14:paraId="7535C0C4" w14:textId="77777777" w:rsidTr="00B34720">
        <w:trPr>
          <w:trHeight w:val="300"/>
        </w:trPr>
        <w:tc>
          <w:tcPr>
            <w:tcW w:w="1389" w:type="dxa"/>
            <w:tcBorders>
              <w:top w:val="nil"/>
              <w:left w:val="nil"/>
              <w:bottom w:val="nil"/>
              <w:right w:val="nil"/>
            </w:tcBorders>
            <w:shd w:val="clear" w:color="auto" w:fill="auto"/>
            <w:noWrap/>
            <w:vAlign w:val="bottom"/>
            <w:hideMark/>
          </w:tcPr>
          <w:p w14:paraId="14CA2AAC"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8c</w:t>
            </w:r>
          </w:p>
        </w:tc>
        <w:tc>
          <w:tcPr>
            <w:tcW w:w="1588" w:type="dxa"/>
            <w:tcBorders>
              <w:top w:val="nil"/>
              <w:left w:val="nil"/>
              <w:bottom w:val="nil"/>
              <w:right w:val="nil"/>
            </w:tcBorders>
            <w:shd w:val="clear" w:color="auto" w:fill="auto"/>
            <w:noWrap/>
            <w:vAlign w:val="bottom"/>
            <w:hideMark/>
          </w:tcPr>
          <w:p w14:paraId="2AD3BF42"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12.31 ± 0.85</w:t>
            </w:r>
          </w:p>
        </w:tc>
        <w:tc>
          <w:tcPr>
            <w:tcW w:w="1843" w:type="dxa"/>
            <w:tcBorders>
              <w:top w:val="nil"/>
              <w:left w:val="nil"/>
              <w:bottom w:val="nil"/>
              <w:right w:val="nil"/>
            </w:tcBorders>
            <w:shd w:val="clear" w:color="auto" w:fill="auto"/>
            <w:noWrap/>
            <w:vAlign w:val="bottom"/>
            <w:hideMark/>
          </w:tcPr>
          <w:p w14:paraId="185D185A"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16.05 ± 0.91</w:t>
            </w:r>
          </w:p>
        </w:tc>
        <w:tc>
          <w:tcPr>
            <w:tcW w:w="2268" w:type="dxa"/>
            <w:tcBorders>
              <w:top w:val="nil"/>
              <w:left w:val="nil"/>
              <w:bottom w:val="nil"/>
              <w:right w:val="nil"/>
            </w:tcBorders>
            <w:shd w:val="clear" w:color="auto" w:fill="auto"/>
            <w:noWrap/>
            <w:vAlign w:val="bottom"/>
            <w:hideMark/>
          </w:tcPr>
          <w:p w14:paraId="467BF236"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20.62 ± 1.08</w:t>
            </w:r>
          </w:p>
        </w:tc>
        <w:tc>
          <w:tcPr>
            <w:tcW w:w="1701" w:type="dxa"/>
            <w:tcBorders>
              <w:top w:val="nil"/>
              <w:left w:val="nil"/>
              <w:bottom w:val="nil"/>
              <w:right w:val="nil"/>
            </w:tcBorders>
            <w:shd w:val="clear" w:color="auto" w:fill="auto"/>
            <w:noWrap/>
            <w:vAlign w:val="bottom"/>
            <w:hideMark/>
          </w:tcPr>
          <w:p w14:paraId="1C07E054"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13.57 ± 0.79</w:t>
            </w:r>
          </w:p>
        </w:tc>
      </w:tr>
      <w:tr w:rsidR="005E2885" w14:paraId="270DBF9E" w14:textId="77777777" w:rsidTr="00B34720">
        <w:trPr>
          <w:trHeight w:val="300"/>
        </w:trPr>
        <w:tc>
          <w:tcPr>
            <w:tcW w:w="1389" w:type="dxa"/>
            <w:tcBorders>
              <w:top w:val="nil"/>
              <w:left w:val="nil"/>
              <w:bottom w:val="nil"/>
              <w:right w:val="nil"/>
            </w:tcBorders>
            <w:shd w:val="clear" w:color="auto" w:fill="auto"/>
            <w:noWrap/>
            <w:vAlign w:val="bottom"/>
            <w:hideMark/>
          </w:tcPr>
          <w:p w14:paraId="2A311FA2"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8d</w:t>
            </w:r>
          </w:p>
        </w:tc>
        <w:tc>
          <w:tcPr>
            <w:tcW w:w="1588" w:type="dxa"/>
            <w:tcBorders>
              <w:top w:val="nil"/>
              <w:left w:val="nil"/>
              <w:bottom w:val="nil"/>
              <w:right w:val="nil"/>
            </w:tcBorders>
            <w:shd w:val="clear" w:color="auto" w:fill="auto"/>
            <w:noWrap/>
            <w:vAlign w:val="bottom"/>
            <w:hideMark/>
          </w:tcPr>
          <w:p w14:paraId="39974A37"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19.84 ± 1.23</w:t>
            </w:r>
          </w:p>
        </w:tc>
        <w:tc>
          <w:tcPr>
            <w:tcW w:w="1843" w:type="dxa"/>
            <w:tcBorders>
              <w:top w:val="nil"/>
              <w:left w:val="nil"/>
              <w:bottom w:val="nil"/>
              <w:right w:val="nil"/>
            </w:tcBorders>
            <w:shd w:val="clear" w:color="auto" w:fill="auto"/>
            <w:noWrap/>
            <w:vAlign w:val="bottom"/>
            <w:hideMark/>
          </w:tcPr>
          <w:p w14:paraId="7C06FAF1"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24.63 ± 1.45</w:t>
            </w:r>
          </w:p>
        </w:tc>
        <w:tc>
          <w:tcPr>
            <w:tcW w:w="2268" w:type="dxa"/>
            <w:tcBorders>
              <w:top w:val="nil"/>
              <w:left w:val="nil"/>
              <w:bottom w:val="nil"/>
              <w:right w:val="nil"/>
            </w:tcBorders>
            <w:shd w:val="clear" w:color="auto" w:fill="auto"/>
            <w:noWrap/>
            <w:vAlign w:val="bottom"/>
            <w:hideMark/>
          </w:tcPr>
          <w:p w14:paraId="32D5DD06"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30.57 ± 1.76</w:t>
            </w:r>
          </w:p>
        </w:tc>
        <w:tc>
          <w:tcPr>
            <w:tcW w:w="1701" w:type="dxa"/>
            <w:tcBorders>
              <w:top w:val="nil"/>
              <w:left w:val="nil"/>
              <w:bottom w:val="nil"/>
              <w:right w:val="nil"/>
            </w:tcBorders>
            <w:shd w:val="clear" w:color="auto" w:fill="auto"/>
            <w:noWrap/>
            <w:vAlign w:val="bottom"/>
            <w:hideMark/>
          </w:tcPr>
          <w:p w14:paraId="518CF131"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21.35 ± 1.32</w:t>
            </w:r>
          </w:p>
        </w:tc>
      </w:tr>
      <w:tr w:rsidR="005E2885" w14:paraId="2251A845" w14:textId="77777777" w:rsidTr="00B34720">
        <w:trPr>
          <w:trHeight w:val="300"/>
        </w:trPr>
        <w:tc>
          <w:tcPr>
            <w:tcW w:w="1389" w:type="dxa"/>
            <w:tcBorders>
              <w:top w:val="nil"/>
              <w:left w:val="nil"/>
              <w:bottom w:val="nil"/>
              <w:right w:val="nil"/>
            </w:tcBorders>
            <w:shd w:val="clear" w:color="auto" w:fill="auto"/>
            <w:noWrap/>
            <w:vAlign w:val="bottom"/>
            <w:hideMark/>
          </w:tcPr>
          <w:p w14:paraId="557CC991"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8e</w:t>
            </w:r>
          </w:p>
        </w:tc>
        <w:tc>
          <w:tcPr>
            <w:tcW w:w="1588" w:type="dxa"/>
            <w:tcBorders>
              <w:top w:val="nil"/>
              <w:left w:val="nil"/>
              <w:bottom w:val="nil"/>
              <w:right w:val="nil"/>
            </w:tcBorders>
            <w:shd w:val="clear" w:color="auto" w:fill="auto"/>
            <w:noWrap/>
            <w:vAlign w:val="bottom"/>
            <w:hideMark/>
          </w:tcPr>
          <w:p w14:paraId="2F4DB038"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14.72 ± 0.96</w:t>
            </w:r>
          </w:p>
        </w:tc>
        <w:tc>
          <w:tcPr>
            <w:tcW w:w="1843" w:type="dxa"/>
            <w:tcBorders>
              <w:top w:val="nil"/>
              <w:left w:val="nil"/>
              <w:bottom w:val="nil"/>
              <w:right w:val="nil"/>
            </w:tcBorders>
            <w:shd w:val="clear" w:color="auto" w:fill="auto"/>
            <w:noWrap/>
            <w:vAlign w:val="bottom"/>
            <w:hideMark/>
          </w:tcPr>
          <w:p w14:paraId="526E2770"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19.24 ± 1.02</w:t>
            </w:r>
          </w:p>
        </w:tc>
        <w:tc>
          <w:tcPr>
            <w:tcW w:w="2268" w:type="dxa"/>
            <w:tcBorders>
              <w:top w:val="nil"/>
              <w:left w:val="nil"/>
              <w:bottom w:val="nil"/>
              <w:right w:val="nil"/>
            </w:tcBorders>
            <w:shd w:val="clear" w:color="auto" w:fill="auto"/>
            <w:noWrap/>
            <w:vAlign w:val="bottom"/>
            <w:hideMark/>
          </w:tcPr>
          <w:p w14:paraId="66EBDE62"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24.38 ± 1.21</w:t>
            </w:r>
          </w:p>
        </w:tc>
        <w:tc>
          <w:tcPr>
            <w:tcW w:w="1701" w:type="dxa"/>
            <w:tcBorders>
              <w:top w:val="nil"/>
              <w:left w:val="nil"/>
              <w:bottom w:val="nil"/>
              <w:right w:val="nil"/>
            </w:tcBorders>
            <w:shd w:val="clear" w:color="auto" w:fill="auto"/>
            <w:noWrap/>
            <w:vAlign w:val="bottom"/>
            <w:hideMark/>
          </w:tcPr>
          <w:p w14:paraId="01BF489F"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16.89 ± 0.87</w:t>
            </w:r>
          </w:p>
        </w:tc>
      </w:tr>
      <w:tr w:rsidR="005E2885" w14:paraId="23C7E0C6" w14:textId="77777777" w:rsidTr="00B34720">
        <w:trPr>
          <w:trHeight w:val="300"/>
        </w:trPr>
        <w:tc>
          <w:tcPr>
            <w:tcW w:w="1389" w:type="dxa"/>
            <w:tcBorders>
              <w:top w:val="nil"/>
              <w:left w:val="nil"/>
              <w:bottom w:val="single" w:sz="4" w:space="0" w:color="auto"/>
              <w:right w:val="nil"/>
            </w:tcBorders>
            <w:shd w:val="clear" w:color="auto" w:fill="auto"/>
            <w:noWrap/>
            <w:vAlign w:val="bottom"/>
            <w:hideMark/>
          </w:tcPr>
          <w:p w14:paraId="31B134DD"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Fluconazole</w:t>
            </w:r>
          </w:p>
        </w:tc>
        <w:tc>
          <w:tcPr>
            <w:tcW w:w="1588" w:type="dxa"/>
            <w:tcBorders>
              <w:top w:val="nil"/>
              <w:left w:val="nil"/>
              <w:bottom w:val="single" w:sz="4" w:space="0" w:color="auto"/>
              <w:right w:val="nil"/>
            </w:tcBorders>
            <w:shd w:val="clear" w:color="auto" w:fill="auto"/>
            <w:noWrap/>
            <w:vAlign w:val="bottom"/>
            <w:hideMark/>
          </w:tcPr>
          <w:p w14:paraId="7645CBF0"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28.51 ± 1.98</w:t>
            </w:r>
          </w:p>
        </w:tc>
        <w:tc>
          <w:tcPr>
            <w:tcW w:w="1843" w:type="dxa"/>
            <w:tcBorders>
              <w:top w:val="nil"/>
              <w:left w:val="nil"/>
              <w:bottom w:val="single" w:sz="4" w:space="0" w:color="auto"/>
              <w:right w:val="nil"/>
            </w:tcBorders>
            <w:shd w:val="clear" w:color="auto" w:fill="auto"/>
            <w:noWrap/>
            <w:vAlign w:val="bottom"/>
            <w:hideMark/>
          </w:tcPr>
          <w:p w14:paraId="6EADA53B"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35.88 ± 2.04</w:t>
            </w:r>
          </w:p>
        </w:tc>
        <w:tc>
          <w:tcPr>
            <w:tcW w:w="2268" w:type="dxa"/>
            <w:tcBorders>
              <w:top w:val="nil"/>
              <w:left w:val="nil"/>
              <w:bottom w:val="single" w:sz="4" w:space="0" w:color="auto"/>
              <w:right w:val="nil"/>
            </w:tcBorders>
            <w:shd w:val="clear" w:color="auto" w:fill="auto"/>
            <w:noWrap/>
            <w:vAlign w:val="bottom"/>
            <w:hideMark/>
          </w:tcPr>
          <w:p w14:paraId="16A8A9C5"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41.74 ± 2.35</w:t>
            </w:r>
          </w:p>
        </w:tc>
        <w:tc>
          <w:tcPr>
            <w:tcW w:w="1701" w:type="dxa"/>
            <w:tcBorders>
              <w:top w:val="nil"/>
              <w:left w:val="nil"/>
              <w:bottom w:val="single" w:sz="4" w:space="0" w:color="auto"/>
              <w:right w:val="nil"/>
            </w:tcBorders>
            <w:shd w:val="clear" w:color="auto" w:fill="auto"/>
            <w:noWrap/>
            <w:vAlign w:val="bottom"/>
            <w:hideMark/>
          </w:tcPr>
          <w:p w14:paraId="5F859C3E" w14:textId="77777777" w:rsidR="00B34720" w:rsidRPr="00B34720" w:rsidRDefault="00D2685F" w:rsidP="00B34720">
            <w:pPr>
              <w:spacing w:after="0" w:line="240" w:lineRule="auto"/>
              <w:jc w:val="center"/>
              <w:rPr>
                <w:rFonts w:ascii="Times New Roman" w:eastAsia="Times New Roman" w:hAnsi="Times New Roman" w:cs="Times New Roman"/>
                <w:color w:val="000000"/>
                <w:kern w:val="0"/>
                <w:lang w:eastAsia="en-IN"/>
                <w14:ligatures w14:val="none"/>
              </w:rPr>
            </w:pPr>
            <w:r w:rsidRPr="00B34720">
              <w:rPr>
                <w:rFonts w:ascii="Times New Roman" w:eastAsia="Times New Roman" w:hAnsi="Times New Roman" w:cs="Times New Roman"/>
                <w:color w:val="000000"/>
                <w:kern w:val="0"/>
                <w:lang w:eastAsia="en-IN"/>
                <w14:ligatures w14:val="none"/>
              </w:rPr>
              <w:t>30.92 ± 2.12</w:t>
            </w:r>
          </w:p>
        </w:tc>
      </w:tr>
    </w:tbl>
    <w:p w14:paraId="4606D522" w14:textId="77777777" w:rsidR="006332C8" w:rsidRDefault="00D2685F" w:rsidP="006332C8">
      <w:pPr>
        <w:spacing w:line="360" w:lineRule="auto"/>
        <w:jc w:val="cente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0" locked="0" layoutInCell="1" allowOverlap="1" wp14:anchorId="2DE2C6C3" wp14:editId="6FEFF13E">
            <wp:simplePos x="0" y="0"/>
            <wp:positionH relativeFrom="column">
              <wp:posOffset>-274320</wp:posOffset>
            </wp:positionH>
            <wp:positionV relativeFrom="paragraph">
              <wp:posOffset>2424430</wp:posOffset>
            </wp:positionV>
            <wp:extent cx="6510020" cy="2032635"/>
            <wp:effectExtent l="0" t="0" r="5080" b="0"/>
            <wp:wrapTopAndBottom/>
            <wp:docPr id="17767235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23573"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6510020" cy="2032635"/>
                    </a:xfrm>
                    <a:prstGeom prst="rect">
                      <a:avLst/>
                    </a:prstGeom>
                    <a:noFill/>
                  </pic:spPr>
                </pic:pic>
              </a:graphicData>
            </a:graphic>
            <wp14:sizeRelH relativeFrom="margin">
              <wp14:pctWidth>0</wp14:pctWidth>
            </wp14:sizeRelH>
            <wp14:sizeRelV relativeFrom="margin">
              <wp14:pctHeight>0</wp14:pctHeight>
            </wp14:sizeRelV>
          </wp:anchor>
        </w:drawing>
      </w:r>
      <w:r w:rsidRPr="006332C8">
        <w:rPr>
          <w:rFonts w:ascii="Times New Roman" w:hAnsi="Times New Roman" w:cs="Times New Roman"/>
          <w:b/>
          <w:bCs/>
          <w:noProof/>
        </w:rPr>
        <w:drawing>
          <wp:anchor distT="0" distB="0" distL="114300" distR="114300" simplePos="0" relativeHeight="251661312" behindDoc="0" locked="0" layoutInCell="1" allowOverlap="1" wp14:anchorId="6306BF86" wp14:editId="14EE5604">
            <wp:simplePos x="0" y="0"/>
            <wp:positionH relativeFrom="column">
              <wp:posOffset>1444403</wp:posOffset>
            </wp:positionH>
            <wp:positionV relativeFrom="paragraph">
              <wp:posOffset>4602974</wp:posOffset>
            </wp:positionV>
            <wp:extent cx="3167588" cy="146501"/>
            <wp:effectExtent l="0" t="0" r="0" b="6350"/>
            <wp:wrapTopAndBottom/>
            <wp:docPr id="12" name="Picture 11">
              <a:extLst xmlns:a="http://schemas.openxmlformats.org/drawingml/2006/main">
                <a:ext uri="{FF2B5EF4-FFF2-40B4-BE49-F238E27FC236}">
                  <a16:creationId xmlns:a16="http://schemas.microsoft.com/office/drawing/2014/main" id="{1437963E-924A-5BCB-D298-63DF8D193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437963E-924A-5BCB-D298-63DF8D193F2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7588" cy="146501"/>
                    </a:xfrm>
                    <a:prstGeom prst="rect">
                      <a:avLst/>
                    </a:prstGeom>
                  </pic:spPr>
                </pic:pic>
              </a:graphicData>
            </a:graphic>
          </wp:anchor>
        </w:drawing>
      </w:r>
      <w:r w:rsidR="00656298">
        <w:rPr>
          <w:rFonts w:ascii="Times New Roman" w:hAnsi="Times New Roman" w:cs="Times New Roman"/>
          <w:noProof/>
        </w:rPr>
        <w:drawing>
          <wp:anchor distT="0" distB="0" distL="114300" distR="114300" simplePos="0" relativeHeight="251659264" behindDoc="0" locked="0" layoutInCell="1" allowOverlap="1" wp14:anchorId="1666A53B" wp14:editId="7ADD90BC">
            <wp:simplePos x="0" y="0"/>
            <wp:positionH relativeFrom="column">
              <wp:posOffset>-373380</wp:posOffset>
            </wp:positionH>
            <wp:positionV relativeFrom="paragraph">
              <wp:posOffset>287020</wp:posOffset>
            </wp:positionV>
            <wp:extent cx="6431915" cy="1979930"/>
            <wp:effectExtent l="0" t="0" r="6985" b="0"/>
            <wp:wrapTopAndBottom/>
            <wp:docPr id="1730446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6173"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431915" cy="1979930"/>
                    </a:xfrm>
                    <a:prstGeom prst="rect">
                      <a:avLst/>
                    </a:prstGeom>
                    <a:noFill/>
                  </pic:spPr>
                </pic:pic>
              </a:graphicData>
            </a:graphic>
            <wp14:sizeRelH relativeFrom="margin">
              <wp14:pctWidth>0</wp14:pctWidth>
            </wp14:sizeRelH>
            <wp14:sizeRelV relativeFrom="margin">
              <wp14:pctHeight>0</wp14:pctHeight>
            </wp14:sizeRelV>
          </wp:anchor>
        </w:drawing>
      </w:r>
    </w:p>
    <w:p w14:paraId="0F2B64F4" w14:textId="77777777" w:rsidR="006332C8" w:rsidRPr="006332C8" w:rsidRDefault="006332C8" w:rsidP="006332C8">
      <w:pPr>
        <w:spacing w:line="360" w:lineRule="auto"/>
        <w:jc w:val="center"/>
        <w:rPr>
          <w:rFonts w:ascii="Times New Roman" w:hAnsi="Times New Roman" w:cs="Times New Roman"/>
        </w:rPr>
      </w:pPr>
    </w:p>
    <w:p w14:paraId="5903136F" w14:textId="45762045" w:rsidR="00656298" w:rsidRDefault="00D2685F" w:rsidP="00D2685F">
      <w:pPr>
        <w:spacing w:line="360" w:lineRule="auto"/>
        <w:jc w:val="both"/>
        <w:rPr>
          <w:rFonts w:ascii="Times New Roman" w:hAnsi="Times New Roman" w:cs="Times New Roman"/>
          <w:b/>
          <w:bCs/>
        </w:rPr>
      </w:pPr>
      <w:r w:rsidRPr="00656298">
        <w:rPr>
          <w:rFonts w:ascii="Times New Roman" w:hAnsi="Times New Roman" w:cs="Times New Roman"/>
          <w:b/>
          <w:bCs/>
        </w:rPr>
        <w:t xml:space="preserve">Fig.1: </w:t>
      </w:r>
      <w:r w:rsidRPr="0044089B">
        <w:rPr>
          <w:rFonts w:ascii="Times New Roman" w:hAnsi="Times New Roman" w:cs="Times New Roman"/>
          <w:bCs/>
        </w:rPr>
        <w:t>3D bar graphs showing the concentration-dependent antibiofilm activity of the tested</w:t>
      </w:r>
      <w:r>
        <w:rPr>
          <w:rFonts w:ascii="Times New Roman" w:hAnsi="Times New Roman" w:cs="Times New Roman"/>
          <w:bCs/>
        </w:rPr>
        <w:t xml:space="preserve"> </w:t>
      </w:r>
      <w:r w:rsidRPr="0044089B">
        <w:rPr>
          <w:rFonts w:ascii="Times New Roman" w:hAnsi="Times New Roman" w:cs="Times New Roman"/>
          <w:bCs/>
        </w:rPr>
        <w:t xml:space="preserve">compound against various bacterial strains, as quantified by absorbance at 600 nm. (A) </w:t>
      </w:r>
      <w:r w:rsidR="006332C8" w:rsidRPr="006332C8">
        <w:rPr>
          <w:rFonts w:ascii="Times New Roman" w:hAnsi="Times New Roman" w:cs="Times New Roman"/>
          <w:i/>
          <w:iCs/>
          <w:color w:val="000000"/>
        </w:rPr>
        <w:t>Candida albicans (SC5314)</w:t>
      </w:r>
      <w:r w:rsidRPr="0044089B">
        <w:rPr>
          <w:rFonts w:ascii="Times New Roman" w:hAnsi="Times New Roman" w:cs="Times New Roman"/>
          <w:bCs/>
        </w:rPr>
        <w:t xml:space="preserve">, (B) </w:t>
      </w:r>
      <w:r w:rsidR="006332C8" w:rsidRPr="006332C8">
        <w:rPr>
          <w:rFonts w:ascii="Times New Roman" w:hAnsi="Times New Roman" w:cs="Times New Roman"/>
          <w:bCs/>
          <w:i/>
          <w:iCs/>
        </w:rPr>
        <w:t>Aspergillus niger (ATCC 6275)</w:t>
      </w:r>
      <w:r w:rsidRPr="0044089B">
        <w:rPr>
          <w:rFonts w:ascii="Times New Roman" w:hAnsi="Times New Roman" w:cs="Times New Roman"/>
          <w:bCs/>
        </w:rPr>
        <w:t xml:space="preserve">, (C) </w:t>
      </w:r>
      <w:r w:rsidR="006332C8" w:rsidRPr="006332C8">
        <w:rPr>
          <w:rFonts w:ascii="Times New Roman" w:hAnsi="Times New Roman" w:cs="Times New Roman"/>
          <w:i/>
          <w:iCs/>
          <w:color w:val="000000"/>
        </w:rPr>
        <w:t>Cryptococcus neoformans (ATCC 52817)</w:t>
      </w:r>
      <w:r w:rsidRPr="0044089B">
        <w:rPr>
          <w:rFonts w:ascii="Times New Roman" w:hAnsi="Times New Roman" w:cs="Times New Roman"/>
          <w:bCs/>
        </w:rPr>
        <w:t xml:space="preserve">, and (D) </w:t>
      </w:r>
      <w:r w:rsidR="006332C8" w:rsidRPr="006332C8">
        <w:rPr>
          <w:rFonts w:ascii="Times New Roman" w:hAnsi="Times New Roman" w:cs="Times New Roman"/>
          <w:i/>
          <w:iCs/>
          <w:color w:val="000000"/>
        </w:rPr>
        <w:t>Fusarium solani (ATCC 36031)</w:t>
      </w:r>
      <w:r>
        <w:rPr>
          <w:rFonts w:ascii="Times New Roman" w:hAnsi="Times New Roman" w:cs="Times New Roman"/>
          <w:i/>
          <w:iCs/>
          <w:color w:val="000000"/>
        </w:rPr>
        <w:t xml:space="preserve">. </w:t>
      </w:r>
      <w:r w:rsidRPr="0044089B">
        <w:rPr>
          <w:rFonts w:ascii="Times New Roman" w:hAnsi="Times New Roman" w:cs="Times New Roman"/>
          <w:bCs/>
        </w:rPr>
        <w:t>Each set of bars corresponds to escalating concentrations of the compound (</w:t>
      </w:r>
      <w:r w:rsidR="006332C8">
        <w:rPr>
          <w:rFonts w:ascii="Times New Roman" w:hAnsi="Times New Roman" w:cs="Times New Roman"/>
          <w:bCs/>
        </w:rPr>
        <w:t>10</w:t>
      </w:r>
      <w:r w:rsidRPr="0044089B">
        <w:rPr>
          <w:rFonts w:ascii="Times New Roman" w:hAnsi="Times New Roman" w:cs="Times New Roman"/>
          <w:bCs/>
        </w:rPr>
        <w:t xml:space="preserve"> -1</w:t>
      </w:r>
      <w:r w:rsidR="006332C8">
        <w:rPr>
          <w:rFonts w:ascii="Times New Roman" w:hAnsi="Times New Roman" w:cs="Times New Roman"/>
          <w:bCs/>
        </w:rPr>
        <w:t>30</w:t>
      </w:r>
      <w:r w:rsidRPr="0044089B">
        <w:rPr>
          <w:rFonts w:ascii="Times New Roman" w:hAnsi="Times New Roman" w:cs="Times New Roman"/>
          <w:bCs/>
        </w:rPr>
        <w:t xml:space="preserve"> μM) compared to the </w:t>
      </w:r>
      <w:r w:rsidR="006332C8">
        <w:rPr>
          <w:rFonts w:ascii="Times New Roman" w:hAnsi="Times New Roman" w:cs="Times New Roman"/>
          <w:bCs/>
        </w:rPr>
        <w:t>positive</w:t>
      </w:r>
      <w:r w:rsidRPr="0044089B">
        <w:rPr>
          <w:rFonts w:ascii="Times New Roman" w:hAnsi="Times New Roman" w:cs="Times New Roman"/>
          <w:bCs/>
        </w:rPr>
        <w:t xml:space="preserve"> control (</w:t>
      </w:r>
      <w:r w:rsidR="006332C8">
        <w:rPr>
          <w:rFonts w:ascii="Times New Roman" w:hAnsi="Times New Roman" w:cs="Times New Roman"/>
          <w:bCs/>
        </w:rPr>
        <w:t>Flucoazole</w:t>
      </w:r>
      <w:r w:rsidRPr="0044089B">
        <w:rPr>
          <w:rFonts w:ascii="Times New Roman" w:hAnsi="Times New Roman" w:cs="Times New Roman"/>
          <w:bCs/>
        </w:rPr>
        <w:t xml:space="preserve">). </w:t>
      </w:r>
      <w:r w:rsidRPr="0044089B">
        <w:rPr>
          <w:rFonts w:ascii="Times New Roman" w:hAnsi="Times New Roman" w:cs="Times New Roman"/>
          <w:bCs/>
          <w:i/>
          <w:iCs/>
          <w:color w:val="000000" w:themeColor="text1"/>
        </w:rPr>
        <w:t xml:space="preserve">Values are represented as mean ± SD, n = </w:t>
      </w:r>
      <w:r>
        <w:rPr>
          <w:rFonts w:ascii="Times New Roman" w:hAnsi="Times New Roman" w:cs="Times New Roman"/>
          <w:bCs/>
          <w:i/>
          <w:iCs/>
          <w:color w:val="000000" w:themeColor="text1"/>
        </w:rPr>
        <w:t>3</w:t>
      </w:r>
      <w:r w:rsidRPr="0044089B">
        <w:rPr>
          <w:rFonts w:ascii="Times New Roman" w:hAnsi="Times New Roman" w:cs="Times New Roman"/>
          <w:bCs/>
          <w:i/>
          <w:iCs/>
          <w:color w:val="000000" w:themeColor="text1"/>
        </w:rPr>
        <w:t>.</w:t>
      </w:r>
    </w:p>
    <w:p w14:paraId="660D639C" w14:textId="77777777" w:rsidR="00C342E7" w:rsidRDefault="00D2685F" w:rsidP="00C342E7">
      <w:pPr>
        <w:spacing w:line="360" w:lineRule="auto"/>
        <w:rPr>
          <w:rFonts w:ascii="Times New Roman" w:hAnsi="Times New Roman" w:cs="Times New Roman"/>
          <w:b/>
          <w:bCs/>
        </w:rPr>
      </w:pPr>
      <w:r w:rsidRPr="00C342E7">
        <w:rPr>
          <w:rFonts w:ascii="Times New Roman" w:hAnsi="Times New Roman" w:cs="Times New Roman"/>
          <w:b/>
          <w:bCs/>
        </w:rPr>
        <w:t>Zone of inhibition</w:t>
      </w:r>
    </w:p>
    <w:p w14:paraId="2AB35328" w14:textId="77777777" w:rsidR="00C342E7" w:rsidRPr="00C342E7" w:rsidRDefault="00D2685F" w:rsidP="00C342E7">
      <w:pPr>
        <w:spacing w:line="360" w:lineRule="auto"/>
        <w:jc w:val="both"/>
        <w:rPr>
          <w:rFonts w:ascii="Times New Roman" w:hAnsi="Times New Roman" w:cs="Times New Roman"/>
        </w:rPr>
      </w:pPr>
      <w:r w:rsidRPr="00C342E7">
        <w:rPr>
          <w:rFonts w:ascii="Times New Roman" w:hAnsi="Times New Roman" w:cs="Times New Roman"/>
        </w:rPr>
        <w:t xml:space="preserve">Based on the Zone of Inhibition (ZOI) data, the antifungal activities of various compounds were assessed against four pathogenic fungal species: </w:t>
      </w:r>
      <w:r w:rsidRPr="00C342E7">
        <w:rPr>
          <w:rFonts w:ascii="Times New Roman" w:hAnsi="Times New Roman" w:cs="Times New Roman"/>
          <w:i/>
          <w:iCs/>
        </w:rPr>
        <w:t>Candida albicans</w:t>
      </w:r>
      <w:r w:rsidRPr="00C342E7">
        <w:rPr>
          <w:rFonts w:ascii="Times New Roman" w:hAnsi="Times New Roman" w:cs="Times New Roman"/>
        </w:rPr>
        <w:t xml:space="preserve">, </w:t>
      </w:r>
      <w:r w:rsidRPr="00C342E7">
        <w:rPr>
          <w:rFonts w:ascii="Times New Roman" w:hAnsi="Times New Roman" w:cs="Times New Roman"/>
          <w:i/>
          <w:iCs/>
        </w:rPr>
        <w:t>Aspergillus niger</w:t>
      </w:r>
      <w:r w:rsidRPr="00C342E7">
        <w:rPr>
          <w:rFonts w:ascii="Times New Roman" w:hAnsi="Times New Roman" w:cs="Times New Roman"/>
        </w:rPr>
        <w:t xml:space="preserve">, </w:t>
      </w:r>
      <w:r w:rsidRPr="00C342E7">
        <w:rPr>
          <w:rFonts w:ascii="Times New Roman" w:hAnsi="Times New Roman" w:cs="Times New Roman"/>
          <w:i/>
          <w:iCs/>
        </w:rPr>
        <w:t>Cryptococcus neoformans</w:t>
      </w:r>
      <w:r w:rsidRPr="00C342E7">
        <w:rPr>
          <w:rFonts w:ascii="Times New Roman" w:hAnsi="Times New Roman" w:cs="Times New Roman"/>
        </w:rPr>
        <w:t xml:space="preserve">, and </w:t>
      </w:r>
      <w:r w:rsidRPr="00C342E7">
        <w:rPr>
          <w:rFonts w:ascii="Times New Roman" w:hAnsi="Times New Roman" w:cs="Times New Roman"/>
          <w:i/>
          <w:iCs/>
        </w:rPr>
        <w:t>Fusarium solani</w:t>
      </w:r>
      <w:r w:rsidRPr="00C342E7">
        <w:rPr>
          <w:rFonts w:ascii="Times New Roman" w:hAnsi="Times New Roman" w:cs="Times New Roman"/>
        </w:rPr>
        <w:t xml:space="preserve">. The results provide a comparative analysis </w:t>
      </w:r>
      <w:r>
        <w:rPr>
          <w:rFonts w:ascii="Times New Roman" w:eastAsia="Calibri" w:hAnsi="Times New Roman" w:cs="Times New Roman"/>
        </w:rPr>
        <w:t>of the effectiveness of these compounds</w:t>
      </w:r>
      <w:r w:rsidRPr="00C342E7">
        <w:rPr>
          <w:rFonts w:ascii="Times New Roman" w:hAnsi="Times New Roman" w:cs="Times New Roman"/>
        </w:rPr>
        <w:t xml:space="preserve"> in inhibiting fungal growth, with a particular focus on comparing their efficacy with </w:t>
      </w:r>
      <w:r>
        <w:rPr>
          <w:rFonts w:ascii="Times New Roman" w:eastAsia="Calibri" w:hAnsi="Times New Roman" w:cs="Times New Roman"/>
        </w:rPr>
        <w:t xml:space="preserve">that of </w:t>
      </w:r>
      <w:r w:rsidRPr="00C342E7">
        <w:rPr>
          <w:rFonts w:ascii="Times New Roman" w:hAnsi="Times New Roman" w:cs="Times New Roman"/>
        </w:rPr>
        <w:t>fluconazole, a known antifungal agent.</w:t>
      </w:r>
    </w:p>
    <w:p w14:paraId="3C89E632" w14:textId="77777777" w:rsidR="00C342E7" w:rsidRPr="00C342E7" w:rsidRDefault="00D2685F" w:rsidP="00C342E7">
      <w:pPr>
        <w:spacing w:line="360" w:lineRule="auto"/>
        <w:jc w:val="both"/>
        <w:rPr>
          <w:rFonts w:ascii="Times New Roman" w:hAnsi="Times New Roman" w:cs="Times New Roman"/>
        </w:rPr>
      </w:pPr>
      <w:r w:rsidRPr="00C342E7">
        <w:rPr>
          <w:rFonts w:ascii="Times New Roman" w:hAnsi="Times New Roman" w:cs="Times New Roman"/>
        </w:rPr>
        <w:lastRenderedPageBreak/>
        <w:t xml:space="preserve">Compound 8e demonstrated the highest antifungal efficacy among all </w:t>
      </w:r>
      <w:r>
        <w:rPr>
          <w:rFonts w:ascii="Times New Roman" w:eastAsia="Calibri" w:hAnsi="Times New Roman" w:cs="Times New Roman"/>
        </w:rPr>
        <w:t xml:space="preserve">the tested fungi. The zone of inhibition ranged from 30.58 mm against </w:t>
      </w:r>
      <w:r w:rsidRPr="00C342E7">
        <w:rPr>
          <w:rFonts w:ascii="Times New Roman" w:hAnsi="Times New Roman" w:cs="Times New Roman"/>
          <w:i/>
          <w:iCs/>
        </w:rPr>
        <w:t>Candida albicans</w:t>
      </w:r>
      <w:r w:rsidRPr="00C342E7">
        <w:rPr>
          <w:rFonts w:ascii="Times New Roman" w:hAnsi="Times New Roman" w:cs="Times New Roman"/>
        </w:rPr>
        <w:t xml:space="preserve"> to 46.55 mm against </w:t>
      </w:r>
      <w:r w:rsidRPr="00C342E7">
        <w:rPr>
          <w:rFonts w:ascii="Times New Roman" w:hAnsi="Times New Roman" w:cs="Times New Roman"/>
          <w:i/>
          <w:iCs/>
        </w:rPr>
        <w:t>Cryptococcus neoformans</w:t>
      </w:r>
      <w:r w:rsidRPr="00C342E7">
        <w:rPr>
          <w:rFonts w:ascii="Times New Roman" w:hAnsi="Times New Roman" w:cs="Times New Roman"/>
        </w:rPr>
        <w:t xml:space="preserve">. This compound exhibited potent activity against all species, particularly </w:t>
      </w:r>
      <w:r w:rsidRPr="00C342E7">
        <w:rPr>
          <w:rFonts w:ascii="Times New Roman" w:hAnsi="Times New Roman" w:cs="Times New Roman"/>
          <w:i/>
          <w:iCs/>
        </w:rPr>
        <w:t>Cryptococcus neoformans</w:t>
      </w:r>
      <w:r w:rsidRPr="00C342E7">
        <w:rPr>
          <w:rFonts w:ascii="Times New Roman" w:hAnsi="Times New Roman" w:cs="Times New Roman"/>
        </w:rPr>
        <w:t xml:space="preserve">, which showed a significant inhibition zone of 46.55 mm. This strong performance suggests that compound 8e could be a promising candidate for treating infections caused by </w:t>
      </w:r>
      <w:r w:rsidRPr="00C342E7">
        <w:rPr>
          <w:rFonts w:ascii="Times New Roman" w:hAnsi="Times New Roman" w:cs="Times New Roman"/>
          <w:i/>
          <w:iCs/>
        </w:rPr>
        <w:t>Cryptococcus neoformans</w:t>
      </w:r>
      <w:r w:rsidRPr="00C342E7">
        <w:rPr>
          <w:rFonts w:ascii="Times New Roman" w:hAnsi="Times New Roman" w:cs="Times New Roman"/>
        </w:rPr>
        <w:t xml:space="preserve">, which is often difficult to treat owing to its resilience. When compared to Fluconazole, which showed ZOI values of 17.82 mm for </w:t>
      </w:r>
      <w:r w:rsidRPr="00C342E7">
        <w:rPr>
          <w:rFonts w:ascii="Times New Roman" w:hAnsi="Times New Roman" w:cs="Times New Roman"/>
          <w:i/>
          <w:iCs/>
        </w:rPr>
        <w:t>Candida albicans</w:t>
      </w:r>
      <w:r w:rsidRPr="00C342E7">
        <w:rPr>
          <w:rFonts w:ascii="Times New Roman" w:hAnsi="Times New Roman" w:cs="Times New Roman"/>
        </w:rPr>
        <w:t xml:space="preserve"> and 31.05 mm for </w:t>
      </w:r>
      <w:r w:rsidRPr="00C342E7">
        <w:rPr>
          <w:rFonts w:ascii="Times New Roman" w:hAnsi="Times New Roman" w:cs="Times New Roman"/>
          <w:i/>
          <w:iCs/>
        </w:rPr>
        <w:t>Cryptococcus neoformans</w:t>
      </w:r>
      <w:r w:rsidRPr="00C342E7">
        <w:rPr>
          <w:rFonts w:ascii="Times New Roman" w:hAnsi="Times New Roman" w:cs="Times New Roman"/>
        </w:rPr>
        <w:t xml:space="preserve">, compound 8e clearly outperformed fluconazole, especially against </w:t>
      </w:r>
      <w:r w:rsidRPr="00C342E7">
        <w:rPr>
          <w:rFonts w:ascii="Times New Roman" w:hAnsi="Times New Roman" w:cs="Times New Roman"/>
          <w:i/>
          <w:iCs/>
        </w:rPr>
        <w:t>Candida albicans</w:t>
      </w:r>
      <w:r w:rsidRPr="00C342E7">
        <w:rPr>
          <w:rFonts w:ascii="Times New Roman" w:hAnsi="Times New Roman" w:cs="Times New Roman"/>
        </w:rPr>
        <w:t xml:space="preserve"> and </w:t>
      </w:r>
      <w:r w:rsidRPr="00C342E7">
        <w:rPr>
          <w:rFonts w:ascii="Times New Roman" w:hAnsi="Times New Roman" w:cs="Times New Roman"/>
          <w:i/>
          <w:iCs/>
        </w:rPr>
        <w:t>Cryptococcus neoformans</w:t>
      </w:r>
      <w:r w:rsidRPr="00C342E7">
        <w:rPr>
          <w:rFonts w:ascii="Times New Roman" w:hAnsi="Times New Roman" w:cs="Times New Roman"/>
        </w:rPr>
        <w:t>.</w:t>
      </w:r>
    </w:p>
    <w:p w14:paraId="1150DCA4" w14:textId="77777777" w:rsidR="00C342E7" w:rsidRPr="00C342E7" w:rsidRDefault="00D2685F" w:rsidP="00C342E7">
      <w:pPr>
        <w:spacing w:line="360" w:lineRule="auto"/>
        <w:jc w:val="both"/>
        <w:rPr>
          <w:rFonts w:ascii="Times New Roman" w:hAnsi="Times New Roman" w:cs="Times New Roman"/>
        </w:rPr>
      </w:pPr>
      <w:r w:rsidRPr="00C342E7">
        <w:rPr>
          <w:rFonts w:ascii="Times New Roman" w:hAnsi="Times New Roman" w:cs="Times New Roman"/>
        </w:rPr>
        <w:t xml:space="preserve">Compound 8d exhibited notable antifungal activity. The ZOI values of compound 8d ranged from 24.73 mm against </w:t>
      </w:r>
      <w:r w:rsidRPr="00C342E7">
        <w:rPr>
          <w:rFonts w:ascii="Times New Roman" w:hAnsi="Times New Roman" w:cs="Times New Roman"/>
          <w:i/>
          <w:iCs/>
        </w:rPr>
        <w:t>Candida albicans</w:t>
      </w:r>
      <w:r w:rsidRPr="00C342E7">
        <w:rPr>
          <w:rFonts w:ascii="Times New Roman" w:hAnsi="Times New Roman" w:cs="Times New Roman"/>
        </w:rPr>
        <w:t xml:space="preserve"> to 38.27 mm against </w:t>
      </w:r>
      <w:r w:rsidRPr="00C342E7">
        <w:rPr>
          <w:rFonts w:ascii="Times New Roman" w:hAnsi="Times New Roman" w:cs="Times New Roman"/>
          <w:i/>
          <w:iCs/>
        </w:rPr>
        <w:t>Cryptococcus neoformans</w:t>
      </w:r>
      <w:r w:rsidRPr="00C342E7">
        <w:rPr>
          <w:rFonts w:ascii="Times New Roman" w:hAnsi="Times New Roman" w:cs="Times New Roman"/>
        </w:rPr>
        <w:t xml:space="preserve">. Although these values are slightly lower than those for compound 8e, they are still considerable and suggest that 8d could be an effective treatment option, particularly against </w:t>
      </w:r>
      <w:r w:rsidRPr="00C342E7">
        <w:rPr>
          <w:rFonts w:ascii="Times New Roman" w:hAnsi="Times New Roman" w:cs="Times New Roman"/>
          <w:i/>
          <w:iCs/>
        </w:rPr>
        <w:t>Cryptococcus neoformans</w:t>
      </w:r>
      <w:r w:rsidRPr="00C342E7">
        <w:rPr>
          <w:rFonts w:ascii="Times New Roman" w:hAnsi="Times New Roman" w:cs="Times New Roman"/>
        </w:rPr>
        <w:t xml:space="preserve"> and </w:t>
      </w:r>
      <w:r w:rsidRPr="00C342E7">
        <w:rPr>
          <w:rFonts w:ascii="Times New Roman" w:hAnsi="Times New Roman" w:cs="Times New Roman"/>
          <w:i/>
          <w:iCs/>
        </w:rPr>
        <w:t>Fusarium solani</w:t>
      </w:r>
      <w:r w:rsidRPr="00C342E7">
        <w:rPr>
          <w:rFonts w:ascii="Times New Roman" w:hAnsi="Times New Roman" w:cs="Times New Roman"/>
        </w:rPr>
        <w:t xml:space="preserve">. In comparison, Fluconazole showed ZOI values of 17.82 mm against </w:t>
      </w:r>
      <w:r w:rsidRPr="00C342E7">
        <w:rPr>
          <w:rFonts w:ascii="Times New Roman" w:hAnsi="Times New Roman" w:cs="Times New Roman"/>
          <w:i/>
          <w:iCs/>
        </w:rPr>
        <w:t>Candida albicans</w:t>
      </w:r>
      <w:r w:rsidRPr="00C342E7">
        <w:rPr>
          <w:rFonts w:ascii="Times New Roman" w:hAnsi="Times New Roman" w:cs="Times New Roman"/>
        </w:rPr>
        <w:t xml:space="preserve"> and 20.23 mm against </w:t>
      </w:r>
      <w:r w:rsidRPr="00C342E7">
        <w:rPr>
          <w:rFonts w:ascii="Times New Roman" w:hAnsi="Times New Roman" w:cs="Times New Roman"/>
          <w:i/>
          <w:iCs/>
        </w:rPr>
        <w:t>Fusarium solani</w:t>
      </w:r>
      <w:r w:rsidRPr="00C342E7">
        <w:rPr>
          <w:rFonts w:ascii="Times New Roman" w:hAnsi="Times New Roman" w:cs="Times New Roman"/>
        </w:rPr>
        <w:t>, making compound 8d more effective than fluconazole against these two species.</w:t>
      </w:r>
      <w:r>
        <w:rPr>
          <w:rFonts w:ascii="Times New Roman" w:hAnsi="Times New Roman" w:cs="Times New Roman"/>
        </w:rPr>
        <w:t xml:space="preserve"> </w:t>
      </w:r>
      <w:r w:rsidRPr="00C342E7">
        <w:rPr>
          <w:rFonts w:ascii="Times New Roman" w:hAnsi="Times New Roman" w:cs="Times New Roman"/>
        </w:rPr>
        <w:t>Compound 8b showed moderate activity</w:t>
      </w:r>
      <w:r>
        <w:rPr>
          <w:rFonts w:ascii="Times New Roman" w:eastAsia="Calibri" w:hAnsi="Times New Roman" w:cs="Times New Roman"/>
        </w:rPr>
        <w:t xml:space="preserve">, with ZOI values ranging from 4.03 mm against </w:t>
      </w:r>
      <w:r w:rsidRPr="00C342E7">
        <w:rPr>
          <w:rFonts w:ascii="Times New Roman" w:hAnsi="Times New Roman" w:cs="Times New Roman"/>
          <w:i/>
          <w:iCs/>
        </w:rPr>
        <w:t>Aspergillus niger</w:t>
      </w:r>
      <w:r w:rsidRPr="00C342E7">
        <w:rPr>
          <w:rFonts w:ascii="Times New Roman" w:hAnsi="Times New Roman" w:cs="Times New Roman"/>
        </w:rPr>
        <w:t xml:space="preserve"> to 13.69 mm against </w:t>
      </w:r>
      <w:r w:rsidRPr="00C342E7">
        <w:rPr>
          <w:rFonts w:ascii="Times New Roman" w:hAnsi="Times New Roman" w:cs="Times New Roman"/>
          <w:i/>
          <w:iCs/>
        </w:rPr>
        <w:t>Cryptococcus neoformans</w:t>
      </w:r>
      <w:r w:rsidRPr="00C342E7">
        <w:rPr>
          <w:rFonts w:ascii="Times New Roman" w:hAnsi="Times New Roman" w:cs="Times New Roman"/>
        </w:rPr>
        <w:t xml:space="preserve">. These values indicate weaker antifungal activity compared to compound 8e and compound 8d, and Fluconazole, which showed ZOI values of 25.19 mm against </w:t>
      </w:r>
      <w:r w:rsidRPr="00C342E7">
        <w:rPr>
          <w:rFonts w:ascii="Times New Roman" w:hAnsi="Times New Roman" w:cs="Times New Roman"/>
          <w:i/>
          <w:iCs/>
        </w:rPr>
        <w:t>Aspergillus niger</w:t>
      </w:r>
      <w:r w:rsidRPr="00C342E7">
        <w:rPr>
          <w:rFonts w:ascii="Times New Roman" w:hAnsi="Times New Roman" w:cs="Times New Roman"/>
        </w:rPr>
        <w:t xml:space="preserve"> and 31.05 mm against </w:t>
      </w:r>
      <w:r w:rsidRPr="00C342E7">
        <w:rPr>
          <w:rFonts w:ascii="Times New Roman" w:hAnsi="Times New Roman" w:cs="Times New Roman"/>
          <w:i/>
          <w:iCs/>
        </w:rPr>
        <w:t>Cryptococcus neoformans</w:t>
      </w:r>
      <w:r w:rsidRPr="00C342E7">
        <w:rPr>
          <w:rFonts w:ascii="Times New Roman" w:hAnsi="Times New Roman" w:cs="Times New Roman"/>
        </w:rPr>
        <w:t xml:space="preserve">. Compound 8b was less effective, particularly against </w:t>
      </w:r>
      <w:r w:rsidRPr="00C342E7">
        <w:rPr>
          <w:rFonts w:ascii="Times New Roman" w:hAnsi="Times New Roman" w:cs="Times New Roman"/>
          <w:i/>
          <w:iCs/>
        </w:rPr>
        <w:t xml:space="preserve">Aspergillus </w:t>
      </w:r>
      <w:proofErr w:type="spellStart"/>
      <w:r w:rsidRPr="00C342E7">
        <w:rPr>
          <w:rFonts w:ascii="Times New Roman" w:hAnsi="Times New Roman" w:cs="Times New Roman"/>
          <w:i/>
          <w:iCs/>
        </w:rPr>
        <w:t>niger</w:t>
      </w:r>
      <w:proofErr w:type="spellEnd"/>
      <w:r w:rsidRPr="00C342E7">
        <w:rPr>
          <w:rFonts w:ascii="Times New Roman" w:hAnsi="Times New Roman" w:cs="Times New Roman"/>
        </w:rPr>
        <w:t xml:space="preserve"> and </w:t>
      </w:r>
      <w:r w:rsidRPr="00C342E7">
        <w:rPr>
          <w:rFonts w:ascii="Times New Roman" w:hAnsi="Times New Roman" w:cs="Times New Roman"/>
          <w:i/>
          <w:iCs/>
        </w:rPr>
        <w:t xml:space="preserve">Fusarium </w:t>
      </w:r>
      <w:proofErr w:type="spellStart"/>
      <w:r w:rsidRPr="00C342E7">
        <w:rPr>
          <w:rFonts w:ascii="Times New Roman" w:hAnsi="Times New Roman" w:cs="Times New Roman"/>
          <w:i/>
          <w:iCs/>
        </w:rPr>
        <w:t>solani</w:t>
      </w:r>
      <w:proofErr w:type="spellEnd"/>
      <w:r w:rsidRPr="00C342E7">
        <w:rPr>
          <w:rFonts w:ascii="Times New Roman" w:hAnsi="Times New Roman" w:cs="Times New Roman"/>
        </w:rPr>
        <w:t>, where its inhibition zones were notably smaller than those of fluconazole.</w:t>
      </w:r>
    </w:p>
    <w:p w14:paraId="662D3633" w14:textId="77777777" w:rsidR="00C342E7" w:rsidRPr="00C342E7" w:rsidRDefault="00D2685F" w:rsidP="00C342E7">
      <w:pPr>
        <w:spacing w:line="360" w:lineRule="auto"/>
        <w:jc w:val="both"/>
        <w:rPr>
          <w:rFonts w:ascii="Times New Roman" w:hAnsi="Times New Roman" w:cs="Times New Roman"/>
        </w:rPr>
      </w:pPr>
      <w:r w:rsidRPr="00C342E7">
        <w:rPr>
          <w:rFonts w:ascii="Times New Roman" w:hAnsi="Times New Roman" w:cs="Times New Roman"/>
        </w:rPr>
        <w:t xml:space="preserve">The weakest performer in this study was compound 8c, with ZOI values ranging from 1.62 mm against </w:t>
      </w:r>
      <w:r w:rsidRPr="00C342E7">
        <w:rPr>
          <w:rFonts w:ascii="Times New Roman" w:hAnsi="Times New Roman" w:cs="Times New Roman"/>
          <w:i/>
          <w:iCs/>
        </w:rPr>
        <w:t>Candida albicans</w:t>
      </w:r>
      <w:r w:rsidRPr="00C342E7">
        <w:rPr>
          <w:rFonts w:ascii="Times New Roman" w:hAnsi="Times New Roman" w:cs="Times New Roman"/>
        </w:rPr>
        <w:t xml:space="preserve"> to 9.93 mm against </w:t>
      </w:r>
      <w:r w:rsidRPr="00C342E7">
        <w:rPr>
          <w:rFonts w:ascii="Times New Roman" w:hAnsi="Times New Roman" w:cs="Times New Roman"/>
          <w:i/>
          <w:iCs/>
        </w:rPr>
        <w:t>Cryptococcus neoformans</w:t>
      </w:r>
      <w:r w:rsidRPr="00C342E7">
        <w:rPr>
          <w:rFonts w:ascii="Times New Roman" w:hAnsi="Times New Roman" w:cs="Times New Roman"/>
        </w:rPr>
        <w:t xml:space="preserve">. These values were much lower than those of fluconazole, which exhibited consistent inhibition zones above 20 mm for all </w:t>
      </w:r>
      <w:r>
        <w:rPr>
          <w:rFonts w:ascii="Times New Roman" w:eastAsia="Calibri" w:hAnsi="Times New Roman" w:cs="Times New Roman"/>
        </w:rPr>
        <w:t>the species tested. This suggest</w:t>
      </w:r>
      <w:r w:rsidRPr="00C342E7">
        <w:rPr>
          <w:rFonts w:ascii="Times New Roman" w:hAnsi="Times New Roman" w:cs="Times New Roman"/>
        </w:rPr>
        <w:t>ed that compound 8c may require further modification to improve its antifungal properties.</w:t>
      </w:r>
      <w:r>
        <w:rPr>
          <w:rFonts w:ascii="Times New Roman" w:hAnsi="Times New Roman" w:cs="Times New Roman"/>
        </w:rPr>
        <w:t xml:space="preserve"> </w:t>
      </w:r>
      <w:r w:rsidR="00E67D2C">
        <w:rPr>
          <w:rFonts w:ascii="Times New Roman" w:hAnsi="Times New Roman" w:cs="Times New Roman"/>
        </w:rPr>
        <w:t>The</w:t>
      </w:r>
      <w:r>
        <w:rPr>
          <w:rFonts w:ascii="Times New Roman" w:eastAsia="Calibri" w:hAnsi="Times New Roman" w:cs="Times New Roman"/>
        </w:rPr>
        <w:t xml:space="preserve">se </w:t>
      </w:r>
      <w:r w:rsidR="00E67D2C" w:rsidRPr="00C342E7">
        <w:rPr>
          <w:rFonts w:ascii="Times New Roman" w:hAnsi="Times New Roman" w:cs="Times New Roman"/>
        </w:rPr>
        <w:t>results</w:t>
      </w:r>
      <w:r w:rsidRPr="00C342E7">
        <w:rPr>
          <w:rFonts w:ascii="Times New Roman" w:hAnsi="Times New Roman" w:cs="Times New Roman"/>
        </w:rPr>
        <w:t xml:space="preserve"> </w:t>
      </w:r>
      <w:r>
        <w:rPr>
          <w:rFonts w:ascii="Times New Roman" w:hAnsi="Times New Roman" w:cs="Times New Roman"/>
        </w:rPr>
        <w:t xml:space="preserve">suggest </w:t>
      </w:r>
      <w:r w:rsidRPr="00C342E7">
        <w:rPr>
          <w:rFonts w:ascii="Times New Roman" w:hAnsi="Times New Roman" w:cs="Times New Roman"/>
        </w:rPr>
        <w:t xml:space="preserve">of this study indicate that compound 8e has the most promising antifungal activity, particularly against </w:t>
      </w:r>
      <w:r w:rsidRPr="00C342E7">
        <w:rPr>
          <w:rFonts w:ascii="Times New Roman" w:hAnsi="Times New Roman" w:cs="Times New Roman"/>
          <w:i/>
          <w:iCs/>
        </w:rPr>
        <w:t>Cryptococcus neoformans</w:t>
      </w:r>
      <w:r w:rsidRPr="00C342E7">
        <w:rPr>
          <w:rFonts w:ascii="Times New Roman" w:hAnsi="Times New Roman" w:cs="Times New Roman"/>
        </w:rPr>
        <w:t xml:space="preserve"> and </w:t>
      </w:r>
      <w:r w:rsidRPr="00C342E7">
        <w:rPr>
          <w:rFonts w:ascii="Times New Roman" w:hAnsi="Times New Roman" w:cs="Times New Roman"/>
          <w:i/>
          <w:iCs/>
        </w:rPr>
        <w:t>Candida albicans</w:t>
      </w:r>
      <w:r w:rsidRPr="00C342E7">
        <w:rPr>
          <w:rFonts w:ascii="Times New Roman" w:hAnsi="Times New Roman" w:cs="Times New Roman"/>
        </w:rPr>
        <w:t xml:space="preserve">, with efficacy surpassing that of fluconazole. Compound 8d also showed significant potential, </w:t>
      </w:r>
      <w:r>
        <w:rPr>
          <w:rFonts w:ascii="Times New Roman" w:eastAsia="Calibri" w:hAnsi="Times New Roman" w:cs="Times New Roman"/>
        </w:rPr>
        <w:t xml:space="preserve">although it </w:t>
      </w:r>
      <w:r w:rsidRPr="00C342E7">
        <w:rPr>
          <w:rFonts w:ascii="Times New Roman" w:hAnsi="Times New Roman" w:cs="Times New Roman"/>
        </w:rPr>
        <w:t xml:space="preserve">was slightly less potent than </w:t>
      </w:r>
      <w:r>
        <w:rPr>
          <w:rFonts w:ascii="Times New Roman" w:eastAsia="Calibri" w:hAnsi="Times New Roman" w:cs="Times New Roman"/>
        </w:rPr>
        <w:t xml:space="preserve">compound 8e. However, compounds 8b and </w:t>
      </w:r>
      <w:r w:rsidRPr="00C342E7">
        <w:rPr>
          <w:rFonts w:ascii="Times New Roman" w:hAnsi="Times New Roman" w:cs="Times New Roman"/>
        </w:rPr>
        <w:t>8c exhibit</w:t>
      </w:r>
      <w:r>
        <w:rPr>
          <w:rFonts w:ascii="Times New Roman" w:eastAsia="Calibri" w:hAnsi="Times New Roman" w:cs="Times New Roman"/>
        </w:rPr>
        <w:t xml:space="preserve">ed weaker antifungal effects, suggesting that </w:t>
      </w:r>
      <w:r w:rsidRPr="00C342E7">
        <w:rPr>
          <w:rFonts w:ascii="Times New Roman" w:hAnsi="Times New Roman" w:cs="Times New Roman"/>
        </w:rPr>
        <w:t xml:space="preserve">further optimization </w:t>
      </w:r>
      <w:r>
        <w:rPr>
          <w:rFonts w:ascii="Times New Roman" w:eastAsia="Calibri" w:hAnsi="Times New Roman" w:cs="Times New Roman"/>
        </w:rPr>
        <w:t>is required to achieve better inhibition.</w:t>
      </w:r>
      <w:r w:rsidR="00670186">
        <w:rPr>
          <w:rFonts w:ascii="Times New Roman" w:hAnsi="Times New Roman" w:cs="Times New Roman"/>
        </w:rPr>
        <w:t xml:space="preserve"> </w:t>
      </w:r>
      <w:r w:rsidRPr="00C342E7">
        <w:rPr>
          <w:rFonts w:ascii="Times New Roman" w:hAnsi="Times New Roman" w:cs="Times New Roman"/>
        </w:rPr>
        <w:t xml:space="preserve"> These findings support the continued </w:t>
      </w:r>
      <w:r w:rsidRPr="00C342E7">
        <w:rPr>
          <w:rFonts w:ascii="Times New Roman" w:hAnsi="Times New Roman" w:cs="Times New Roman"/>
        </w:rPr>
        <w:lastRenderedPageBreak/>
        <w:t>exploration and development of these compounds as potential antifungal agents, with compound 8e being the most potent candidate.</w:t>
      </w:r>
    </w:p>
    <w:tbl>
      <w:tblPr>
        <w:tblW w:w="7960" w:type="dxa"/>
        <w:tblInd w:w="540" w:type="dxa"/>
        <w:tblLook w:val="04A0" w:firstRow="1" w:lastRow="0" w:firstColumn="1" w:lastColumn="0" w:noHBand="0" w:noVBand="1"/>
      </w:tblPr>
      <w:tblGrid>
        <w:gridCol w:w="1800"/>
        <w:gridCol w:w="1752"/>
        <w:gridCol w:w="1575"/>
        <w:gridCol w:w="1616"/>
        <w:gridCol w:w="1217"/>
      </w:tblGrid>
      <w:tr w:rsidR="005E2885" w14:paraId="63025846" w14:textId="77777777" w:rsidTr="00C342E7">
        <w:trPr>
          <w:trHeight w:val="600"/>
        </w:trPr>
        <w:tc>
          <w:tcPr>
            <w:tcW w:w="7960" w:type="dxa"/>
            <w:gridSpan w:val="5"/>
            <w:tcBorders>
              <w:top w:val="single" w:sz="4" w:space="0" w:color="auto"/>
              <w:left w:val="nil"/>
              <w:bottom w:val="single" w:sz="4" w:space="0" w:color="auto"/>
              <w:right w:val="nil"/>
            </w:tcBorders>
            <w:shd w:val="clear" w:color="auto" w:fill="auto"/>
            <w:vAlign w:val="center"/>
            <w:hideMark/>
          </w:tcPr>
          <w:p w14:paraId="6F852C53"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Zone of Inhibition (mm)</w:t>
            </w:r>
          </w:p>
        </w:tc>
      </w:tr>
      <w:tr w:rsidR="005E2885" w14:paraId="13A6470E" w14:textId="77777777" w:rsidTr="00C342E7">
        <w:trPr>
          <w:trHeight w:val="600"/>
        </w:trPr>
        <w:tc>
          <w:tcPr>
            <w:tcW w:w="1800" w:type="dxa"/>
            <w:tcBorders>
              <w:top w:val="nil"/>
              <w:left w:val="nil"/>
              <w:bottom w:val="single" w:sz="4" w:space="0" w:color="auto"/>
              <w:right w:val="nil"/>
            </w:tcBorders>
            <w:shd w:val="clear" w:color="auto" w:fill="auto"/>
            <w:vAlign w:val="center"/>
            <w:hideMark/>
          </w:tcPr>
          <w:p w14:paraId="6C015376"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Entry</w:t>
            </w:r>
          </w:p>
        </w:tc>
        <w:tc>
          <w:tcPr>
            <w:tcW w:w="1752" w:type="dxa"/>
            <w:tcBorders>
              <w:top w:val="nil"/>
              <w:left w:val="nil"/>
              <w:bottom w:val="single" w:sz="4" w:space="0" w:color="auto"/>
              <w:right w:val="nil"/>
            </w:tcBorders>
            <w:shd w:val="clear" w:color="auto" w:fill="auto"/>
            <w:vAlign w:val="center"/>
            <w:hideMark/>
          </w:tcPr>
          <w:p w14:paraId="09EBD480"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Candida albicans</w:t>
            </w:r>
          </w:p>
        </w:tc>
        <w:tc>
          <w:tcPr>
            <w:tcW w:w="1575" w:type="dxa"/>
            <w:tcBorders>
              <w:top w:val="nil"/>
              <w:left w:val="nil"/>
              <w:bottom w:val="single" w:sz="4" w:space="0" w:color="auto"/>
              <w:right w:val="nil"/>
            </w:tcBorders>
            <w:shd w:val="clear" w:color="auto" w:fill="auto"/>
            <w:vAlign w:val="center"/>
            <w:hideMark/>
          </w:tcPr>
          <w:p w14:paraId="3743E514"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Aspergillus niger</w:t>
            </w:r>
          </w:p>
        </w:tc>
        <w:tc>
          <w:tcPr>
            <w:tcW w:w="1616" w:type="dxa"/>
            <w:tcBorders>
              <w:top w:val="nil"/>
              <w:left w:val="nil"/>
              <w:bottom w:val="single" w:sz="4" w:space="0" w:color="auto"/>
              <w:right w:val="nil"/>
            </w:tcBorders>
            <w:shd w:val="clear" w:color="auto" w:fill="auto"/>
            <w:vAlign w:val="center"/>
            <w:hideMark/>
          </w:tcPr>
          <w:p w14:paraId="42B7FB0B"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Cryptococcus neoformans</w:t>
            </w:r>
          </w:p>
        </w:tc>
        <w:tc>
          <w:tcPr>
            <w:tcW w:w="1217" w:type="dxa"/>
            <w:tcBorders>
              <w:top w:val="nil"/>
              <w:left w:val="nil"/>
              <w:bottom w:val="single" w:sz="4" w:space="0" w:color="auto"/>
              <w:right w:val="nil"/>
            </w:tcBorders>
            <w:shd w:val="clear" w:color="auto" w:fill="auto"/>
            <w:vAlign w:val="center"/>
            <w:hideMark/>
          </w:tcPr>
          <w:p w14:paraId="2726B97A"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Fusarium solani</w:t>
            </w:r>
          </w:p>
        </w:tc>
      </w:tr>
      <w:tr w:rsidR="005E2885" w14:paraId="5A5B1A72" w14:textId="77777777" w:rsidTr="00C342E7">
        <w:trPr>
          <w:trHeight w:val="300"/>
        </w:trPr>
        <w:tc>
          <w:tcPr>
            <w:tcW w:w="1800" w:type="dxa"/>
            <w:tcBorders>
              <w:top w:val="nil"/>
              <w:left w:val="nil"/>
              <w:bottom w:val="nil"/>
              <w:right w:val="nil"/>
            </w:tcBorders>
            <w:shd w:val="clear" w:color="auto" w:fill="auto"/>
            <w:vAlign w:val="center"/>
            <w:hideMark/>
          </w:tcPr>
          <w:p w14:paraId="6D008D5E"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8a</w:t>
            </w:r>
          </w:p>
        </w:tc>
        <w:tc>
          <w:tcPr>
            <w:tcW w:w="1752" w:type="dxa"/>
            <w:tcBorders>
              <w:top w:val="nil"/>
              <w:left w:val="nil"/>
              <w:bottom w:val="nil"/>
              <w:right w:val="nil"/>
            </w:tcBorders>
            <w:shd w:val="clear" w:color="auto" w:fill="auto"/>
            <w:vAlign w:val="center"/>
            <w:hideMark/>
          </w:tcPr>
          <w:p w14:paraId="493C5293"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9.15</w:t>
            </w:r>
          </w:p>
        </w:tc>
        <w:tc>
          <w:tcPr>
            <w:tcW w:w="1575" w:type="dxa"/>
            <w:tcBorders>
              <w:top w:val="nil"/>
              <w:left w:val="nil"/>
              <w:bottom w:val="nil"/>
              <w:right w:val="nil"/>
            </w:tcBorders>
            <w:shd w:val="clear" w:color="auto" w:fill="auto"/>
            <w:vAlign w:val="center"/>
            <w:hideMark/>
          </w:tcPr>
          <w:p w14:paraId="2A389BF5"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13.94</w:t>
            </w:r>
          </w:p>
        </w:tc>
        <w:tc>
          <w:tcPr>
            <w:tcW w:w="1616" w:type="dxa"/>
            <w:tcBorders>
              <w:top w:val="nil"/>
              <w:left w:val="nil"/>
              <w:bottom w:val="nil"/>
              <w:right w:val="nil"/>
            </w:tcBorders>
            <w:shd w:val="clear" w:color="auto" w:fill="auto"/>
            <w:vAlign w:val="center"/>
            <w:hideMark/>
          </w:tcPr>
          <w:p w14:paraId="58C3D594"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19.88</w:t>
            </w:r>
          </w:p>
        </w:tc>
        <w:tc>
          <w:tcPr>
            <w:tcW w:w="1217" w:type="dxa"/>
            <w:tcBorders>
              <w:top w:val="nil"/>
              <w:left w:val="nil"/>
              <w:bottom w:val="nil"/>
              <w:right w:val="nil"/>
            </w:tcBorders>
            <w:shd w:val="clear" w:color="auto" w:fill="auto"/>
            <w:vAlign w:val="center"/>
            <w:hideMark/>
          </w:tcPr>
          <w:p w14:paraId="6BE564DB"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10.66</w:t>
            </w:r>
          </w:p>
        </w:tc>
      </w:tr>
      <w:tr w:rsidR="005E2885" w14:paraId="0084E9AC" w14:textId="77777777" w:rsidTr="00C342E7">
        <w:trPr>
          <w:trHeight w:val="300"/>
        </w:trPr>
        <w:tc>
          <w:tcPr>
            <w:tcW w:w="1800" w:type="dxa"/>
            <w:tcBorders>
              <w:top w:val="nil"/>
              <w:left w:val="nil"/>
              <w:bottom w:val="nil"/>
              <w:right w:val="nil"/>
            </w:tcBorders>
            <w:shd w:val="clear" w:color="auto" w:fill="auto"/>
            <w:vAlign w:val="center"/>
            <w:hideMark/>
          </w:tcPr>
          <w:p w14:paraId="74126F09"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8b</w:t>
            </w:r>
          </w:p>
        </w:tc>
        <w:tc>
          <w:tcPr>
            <w:tcW w:w="1752" w:type="dxa"/>
            <w:tcBorders>
              <w:top w:val="nil"/>
              <w:left w:val="nil"/>
              <w:bottom w:val="nil"/>
              <w:right w:val="nil"/>
            </w:tcBorders>
            <w:shd w:val="clear" w:color="auto" w:fill="auto"/>
            <w:vAlign w:val="center"/>
            <w:hideMark/>
          </w:tcPr>
          <w:p w14:paraId="023AB47E"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4.03</w:t>
            </w:r>
          </w:p>
        </w:tc>
        <w:tc>
          <w:tcPr>
            <w:tcW w:w="1575" w:type="dxa"/>
            <w:tcBorders>
              <w:top w:val="nil"/>
              <w:left w:val="nil"/>
              <w:bottom w:val="nil"/>
              <w:right w:val="nil"/>
            </w:tcBorders>
            <w:shd w:val="clear" w:color="auto" w:fill="auto"/>
            <w:vAlign w:val="center"/>
            <w:hideMark/>
          </w:tcPr>
          <w:p w14:paraId="212B01F1"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8.55</w:t>
            </w:r>
          </w:p>
        </w:tc>
        <w:tc>
          <w:tcPr>
            <w:tcW w:w="1616" w:type="dxa"/>
            <w:tcBorders>
              <w:top w:val="nil"/>
              <w:left w:val="nil"/>
              <w:bottom w:val="nil"/>
              <w:right w:val="nil"/>
            </w:tcBorders>
            <w:shd w:val="clear" w:color="auto" w:fill="auto"/>
            <w:vAlign w:val="center"/>
            <w:hideMark/>
          </w:tcPr>
          <w:p w14:paraId="09F64EED"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13.69</w:t>
            </w:r>
          </w:p>
        </w:tc>
        <w:tc>
          <w:tcPr>
            <w:tcW w:w="1217" w:type="dxa"/>
            <w:tcBorders>
              <w:top w:val="nil"/>
              <w:left w:val="nil"/>
              <w:bottom w:val="nil"/>
              <w:right w:val="nil"/>
            </w:tcBorders>
            <w:shd w:val="clear" w:color="auto" w:fill="auto"/>
            <w:vAlign w:val="center"/>
            <w:hideMark/>
          </w:tcPr>
          <w:p w14:paraId="493E9272"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6.2</w:t>
            </w:r>
          </w:p>
        </w:tc>
      </w:tr>
      <w:tr w:rsidR="005E2885" w14:paraId="662EC832" w14:textId="77777777" w:rsidTr="00C342E7">
        <w:trPr>
          <w:trHeight w:val="300"/>
        </w:trPr>
        <w:tc>
          <w:tcPr>
            <w:tcW w:w="1800" w:type="dxa"/>
            <w:tcBorders>
              <w:top w:val="nil"/>
              <w:left w:val="nil"/>
              <w:bottom w:val="nil"/>
              <w:right w:val="nil"/>
            </w:tcBorders>
            <w:shd w:val="clear" w:color="auto" w:fill="auto"/>
            <w:vAlign w:val="center"/>
            <w:hideMark/>
          </w:tcPr>
          <w:p w14:paraId="06051F30"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8c</w:t>
            </w:r>
          </w:p>
        </w:tc>
        <w:tc>
          <w:tcPr>
            <w:tcW w:w="1752" w:type="dxa"/>
            <w:tcBorders>
              <w:top w:val="nil"/>
              <w:left w:val="nil"/>
              <w:bottom w:val="nil"/>
              <w:right w:val="nil"/>
            </w:tcBorders>
            <w:shd w:val="clear" w:color="auto" w:fill="auto"/>
            <w:vAlign w:val="center"/>
            <w:hideMark/>
          </w:tcPr>
          <w:p w14:paraId="0D8A34A8"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1.62</w:t>
            </w:r>
          </w:p>
        </w:tc>
        <w:tc>
          <w:tcPr>
            <w:tcW w:w="1575" w:type="dxa"/>
            <w:tcBorders>
              <w:top w:val="nil"/>
              <w:left w:val="nil"/>
              <w:bottom w:val="nil"/>
              <w:right w:val="nil"/>
            </w:tcBorders>
            <w:shd w:val="clear" w:color="auto" w:fill="auto"/>
            <w:vAlign w:val="center"/>
            <w:hideMark/>
          </w:tcPr>
          <w:p w14:paraId="0A12C332"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5.36</w:t>
            </w:r>
          </w:p>
        </w:tc>
        <w:tc>
          <w:tcPr>
            <w:tcW w:w="1616" w:type="dxa"/>
            <w:tcBorders>
              <w:top w:val="nil"/>
              <w:left w:val="nil"/>
              <w:bottom w:val="nil"/>
              <w:right w:val="nil"/>
            </w:tcBorders>
            <w:shd w:val="clear" w:color="auto" w:fill="auto"/>
            <w:vAlign w:val="center"/>
            <w:hideMark/>
          </w:tcPr>
          <w:p w14:paraId="0CD7052E"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9.93</w:t>
            </w:r>
          </w:p>
        </w:tc>
        <w:tc>
          <w:tcPr>
            <w:tcW w:w="1217" w:type="dxa"/>
            <w:tcBorders>
              <w:top w:val="nil"/>
              <w:left w:val="nil"/>
              <w:bottom w:val="nil"/>
              <w:right w:val="nil"/>
            </w:tcBorders>
            <w:shd w:val="clear" w:color="auto" w:fill="auto"/>
            <w:vAlign w:val="center"/>
            <w:hideMark/>
          </w:tcPr>
          <w:p w14:paraId="2FEE5B3C"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2.88</w:t>
            </w:r>
          </w:p>
        </w:tc>
      </w:tr>
      <w:tr w:rsidR="005E2885" w14:paraId="672FE9E7" w14:textId="77777777" w:rsidTr="00C342E7">
        <w:trPr>
          <w:trHeight w:val="300"/>
        </w:trPr>
        <w:tc>
          <w:tcPr>
            <w:tcW w:w="1800" w:type="dxa"/>
            <w:tcBorders>
              <w:top w:val="nil"/>
              <w:left w:val="nil"/>
              <w:bottom w:val="nil"/>
              <w:right w:val="nil"/>
            </w:tcBorders>
            <w:shd w:val="clear" w:color="auto" w:fill="auto"/>
            <w:vAlign w:val="center"/>
            <w:hideMark/>
          </w:tcPr>
          <w:p w14:paraId="2BC30972"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8d</w:t>
            </w:r>
          </w:p>
        </w:tc>
        <w:tc>
          <w:tcPr>
            <w:tcW w:w="1752" w:type="dxa"/>
            <w:tcBorders>
              <w:top w:val="nil"/>
              <w:left w:val="nil"/>
              <w:bottom w:val="nil"/>
              <w:right w:val="nil"/>
            </w:tcBorders>
            <w:shd w:val="clear" w:color="auto" w:fill="auto"/>
            <w:vAlign w:val="center"/>
            <w:hideMark/>
          </w:tcPr>
          <w:p w14:paraId="744E27BD"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24.73</w:t>
            </w:r>
          </w:p>
        </w:tc>
        <w:tc>
          <w:tcPr>
            <w:tcW w:w="1575" w:type="dxa"/>
            <w:tcBorders>
              <w:top w:val="nil"/>
              <w:left w:val="nil"/>
              <w:bottom w:val="nil"/>
              <w:right w:val="nil"/>
            </w:tcBorders>
            <w:shd w:val="clear" w:color="auto" w:fill="auto"/>
            <w:vAlign w:val="center"/>
            <w:hideMark/>
          </w:tcPr>
          <w:p w14:paraId="755768E1"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31.46</w:t>
            </w:r>
          </w:p>
        </w:tc>
        <w:tc>
          <w:tcPr>
            <w:tcW w:w="1616" w:type="dxa"/>
            <w:tcBorders>
              <w:top w:val="nil"/>
              <w:left w:val="nil"/>
              <w:bottom w:val="nil"/>
              <w:right w:val="nil"/>
            </w:tcBorders>
            <w:shd w:val="clear" w:color="auto" w:fill="auto"/>
            <w:vAlign w:val="center"/>
            <w:hideMark/>
          </w:tcPr>
          <w:p w14:paraId="355F7D3F"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38.27</w:t>
            </w:r>
          </w:p>
        </w:tc>
        <w:tc>
          <w:tcPr>
            <w:tcW w:w="1217" w:type="dxa"/>
            <w:tcBorders>
              <w:top w:val="nil"/>
              <w:left w:val="nil"/>
              <w:bottom w:val="nil"/>
              <w:right w:val="nil"/>
            </w:tcBorders>
            <w:shd w:val="clear" w:color="auto" w:fill="auto"/>
            <w:vAlign w:val="center"/>
            <w:hideMark/>
          </w:tcPr>
          <w:p w14:paraId="2B5496F4"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29.09</w:t>
            </w:r>
          </w:p>
        </w:tc>
      </w:tr>
      <w:tr w:rsidR="005E2885" w14:paraId="1AD5EF45" w14:textId="77777777" w:rsidTr="00C342E7">
        <w:trPr>
          <w:trHeight w:val="300"/>
        </w:trPr>
        <w:tc>
          <w:tcPr>
            <w:tcW w:w="1800" w:type="dxa"/>
            <w:tcBorders>
              <w:top w:val="nil"/>
              <w:left w:val="nil"/>
              <w:bottom w:val="nil"/>
              <w:right w:val="nil"/>
            </w:tcBorders>
            <w:shd w:val="clear" w:color="auto" w:fill="auto"/>
            <w:vAlign w:val="center"/>
            <w:hideMark/>
          </w:tcPr>
          <w:p w14:paraId="342D25E6"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8e</w:t>
            </w:r>
          </w:p>
        </w:tc>
        <w:tc>
          <w:tcPr>
            <w:tcW w:w="1752" w:type="dxa"/>
            <w:tcBorders>
              <w:top w:val="nil"/>
              <w:left w:val="nil"/>
              <w:bottom w:val="nil"/>
              <w:right w:val="nil"/>
            </w:tcBorders>
            <w:shd w:val="clear" w:color="auto" w:fill="auto"/>
            <w:vAlign w:val="center"/>
            <w:hideMark/>
          </w:tcPr>
          <w:p w14:paraId="4313C05F"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30.58</w:t>
            </w:r>
          </w:p>
        </w:tc>
        <w:tc>
          <w:tcPr>
            <w:tcW w:w="1575" w:type="dxa"/>
            <w:tcBorders>
              <w:top w:val="nil"/>
              <w:left w:val="nil"/>
              <w:bottom w:val="nil"/>
              <w:right w:val="nil"/>
            </w:tcBorders>
            <w:shd w:val="clear" w:color="auto" w:fill="auto"/>
            <w:vAlign w:val="center"/>
            <w:hideMark/>
          </w:tcPr>
          <w:p w14:paraId="67C7D1DA"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39.7</w:t>
            </w:r>
          </w:p>
        </w:tc>
        <w:tc>
          <w:tcPr>
            <w:tcW w:w="1616" w:type="dxa"/>
            <w:tcBorders>
              <w:top w:val="nil"/>
              <w:left w:val="nil"/>
              <w:bottom w:val="nil"/>
              <w:right w:val="nil"/>
            </w:tcBorders>
            <w:shd w:val="clear" w:color="auto" w:fill="auto"/>
            <w:vAlign w:val="center"/>
            <w:hideMark/>
          </w:tcPr>
          <w:p w14:paraId="77CA9420"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46.55</w:t>
            </w:r>
          </w:p>
        </w:tc>
        <w:tc>
          <w:tcPr>
            <w:tcW w:w="1217" w:type="dxa"/>
            <w:tcBorders>
              <w:top w:val="nil"/>
              <w:left w:val="nil"/>
              <w:bottom w:val="nil"/>
              <w:right w:val="nil"/>
            </w:tcBorders>
            <w:shd w:val="clear" w:color="auto" w:fill="auto"/>
            <w:vAlign w:val="center"/>
            <w:hideMark/>
          </w:tcPr>
          <w:p w14:paraId="31A17A19"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35.62</w:t>
            </w:r>
          </w:p>
        </w:tc>
      </w:tr>
      <w:tr w:rsidR="005E2885" w14:paraId="18E92220" w14:textId="77777777" w:rsidTr="00C342E7">
        <w:trPr>
          <w:trHeight w:val="300"/>
        </w:trPr>
        <w:tc>
          <w:tcPr>
            <w:tcW w:w="1800" w:type="dxa"/>
            <w:tcBorders>
              <w:top w:val="nil"/>
              <w:left w:val="nil"/>
              <w:bottom w:val="single" w:sz="4" w:space="0" w:color="auto"/>
              <w:right w:val="nil"/>
            </w:tcBorders>
            <w:shd w:val="clear" w:color="auto" w:fill="auto"/>
            <w:vAlign w:val="center"/>
            <w:hideMark/>
          </w:tcPr>
          <w:p w14:paraId="1C48E9E8" w14:textId="77777777" w:rsidR="00C342E7" w:rsidRPr="00C342E7" w:rsidRDefault="00D2685F" w:rsidP="00C342E7">
            <w:pPr>
              <w:spacing w:after="0" w:line="240" w:lineRule="auto"/>
              <w:jc w:val="center"/>
              <w:rPr>
                <w:rFonts w:ascii="Times New Roman" w:eastAsia="Times New Roman" w:hAnsi="Times New Roman" w:cs="Times New Roman"/>
                <w:b/>
                <w:bCs/>
                <w:color w:val="000000"/>
                <w:kern w:val="0"/>
                <w:lang w:eastAsia="en-IN"/>
                <w14:ligatures w14:val="none"/>
              </w:rPr>
            </w:pPr>
            <w:r w:rsidRPr="00C342E7">
              <w:rPr>
                <w:rFonts w:ascii="Times New Roman" w:eastAsia="Times New Roman" w:hAnsi="Times New Roman" w:cs="Times New Roman"/>
                <w:b/>
                <w:bCs/>
                <w:color w:val="000000"/>
                <w:kern w:val="0"/>
                <w:lang w:eastAsia="en-IN"/>
                <w14:ligatures w14:val="none"/>
              </w:rPr>
              <w:t>Fluconazole</w:t>
            </w:r>
          </w:p>
        </w:tc>
        <w:tc>
          <w:tcPr>
            <w:tcW w:w="1752" w:type="dxa"/>
            <w:tcBorders>
              <w:top w:val="nil"/>
              <w:left w:val="nil"/>
              <w:bottom w:val="single" w:sz="4" w:space="0" w:color="auto"/>
              <w:right w:val="nil"/>
            </w:tcBorders>
            <w:shd w:val="clear" w:color="auto" w:fill="auto"/>
            <w:vAlign w:val="center"/>
            <w:hideMark/>
          </w:tcPr>
          <w:p w14:paraId="344239D5"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17.82</w:t>
            </w:r>
          </w:p>
        </w:tc>
        <w:tc>
          <w:tcPr>
            <w:tcW w:w="1575" w:type="dxa"/>
            <w:tcBorders>
              <w:top w:val="nil"/>
              <w:left w:val="nil"/>
              <w:bottom w:val="single" w:sz="4" w:space="0" w:color="auto"/>
              <w:right w:val="nil"/>
            </w:tcBorders>
            <w:shd w:val="clear" w:color="auto" w:fill="auto"/>
            <w:vAlign w:val="center"/>
            <w:hideMark/>
          </w:tcPr>
          <w:p w14:paraId="6BB15DF8"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25.19</w:t>
            </w:r>
          </w:p>
        </w:tc>
        <w:tc>
          <w:tcPr>
            <w:tcW w:w="1616" w:type="dxa"/>
            <w:tcBorders>
              <w:top w:val="nil"/>
              <w:left w:val="nil"/>
              <w:bottom w:val="single" w:sz="4" w:space="0" w:color="auto"/>
              <w:right w:val="nil"/>
            </w:tcBorders>
            <w:shd w:val="clear" w:color="auto" w:fill="auto"/>
            <w:vAlign w:val="center"/>
            <w:hideMark/>
          </w:tcPr>
          <w:p w14:paraId="0E6ED8C6"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31.05</w:t>
            </w:r>
          </w:p>
        </w:tc>
        <w:tc>
          <w:tcPr>
            <w:tcW w:w="1217" w:type="dxa"/>
            <w:tcBorders>
              <w:top w:val="nil"/>
              <w:left w:val="nil"/>
              <w:bottom w:val="single" w:sz="4" w:space="0" w:color="auto"/>
              <w:right w:val="nil"/>
            </w:tcBorders>
            <w:shd w:val="clear" w:color="auto" w:fill="auto"/>
            <w:vAlign w:val="center"/>
            <w:hideMark/>
          </w:tcPr>
          <w:p w14:paraId="4D7EEA23" w14:textId="77777777" w:rsidR="00C342E7" w:rsidRPr="00C342E7" w:rsidRDefault="00D2685F" w:rsidP="00C342E7">
            <w:pPr>
              <w:spacing w:after="0" w:line="240" w:lineRule="auto"/>
              <w:jc w:val="center"/>
              <w:rPr>
                <w:rFonts w:ascii="Times New Roman" w:eastAsia="Times New Roman" w:hAnsi="Times New Roman" w:cs="Times New Roman"/>
                <w:color w:val="000000"/>
                <w:kern w:val="0"/>
                <w:lang w:eastAsia="en-IN"/>
                <w14:ligatures w14:val="none"/>
              </w:rPr>
            </w:pPr>
            <w:r w:rsidRPr="00C342E7">
              <w:rPr>
                <w:rFonts w:ascii="Times New Roman" w:eastAsia="Times New Roman" w:hAnsi="Times New Roman" w:cs="Times New Roman"/>
                <w:color w:val="000000"/>
                <w:kern w:val="0"/>
                <w:lang w:eastAsia="en-IN"/>
                <w14:ligatures w14:val="none"/>
              </w:rPr>
              <w:t>20.23</w:t>
            </w:r>
          </w:p>
        </w:tc>
      </w:tr>
    </w:tbl>
    <w:p w14:paraId="42CEDE32" w14:textId="77777777" w:rsidR="007C1888" w:rsidRDefault="007C1888" w:rsidP="007C1888">
      <w:pPr>
        <w:spacing w:line="480" w:lineRule="auto"/>
        <w:jc w:val="both"/>
        <w:rPr>
          <w:rFonts w:ascii="Times New Roman" w:hAnsi="Times New Roman" w:cs="Times New Roman"/>
          <w:b/>
          <w:bCs/>
          <w:i/>
          <w:iCs/>
        </w:rPr>
      </w:pPr>
    </w:p>
    <w:p w14:paraId="152F0353" w14:textId="77777777" w:rsidR="007C1888" w:rsidRPr="00670186" w:rsidRDefault="00D2685F" w:rsidP="007C1888">
      <w:pPr>
        <w:spacing w:line="480" w:lineRule="auto"/>
        <w:jc w:val="both"/>
        <w:rPr>
          <w:rFonts w:ascii="Times New Roman" w:hAnsi="Times New Roman" w:cs="Times New Roman"/>
          <w:b/>
          <w:bCs/>
          <w:i/>
          <w:iCs/>
        </w:rPr>
      </w:pPr>
      <w:r w:rsidRPr="00670186">
        <w:rPr>
          <w:rFonts w:ascii="Times New Roman" w:hAnsi="Times New Roman" w:cs="Times New Roman"/>
          <w:b/>
          <w:bCs/>
          <w:i/>
          <w:iCs/>
        </w:rPr>
        <w:t>Molecular Docking Results</w:t>
      </w:r>
    </w:p>
    <w:p w14:paraId="479F54DA" w14:textId="77777777" w:rsidR="007C1888" w:rsidRPr="00670186" w:rsidRDefault="00D2685F" w:rsidP="007C1888">
      <w:pPr>
        <w:spacing w:line="480" w:lineRule="auto"/>
        <w:jc w:val="both"/>
        <w:rPr>
          <w:rFonts w:ascii="Times New Roman" w:hAnsi="Times New Roman" w:cs="Times New Roman"/>
        </w:rPr>
      </w:pPr>
      <w:r w:rsidRPr="00670186">
        <w:rPr>
          <w:rFonts w:ascii="Times New Roman" w:hAnsi="Times New Roman" w:cs="Times New Roman"/>
        </w:rPr>
        <w:t xml:space="preserve">Molecular docking studies using the protein with PDB ID </w:t>
      </w:r>
      <w:r w:rsidR="00200B98" w:rsidRPr="00670186">
        <w:rPr>
          <w:rFonts w:ascii="Times New Roman" w:hAnsi="Times New Roman" w:cs="Times New Roman"/>
        </w:rPr>
        <w:t>1IYL</w:t>
      </w:r>
      <w:r w:rsidRPr="00670186">
        <w:rPr>
          <w:rFonts w:ascii="Times New Roman" w:hAnsi="Times New Roman" w:cs="Times New Roman"/>
        </w:rPr>
        <w:t xml:space="preserve"> demonstrated a strong and stable binding interaction between the ligand 8a monomer and the active site</w:t>
      </w:r>
      <w:r>
        <w:rPr>
          <w:rFonts w:ascii="Times New Roman" w:eastAsia="Calibri" w:hAnsi="Times New Roman" w:cs="Times New Roman"/>
        </w:rPr>
        <w:t xml:space="preserve"> of the protein. </w:t>
      </w:r>
      <w:r w:rsidR="006332C8" w:rsidRPr="00670186">
        <w:rPr>
          <w:rFonts w:ascii="Times New Roman" w:hAnsi="Times New Roman" w:cs="Times New Roman"/>
        </w:rPr>
        <w:t>Fig</w:t>
      </w:r>
      <w:r w:rsidR="00670186">
        <w:rPr>
          <w:rFonts w:ascii="Times New Roman" w:hAnsi="Times New Roman" w:cs="Times New Roman"/>
        </w:rPr>
        <w:t>.</w:t>
      </w:r>
      <w:r w:rsidR="006332C8" w:rsidRPr="00670186">
        <w:rPr>
          <w:rFonts w:ascii="Times New Roman" w:hAnsi="Times New Roman" w:cs="Times New Roman"/>
        </w:rPr>
        <w:t xml:space="preserve"> 2</w:t>
      </w:r>
      <w:r w:rsidR="00670186">
        <w:rPr>
          <w:rFonts w:ascii="Times New Roman" w:hAnsi="Times New Roman" w:cs="Times New Roman"/>
        </w:rPr>
        <w:t>.</w:t>
      </w:r>
      <w:r w:rsidR="006332C8" w:rsidRPr="00670186">
        <w:rPr>
          <w:rFonts w:ascii="Times New Roman" w:hAnsi="Times New Roman" w:cs="Times New Roman"/>
        </w:rPr>
        <w:t xml:space="preserve"> presents a molecular docking analysis of the selected ligand with fungal </w:t>
      </w:r>
      <w:r w:rsidR="006332C8" w:rsidRPr="00670186">
        <w:rPr>
          <w:rFonts w:ascii="Times New Roman" w:hAnsi="Times New Roman" w:cs="Times New Roman"/>
          <w:i/>
          <w:iCs/>
        </w:rPr>
        <w:t>N</w:t>
      </w:r>
      <w:r w:rsidR="006332C8" w:rsidRPr="00670186">
        <w:rPr>
          <w:rFonts w:ascii="Times New Roman" w:hAnsi="Times New Roman" w:cs="Times New Roman"/>
        </w:rPr>
        <w:t xml:space="preserve">-myristoyltransferase (Nmt), demonstrating the binding conformation and key interactions stabilizing the ligand within the active site of the protein. In panel (a), the ligand is deeply embedded in the active site of </w:t>
      </w:r>
      <w:proofErr w:type="spellStart"/>
      <w:r w:rsidR="006332C8" w:rsidRPr="00670186">
        <w:rPr>
          <w:rFonts w:ascii="Times New Roman" w:hAnsi="Times New Roman" w:cs="Times New Roman"/>
        </w:rPr>
        <w:t>Nmt</w:t>
      </w:r>
      <w:proofErr w:type="spellEnd"/>
      <w:r w:rsidR="006332C8" w:rsidRPr="00670186">
        <w:rPr>
          <w:rFonts w:ascii="Times New Roman" w:hAnsi="Times New Roman" w:cs="Times New Roman"/>
        </w:rPr>
        <w:t xml:space="preserve"> and surrounded by α-helices and β-sheets, indicating a favorable orientation within the binding pocket. The structural fit suggests that the ligand is well-accommodated and likely interfere</w:t>
      </w:r>
      <w:r>
        <w:rPr>
          <w:rFonts w:ascii="Times New Roman" w:eastAsia="Calibri" w:hAnsi="Times New Roman" w:cs="Times New Roman"/>
        </w:rPr>
        <w:t>s with the enzymatic activity. Panel (b) provides a detailed 3D ball-and-stick view, where specific amino acids</w:t>
      </w:r>
      <w:r w:rsidR="006332C8" w:rsidRPr="00670186">
        <w:rPr>
          <w:rFonts w:ascii="Times New Roman" w:hAnsi="Times New Roman" w:cs="Times New Roman"/>
        </w:rPr>
        <w:t>, ALA115, ASP302, ASN13, ALA119, and SER155, are involved in direct interactions with the ligand. These include hydrogen bonds, π-interactions, and hydrophobic contacts, which play crucial role</w:t>
      </w:r>
      <w:r>
        <w:rPr>
          <w:rFonts w:ascii="Times New Roman" w:eastAsia="Calibri" w:hAnsi="Times New Roman" w:cs="Times New Roman"/>
        </w:rPr>
        <w:t>s in stabilizing the ligand-protein complex.</w:t>
      </w:r>
      <w:r w:rsidR="006332C8" w:rsidRPr="00670186">
        <w:rPr>
          <w:rFonts w:ascii="Times New Roman" w:hAnsi="Times New Roman" w:cs="Times New Roman"/>
        </w:rPr>
        <w:t xml:space="preserve"> </w:t>
      </w:r>
      <w:r w:rsidR="006332C8" w:rsidRPr="006332C8">
        <w:rPr>
          <w:rFonts w:ascii="Times New Roman" w:hAnsi="Times New Roman" w:cs="Times New Roman"/>
        </w:rPr>
        <w:t xml:space="preserve">Panel (c) illustrates a 2D interaction map </w:t>
      </w:r>
      <w:r>
        <w:rPr>
          <w:rFonts w:ascii="Times New Roman" w:eastAsia="Calibri" w:hAnsi="Times New Roman" w:cs="Times New Roman"/>
        </w:rPr>
        <w:t>that highlight</w:t>
      </w:r>
      <w:r w:rsidR="006332C8" w:rsidRPr="006332C8">
        <w:rPr>
          <w:rFonts w:ascii="Times New Roman" w:hAnsi="Times New Roman" w:cs="Times New Roman"/>
        </w:rPr>
        <w:t xml:space="preserve">s the nature and type of noncovalent interactions. Key hydrogen bonds (green lines) were formed with SER155 and ASP302, indicating strong polar interactions </w:t>
      </w:r>
      <w:r>
        <w:rPr>
          <w:rFonts w:ascii="Times New Roman" w:eastAsia="Calibri" w:hAnsi="Times New Roman" w:cs="Times New Roman"/>
        </w:rPr>
        <w:t>that are essential for binding affinity. π-Alkyl interactions (pink) with ALA15 and ALA119</w:t>
      </w:r>
      <w:r w:rsidR="006332C8" w:rsidRPr="006332C8">
        <w:rPr>
          <w:rFonts w:ascii="Times New Roman" w:hAnsi="Times New Roman" w:cs="Times New Roman"/>
        </w:rPr>
        <w:t xml:space="preserve"> and π-lone pair interactions </w:t>
      </w:r>
      <w:r w:rsidR="006332C8" w:rsidRPr="006332C8">
        <w:rPr>
          <w:rFonts w:ascii="Times New Roman" w:hAnsi="Times New Roman" w:cs="Times New Roman"/>
        </w:rPr>
        <w:lastRenderedPageBreak/>
        <w:t xml:space="preserve">(light green) with aromatic rings contribute to additional stabilization. However, the presence of an unfavorable acceptor-acceptor interaction (orange line) with ASP201 may slightly reduce </w:t>
      </w:r>
      <w:r>
        <w:rPr>
          <w:rFonts w:ascii="Times New Roman" w:eastAsia="Calibri" w:hAnsi="Times New Roman" w:cs="Times New Roman"/>
        </w:rPr>
        <w:t>the binding efficiency, but does not critically affect the overall complex formation.</w:t>
      </w:r>
      <w:r w:rsidR="006332C8" w:rsidRPr="00670186">
        <w:rPr>
          <w:rFonts w:ascii="Times New Roman" w:hAnsi="Times New Roman" w:cs="Times New Roman"/>
        </w:rPr>
        <w:t xml:space="preserve"> </w:t>
      </w:r>
      <w:r w:rsidR="006332C8" w:rsidRPr="006332C8">
        <w:rPr>
          <w:rFonts w:ascii="Times New Roman" w:hAnsi="Times New Roman" w:cs="Times New Roman"/>
        </w:rPr>
        <w:t xml:space="preserve">These docking results suggest that the ligand exhibits a strong and specific binding affinity for the fungal </w:t>
      </w:r>
      <w:proofErr w:type="spellStart"/>
      <w:r w:rsidR="006332C8" w:rsidRPr="006332C8">
        <w:rPr>
          <w:rFonts w:ascii="Times New Roman" w:hAnsi="Times New Roman" w:cs="Times New Roman"/>
        </w:rPr>
        <w:t>Nmt</w:t>
      </w:r>
      <w:proofErr w:type="spellEnd"/>
      <w:r w:rsidR="006332C8" w:rsidRPr="006332C8">
        <w:rPr>
          <w:rFonts w:ascii="Times New Roman" w:hAnsi="Times New Roman" w:cs="Times New Roman"/>
        </w:rPr>
        <w:t xml:space="preserve"> active site, making it a promising candidate for further development as an antifungal agent. The multiple stabilizing interactions observed are indicative of good structural complementarity and </w:t>
      </w:r>
      <w:r>
        <w:rPr>
          <w:rFonts w:ascii="Times New Roman" w:eastAsia="Calibri" w:hAnsi="Times New Roman" w:cs="Times New Roman"/>
        </w:rPr>
        <w:t xml:space="preserve">the potential inhibition of </w:t>
      </w:r>
      <w:r w:rsidR="006332C8" w:rsidRPr="006332C8">
        <w:rPr>
          <w:rFonts w:ascii="Times New Roman" w:hAnsi="Times New Roman" w:cs="Times New Roman"/>
        </w:rPr>
        <w:t>enzymatic function. Further validation through molecular dynamics simulations and in vitro antifungal assays is recommended to confirm the predicted efficacy and stability of this ligand-protein complex</w:t>
      </w:r>
      <w:r w:rsidR="006332C8" w:rsidRPr="00670186">
        <w:rPr>
          <w:rFonts w:ascii="Times New Roman" w:hAnsi="Times New Roman" w:cs="Times New Roman"/>
        </w:rPr>
        <w:t xml:space="preserve"> with </w:t>
      </w:r>
      <w:r w:rsidRPr="00670186">
        <w:rPr>
          <w:rFonts w:ascii="Times New Roman" w:hAnsi="Times New Roman" w:cs="Times New Roman"/>
        </w:rPr>
        <w:t>ligand-binding affinity (ΔG = -</w:t>
      </w:r>
      <w:r w:rsidR="00670186">
        <w:rPr>
          <w:rFonts w:ascii="Times New Roman" w:hAnsi="Times New Roman" w:cs="Times New Roman"/>
        </w:rPr>
        <w:t>8.92</w:t>
      </w:r>
      <w:r w:rsidRPr="00670186">
        <w:rPr>
          <w:rFonts w:ascii="Times New Roman" w:hAnsi="Times New Roman" w:cs="Times New Roman"/>
        </w:rPr>
        <w:t xml:space="preserve"> kcal/mol). </w:t>
      </w:r>
    </w:p>
    <w:p w14:paraId="468716E5" w14:textId="77777777" w:rsidR="006332C8" w:rsidRPr="00911179" w:rsidRDefault="00D2685F" w:rsidP="006332C8">
      <w:pPr>
        <w:spacing w:line="480" w:lineRule="auto"/>
        <w:jc w:val="both"/>
        <w:rPr>
          <w:rFonts w:ascii="Times New Roman" w:hAnsi="Times New Roman" w:cs="Times New Roman"/>
        </w:rPr>
      </w:pPr>
      <w:r w:rsidRPr="006332C8">
        <w:rPr>
          <w:rFonts w:ascii="Times New Roman" w:hAnsi="Times New Roman" w:cs="Times New Roman"/>
        </w:rPr>
        <w:t>Fig</w:t>
      </w:r>
      <w:r w:rsidR="00670186">
        <w:rPr>
          <w:rFonts w:ascii="Times New Roman" w:hAnsi="Times New Roman" w:cs="Times New Roman"/>
        </w:rPr>
        <w:t>.</w:t>
      </w:r>
      <w:r w:rsidRPr="006332C8">
        <w:rPr>
          <w:rFonts w:ascii="Times New Roman" w:hAnsi="Times New Roman" w:cs="Times New Roman"/>
        </w:rPr>
        <w:t xml:space="preserve"> 3</w:t>
      </w:r>
      <w:r w:rsidR="00670186">
        <w:rPr>
          <w:rFonts w:ascii="Times New Roman" w:hAnsi="Times New Roman" w:cs="Times New Roman"/>
        </w:rPr>
        <w:t>.</w:t>
      </w:r>
      <w:r w:rsidRPr="006332C8">
        <w:rPr>
          <w:rFonts w:ascii="Times New Roman" w:hAnsi="Times New Roman" w:cs="Times New Roman"/>
        </w:rPr>
        <w:t xml:space="preserve"> illustrates the docking interaction of a Fu\fluconazole standard antifungal drug or ligand molecule within the active site of fungal </w:t>
      </w:r>
      <w:r w:rsidRPr="006332C8">
        <w:rPr>
          <w:rFonts w:ascii="Times New Roman" w:hAnsi="Times New Roman" w:cs="Times New Roman"/>
          <w:i/>
          <w:iCs/>
        </w:rPr>
        <w:t>N</w:t>
      </w:r>
      <w:r w:rsidRPr="006332C8">
        <w:rPr>
          <w:rFonts w:ascii="Times New Roman" w:hAnsi="Times New Roman" w:cs="Times New Roman"/>
        </w:rPr>
        <w:t xml:space="preserve">-myristoyltransferase (Nmt), offering insights into binding orientation and key residue interactions. Panel (d) shows the 3D binding pose of the ligand within the active site, embedded in a structurally well-defined region of the enzyme surrounded by α-helices and β-sheets. The ligand adopts a stable conformation, suggesting favorable steric compatibility with the binding pocket. Panel (e) presents a zoomed-in view of </w:t>
      </w:r>
      <w:proofErr w:type="spellStart"/>
      <w:r w:rsidRPr="006332C8">
        <w:rPr>
          <w:rFonts w:ascii="Times New Roman" w:hAnsi="Times New Roman" w:cs="Times New Roman"/>
        </w:rPr>
        <w:t>labeled</w:t>
      </w:r>
      <w:proofErr w:type="spellEnd"/>
      <w:r w:rsidRPr="006332C8">
        <w:rPr>
          <w:rFonts w:ascii="Times New Roman" w:hAnsi="Times New Roman" w:cs="Times New Roman"/>
        </w:rPr>
        <w:t xml:space="preserve"> residues such as SER208, ASP302, ALA119, ALA303, PHE260, TYR19, LYS18, and TRP20, all of which contribute to stabilizing the ligand via a network of interactions </w:t>
      </w:r>
      <w:r w:rsidRPr="00911179">
        <w:rPr>
          <w:rFonts w:ascii="Times New Roman" w:hAnsi="Times New Roman" w:cs="Times New Roman"/>
        </w:rPr>
        <w:t>including hydrogen bonding, π–π stacking, and hydrophobic contacts.</w:t>
      </w:r>
    </w:p>
    <w:p w14:paraId="47863804" w14:textId="77777777" w:rsidR="00911179" w:rsidRPr="00911179" w:rsidRDefault="00D2685F" w:rsidP="00911179">
      <w:pPr>
        <w:spacing w:line="480" w:lineRule="auto"/>
        <w:jc w:val="both"/>
        <w:rPr>
          <w:rFonts w:ascii="Times New Roman" w:hAnsi="Times New Roman" w:cs="Times New Roman"/>
        </w:rPr>
      </w:pPr>
      <w:r w:rsidRPr="006332C8">
        <w:rPr>
          <w:rFonts w:ascii="Times New Roman" w:hAnsi="Times New Roman" w:cs="Times New Roman"/>
        </w:rPr>
        <w:t>Panel (f) provides a 2D interaction map, revealing diverse non-covalent interactions: conventional hydrogen bonds (green) with ALA15, ALA119, and SER208; a π–π stacked interaction (purple) with PHE260; and π-alkyl/π–sigma interactions (pink) with TYR19, TRP20, and LYS18. Additional carbon–hydrogen bonds (light blue) and halogen bonds (cyan) with ASN13 further reinforce</w:t>
      </w:r>
      <w:r>
        <w:rPr>
          <w:rFonts w:ascii="Times New Roman" w:eastAsia="Calibri" w:hAnsi="Times New Roman" w:cs="Times New Roman"/>
        </w:rPr>
        <w:t xml:space="preserve">d the </w:t>
      </w:r>
      <w:r w:rsidRPr="006332C8">
        <w:rPr>
          <w:rFonts w:ascii="Times New Roman" w:hAnsi="Times New Roman" w:cs="Times New Roman"/>
        </w:rPr>
        <w:t xml:space="preserve">stability </w:t>
      </w:r>
      <w:r>
        <w:rPr>
          <w:rFonts w:ascii="Times New Roman" w:eastAsia="Calibri" w:hAnsi="Times New Roman" w:cs="Times New Roman"/>
        </w:rPr>
        <w:t xml:space="preserve">of the ligand within the binding pocket. An </w:t>
      </w:r>
      <w:r w:rsidRPr="006332C8">
        <w:rPr>
          <w:rFonts w:ascii="Times New Roman" w:hAnsi="Times New Roman" w:cs="Times New Roman"/>
        </w:rPr>
        <w:t xml:space="preserve">unfavorable bump interaction (red) was noted with SER208, which may indicate a slight steric </w:t>
      </w:r>
      <w:r w:rsidRPr="006332C8">
        <w:rPr>
          <w:rFonts w:ascii="Times New Roman" w:hAnsi="Times New Roman" w:cs="Times New Roman"/>
        </w:rPr>
        <w:lastRenderedPageBreak/>
        <w:t>clash, although it does not appear to destabilize the overall binding.</w:t>
      </w:r>
      <w:r w:rsidRPr="00911179">
        <w:rPr>
          <w:rFonts w:ascii="Times New Roman" w:hAnsi="Times New Roman" w:cs="Times New Roman"/>
        </w:rPr>
        <w:t xml:space="preserve"> </w:t>
      </w:r>
      <w:r w:rsidRPr="006332C8">
        <w:rPr>
          <w:rFonts w:ascii="Times New Roman" w:hAnsi="Times New Roman" w:cs="Times New Roman"/>
        </w:rPr>
        <w:t>These results suggest</w:t>
      </w:r>
      <w:r>
        <w:rPr>
          <w:rFonts w:ascii="Times New Roman" w:eastAsia="Calibri" w:hAnsi="Times New Roman" w:cs="Times New Roman"/>
        </w:rPr>
        <w:t xml:space="preserve">ed that the ligand forms multiple strong and specific interactions with catalytically and structurally important residues in the fungal </w:t>
      </w:r>
      <w:r w:rsidRPr="006332C8">
        <w:rPr>
          <w:rFonts w:ascii="Times New Roman" w:hAnsi="Times New Roman" w:cs="Times New Roman"/>
        </w:rPr>
        <w:t xml:space="preserve">Nmt enzyme. The involvement of residues such as ASP302, PHE260, and TRP20 indicates deep anchoring within the active site, which could effectively hinder enzyme function. This profile supported the potential </w:t>
      </w:r>
      <w:r>
        <w:rPr>
          <w:rFonts w:ascii="Times New Roman" w:eastAsia="Calibri" w:hAnsi="Times New Roman" w:cs="Times New Roman"/>
        </w:rPr>
        <w:t>of the ligand as a robust antifungal agent</w:t>
      </w:r>
      <w:r w:rsidRPr="00911179">
        <w:rPr>
          <w:rFonts w:ascii="Times New Roman" w:hAnsi="Times New Roman" w:cs="Times New Roman"/>
        </w:rPr>
        <w:t xml:space="preserve"> with fluconazole </w:t>
      </w:r>
      <w:r w:rsidR="007C1888" w:rsidRPr="00911179">
        <w:rPr>
          <w:rFonts w:ascii="Times New Roman" w:hAnsi="Times New Roman" w:cs="Times New Roman"/>
        </w:rPr>
        <w:t>binding efficacy (ΔG = -</w:t>
      </w:r>
      <w:r w:rsidRPr="00911179">
        <w:rPr>
          <w:rFonts w:ascii="Times New Roman" w:hAnsi="Times New Roman" w:cs="Times New Roman"/>
        </w:rPr>
        <w:t>5.44</w:t>
      </w:r>
      <w:r w:rsidR="007C1888" w:rsidRPr="00911179">
        <w:rPr>
          <w:rFonts w:ascii="Times New Roman" w:hAnsi="Times New Roman" w:cs="Times New Roman"/>
        </w:rPr>
        <w:t>. kcal/mol)</w:t>
      </w:r>
      <w:r w:rsidRPr="00911179">
        <w:rPr>
          <w:rFonts w:ascii="Times New Roman" w:hAnsi="Times New Roman" w:cs="Times New Roman"/>
        </w:rPr>
        <w:t xml:space="preserve">. Molecular docking studies were conducted to evaluate the binding potential of Polymer 8a and fluconazole with fungal </w:t>
      </w:r>
      <w:r w:rsidRPr="00911179">
        <w:rPr>
          <w:rFonts w:ascii="Times New Roman" w:hAnsi="Times New Roman" w:cs="Times New Roman"/>
          <w:i/>
          <w:iCs/>
        </w:rPr>
        <w:t>Myristoyl-CoA:protein N-myristoyltransferase</w:t>
      </w:r>
      <w:r w:rsidRPr="00911179">
        <w:rPr>
          <w:rFonts w:ascii="Times New Roman" w:hAnsi="Times New Roman" w:cs="Times New Roman"/>
        </w:rPr>
        <w:t xml:space="preserve"> (Nmt), a key enzyme responsible for catalyzing the transfer of the myristoyl group to the N-terminal glycine residue of eukaryotic and viral proteins. The docking results revealed that Polymer 8a exhibited a significantly stronger binding affinity of –8.92 kcal/mol, compared to fluconazole, which showed a binding energy of –5.44 kcal/mol. This substantial difference in binding energy suggests that Polymer 8a has a more favorable and stable interaction with the active site of the Nmt enzyme.</w:t>
      </w:r>
    </w:p>
    <w:p w14:paraId="1CF160DB" w14:textId="731D6F4C" w:rsidR="00D2685F" w:rsidRPr="00911179" w:rsidRDefault="00D2685F" w:rsidP="00911179">
      <w:pPr>
        <w:spacing w:line="480" w:lineRule="auto"/>
        <w:jc w:val="both"/>
        <w:rPr>
          <w:rFonts w:ascii="Times New Roman" w:hAnsi="Times New Roman" w:cs="Times New Roman"/>
        </w:rPr>
      </w:pPr>
      <w:r w:rsidRPr="00911179">
        <w:rPr>
          <w:rFonts w:ascii="Times New Roman" w:hAnsi="Times New Roman" w:cs="Times New Roman"/>
        </w:rPr>
        <w:t>The enhanced binding affinity of Polymer 8a may be attributed to its larger structural framework, which enables multiple interactions</w:t>
      </w:r>
      <w:r>
        <w:rPr>
          <w:rFonts w:ascii="Times New Roman" w:eastAsia="Calibri" w:hAnsi="Times New Roman" w:cs="Times New Roman"/>
        </w:rPr>
        <w:t>, such as hydrogen bonding, π–π stacking, and hydrophobic contacts with key active site residues. In contrast, fluconazole</w:t>
      </w:r>
      <w:r w:rsidRPr="00911179">
        <w:rPr>
          <w:rFonts w:ascii="Times New Roman" w:hAnsi="Times New Roman" w:cs="Times New Roman"/>
        </w:rPr>
        <w:t>, a known antifungal agent,</w:t>
      </w:r>
      <w:r>
        <w:rPr>
          <w:rFonts w:ascii="Times New Roman" w:eastAsia="Calibri" w:hAnsi="Times New Roman" w:cs="Times New Roman"/>
        </w:rPr>
        <w:t xml:space="preserve"> exhibit</w:t>
      </w:r>
      <w:r w:rsidRPr="00911179">
        <w:rPr>
          <w:rFonts w:ascii="Times New Roman" w:hAnsi="Times New Roman" w:cs="Times New Roman"/>
        </w:rPr>
        <w:t xml:space="preserve">s weaker binding, which may reflect its limited interaction profile with the Nmt active site. These findings highlight the potential of Polymer 8a as a promising antifungal candidate </w:t>
      </w:r>
      <w:r>
        <w:rPr>
          <w:rFonts w:ascii="Times New Roman" w:eastAsia="Calibri" w:hAnsi="Times New Roman" w:cs="Times New Roman"/>
        </w:rPr>
        <w:t xml:space="preserve">for targeting </w:t>
      </w:r>
      <w:proofErr w:type="spellStart"/>
      <w:r w:rsidRPr="00911179">
        <w:rPr>
          <w:rFonts w:ascii="Times New Roman" w:hAnsi="Times New Roman" w:cs="Times New Roman"/>
        </w:rPr>
        <w:t>Nmt</w:t>
      </w:r>
      <w:proofErr w:type="spellEnd"/>
      <w:r w:rsidRPr="00911179">
        <w:rPr>
          <w:rFonts w:ascii="Times New Roman" w:hAnsi="Times New Roman" w:cs="Times New Roman"/>
        </w:rPr>
        <w:t>.</w:t>
      </w:r>
    </w:p>
    <w:p w14:paraId="76706649" w14:textId="77777777" w:rsidR="007C1888" w:rsidRPr="00911179" w:rsidRDefault="00D2685F" w:rsidP="007C1888">
      <w:pPr>
        <w:spacing w:line="480" w:lineRule="auto"/>
        <w:jc w:val="both"/>
        <w:rPr>
          <w:rFonts w:ascii="Times New Roman" w:hAnsi="Times New Roman" w:cs="Times New Roman"/>
        </w:rPr>
      </w:pPr>
      <w:r>
        <w:rPr>
          <w:rFonts w:ascii="Times New Roman" w:hAnsi="Times New Roman" w:cs="Times New Roman"/>
          <w:noProof/>
          <w:highlight w:val="yellow"/>
        </w:rPr>
        <w:lastRenderedPageBreak/>
        <w:drawing>
          <wp:anchor distT="0" distB="0" distL="114300" distR="114300" simplePos="0" relativeHeight="251662336" behindDoc="0" locked="0" layoutInCell="1" allowOverlap="1" wp14:anchorId="2106875E" wp14:editId="1283D96C">
            <wp:simplePos x="0" y="0"/>
            <wp:positionH relativeFrom="column">
              <wp:posOffset>-378003</wp:posOffset>
            </wp:positionH>
            <wp:positionV relativeFrom="page">
              <wp:posOffset>442498</wp:posOffset>
            </wp:positionV>
            <wp:extent cx="6379210" cy="2387600"/>
            <wp:effectExtent l="0" t="0" r="2540" b="0"/>
            <wp:wrapTopAndBottom/>
            <wp:docPr id="1789795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9566"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79210" cy="2387600"/>
                    </a:xfrm>
                    <a:prstGeom prst="rect">
                      <a:avLst/>
                    </a:prstGeom>
                    <a:noFill/>
                  </pic:spPr>
                </pic:pic>
              </a:graphicData>
            </a:graphic>
            <wp14:sizeRelH relativeFrom="margin">
              <wp14:pctWidth>0</wp14:pctWidth>
            </wp14:sizeRelH>
            <wp14:sizeRelV relativeFrom="margin">
              <wp14:pctHeight>0</wp14:pctHeight>
            </wp14:sizeRelV>
          </wp:anchor>
        </w:drawing>
      </w:r>
    </w:p>
    <w:p w14:paraId="5110F150" w14:textId="77777777" w:rsidR="00E60A85" w:rsidRDefault="00D2685F" w:rsidP="007C1888">
      <w:pPr>
        <w:spacing w:line="480" w:lineRule="auto"/>
        <w:jc w:val="both"/>
        <w:rPr>
          <w:rFonts w:ascii="Times New Roman" w:hAnsi="Times New Roman" w:cs="Times New Roman"/>
          <w:b/>
          <w:bCs/>
        </w:rPr>
      </w:pPr>
      <w:r w:rsidRPr="00670186">
        <w:rPr>
          <w:rFonts w:ascii="Times New Roman" w:hAnsi="Times New Roman" w:cs="Times New Roman"/>
          <w:b/>
          <w:bCs/>
        </w:rPr>
        <w:t xml:space="preserve">Figure </w:t>
      </w:r>
      <w:r>
        <w:rPr>
          <w:rFonts w:ascii="Times New Roman" w:hAnsi="Times New Roman" w:cs="Times New Roman"/>
          <w:b/>
          <w:bCs/>
        </w:rPr>
        <w:t>2</w:t>
      </w:r>
      <w:r w:rsidRPr="00670186">
        <w:rPr>
          <w:rFonts w:ascii="Times New Roman" w:hAnsi="Times New Roman" w:cs="Times New Roman"/>
          <w:b/>
          <w:bCs/>
        </w:rPr>
        <w:t xml:space="preserve">: </w:t>
      </w:r>
      <w:r w:rsidRPr="00670186">
        <w:rPr>
          <w:rFonts w:ascii="Times New Roman" w:hAnsi="Times New Roman" w:cs="Times New Roman"/>
        </w:rPr>
        <w:t xml:space="preserve">Molecular docking 8a monomer with PDB ID: 1IYL. (a) 3D surface view of the ligand within the protein binding site. (b) 3D interaction view highlighting key ligand-protein </w:t>
      </w:r>
      <w:r w:rsidRPr="00E60A85">
        <w:rPr>
          <w:rFonts w:ascii="Times New Roman" w:hAnsi="Times New Roman" w:cs="Times New Roman"/>
        </w:rPr>
        <w:t>interactions. (c) 2D schematic of ligand-protein binding interactions (ΔG = -8.92 kcal/mol).</w:t>
      </w:r>
    </w:p>
    <w:p w14:paraId="12065F1C" w14:textId="77777777" w:rsidR="00670186" w:rsidRDefault="00D2685F" w:rsidP="007C1888">
      <w:pPr>
        <w:spacing w:line="480" w:lineRule="auto"/>
        <w:jc w:val="both"/>
        <w:rPr>
          <w:rFonts w:ascii="Times New Roman" w:hAnsi="Times New Roman" w:cs="Times New Roman"/>
          <w:b/>
          <w:bCs/>
        </w:rPr>
      </w:pPr>
      <w:r w:rsidRPr="00670186">
        <w:rPr>
          <w:rFonts w:ascii="Times New Roman" w:hAnsi="Times New Roman" w:cs="Times New Roman"/>
          <w:b/>
          <w:bCs/>
          <w:noProof/>
        </w:rPr>
        <w:drawing>
          <wp:anchor distT="0" distB="0" distL="114300" distR="114300" simplePos="0" relativeHeight="251658240" behindDoc="0" locked="0" layoutInCell="1" allowOverlap="1" wp14:anchorId="6738C785" wp14:editId="084B1781">
            <wp:simplePos x="0" y="0"/>
            <wp:positionH relativeFrom="column">
              <wp:posOffset>-501015</wp:posOffset>
            </wp:positionH>
            <wp:positionV relativeFrom="paragraph">
              <wp:posOffset>0</wp:posOffset>
            </wp:positionV>
            <wp:extent cx="6841490" cy="2556510"/>
            <wp:effectExtent l="0" t="0" r="0" b="0"/>
            <wp:wrapTopAndBottom/>
            <wp:docPr id="1844194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94498"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41490" cy="2556510"/>
                    </a:xfrm>
                    <a:prstGeom prst="rect">
                      <a:avLst/>
                    </a:prstGeom>
                    <a:noFill/>
                  </pic:spPr>
                </pic:pic>
              </a:graphicData>
            </a:graphic>
            <wp14:sizeRelV relativeFrom="margin">
              <wp14:pctHeight>0</wp14:pctHeight>
            </wp14:sizeRelV>
          </wp:anchor>
        </w:drawing>
      </w:r>
    </w:p>
    <w:p w14:paraId="197B6EDF" w14:textId="77777777" w:rsidR="00670186" w:rsidRPr="00670186" w:rsidRDefault="00D2685F" w:rsidP="00670186">
      <w:pPr>
        <w:spacing w:line="480" w:lineRule="auto"/>
        <w:jc w:val="both"/>
        <w:rPr>
          <w:rFonts w:ascii="Times New Roman" w:hAnsi="Times New Roman" w:cs="Times New Roman"/>
        </w:rPr>
      </w:pPr>
      <w:r w:rsidRPr="00670186">
        <w:rPr>
          <w:rFonts w:ascii="Times New Roman" w:hAnsi="Times New Roman" w:cs="Times New Roman"/>
          <w:b/>
          <w:bCs/>
        </w:rPr>
        <w:t xml:space="preserve">Figure </w:t>
      </w:r>
      <w:r w:rsidR="006332C8" w:rsidRPr="00670186">
        <w:rPr>
          <w:rFonts w:ascii="Times New Roman" w:hAnsi="Times New Roman" w:cs="Times New Roman"/>
          <w:b/>
          <w:bCs/>
        </w:rPr>
        <w:t>3</w:t>
      </w:r>
      <w:r w:rsidRPr="00670186">
        <w:rPr>
          <w:rFonts w:ascii="Times New Roman" w:hAnsi="Times New Roman" w:cs="Times New Roman"/>
          <w:b/>
          <w:bCs/>
        </w:rPr>
        <w:t xml:space="preserve">: </w:t>
      </w:r>
      <w:r w:rsidRPr="00670186">
        <w:rPr>
          <w:rFonts w:ascii="Times New Roman" w:hAnsi="Times New Roman" w:cs="Times New Roman"/>
        </w:rPr>
        <w:t xml:space="preserve">Molecular docking Ampicillin with PDB ID: </w:t>
      </w:r>
      <w:r w:rsidR="00200B98" w:rsidRPr="00670186">
        <w:rPr>
          <w:rFonts w:ascii="Times New Roman" w:hAnsi="Times New Roman" w:cs="Times New Roman"/>
        </w:rPr>
        <w:t>1IYL</w:t>
      </w:r>
      <w:r w:rsidRPr="00670186">
        <w:rPr>
          <w:rFonts w:ascii="Times New Roman" w:hAnsi="Times New Roman" w:cs="Times New Roman"/>
        </w:rPr>
        <w:t>. (a) 3D surface view of the ligand within the protein binding site. (b) 3D interaction view highlighting key ligand-protein interactions. (c) 2D schematic of ligand-protein binding interactions (ΔG = -</w:t>
      </w:r>
      <w:r w:rsidR="00200B98" w:rsidRPr="00670186">
        <w:rPr>
          <w:rFonts w:ascii="Times New Roman" w:hAnsi="Times New Roman" w:cs="Times New Roman"/>
        </w:rPr>
        <w:t>5.44</w:t>
      </w:r>
      <w:r w:rsidRPr="00670186">
        <w:rPr>
          <w:rFonts w:ascii="Times New Roman" w:hAnsi="Times New Roman" w:cs="Times New Roman"/>
        </w:rPr>
        <w:t xml:space="preserve"> kcal/mol).</w:t>
      </w:r>
    </w:p>
    <w:p w14:paraId="2F590F3E" w14:textId="77777777" w:rsidR="00D60E99" w:rsidRDefault="00D2685F" w:rsidP="008A69EE">
      <w:pPr>
        <w:spacing w:line="360" w:lineRule="auto"/>
        <w:rPr>
          <w:rFonts w:ascii="Times New Roman" w:hAnsi="Times New Roman" w:cs="Times New Roman"/>
          <w:b/>
          <w:bCs/>
        </w:rPr>
      </w:pPr>
      <w:r w:rsidRPr="008A69EE">
        <w:rPr>
          <w:rFonts w:ascii="Times New Roman" w:hAnsi="Times New Roman" w:cs="Times New Roman"/>
          <w:b/>
          <w:bCs/>
        </w:rPr>
        <w:t>Materials and Method</w:t>
      </w:r>
    </w:p>
    <w:p w14:paraId="06AA9A23" w14:textId="77777777" w:rsidR="00846FF7" w:rsidRDefault="00846FF7" w:rsidP="00846FF7">
      <w:pPr>
        <w:spacing w:line="360" w:lineRule="auto"/>
        <w:jc w:val="both"/>
        <w:rPr>
          <w:rFonts w:ascii="Times New Roman" w:hAnsi="Times New Roman" w:cs="Times New Roman"/>
          <w:b/>
          <w:bCs/>
        </w:rPr>
      </w:pPr>
      <w:r w:rsidRPr="00846FF7">
        <w:rPr>
          <w:rFonts w:ascii="Times New Roman" w:hAnsi="Times New Roman" w:cs="Times New Roman"/>
          <w:b/>
          <w:bCs/>
        </w:rPr>
        <w:t>Synthetic Procedure</w:t>
      </w:r>
      <w:r>
        <w:rPr>
          <w:rFonts w:ascii="Times New Roman" w:hAnsi="Times New Roman" w:cs="Times New Roman"/>
          <w:b/>
          <w:bCs/>
        </w:rPr>
        <w:t>:</w:t>
      </w:r>
    </w:p>
    <w:p w14:paraId="59E7F7AC" w14:textId="77777777" w:rsidR="00846FF7" w:rsidRPr="00846FF7" w:rsidRDefault="00846FF7" w:rsidP="00846FF7">
      <w:pPr>
        <w:spacing w:line="360" w:lineRule="auto"/>
        <w:jc w:val="both"/>
        <w:rPr>
          <w:rFonts w:ascii="Times New Roman" w:hAnsi="Times New Roman" w:cs="Times New Roman"/>
        </w:rPr>
      </w:pPr>
      <w:r w:rsidRPr="00846FF7">
        <w:rPr>
          <w:rFonts w:ascii="Times New Roman" w:hAnsi="Times New Roman" w:cs="Times New Roman"/>
        </w:rPr>
        <w:t xml:space="preserve">The synthetic route began with the aldol condensation of methoxy-substituted aromatic compounds (e.g., methyl salicylate) and hydroxybenzaldehyde in ethanol using catalytic </w:t>
      </w:r>
      <w:r w:rsidRPr="00846FF7">
        <w:rPr>
          <w:rFonts w:ascii="Times New Roman" w:hAnsi="Times New Roman" w:cs="Times New Roman"/>
        </w:rPr>
        <w:lastRenderedPageBreak/>
        <w:t xml:space="preserve">sodium hydroxide (10 mol%) to afford Compound 1, a chalcone derivative, in 90% yield. This was followed by condensation with a hydrazine derivative in glacial acetic acid under ambient conditions to yield Compound 3 (hydrazone) with 86% yield. Subsequent O-propargylation of Compound 3 using propargyl bromide and K₂CO₃ in dry acetone under reflux yielded Compound 4 (89%). Parallel synthesis of coumarin derivatives (Compounds 5a–e) was performed by refluxing hydroxy-substituted </w:t>
      </w:r>
      <w:proofErr w:type="spellStart"/>
      <w:r w:rsidRPr="00846FF7">
        <w:rPr>
          <w:rFonts w:ascii="Times New Roman" w:hAnsi="Times New Roman" w:cs="Times New Roman"/>
        </w:rPr>
        <w:t>chromenones</w:t>
      </w:r>
      <w:proofErr w:type="spellEnd"/>
      <w:r w:rsidRPr="00846FF7">
        <w:rPr>
          <w:rFonts w:ascii="Times New Roman" w:hAnsi="Times New Roman" w:cs="Times New Roman"/>
        </w:rPr>
        <w:t xml:space="preserve"> with respective </w:t>
      </w:r>
      <w:proofErr w:type="spellStart"/>
      <w:r w:rsidRPr="00846FF7">
        <w:rPr>
          <w:rFonts w:ascii="Times New Roman" w:hAnsi="Times New Roman" w:cs="Times New Roman"/>
        </w:rPr>
        <w:t>dibromoalkanes</w:t>
      </w:r>
      <w:proofErr w:type="spellEnd"/>
      <w:r w:rsidRPr="00846FF7">
        <w:rPr>
          <w:rFonts w:ascii="Times New Roman" w:hAnsi="Times New Roman" w:cs="Times New Roman"/>
        </w:rPr>
        <w:t xml:space="preserve"> and K₂CO₃ in acetone to afford </w:t>
      </w:r>
      <w:proofErr w:type="spellStart"/>
      <w:r w:rsidRPr="00846FF7">
        <w:rPr>
          <w:rFonts w:ascii="Times New Roman" w:hAnsi="Times New Roman" w:cs="Times New Roman"/>
        </w:rPr>
        <w:t>bromoalkylated</w:t>
      </w:r>
      <w:proofErr w:type="spellEnd"/>
      <w:r w:rsidRPr="00846FF7">
        <w:rPr>
          <w:rFonts w:ascii="Times New Roman" w:hAnsi="Times New Roman" w:cs="Times New Roman"/>
        </w:rPr>
        <w:t xml:space="preserve"> products in 80–85% yields. These bromo derivatives were then converted to </w:t>
      </w:r>
      <w:proofErr w:type="spellStart"/>
      <w:r w:rsidRPr="00846FF7">
        <w:rPr>
          <w:rFonts w:ascii="Times New Roman" w:hAnsi="Times New Roman" w:cs="Times New Roman"/>
        </w:rPr>
        <w:t>azide</w:t>
      </w:r>
      <w:proofErr w:type="spellEnd"/>
      <w:r w:rsidRPr="00846FF7">
        <w:rPr>
          <w:rFonts w:ascii="Times New Roman" w:hAnsi="Times New Roman" w:cs="Times New Roman"/>
        </w:rPr>
        <w:t xml:space="preserve"> </w:t>
      </w:r>
      <w:proofErr w:type="spellStart"/>
      <w:r w:rsidRPr="00846FF7">
        <w:rPr>
          <w:rFonts w:ascii="Times New Roman" w:hAnsi="Times New Roman" w:cs="Times New Roman"/>
        </w:rPr>
        <w:t>analogs</w:t>
      </w:r>
      <w:proofErr w:type="spellEnd"/>
      <w:r w:rsidRPr="00846FF7">
        <w:rPr>
          <w:rFonts w:ascii="Times New Roman" w:hAnsi="Times New Roman" w:cs="Times New Roman"/>
        </w:rPr>
        <w:t xml:space="preserve"> (Compounds 6a–e) via nucleophilic substitution with sodium </w:t>
      </w:r>
      <w:proofErr w:type="spellStart"/>
      <w:r w:rsidRPr="00846FF7">
        <w:rPr>
          <w:rFonts w:ascii="Times New Roman" w:hAnsi="Times New Roman" w:cs="Times New Roman"/>
        </w:rPr>
        <w:t>azide</w:t>
      </w:r>
      <w:proofErr w:type="spellEnd"/>
      <w:r w:rsidRPr="00846FF7">
        <w:rPr>
          <w:rFonts w:ascii="Times New Roman" w:hAnsi="Times New Roman" w:cs="Times New Roman"/>
        </w:rPr>
        <w:t xml:space="preserve"> in ethanol under reflux to yield 72%. Using copper(I)-</w:t>
      </w:r>
      <w:proofErr w:type="spellStart"/>
      <w:r w:rsidRPr="00846FF7">
        <w:rPr>
          <w:rFonts w:ascii="Times New Roman" w:hAnsi="Times New Roman" w:cs="Times New Roman"/>
        </w:rPr>
        <w:t>catalyzed</w:t>
      </w:r>
      <w:proofErr w:type="spellEnd"/>
      <w:r w:rsidRPr="00846FF7">
        <w:rPr>
          <w:rFonts w:ascii="Times New Roman" w:hAnsi="Times New Roman" w:cs="Times New Roman"/>
        </w:rPr>
        <w:t xml:space="preserve"> </w:t>
      </w:r>
      <w:proofErr w:type="spellStart"/>
      <w:r w:rsidRPr="00846FF7">
        <w:rPr>
          <w:rFonts w:ascii="Times New Roman" w:hAnsi="Times New Roman" w:cs="Times New Roman"/>
        </w:rPr>
        <w:t>azide</w:t>
      </w:r>
      <w:proofErr w:type="spellEnd"/>
      <w:r w:rsidRPr="00846FF7">
        <w:rPr>
          <w:rFonts w:ascii="Times New Roman" w:hAnsi="Times New Roman" w:cs="Times New Roman"/>
        </w:rPr>
        <w:t>-alkyne cycloaddition (</w:t>
      </w:r>
      <w:proofErr w:type="spellStart"/>
      <w:r w:rsidRPr="00846FF7">
        <w:rPr>
          <w:rFonts w:ascii="Times New Roman" w:hAnsi="Times New Roman" w:cs="Times New Roman"/>
        </w:rPr>
        <w:t>CuAAC</w:t>
      </w:r>
      <w:proofErr w:type="spellEnd"/>
      <w:r w:rsidRPr="00846FF7">
        <w:rPr>
          <w:rFonts w:ascii="Times New Roman" w:hAnsi="Times New Roman" w:cs="Times New Roman"/>
        </w:rPr>
        <w:t xml:space="preserve">), Compounds 4 and 6a–e were subjected to click chemistry in DMF with </w:t>
      </w:r>
      <w:proofErr w:type="spellStart"/>
      <w:r w:rsidRPr="00846FF7">
        <w:rPr>
          <w:rFonts w:ascii="Times New Roman" w:hAnsi="Times New Roman" w:cs="Times New Roman"/>
        </w:rPr>
        <w:t>CuI</w:t>
      </w:r>
      <w:proofErr w:type="spellEnd"/>
      <w:r w:rsidRPr="00846FF7">
        <w:rPr>
          <w:rFonts w:ascii="Times New Roman" w:hAnsi="Times New Roman" w:cs="Times New Roman"/>
        </w:rPr>
        <w:t xml:space="preserve"> and K₂CO₃ at 120°C under nitrogen for 10 h, yielding monomers 7a–e with excellent yields (up to 95%). Optimization studies for the </w:t>
      </w:r>
      <w:proofErr w:type="spellStart"/>
      <w:r w:rsidRPr="00846FF7">
        <w:rPr>
          <w:rFonts w:ascii="Times New Roman" w:hAnsi="Times New Roman" w:cs="Times New Roman"/>
        </w:rPr>
        <w:t>CuAAC</w:t>
      </w:r>
      <w:proofErr w:type="spellEnd"/>
      <w:r w:rsidRPr="00846FF7">
        <w:rPr>
          <w:rFonts w:ascii="Times New Roman" w:hAnsi="Times New Roman" w:cs="Times New Roman"/>
        </w:rPr>
        <w:t xml:space="preserve"> conditions were carried out varying catalyst loadings, solvents, and bases, with optimal results obtained using 1 mol% </w:t>
      </w:r>
      <w:proofErr w:type="spellStart"/>
      <w:r w:rsidRPr="00846FF7">
        <w:rPr>
          <w:rFonts w:ascii="Times New Roman" w:hAnsi="Times New Roman" w:cs="Times New Roman"/>
        </w:rPr>
        <w:t>CuI</w:t>
      </w:r>
      <w:proofErr w:type="spellEnd"/>
      <w:r w:rsidRPr="00846FF7">
        <w:rPr>
          <w:rFonts w:ascii="Times New Roman" w:hAnsi="Times New Roman" w:cs="Times New Roman"/>
        </w:rPr>
        <w:t xml:space="preserve"> and K₂CO₃ in DMF. Final polymerization was carried out by reacting the triazole-linked monomers (7a–e) with a difunctional alkyne under </w:t>
      </w:r>
      <w:proofErr w:type="spellStart"/>
      <w:r w:rsidRPr="00846FF7">
        <w:rPr>
          <w:rFonts w:ascii="Times New Roman" w:hAnsi="Times New Roman" w:cs="Times New Roman"/>
        </w:rPr>
        <w:t>CuAAC</w:t>
      </w:r>
      <w:proofErr w:type="spellEnd"/>
      <w:r w:rsidRPr="00846FF7">
        <w:rPr>
          <w:rFonts w:ascii="Times New Roman" w:hAnsi="Times New Roman" w:cs="Times New Roman"/>
        </w:rPr>
        <w:t xml:space="preserve"> conditions in dry DMF with </w:t>
      </w:r>
      <w:proofErr w:type="spellStart"/>
      <w:r w:rsidRPr="00846FF7">
        <w:rPr>
          <w:rFonts w:ascii="Times New Roman" w:hAnsi="Times New Roman" w:cs="Times New Roman"/>
        </w:rPr>
        <w:t>CuI</w:t>
      </w:r>
      <w:proofErr w:type="spellEnd"/>
      <w:r w:rsidRPr="00846FF7">
        <w:rPr>
          <w:rFonts w:ascii="Times New Roman" w:hAnsi="Times New Roman" w:cs="Times New Roman"/>
        </w:rPr>
        <w:t xml:space="preserve"> and K₂CO₃ at 120°C for 12–24 h. The resultant click polymers (Compound 8 series) were precipitated in cold methanol, filtered, washed, and dried under vacuum to yield structurally defined </w:t>
      </w:r>
      <w:proofErr w:type="spellStart"/>
      <w:r w:rsidRPr="00846FF7">
        <w:rPr>
          <w:rFonts w:ascii="Times New Roman" w:hAnsi="Times New Roman" w:cs="Times New Roman"/>
        </w:rPr>
        <w:t>polytriazole</w:t>
      </w:r>
      <w:proofErr w:type="spellEnd"/>
      <w:r w:rsidRPr="00846FF7">
        <w:rPr>
          <w:rFonts w:ascii="Times New Roman" w:hAnsi="Times New Roman" w:cs="Times New Roman"/>
        </w:rPr>
        <w:t xml:space="preserve"> scaffolds suitable for biological and material studies.</w:t>
      </w:r>
    </w:p>
    <w:p w14:paraId="33155BD9" w14:textId="77777777" w:rsidR="008A69EE" w:rsidRDefault="00D2685F" w:rsidP="008A69EE">
      <w:pPr>
        <w:spacing w:line="360" w:lineRule="auto"/>
        <w:rPr>
          <w:rFonts w:ascii="Times New Roman" w:hAnsi="Times New Roman" w:cs="Times New Roman"/>
          <w:b/>
          <w:bCs/>
        </w:rPr>
      </w:pPr>
      <w:r>
        <w:rPr>
          <w:rFonts w:ascii="Times New Roman" w:hAnsi="Times New Roman" w:cs="Times New Roman"/>
          <w:b/>
          <w:bCs/>
        </w:rPr>
        <w:t>Fungal strain</w:t>
      </w:r>
    </w:p>
    <w:p w14:paraId="7BDF6D46" w14:textId="4B43AA39" w:rsidR="006538DE" w:rsidRPr="00D2685F" w:rsidRDefault="00D2685F" w:rsidP="00D2685F">
      <w:pPr>
        <w:spacing w:line="360" w:lineRule="auto"/>
        <w:jc w:val="both"/>
        <w:rPr>
          <w:rFonts w:ascii="Times New Roman" w:hAnsi="Times New Roman" w:cs="Times New Roman"/>
        </w:rPr>
      </w:pPr>
      <w:r w:rsidRPr="008A69EE">
        <w:rPr>
          <w:rFonts w:ascii="Times New Roman" w:hAnsi="Times New Roman" w:cs="Times New Roman"/>
        </w:rPr>
        <w:t xml:space="preserve">The antifungal activity of the synthesized polymer was assessed against four fungal strains, </w:t>
      </w:r>
      <w:r w:rsidRPr="008A69EE">
        <w:rPr>
          <w:rFonts w:ascii="Times New Roman" w:hAnsi="Times New Roman" w:cs="Times New Roman"/>
          <w:i/>
          <w:iCs/>
        </w:rPr>
        <w:t>Candida albicans</w:t>
      </w:r>
      <w:r>
        <w:rPr>
          <w:rFonts w:ascii="Times New Roman" w:hAnsi="Times New Roman" w:cs="Times New Roman"/>
        </w:rPr>
        <w:t xml:space="preserve">, </w:t>
      </w:r>
      <w:r w:rsidRPr="008A69EE">
        <w:rPr>
          <w:rFonts w:ascii="Times New Roman" w:hAnsi="Times New Roman" w:cs="Times New Roman"/>
          <w:i/>
          <w:iCs/>
        </w:rPr>
        <w:t>Aspergillus niger</w:t>
      </w:r>
      <w:r>
        <w:rPr>
          <w:rFonts w:ascii="Times New Roman" w:hAnsi="Times New Roman" w:cs="Times New Roman"/>
          <w:i/>
          <w:iCs/>
        </w:rPr>
        <w:t>,</w:t>
      </w:r>
      <w:r w:rsidRPr="008A69EE">
        <w:rPr>
          <w:rFonts w:ascii="Times New Roman" w:hAnsi="Times New Roman" w:cs="Times New Roman"/>
        </w:rPr>
        <w:t xml:space="preserve"> </w:t>
      </w:r>
      <w:r w:rsidRPr="008A69EE">
        <w:rPr>
          <w:rFonts w:ascii="Times New Roman" w:hAnsi="Times New Roman" w:cs="Times New Roman"/>
          <w:i/>
          <w:iCs/>
        </w:rPr>
        <w:t>Cryptococcus neoformans</w:t>
      </w:r>
      <w:r w:rsidRPr="008A69EE">
        <w:rPr>
          <w:rFonts w:ascii="Times New Roman" w:hAnsi="Times New Roman" w:cs="Times New Roman"/>
        </w:rPr>
        <w:t xml:space="preserve"> and </w:t>
      </w:r>
      <w:r w:rsidRPr="008A69EE">
        <w:rPr>
          <w:rFonts w:ascii="Times New Roman" w:hAnsi="Times New Roman" w:cs="Times New Roman"/>
          <w:i/>
          <w:iCs/>
        </w:rPr>
        <w:t>Fusarium solani</w:t>
      </w:r>
      <w:r>
        <w:rPr>
          <w:rFonts w:ascii="Times New Roman" w:hAnsi="Times New Roman" w:cs="Times New Roman"/>
        </w:rPr>
        <w:t xml:space="preserve">. </w:t>
      </w:r>
      <w:r w:rsidRPr="008A69EE">
        <w:rPr>
          <w:rFonts w:ascii="Times New Roman" w:hAnsi="Times New Roman" w:cs="Times New Roman"/>
        </w:rPr>
        <w:t>These fungal strains were sourced from a certified microbial culture collection and cultured on nutrient agar plates at 30°C before use in the experiments. The</w:t>
      </w:r>
      <w:r>
        <w:rPr>
          <w:rFonts w:ascii="Times New Roman" w:eastAsia="Calibri" w:hAnsi="Times New Roman" w:cs="Times New Roman"/>
        </w:rPr>
        <w:t>se growth conditions ensured that the fungal strains were in their optimal state for evaluating the antifungal activity of the polymer.</w:t>
      </w:r>
    </w:p>
    <w:p w14:paraId="45700DA4" w14:textId="77777777" w:rsidR="00EB5981" w:rsidRPr="00EB5981" w:rsidRDefault="00D2685F" w:rsidP="00EB5981">
      <w:pPr>
        <w:spacing w:line="360" w:lineRule="auto"/>
        <w:rPr>
          <w:rFonts w:ascii="Times New Roman" w:hAnsi="Times New Roman" w:cs="Times New Roman"/>
          <w:b/>
          <w:bCs/>
        </w:rPr>
      </w:pPr>
      <w:r w:rsidRPr="00EB5981">
        <w:rPr>
          <w:rFonts w:ascii="Times New Roman" w:hAnsi="Times New Roman" w:cs="Times New Roman"/>
          <w:b/>
          <w:bCs/>
        </w:rPr>
        <w:t>Preparation of Inoculum:</w:t>
      </w:r>
    </w:p>
    <w:p w14:paraId="76C8261D" w14:textId="77777777" w:rsidR="00EB5981" w:rsidRPr="00EB5981" w:rsidRDefault="00D2685F" w:rsidP="00EB5981">
      <w:pPr>
        <w:spacing w:line="360" w:lineRule="auto"/>
        <w:jc w:val="both"/>
        <w:rPr>
          <w:rFonts w:ascii="Times New Roman" w:hAnsi="Times New Roman" w:cs="Times New Roman"/>
        </w:rPr>
      </w:pPr>
      <w:r w:rsidRPr="00EB5981">
        <w:rPr>
          <w:rFonts w:ascii="Times New Roman" w:hAnsi="Times New Roman" w:cs="Times New Roman"/>
        </w:rPr>
        <w:t>The fungal strains were cultured in 20 mL of sterile Sabouraud dextrose broth (SDB) at 30°C for 24 h. The fungal inoculum was then adjusted to a concentration of 1 × 10 colony-forming units</w:t>
      </w:r>
      <w:r>
        <w:rPr>
          <w:rFonts w:ascii="Times New Roman" w:eastAsia="Calibri" w:hAnsi="Times New Roman" w:cs="Times New Roman"/>
        </w:rPr>
        <w:t xml:space="preserve"> (CFU)/mL using a spectrophotometer </w:t>
      </w:r>
      <w:proofErr w:type="gramStart"/>
      <w:r>
        <w:rPr>
          <w:rFonts w:ascii="Times New Roman" w:eastAsia="Calibri" w:hAnsi="Times New Roman" w:cs="Times New Roman"/>
        </w:rPr>
        <w:t>(</w:t>
      </w:r>
      <w:r w:rsidRPr="00EB5981">
        <w:rPr>
          <w:rFonts w:ascii="Times New Roman" w:hAnsi="Times New Roman" w:cs="Times New Roman"/>
        </w:rPr>
        <w:t xml:space="preserve"> 530</w:t>
      </w:r>
      <w:proofErr w:type="gramEnd"/>
      <w:r w:rsidRPr="00EB5981">
        <w:rPr>
          <w:rFonts w:ascii="Times New Roman" w:hAnsi="Times New Roman" w:cs="Times New Roman"/>
        </w:rPr>
        <w:t xml:space="preserve"> nm) to ensure uniform inoculum density for each test.</w:t>
      </w:r>
    </w:p>
    <w:p w14:paraId="776B290F" w14:textId="77777777" w:rsidR="00E60A85" w:rsidRDefault="00E60A85" w:rsidP="008A69EE">
      <w:pPr>
        <w:spacing w:line="360" w:lineRule="auto"/>
        <w:rPr>
          <w:rFonts w:ascii="Times New Roman" w:hAnsi="Times New Roman" w:cs="Times New Roman"/>
          <w:b/>
          <w:bCs/>
        </w:rPr>
      </w:pPr>
    </w:p>
    <w:p w14:paraId="65130E79" w14:textId="77777777" w:rsidR="008A69EE" w:rsidRDefault="00D2685F" w:rsidP="008A69EE">
      <w:pPr>
        <w:spacing w:line="360" w:lineRule="auto"/>
        <w:rPr>
          <w:rFonts w:ascii="Times New Roman" w:hAnsi="Times New Roman" w:cs="Times New Roman"/>
          <w:b/>
          <w:bCs/>
        </w:rPr>
      </w:pPr>
      <w:r>
        <w:rPr>
          <w:rFonts w:ascii="Times New Roman" w:hAnsi="Times New Roman" w:cs="Times New Roman"/>
          <w:b/>
          <w:bCs/>
        </w:rPr>
        <w:lastRenderedPageBreak/>
        <w:t>Antifungal study</w:t>
      </w:r>
    </w:p>
    <w:p w14:paraId="271F12B2" w14:textId="77777777" w:rsidR="00EB5981" w:rsidRDefault="00D2685F" w:rsidP="00EB5981">
      <w:pPr>
        <w:spacing w:line="360" w:lineRule="auto"/>
        <w:jc w:val="both"/>
        <w:rPr>
          <w:rFonts w:ascii="Times New Roman" w:hAnsi="Times New Roman" w:cs="Times New Roman"/>
        </w:rPr>
      </w:pPr>
      <w:r w:rsidRPr="00EB5981">
        <w:rPr>
          <w:rFonts w:ascii="Times New Roman" w:hAnsi="Times New Roman" w:cs="Times New Roman"/>
        </w:rPr>
        <w:t>The antifungal activity of the synthesized polymer</w:t>
      </w:r>
      <w:r>
        <w:rPr>
          <w:rFonts w:ascii="Times New Roman" w:eastAsia="Calibri" w:hAnsi="Times New Roman" w:cs="Times New Roman"/>
        </w:rPr>
        <w:t>s was evaluated using the same approach as that used for the antimicrobial assay. First, the nutrient broth was prepared and autoclaved at 120 psi for 20 min</w:t>
      </w:r>
      <w:r w:rsidRPr="00EB5981">
        <w:rPr>
          <w:rFonts w:ascii="Times New Roman" w:hAnsi="Times New Roman" w:cs="Times New Roman"/>
        </w:rPr>
        <w:t xml:space="preserve">. The fungal strains </w:t>
      </w:r>
      <w:r w:rsidRPr="00EB5981">
        <w:rPr>
          <w:rFonts w:ascii="Times New Roman" w:hAnsi="Times New Roman" w:cs="Times New Roman"/>
          <w:i/>
          <w:iCs/>
        </w:rPr>
        <w:t>Candida albicans</w:t>
      </w:r>
      <w:r w:rsidRPr="00EB5981">
        <w:rPr>
          <w:rFonts w:ascii="Times New Roman" w:hAnsi="Times New Roman" w:cs="Times New Roman"/>
        </w:rPr>
        <w:t xml:space="preserve">, </w:t>
      </w:r>
      <w:r w:rsidRPr="00EB5981">
        <w:rPr>
          <w:rFonts w:ascii="Times New Roman" w:hAnsi="Times New Roman" w:cs="Times New Roman"/>
          <w:i/>
          <w:iCs/>
        </w:rPr>
        <w:t>Aspergillus niger</w:t>
      </w:r>
      <w:r w:rsidRPr="00EB5981">
        <w:rPr>
          <w:rFonts w:ascii="Times New Roman" w:hAnsi="Times New Roman" w:cs="Times New Roman"/>
        </w:rPr>
        <w:t xml:space="preserve">, </w:t>
      </w:r>
      <w:r w:rsidRPr="00EB5981">
        <w:rPr>
          <w:rFonts w:ascii="Times New Roman" w:hAnsi="Times New Roman" w:cs="Times New Roman"/>
          <w:i/>
          <w:iCs/>
        </w:rPr>
        <w:t>Cryptococcus neoformans</w:t>
      </w:r>
      <w:r w:rsidRPr="00EB5981">
        <w:rPr>
          <w:rFonts w:ascii="Times New Roman" w:hAnsi="Times New Roman" w:cs="Times New Roman"/>
        </w:rPr>
        <w:t xml:space="preserve">, and </w:t>
      </w:r>
      <w:r w:rsidRPr="00EB5981">
        <w:rPr>
          <w:rFonts w:ascii="Times New Roman" w:hAnsi="Times New Roman" w:cs="Times New Roman"/>
          <w:i/>
          <w:iCs/>
        </w:rPr>
        <w:t xml:space="preserve">Fusarium </w:t>
      </w:r>
      <w:proofErr w:type="spellStart"/>
      <w:r w:rsidRPr="00EB5981">
        <w:rPr>
          <w:rFonts w:ascii="Times New Roman" w:hAnsi="Times New Roman" w:cs="Times New Roman"/>
          <w:i/>
          <w:iCs/>
        </w:rPr>
        <w:t>solani</w:t>
      </w:r>
      <w:proofErr w:type="spellEnd"/>
      <w:r w:rsidRPr="00EB5981">
        <w:rPr>
          <w:rFonts w:ascii="Times New Roman" w:hAnsi="Times New Roman" w:cs="Times New Roman"/>
        </w:rPr>
        <w:t xml:space="preserve"> were inoculated in nutrient broth and incubated at 30°C for 24 h. The fungal inoculum was prepared by diluting a standardized fungal suspension to a final concentration of 1 × 10 CFU/mL, adjusted using the McFarland scale</w:t>
      </w:r>
      <w:r>
        <w:rPr>
          <w:rFonts w:ascii="Times New Roman" w:eastAsia="Calibri" w:hAnsi="Times New Roman" w:cs="Times New Roman"/>
        </w:rPr>
        <w:t xml:space="preserve"> (0.5). In a 96-well plate, 180 µL of the fungal suspension was added to each well, followed by </w:t>
      </w:r>
      <w:r w:rsidRPr="00EB5981">
        <w:rPr>
          <w:rFonts w:ascii="Times New Roman" w:hAnsi="Times New Roman" w:cs="Times New Roman"/>
        </w:rPr>
        <w:t xml:space="preserve">20 µL of various concentrations of the test compounds or fluconazole as the standard. The control wells contained a fungal suspension but no test compound. After thorough mixing, plates were incubated at 30°C for 48 h. Following incubation, the absorbance of each well was measured at 600 nm using a </w:t>
      </w:r>
      <w:proofErr w:type="spellStart"/>
      <w:r w:rsidRPr="00EB5981">
        <w:rPr>
          <w:rFonts w:ascii="Times New Roman" w:hAnsi="Times New Roman" w:cs="Times New Roman"/>
        </w:rPr>
        <w:t>Readwell</w:t>
      </w:r>
      <w:proofErr w:type="spellEnd"/>
      <w:r w:rsidRPr="00EB5981">
        <w:rPr>
          <w:rFonts w:ascii="Times New Roman" w:hAnsi="Times New Roman" w:cs="Times New Roman"/>
        </w:rPr>
        <w:t xml:space="preserve"> Touch Automatic ELISA Plate Reader (</w:t>
      </w:r>
      <w:proofErr w:type="spellStart"/>
      <w:r w:rsidRPr="00EB5981">
        <w:rPr>
          <w:rFonts w:ascii="Times New Roman" w:hAnsi="Times New Roman" w:cs="Times New Roman"/>
        </w:rPr>
        <w:t>Robonik</w:t>
      </w:r>
      <w:proofErr w:type="spellEnd"/>
      <w:r w:rsidRPr="00EB5981">
        <w:rPr>
          <w:rFonts w:ascii="Times New Roman" w:hAnsi="Times New Roman" w:cs="Times New Roman"/>
        </w:rPr>
        <w:t xml:space="preserve"> India Private Limited). The growth inhibition percentage was calculated using the formula, </w:t>
      </w:r>
      <w:r w:rsidRPr="00EB5981">
        <w:rPr>
          <w:rFonts w:ascii="Times New Roman" w:hAnsi="Times New Roman" w:cs="Times New Roman"/>
        </w:rPr>
        <w:br/>
        <w:t>where Ti is the growth of the microorganisms in the presence of the test compound</w:t>
      </w:r>
      <w:r>
        <w:rPr>
          <w:rFonts w:ascii="Times New Roman" w:eastAsia="Calibri" w:hAnsi="Times New Roman" w:cs="Times New Roman"/>
        </w:rPr>
        <w:t>, and C is the growth in the control wells. All experiments were performed in triplicate</w:t>
      </w:r>
      <w:r w:rsidRPr="00EB5981">
        <w:rPr>
          <w:rFonts w:ascii="Times New Roman" w:hAnsi="Times New Roman" w:cs="Times New Roman"/>
        </w:rPr>
        <w:t>.</w:t>
      </w:r>
    </w:p>
    <w:p w14:paraId="6BDE18BB" w14:textId="7DE63108" w:rsidR="00EB5981" w:rsidRPr="00D2685F" w:rsidRDefault="00D2685F" w:rsidP="00D2685F">
      <w:pPr>
        <w:spacing w:line="360" w:lineRule="auto"/>
        <w:jc w:val="center"/>
        <w:rPr>
          <w:rFonts w:ascii="Times New Roman" w:hAnsi="Times New Roman" w:cs="Times New Roman"/>
        </w:rPr>
      </w:pPr>
      <w:r w:rsidRPr="00FE2A32">
        <w:rPr>
          <w:rFonts w:ascii="Times New Roman" w:hAnsi="Times New Roman" w:cs="Times New Roman"/>
        </w:rPr>
        <w:t xml:space="preserve">Percentage growth inhibition= </w:t>
      </w:r>
      <w:proofErr w:type="spellStart"/>
      <w:r w:rsidRPr="00FE2A32">
        <w:rPr>
          <w:rFonts w:ascii="Times New Roman" w:hAnsi="Times New Roman" w:cs="Times New Roman"/>
        </w:rPr>
        <w:t>Ti</w:t>
      </w:r>
      <w:proofErr w:type="spellEnd"/>
      <w:r w:rsidRPr="00FE2A32">
        <w:rPr>
          <w:rFonts w:ascii="Times New Roman" w:hAnsi="Times New Roman" w:cs="Times New Roman"/>
        </w:rPr>
        <w:t>/C x 100</w:t>
      </w:r>
    </w:p>
    <w:p w14:paraId="4267B718" w14:textId="77777777" w:rsidR="00EB5981" w:rsidRDefault="00D2685F" w:rsidP="00EB5981">
      <w:pPr>
        <w:spacing w:line="480" w:lineRule="auto"/>
        <w:jc w:val="both"/>
        <w:rPr>
          <w:rFonts w:ascii="Times New Roman" w:hAnsi="Times New Roman" w:cs="Times New Roman"/>
          <w:b/>
          <w:bCs/>
        </w:rPr>
      </w:pPr>
      <w:r>
        <w:rPr>
          <w:rFonts w:ascii="Times New Roman" w:hAnsi="Times New Roman" w:cs="Times New Roman"/>
          <w:b/>
          <w:bCs/>
        </w:rPr>
        <w:t xml:space="preserve">Zone of inhibition by </w:t>
      </w:r>
      <w:r w:rsidRPr="00EB5981">
        <w:rPr>
          <w:rFonts w:ascii="Times New Roman" w:hAnsi="Times New Roman" w:cs="Times New Roman"/>
          <w:b/>
          <w:bCs/>
        </w:rPr>
        <w:t>Kirby-Bauer</w:t>
      </w:r>
    </w:p>
    <w:p w14:paraId="1DEDAB81" w14:textId="02F4086E" w:rsidR="00E60A85" w:rsidRPr="00D2685F" w:rsidRDefault="00D2685F" w:rsidP="00EB5981">
      <w:pPr>
        <w:spacing w:line="360" w:lineRule="auto"/>
        <w:jc w:val="both"/>
        <w:rPr>
          <w:rFonts w:ascii="Times New Roman" w:hAnsi="Times New Roman" w:cs="Times New Roman"/>
        </w:rPr>
      </w:pPr>
      <w:r w:rsidRPr="00EB5981">
        <w:rPr>
          <w:rFonts w:ascii="Times New Roman" w:hAnsi="Times New Roman" w:cs="Times New Roman"/>
        </w:rPr>
        <w:t xml:space="preserve">The antifungal activity of the </w:t>
      </w:r>
      <w:r>
        <w:rPr>
          <w:rFonts w:ascii="Times New Roman" w:eastAsia="Calibri" w:hAnsi="Times New Roman" w:cs="Times New Roman"/>
        </w:rPr>
        <w:t>novel chalcone-coumarin-based</w:t>
      </w:r>
      <w:r w:rsidRPr="00EB5981">
        <w:rPr>
          <w:rFonts w:ascii="Times New Roman" w:hAnsi="Times New Roman" w:cs="Times New Roman"/>
        </w:rPr>
        <w:t xml:space="preserve"> heterocyclic polymer was evaluated using the disk diffusion method. The polymer was dissolved in DMSO and serial dilutions were prepared to obtain concentrations ranging from 1 to 100 µg/mL. Fungal strains </w:t>
      </w:r>
      <w:r w:rsidRPr="00EB5981">
        <w:rPr>
          <w:rFonts w:ascii="Times New Roman" w:hAnsi="Times New Roman" w:cs="Times New Roman"/>
          <w:i/>
          <w:iCs/>
        </w:rPr>
        <w:t>Candida albicans</w:t>
      </w:r>
      <w:r w:rsidRPr="00EB5981">
        <w:rPr>
          <w:rFonts w:ascii="Times New Roman" w:hAnsi="Times New Roman" w:cs="Times New Roman"/>
        </w:rPr>
        <w:t xml:space="preserve">, </w:t>
      </w:r>
      <w:r w:rsidRPr="00EB5981">
        <w:rPr>
          <w:rFonts w:ascii="Times New Roman" w:hAnsi="Times New Roman" w:cs="Times New Roman"/>
          <w:i/>
          <w:iCs/>
        </w:rPr>
        <w:t>Aspergillus niger</w:t>
      </w:r>
      <w:r w:rsidRPr="00EB5981">
        <w:rPr>
          <w:rFonts w:ascii="Times New Roman" w:hAnsi="Times New Roman" w:cs="Times New Roman"/>
        </w:rPr>
        <w:t xml:space="preserve">, </w:t>
      </w:r>
      <w:r w:rsidRPr="00EB5981">
        <w:rPr>
          <w:rFonts w:ascii="Times New Roman" w:hAnsi="Times New Roman" w:cs="Times New Roman"/>
          <w:i/>
          <w:iCs/>
        </w:rPr>
        <w:t>Cryptococcus neoformans</w:t>
      </w:r>
      <w:r w:rsidRPr="00EB5981">
        <w:rPr>
          <w:rFonts w:ascii="Times New Roman" w:hAnsi="Times New Roman" w:cs="Times New Roman"/>
        </w:rPr>
        <w:t xml:space="preserve">, and </w:t>
      </w:r>
      <w:r w:rsidRPr="00EB5981">
        <w:rPr>
          <w:rFonts w:ascii="Times New Roman" w:hAnsi="Times New Roman" w:cs="Times New Roman"/>
          <w:i/>
          <w:iCs/>
        </w:rPr>
        <w:t>Fusarium solani</w:t>
      </w:r>
      <w:r w:rsidRPr="00EB5981">
        <w:rPr>
          <w:rFonts w:ascii="Times New Roman" w:hAnsi="Times New Roman" w:cs="Times New Roman"/>
        </w:rPr>
        <w:t xml:space="preserve"> were cultured in Sabouraud dextrose broth for 24 h at 30°C and adjusted to a concentration of 1 × 10 CFU/</w:t>
      </w:r>
      <w:proofErr w:type="spellStart"/>
      <w:r w:rsidRPr="00EB5981">
        <w:rPr>
          <w:rFonts w:ascii="Times New Roman" w:hAnsi="Times New Roman" w:cs="Times New Roman"/>
        </w:rPr>
        <w:t>mL.</w:t>
      </w:r>
      <w:proofErr w:type="spellEnd"/>
      <w:r w:rsidRPr="00EB5981">
        <w:rPr>
          <w:rFonts w:ascii="Times New Roman" w:hAnsi="Times New Roman" w:cs="Times New Roman"/>
        </w:rPr>
        <w:t xml:space="preserve"> Nutrient agar plates were inoculated with the fungal suspensions and impregnated with 6 mm paper disks containing different concentrations of the polymer, as well as fluconazole as a positive control and DMSO as a negative control. The plates were </w:t>
      </w:r>
      <w:r>
        <w:rPr>
          <w:rFonts w:ascii="Times New Roman" w:eastAsia="Calibri" w:hAnsi="Times New Roman" w:cs="Times New Roman"/>
        </w:rPr>
        <w:t xml:space="preserve">then incubated at 30°C for 48 </w:t>
      </w:r>
      <w:r w:rsidRPr="00EB5981">
        <w:rPr>
          <w:rFonts w:ascii="Times New Roman" w:hAnsi="Times New Roman" w:cs="Times New Roman"/>
        </w:rPr>
        <w:t xml:space="preserve">h. After incubation, the zones of inhibition were measured in millimeters. The minimum inhibitory concentration (MIC) was determined as the lowest concentration at which no fungal growth was observed. </w:t>
      </w:r>
    </w:p>
    <w:p w14:paraId="41D9411D" w14:textId="77777777" w:rsidR="00584221" w:rsidRPr="00584221" w:rsidRDefault="00D2685F" w:rsidP="00EB5981">
      <w:pPr>
        <w:spacing w:line="360" w:lineRule="auto"/>
        <w:jc w:val="both"/>
        <w:rPr>
          <w:rFonts w:ascii="Times New Roman" w:hAnsi="Times New Roman" w:cs="Times New Roman"/>
          <w:b/>
          <w:bCs/>
        </w:rPr>
      </w:pPr>
      <w:r w:rsidRPr="00584221">
        <w:rPr>
          <w:rFonts w:ascii="Times New Roman" w:hAnsi="Times New Roman" w:cs="Times New Roman"/>
          <w:b/>
          <w:bCs/>
        </w:rPr>
        <w:t xml:space="preserve">Molecular docking </w:t>
      </w:r>
    </w:p>
    <w:p w14:paraId="46A3D9CA" w14:textId="77777777" w:rsidR="007C1888" w:rsidRPr="0043237C" w:rsidRDefault="00D2685F" w:rsidP="007C1888">
      <w:pPr>
        <w:spacing w:line="360" w:lineRule="auto"/>
        <w:jc w:val="both"/>
        <w:rPr>
          <w:rFonts w:ascii="Times New Roman" w:hAnsi="Times New Roman" w:cs="Times New Roman"/>
          <w:b/>
          <w:bCs/>
          <w:i/>
          <w:iCs/>
        </w:rPr>
      </w:pPr>
      <w:bookmarkStart w:id="0" w:name="_Hlk197093536"/>
      <w:r w:rsidRPr="0043237C">
        <w:rPr>
          <w:rFonts w:ascii="Times New Roman" w:hAnsi="Times New Roman" w:cs="Times New Roman"/>
          <w:b/>
          <w:bCs/>
          <w:i/>
          <w:iCs/>
        </w:rPr>
        <w:t>Choose Protein</w:t>
      </w:r>
    </w:p>
    <w:p w14:paraId="16E6F593" w14:textId="77777777" w:rsidR="0043237C" w:rsidRDefault="00D2685F" w:rsidP="0043237C">
      <w:pPr>
        <w:spacing w:line="360" w:lineRule="auto"/>
        <w:jc w:val="both"/>
        <w:rPr>
          <w:rFonts w:ascii="Times New Roman" w:hAnsi="Times New Roman" w:cs="Times New Roman"/>
          <w:color w:val="FF0000"/>
        </w:rPr>
      </w:pPr>
      <w:r w:rsidRPr="0043237C">
        <w:rPr>
          <w:rFonts w:ascii="Times New Roman" w:hAnsi="Times New Roman" w:cs="Times New Roman"/>
        </w:rPr>
        <w:lastRenderedPageBreak/>
        <w:t xml:space="preserve">For the docking study, the fungal </w:t>
      </w:r>
      <w:proofErr w:type="spellStart"/>
      <w:r w:rsidRPr="0043237C">
        <w:rPr>
          <w:rFonts w:ascii="Times New Roman" w:hAnsi="Times New Roman" w:cs="Times New Roman"/>
        </w:rPr>
        <w:t>myristoyl-</w:t>
      </w:r>
      <w:proofErr w:type="gramStart"/>
      <w:r w:rsidRPr="0043237C">
        <w:rPr>
          <w:rFonts w:ascii="Times New Roman" w:hAnsi="Times New Roman" w:cs="Times New Roman"/>
        </w:rPr>
        <w:t>CoA:protein</w:t>
      </w:r>
      <w:proofErr w:type="spellEnd"/>
      <w:proofErr w:type="gramEnd"/>
      <w:r w:rsidRPr="0043237C">
        <w:rPr>
          <w:rFonts w:ascii="Times New Roman" w:hAnsi="Times New Roman" w:cs="Times New Roman"/>
        </w:rPr>
        <w:t xml:space="preserve"> N-</w:t>
      </w:r>
      <w:proofErr w:type="spellStart"/>
      <w:r w:rsidRPr="0043237C">
        <w:rPr>
          <w:rFonts w:ascii="Times New Roman" w:hAnsi="Times New Roman" w:cs="Times New Roman"/>
        </w:rPr>
        <w:t>myristoyltransferase</w:t>
      </w:r>
      <w:proofErr w:type="spellEnd"/>
      <w:r w:rsidRPr="0043237C">
        <w:rPr>
          <w:rFonts w:ascii="Times New Roman" w:hAnsi="Times New Roman" w:cs="Times New Roman"/>
        </w:rPr>
        <w:t xml:space="preserve"> (</w:t>
      </w:r>
      <w:proofErr w:type="spellStart"/>
      <w:r w:rsidRPr="0043237C">
        <w:rPr>
          <w:rFonts w:ascii="Times New Roman" w:hAnsi="Times New Roman" w:cs="Times New Roman"/>
        </w:rPr>
        <w:t>Nmt</w:t>
      </w:r>
      <w:proofErr w:type="spellEnd"/>
      <w:r w:rsidRPr="0043237C">
        <w:rPr>
          <w:rFonts w:ascii="Times New Roman" w:hAnsi="Times New Roman" w:cs="Times New Roman"/>
        </w:rPr>
        <w:t xml:space="preserve">) enzyme, represented by </w:t>
      </w:r>
      <w:r>
        <w:rPr>
          <w:rFonts w:ascii="Times New Roman" w:hAnsi="Times New Roman" w:cs="Times New Roman"/>
        </w:rPr>
        <w:t>(</w:t>
      </w:r>
      <w:r w:rsidRPr="0043237C">
        <w:rPr>
          <w:rFonts w:ascii="Times New Roman" w:hAnsi="Times New Roman" w:cs="Times New Roman"/>
        </w:rPr>
        <w:t>PDB ID: 1IYL</w:t>
      </w:r>
      <w:r>
        <w:rPr>
          <w:rFonts w:ascii="Times New Roman" w:hAnsi="Times New Roman" w:cs="Times New Roman"/>
        </w:rPr>
        <w:t>)</w:t>
      </w:r>
      <w:r w:rsidRPr="0043237C">
        <w:rPr>
          <w:rFonts w:ascii="Times New Roman" w:hAnsi="Times New Roman" w:cs="Times New Roman"/>
        </w:rPr>
        <w:t xml:space="preserve">, was chosen as the target protein. Nmt plays a vital role in post-translational modification of proteins by </w:t>
      </w:r>
      <w:proofErr w:type="spellStart"/>
      <w:r w:rsidRPr="0043237C">
        <w:rPr>
          <w:rFonts w:ascii="Times New Roman" w:hAnsi="Times New Roman" w:cs="Times New Roman"/>
        </w:rPr>
        <w:t>catalyzing</w:t>
      </w:r>
      <w:proofErr w:type="spellEnd"/>
      <w:r w:rsidRPr="0043237C">
        <w:rPr>
          <w:rFonts w:ascii="Times New Roman" w:hAnsi="Times New Roman" w:cs="Times New Roman"/>
        </w:rPr>
        <w:t xml:space="preserve"> the transfer of the myristoyl group from myristoyl-CoA to the N-terminal glycine of substrate proteins. This modification is essential for proper protein localization and function in eukaryotic cells, including </w:t>
      </w:r>
      <w:r>
        <w:rPr>
          <w:rFonts w:ascii="Times New Roman" w:eastAsia="Calibri" w:hAnsi="Times New Roman" w:cs="Times New Roman"/>
        </w:rPr>
        <w:t xml:space="preserve">in pathogenic fungi. </w:t>
      </w:r>
      <w:r w:rsidRPr="0043237C">
        <w:rPr>
          <w:rFonts w:ascii="Times New Roman" w:hAnsi="Times New Roman" w:cs="Times New Roman"/>
        </w:rPr>
        <w:t xml:space="preserve">Genetic and biochemical studies have identified Nmt as a </w:t>
      </w:r>
      <w:r w:rsidRPr="006538DE">
        <w:rPr>
          <w:rFonts w:ascii="Times New Roman" w:hAnsi="Times New Roman" w:cs="Times New Roman"/>
        </w:rPr>
        <w:t>critical enzyme for fungal viability and virulence, making</w:t>
      </w:r>
      <w:r w:rsidRPr="0043237C">
        <w:rPr>
          <w:rFonts w:ascii="Times New Roman" w:hAnsi="Times New Roman" w:cs="Times New Roman"/>
        </w:rPr>
        <w:t xml:space="preserve"> it an attractive and validated target for antifungal drug development</w:t>
      </w:r>
      <w:r w:rsidR="00EE2DB3">
        <w:rPr>
          <w:rFonts w:ascii="Times New Roman" w:hAnsi="Times New Roman" w:cs="Times New Roman"/>
        </w:rPr>
        <w:t>.</w:t>
      </w:r>
      <w:r w:rsidRPr="0043237C">
        <w:rPr>
          <w:rFonts w:ascii="Times New Roman" w:hAnsi="Times New Roman" w:cs="Times New Roman"/>
          <w:color w:val="FF0000"/>
        </w:rPr>
        <w:t xml:space="preserve"> </w:t>
      </w:r>
    </w:p>
    <w:p w14:paraId="3567BE0D" w14:textId="77777777" w:rsidR="006538DE" w:rsidRDefault="00D2685F" w:rsidP="006538DE">
      <w:pPr>
        <w:spacing w:line="360" w:lineRule="auto"/>
        <w:jc w:val="both"/>
        <w:rPr>
          <w:rFonts w:ascii="Times New Roman" w:hAnsi="Times New Roman" w:cs="Times New Roman"/>
        </w:rPr>
      </w:pPr>
      <w:r w:rsidRPr="006538DE">
        <w:rPr>
          <w:rFonts w:ascii="Times New Roman" w:hAnsi="Times New Roman" w:cs="Times New Roman"/>
          <w:b/>
          <w:bCs/>
        </w:rPr>
        <w:t>Ligand</w:t>
      </w:r>
      <w:r>
        <w:rPr>
          <w:rFonts w:ascii="Times New Roman" w:hAnsi="Times New Roman" w:cs="Times New Roman"/>
          <w:b/>
          <w:bCs/>
        </w:rPr>
        <w:t>-</w:t>
      </w:r>
      <w:r w:rsidRPr="006538DE">
        <w:rPr>
          <w:rFonts w:ascii="Times New Roman" w:hAnsi="Times New Roman" w:cs="Times New Roman"/>
          <w:b/>
          <w:bCs/>
        </w:rPr>
        <w:t>Preparation</w:t>
      </w:r>
      <w:r w:rsidRPr="006538DE">
        <w:rPr>
          <w:rFonts w:ascii="Times New Roman" w:hAnsi="Times New Roman" w:cs="Times New Roman"/>
        </w:rPr>
        <w:br/>
        <w:t>The ligands used in this study were either retrieved from the PubChem database or constructed using molecular modeling software. The structures were prepared for docking by first optimizing their geometry to eliminate steric clashes. Hydrogen atoms were added and appropriate partial charges were assigned using Open Babel and AutoDockTools. Energy minimization was performed using the MMFF94 force field</w:t>
      </w:r>
      <w:r>
        <w:rPr>
          <w:rFonts w:ascii="Times New Roman" w:eastAsia="Calibri" w:hAnsi="Times New Roman" w:cs="Times New Roman"/>
        </w:rPr>
        <w:t xml:space="preserve"> to ensure that the ligands adopted their most stable conformations. The prepared ligands were </w:t>
      </w:r>
      <w:r w:rsidRPr="006538DE">
        <w:rPr>
          <w:rFonts w:ascii="Times New Roman" w:hAnsi="Times New Roman" w:cs="Times New Roman"/>
        </w:rPr>
        <w:t>saved in the PDBQT format required for docking.</w:t>
      </w:r>
    </w:p>
    <w:p w14:paraId="67F2D4A8" w14:textId="77777777" w:rsidR="006538DE" w:rsidRPr="006538DE" w:rsidRDefault="00D2685F" w:rsidP="006538DE">
      <w:pPr>
        <w:spacing w:line="480" w:lineRule="auto"/>
        <w:jc w:val="both"/>
        <w:rPr>
          <w:rFonts w:ascii="Times New Roman" w:hAnsi="Times New Roman" w:cs="Times New Roman"/>
          <w:b/>
          <w:bCs/>
          <w:i/>
          <w:iCs/>
        </w:rPr>
      </w:pPr>
      <w:r w:rsidRPr="00F514F3">
        <w:rPr>
          <w:rFonts w:ascii="Times New Roman" w:hAnsi="Times New Roman" w:cs="Times New Roman"/>
          <w:b/>
          <w:bCs/>
          <w:i/>
          <w:iCs/>
        </w:rPr>
        <w:t>Protein preparation</w:t>
      </w:r>
    </w:p>
    <w:p w14:paraId="03E1B499" w14:textId="66F415A3" w:rsidR="00E60A85" w:rsidRPr="00D2685F" w:rsidRDefault="00D2685F" w:rsidP="00D2685F">
      <w:pPr>
        <w:spacing w:line="360" w:lineRule="auto"/>
        <w:jc w:val="both"/>
        <w:rPr>
          <w:rFonts w:ascii="Times New Roman" w:hAnsi="Times New Roman" w:cs="Times New Roman"/>
        </w:rPr>
      </w:pPr>
      <w:r w:rsidRPr="006538DE">
        <w:rPr>
          <w:rFonts w:ascii="Times New Roman" w:hAnsi="Times New Roman" w:cs="Times New Roman"/>
        </w:rPr>
        <w:t xml:space="preserve">The target protein, identified by PDB ID: </w:t>
      </w:r>
      <w:r w:rsidRPr="0043237C">
        <w:rPr>
          <w:rFonts w:ascii="Times New Roman" w:hAnsi="Times New Roman" w:cs="Times New Roman"/>
        </w:rPr>
        <w:t>1IYL</w:t>
      </w:r>
      <w:r w:rsidRPr="006538DE">
        <w:rPr>
          <w:rFonts w:ascii="Times New Roman" w:hAnsi="Times New Roman" w:cs="Times New Roman"/>
        </w:rPr>
        <w:t xml:space="preserve">, was obtained from the Protein Data Bank. Prior to docking, the protein structure was refined by removing water molecules, heteroatoms, and co-crystallized ligands that could interfere with ligand binding. Hydrogen atoms were added to account for </w:t>
      </w:r>
      <w:r>
        <w:rPr>
          <w:rFonts w:ascii="Times New Roman" w:eastAsia="Calibri" w:hAnsi="Times New Roman" w:cs="Times New Roman"/>
        </w:rPr>
        <w:t xml:space="preserve">the correct protonation states, and any missing amino acid residues or side chains were reconstructed using </w:t>
      </w:r>
      <w:r w:rsidRPr="006538DE">
        <w:rPr>
          <w:rFonts w:ascii="Times New Roman" w:hAnsi="Times New Roman" w:cs="Times New Roman"/>
        </w:rPr>
        <w:t xml:space="preserve">AutoDock tools. The structure was then subjected to energy minimization to stabilize its conformation. A grid box was defined around the active site to accurately restrict the docking simulation to the region of interest. These steps ensured </w:t>
      </w:r>
      <w:r>
        <w:rPr>
          <w:rFonts w:ascii="Times New Roman" w:eastAsia="Calibri" w:hAnsi="Times New Roman" w:cs="Times New Roman"/>
        </w:rPr>
        <w:t>that the protein was properly prepared for a reliable molecular docking analysis.</w:t>
      </w:r>
      <w:bookmarkEnd w:id="0"/>
    </w:p>
    <w:p w14:paraId="04D9F5B4" w14:textId="77777777" w:rsidR="00EC0751" w:rsidRDefault="00D2685F" w:rsidP="00EC0751">
      <w:pPr>
        <w:spacing w:line="360" w:lineRule="auto"/>
        <w:rPr>
          <w:rFonts w:ascii="Times New Roman" w:hAnsi="Times New Roman" w:cs="Times New Roman"/>
          <w:b/>
          <w:bCs/>
        </w:rPr>
      </w:pPr>
      <w:r w:rsidRPr="00EC0751">
        <w:rPr>
          <w:rFonts w:ascii="Times New Roman" w:hAnsi="Times New Roman" w:cs="Times New Roman"/>
          <w:b/>
          <w:bCs/>
        </w:rPr>
        <w:t>Conclusion</w:t>
      </w:r>
    </w:p>
    <w:p w14:paraId="38B39CA2" w14:textId="77777777" w:rsidR="00EC0751" w:rsidRPr="00EC0751" w:rsidRDefault="00D2685F" w:rsidP="00EC0751">
      <w:pPr>
        <w:spacing w:line="360" w:lineRule="auto"/>
        <w:jc w:val="both"/>
        <w:rPr>
          <w:rFonts w:ascii="Times New Roman" w:hAnsi="Times New Roman" w:cs="Times New Roman"/>
        </w:rPr>
      </w:pPr>
      <w:r w:rsidRPr="00EC0751">
        <w:rPr>
          <w:rFonts w:ascii="Times New Roman" w:hAnsi="Times New Roman" w:cs="Times New Roman"/>
        </w:rPr>
        <w:t>In conclusion, chalcone-coumarin-based heterocyclic polymers (8a–8e) demonstrate</w:t>
      </w:r>
      <w:r>
        <w:rPr>
          <w:rFonts w:ascii="Times New Roman" w:eastAsia="Calibri" w:hAnsi="Times New Roman" w:cs="Times New Roman"/>
        </w:rPr>
        <w:t xml:space="preserve">d significant and varied antifungal activity, with polymers 8c and 8e emerging as the most promising candidates. Polymer 8c exhibited superior antifungal efficacy, with MIC₅₀ values lower than fluconazole for </w:t>
      </w:r>
      <w:r w:rsidRPr="00EC0751">
        <w:rPr>
          <w:rFonts w:ascii="Times New Roman" w:hAnsi="Times New Roman" w:cs="Times New Roman"/>
          <w:i/>
          <w:iCs/>
        </w:rPr>
        <w:t>Candida albicans</w:t>
      </w:r>
      <w:r w:rsidRPr="00EC0751">
        <w:rPr>
          <w:rFonts w:ascii="Times New Roman" w:hAnsi="Times New Roman" w:cs="Times New Roman"/>
        </w:rPr>
        <w:t xml:space="preserve"> (12.31 ± 0.85 µg/mL) and </w:t>
      </w:r>
      <w:r w:rsidRPr="00EC0751">
        <w:rPr>
          <w:rFonts w:ascii="Times New Roman" w:hAnsi="Times New Roman" w:cs="Times New Roman"/>
          <w:i/>
          <w:iCs/>
        </w:rPr>
        <w:t>Fusarium solani</w:t>
      </w:r>
      <w:r w:rsidRPr="00EC0751">
        <w:rPr>
          <w:rFonts w:ascii="Times New Roman" w:hAnsi="Times New Roman" w:cs="Times New Roman"/>
        </w:rPr>
        <w:t xml:space="preserve"> (13.57 ± 0.79 µg/mL), highlighting its potential as a potent antifungal agent. This enhanced </w:t>
      </w:r>
      <w:r w:rsidRPr="00EC0751">
        <w:rPr>
          <w:rFonts w:ascii="Times New Roman" w:hAnsi="Times New Roman" w:cs="Times New Roman"/>
        </w:rPr>
        <w:lastRenderedPageBreak/>
        <w:t xml:space="preserve">performance can be attributed to the synergistic effects of chalcone and coumarin moieties, which likely disrupt fungal cell membranes, inhibit ergosterol biosynthesis, and interfere with key enzymatic processes. Polymer 8e also showed remarkable activity, particularly against </w:t>
      </w:r>
      <w:r w:rsidRPr="00EC0751">
        <w:rPr>
          <w:rFonts w:ascii="Times New Roman" w:hAnsi="Times New Roman" w:cs="Times New Roman"/>
          <w:i/>
          <w:iCs/>
        </w:rPr>
        <w:t>C. albicans</w:t>
      </w:r>
      <w:r w:rsidRPr="00EC0751">
        <w:rPr>
          <w:rFonts w:ascii="Times New Roman" w:hAnsi="Times New Roman" w:cs="Times New Roman"/>
        </w:rPr>
        <w:t xml:space="preserve"> (14.72 ± 0.96 µg/mL) and </w:t>
      </w:r>
      <w:r w:rsidRPr="00EC0751">
        <w:rPr>
          <w:rFonts w:ascii="Times New Roman" w:hAnsi="Times New Roman" w:cs="Times New Roman"/>
          <w:i/>
          <w:iCs/>
        </w:rPr>
        <w:t>F. solani</w:t>
      </w:r>
      <w:r w:rsidRPr="00EC0751">
        <w:rPr>
          <w:rFonts w:ascii="Times New Roman" w:hAnsi="Times New Roman" w:cs="Times New Roman"/>
        </w:rPr>
        <w:t xml:space="preserve"> (16.89 ± 0.87 µg/mL), possibly due to strong interactions with fungal cell wall components, leading to the loss of structural integrity and subsequent cell death.</w:t>
      </w:r>
    </w:p>
    <w:p w14:paraId="5D8CCD10" w14:textId="77777777" w:rsidR="00EC0751" w:rsidRPr="00EC0751" w:rsidRDefault="00D2685F" w:rsidP="00EC0751">
      <w:pPr>
        <w:spacing w:line="360" w:lineRule="auto"/>
        <w:jc w:val="both"/>
        <w:rPr>
          <w:rFonts w:ascii="Times New Roman" w:hAnsi="Times New Roman" w:cs="Times New Roman"/>
        </w:rPr>
      </w:pPr>
      <w:r w:rsidRPr="00EC0751">
        <w:rPr>
          <w:rFonts w:ascii="Times New Roman" w:hAnsi="Times New Roman" w:cs="Times New Roman"/>
        </w:rPr>
        <w:t xml:space="preserve">Although polymers 8a and 8b exhibited moderate antifungal activity, they were less effective than fluconazole in most cases, except for </w:t>
      </w:r>
      <w:r w:rsidRPr="00EC0751">
        <w:rPr>
          <w:rFonts w:ascii="Times New Roman" w:hAnsi="Times New Roman" w:cs="Times New Roman"/>
          <w:i/>
          <w:iCs/>
        </w:rPr>
        <w:t>Aspergillus niger</w:t>
      </w:r>
      <w:r w:rsidRPr="00EC0751">
        <w:rPr>
          <w:rFonts w:ascii="Times New Roman" w:hAnsi="Times New Roman" w:cs="Times New Roman"/>
        </w:rPr>
        <w:t xml:space="preserve">, where 8b (50.39 ± 3.12 µg/mL) showed comparable activity to fluconazole (35.88 ± 2.04 µg/mL). Polymer 8d displayed intermediate antifungal activity, being more effective than fluconazole against </w:t>
      </w:r>
      <w:r w:rsidRPr="00EC0751">
        <w:rPr>
          <w:rFonts w:ascii="Times New Roman" w:hAnsi="Times New Roman" w:cs="Times New Roman"/>
          <w:i/>
          <w:iCs/>
        </w:rPr>
        <w:t>C. albicans</w:t>
      </w:r>
      <w:r w:rsidRPr="00EC0751">
        <w:rPr>
          <w:rFonts w:ascii="Times New Roman" w:hAnsi="Times New Roman" w:cs="Times New Roman"/>
        </w:rPr>
        <w:t xml:space="preserve"> (19.84 ± 1.23 µg/mL) and </w:t>
      </w:r>
      <w:r w:rsidRPr="00EC0751">
        <w:rPr>
          <w:rFonts w:ascii="Times New Roman" w:hAnsi="Times New Roman" w:cs="Times New Roman"/>
          <w:i/>
          <w:iCs/>
        </w:rPr>
        <w:t>F. solani</w:t>
      </w:r>
      <w:r w:rsidRPr="00EC0751">
        <w:rPr>
          <w:rFonts w:ascii="Times New Roman" w:hAnsi="Times New Roman" w:cs="Times New Roman"/>
        </w:rPr>
        <w:t xml:space="preserve"> (16.34 ± 1.09 µg/mL), suggesting that its electron-donating groups may enhance membrane penetration.</w:t>
      </w:r>
    </w:p>
    <w:p w14:paraId="7DA3D353" w14:textId="77777777" w:rsidR="00EC0751" w:rsidRPr="00EC0751" w:rsidRDefault="00D2685F" w:rsidP="00EC0751">
      <w:pPr>
        <w:spacing w:line="360" w:lineRule="auto"/>
        <w:jc w:val="both"/>
        <w:rPr>
          <w:rFonts w:ascii="Times New Roman" w:hAnsi="Times New Roman" w:cs="Times New Roman"/>
        </w:rPr>
      </w:pPr>
      <w:r w:rsidRPr="00EC0751">
        <w:rPr>
          <w:rFonts w:ascii="Times New Roman" w:hAnsi="Times New Roman" w:cs="Times New Roman"/>
        </w:rPr>
        <w:t>These findings highlight the potential of chalcone-coumarin heterocyclic polymers as promising antifungal agents, particularly for treating resistant strains that are less responsive to conventional treatments. The superior activities of 8c and 8e underscore the importance of their structural features in enhancing antifungal potency. Further studies on their molecular interactions, optimization of their chemical structures, and exploration of their mechanisms of action are warranted to better understand their full potential and pave the way for their development as therapeutic agents in the fight against fungal infections.</w:t>
      </w:r>
    </w:p>
    <w:p w14:paraId="10EF024E" w14:textId="77777777" w:rsidR="00F1085D" w:rsidRPr="00F1085D" w:rsidRDefault="00F1085D" w:rsidP="00F1085D">
      <w:pPr>
        <w:spacing w:line="360" w:lineRule="auto"/>
        <w:jc w:val="both"/>
        <w:rPr>
          <w:rFonts w:ascii="Times New Roman" w:hAnsi="Times New Roman" w:cs="Times New Roman"/>
          <w:b/>
          <w:bCs/>
        </w:rPr>
      </w:pPr>
      <w:r w:rsidRPr="00F1085D">
        <w:rPr>
          <w:rFonts w:ascii="Times New Roman" w:hAnsi="Times New Roman" w:cs="Times New Roman"/>
          <w:b/>
          <w:bCs/>
        </w:rPr>
        <w:t>Acknowledgment</w:t>
      </w:r>
    </w:p>
    <w:p w14:paraId="3C381439" w14:textId="77777777" w:rsidR="00F1085D" w:rsidRPr="00F1085D" w:rsidRDefault="00F1085D" w:rsidP="00F1085D">
      <w:pPr>
        <w:spacing w:line="360" w:lineRule="auto"/>
        <w:jc w:val="both"/>
        <w:rPr>
          <w:rFonts w:ascii="Times New Roman" w:hAnsi="Times New Roman" w:cs="Times New Roman"/>
        </w:rPr>
      </w:pPr>
      <w:r w:rsidRPr="00F1085D">
        <w:rPr>
          <w:rFonts w:ascii="Times New Roman" w:hAnsi="Times New Roman" w:cs="Times New Roman"/>
        </w:rPr>
        <w:t xml:space="preserve">The authors gratefully acknowledge the support of the </w:t>
      </w:r>
      <w:r>
        <w:rPr>
          <w:rFonts w:ascii="Times New Roman" w:hAnsi="Times New Roman" w:cs="Times New Roman"/>
        </w:rPr>
        <w:t xml:space="preserve">Gujarat University (Government arts and Science college </w:t>
      </w:r>
      <w:proofErr w:type="spellStart"/>
      <w:r>
        <w:rPr>
          <w:rFonts w:ascii="Times New Roman" w:hAnsi="Times New Roman" w:cs="Times New Roman"/>
        </w:rPr>
        <w:t>Bavla</w:t>
      </w:r>
      <w:proofErr w:type="spellEnd"/>
      <w:r>
        <w:rPr>
          <w:rFonts w:ascii="Times New Roman" w:hAnsi="Times New Roman" w:cs="Times New Roman"/>
        </w:rPr>
        <w:t>)</w:t>
      </w:r>
      <w:r w:rsidRPr="00F1085D">
        <w:rPr>
          <w:rFonts w:ascii="Times New Roman" w:hAnsi="Times New Roman" w:cs="Times New Roman"/>
        </w:rPr>
        <w:t xml:space="preserve">, for providing the necessary laboratory facilities and instrumentation to carry out the synthesis, characterization, and biological evaluation. The authors also thank the Department of Chemistry </w:t>
      </w:r>
      <w:r>
        <w:rPr>
          <w:rFonts w:ascii="Times New Roman" w:hAnsi="Times New Roman" w:cs="Times New Roman"/>
        </w:rPr>
        <w:t xml:space="preserve">Central </w:t>
      </w:r>
      <w:proofErr w:type="spellStart"/>
      <w:r>
        <w:rPr>
          <w:rFonts w:ascii="Times New Roman" w:hAnsi="Times New Roman" w:cs="Times New Roman"/>
        </w:rPr>
        <w:t>univeristy</w:t>
      </w:r>
      <w:proofErr w:type="spellEnd"/>
      <w:r w:rsidRPr="00F1085D">
        <w:rPr>
          <w:rFonts w:ascii="Times New Roman" w:hAnsi="Times New Roman" w:cs="Times New Roman"/>
        </w:rPr>
        <w:t xml:space="preserve"> for their assistance with NMR, analysis.</w:t>
      </w:r>
    </w:p>
    <w:p w14:paraId="4E6C96CA" w14:textId="77777777" w:rsidR="00F1085D" w:rsidRPr="00F1085D" w:rsidRDefault="00F1085D" w:rsidP="00F1085D">
      <w:pPr>
        <w:spacing w:line="360" w:lineRule="auto"/>
        <w:jc w:val="both"/>
        <w:rPr>
          <w:rFonts w:ascii="Times New Roman" w:hAnsi="Times New Roman" w:cs="Times New Roman"/>
          <w:b/>
          <w:bCs/>
        </w:rPr>
      </w:pPr>
      <w:r w:rsidRPr="00F1085D">
        <w:rPr>
          <w:rFonts w:ascii="Times New Roman" w:hAnsi="Times New Roman" w:cs="Times New Roman"/>
          <w:b/>
          <w:bCs/>
        </w:rPr>
        <w:t>Conflict of Interest</w:t>
      </w:r>
    </w:p>
    <w:p w14:paraId="36E1932F" w14:textId="77777777" w:rsidR="00F1085D" w:rsidRPr="00F1085D" w:rsidRDefault="00F1085D" w:rsidP="00F1085D">
      <w:pPr>
        <w:spacing w:line="360" w:lineRule="auto"/>
        <w:jc w:val="both"/>
        <w:rPr>
          <w:rFonts w:ascii="Times New Roman" w:hAnsi="Times New Roman" w:cs="Times New Roman"/>
        </w:rPr>
      </w:pPr>
      <w:r w:rsidRPr="00F1085D">
        <w:rPr>
          <w:rFonts w:ascii="Times New Roman" w:hAnsi="Times New Roman" w:cs="Times New Roman"/>
        </w:rPr>
        <w:t>The authors declare that there is no conflict of interest regarding the publication of this research work. No honorarium, grants, memberships, stock ownership, or other financial or non-financial relationships have influenced the research outcomes.</w:t>
      </w:r>
    </w:p>
    <w:p w14:paraId="06D836B6" w14:textId="77777777" w:rsidR="00F1085D" w:rsidRPr="00F1085D" w:rsidRDefault="00F1085D" w:rsidP="00F1085D">
      <w:pPr>
        <w:spacing w:line="360" w:lineRule="auto"/>
        <w:jc w:val="both"/>
        <w:rPr>
          <w:rFonts w:ascii="Times New Roman" w:hAnsi="Times New Roman" w:cs="Times New Roman"/>
          <w:b/>
          <w:bCs/>
        </w:rPr>
      </w:pPr>
      <w:r w:rsidRPr="00F1085D">
        <w:rPr>
          <w:rFonts w:ascii="Times New Roman" w:hAnsi="Times New Roman" w:cs="Times New Roman"/>
          <w:b/>
          <w:bCs/>
        </w:rPr>
        <w:t>Funding Source</w:t>
      </w:r>
    </w:p>
    <w:p w14:paraId="5836DDC9" w14:textId="28664CB7" w:rsidR="00993EFF" w:rsidRDefault="00F1085D" w:rsidP="00F1085D">
      <w:pPr>
        <w:spacing w:line="360" w:lineRule="auto"/>
        <w:jc w:val="both"/>
        <w:rPr>
          <w:rFonts w:ascii="Times New Roman" w:hAnsi="Times New Roman" w:cs="Times New Roman"/>
        </w:rPr>
      </w:pPr>
      <w:r w:rsidRPr="00F1085D">
        <w:rPr>
          <w:rFonts w:ascii="Times New Roman" w:hAnsi="Times New Roman" w:cs="Times New Roman"/>
        </w:rPr>
        <w:lastRenderedPageBreak/>
        <w:t>This research did not receive any specific grant from funding agencies in the public, commercial, or not-for-profit sectors.</w:t>
      </w:r>
    </w:p>
    <w:p w14:paraId="4BE75950" w14:textId="77777777" w:rsidR="00993EFF" w:rsidRPr="00993EFF" w:rsidRDefault="00993EFF" w:rsidP="00993EFF">
      <w:pPr>
        <w:spacing w:line="360" w:lineRule="auto"/>
        <w:jc w:val="both"/>
        <w:rPr>
          <w:rFonts w:ascii="Times New Roman" w:hAnsi="Times New Roman" w:cs="Times New Roman"/>
        </w:rPr>
      </w:pPr>
      <w:r w:rsidRPr="00993EFF">
        <w:rPr>
          <w:rFonts w:ascii="Times New Roman" w:hAnsi="Times New Roman" w:cs="Times New Roman"/>
          <w:b/>
          <w:bCs/>
        </w:rPr>
        <w:t>References</w:t>
      </w:r>
    </w:p>
    <w:p w14:paraId="055A1E1E" w14:textId="77777777" w:rsidR="00993EFF" w:rsidRPr="00993EFF" w:rsidRDefault="00993EFF" w:rsidP="00993EFF">
      <w:pPr>
        <w:spacing w:line="360" w:lineRule="auto"/>
        <w:jc w:val="both"/>
        <w:rPr>
          <w:rFonts w:ascii="Times New Roman" w:hAnsi="Times New Roman" w:cs="Times New Roman"/>
        </w:rPr>
      </w:pPr>
      <w:r w:rsidRPr="00993EFF">
        <w:rPr>
          <w:rFonts w:ascii="Times New Roman" w:hAnsi="Times New Roman" w:cs="Times New Roman"/>
        </w:rPr>
        <w:t xml:space="preserve">[1] A. </w:t>
      </w:r>
      <w:proofErr w:type="spellStart"/>
      <w:r w:rsidRPr="00993EFF">
        <w:rPr>
          <w:rFonts w:ascii="Times New Roman" w:hAnsi="Times New Roman" w:cs="Times New Roman"/>
        </w:rPr>
        <w:t>Badreddin</w:t>
      </w:r>
      <w:proofErr w:type="spellEnd"/>
      <w:r w:rsidRPr="00993EFF">
        <w:rPr>
          <w:rFonts w:ascii="Times New Roman" w:hAnsi="Times New Roman" w:cs="Times New Roman"/>
        </w:rPr>
        <w:t xml:space="preserve"> </w:t>
      </w:r>
      <w:proofErr w:type="spellStart"/>
      <w:r w:rsidRPr="00993EFF">
        <w:rPr>
          <w:rFonts w:ascii="Times New Roman" w:hAnsi="Times New Roman" w:cs="Times New Roman"/>
        </w:rPr>
        <w:t>Musatat</w:t>
      </w:r>
      <w:proofErr w:type="spellEnd"/>
      <w:r w:rsidRPr="00993EFF">
        <w:rPr>
          <w:rFonts w:ascii="Times New Roman" w:hAnsi="Times New Roman" w:cs="Times New Roman"/>
        </w:rPr>
        <w:t xml:space="preserve"> et al., "Antimicrobial, Antiproliferative Effects and Docking Studies of Methoxy Group Enriched Coumarin-Chalcone Hybrids," </w:t>
      </w:r>
      <w:r w:rsidRPr="00993EFF">
        <w:rPr>
          <w:rFonts w:ascii="Times New Roman" w:hAnsi="Times New Roman" w:cs="Times New Roman"/>
          <w:i/>
          <w:iCs/>
        </w:rPr>
        <w:t>Chemistry &amp; Biodiversity</w:t>
      </w:r>
      <w:r w:rsidRPr="00993EFF">
        <w:rPr>
          <w:rFonts w:ascii="Times New Roman" w:hAnsi="Times New Roman" w:cs="Times New Roman"/>
        </w:rPr>
        <w:t>, vol. 20, no. 3, p. e202200973, Mar. 2023.</w:t>
      </w:r>
      <w:hyperlink r:id="rId10" w:tgtFrame="_blank" w:history="1"/>
    </w:p>
    <w:p w14:paraId="6D422662" w14:textId="77777777" w:rsidR="00993EFF" w:rsidRPr="00993EFF" w:rsidRDefault="00993EFF" w:rsidP="00993EFF">
      <w:pPr>
        <w:spacing w:line="360" w:lineRule="auto"/>
        <w:jc w:val="both"/>
        <w:rPr>
          <w:rFonts w:ascii="Times New Roman" w:hAnsi="Times New Roman" w:cs="Times New Roman"/>
        </w:rPr>
      </w:pPr>
      <w:r w:rsidRPr="00993EFF">
        <w:rPr>
          <w:rFonts w:ascii="Times New Roman" w:hAnsi="Times New Roman" w:cs="Times New Roman"/>
        </w:rPr>
        <w:t xml:space="preserve">[2] N. Rohman et al., "Recent Trends in the Synthesis and Bioactivity of Coumarin, Coumarin–Chalcone, and Coumarin–Triazole Molecular Hybrids," </w:t>
      </w:r>
      <w:r w:rsidRPr="00993EFF">
        <w:rPr>
          <w:rFonts w:ascii="Times New Roman" w:hAnsi="Times New Roman" w:cs="Times New Roman"/>
          <w:i/>
          <w:iCs/>
        </w:rPr>
        <w:t>Molecules</w:t>
      </w:r>
      <w:r w:rsidRPr="00993EFF">
        <w:rPr>
          <w:rFonts w:ascii="Times New Roman" w:hAnsi="Times New Roman" w:cs="Times New Roman"/>
        </w:rPr>
        <w:t>, vol. 29, no. 5, p. 1026, 2024.</w:t>
      </w:r>
    </w:p>
    <w:p w14:paraId="1DC7745E" w14:textId="77777777" w:rsidR="00993EFF" w:rsidRPr="00993EFF" w:rsidRDefault="00993EFF" w:rsidP="00993EFF">
      <w:pPr>
        <w:spacing w:line="360" w:lineRule="auto"/>
        <w:jc w:val="both"/>
        <w:rPr>
          <w:rFonts w:ascii="Times New Roman" w:hAnsi="Times New Roman" w:cs="Times New Roman"/>
        </w:rPr>
      </w:pPr>
      <w:r w:rsidRPr="00993EFF">
        <w:rPr>
          <w:rFonts w:ascii="Times New Roman" w:hAnsi="Times New Roman" w:cs="Times New Roman"/>
        </w:rPr>
        <w:t>[</w:t>
      </w:r>
      <w:r w:rsidR="00765AD6">
        <w:rPr>
          <w:rFonts w:ascii="Times New Roman" w:hAnsi="Times New Roman" w:cs="Times New Roman"/>
        </w:rPr>
        <w:t>4</w:t>
      </w:r>
      <w:r w:rsidRPr="00993EFF">
        <w:rPr>
          <w:rFonts w:ascii="Times New Roman" w:hAnsi="Times New Roman" w:cs="Times New Roman"/>
        </w:rPr>
        <w:t xml:space="preserve">] Y. Zhang et al., "Dual functions: A coumarin-chalcone conjugate inhibits cyclic-di-GMP and quorum-sensing </w:t>
      </w:r>
      <w:proofErr w:type="spellStart"/>
      <w:r w:rsidRPr="00993EFF">
        <w:rPr>
          <w:rFonts w:ascii="Times New Roman" w:hAnsi="Times New Roman" w:cs="Times New Roman"/>
        </w:rPr>
        <w:t>signaling</w:t>
      </w:r>
      <w:proofErr w:type="spellEnd"/>
      <w:r w:rsidRPr="00993EFF">
        <w:rPr>
          <w:rFonts w:ascii="Times New Roman" w:hAnsi="Times New Roman" w:cs="Times New Roman"/>
        </w:rPr>
        <w:t xml:space="preserve"> to reduce biofilm formation and virulence of pathogens," </w:t>
      </w:r>
      <w:r w:rsidRPr="00993EFF">
        <w:rPr>
          <w:rFonts w:ascii="Times New Roman" w:hAnsi="Times New Roman" w:cs="Times New Roman"/>
          <w:i/>
          <w:iCs/>
        </w:rPr>
        <w:t>Antibiotics</w:t>
      </w:r>
      <w:r w:rsidRPr="00993EFF">
        <w:rPr>
          <w:rFonts w:ascii="Times New Roman" w:hAnsi="Times New Roman" w:cs="Times New Roman"/>
        </w:rPr>
        <w:t>, vol. 12, no. 9, p. 1234, Sep. 2023.</w:t>
      </w:r>
    </w:p>
    <w:p w14:paraId="07C7E9E2" w14:textId="77777777" w:rsidR="00993EFF" w:rsidRDefault="00993EFF" w:rsidP="00993EFF">
      <w:pPr>
        <w:spacing w:line="360" w:lineRule="auto"/>
        <w:jc w:val="both"/>
        <w:rPr>
          <w:rFonts w:ascii="Times New Roman" w:hAnsi="Times New Roman" w:cs="Times New Roman"/>
        </w:rPr>
      </w:pPr>
      <w:r w:rsidRPr="00993EFF">
        <w:rPr>
          <w:rFonts w:ascii="Times New Roman" w:hAnsi="Times New Roman" w:cs="Times New Roman"/>
        </w:rPr>
        <w:t>[</w:t>
      </w:r>
      <w:r w:rsidR="00765AD6">
        <w:rPr>
          <w:rFonts w:ascii="Times New Roman" w:hAnsi="Times New Roman" w:cs="Times New Roman"/>
        </w:rPr>
        <w:t>5</w:t>
      </w:r>
      <w:r w:rsidRPr="00993EFF">
        <w:rPr>
          <w:rFonts w:ascii="Times New Roman" w:hAnsi="Times New Roman" w:cs="Times New Roman"/>
        </w:rPr>
        <w:t xml:space="preserve">] S. </w:t>
      </w:r>
      <w:proofErr w:type="spellStart"/>
      <w:r w:rsidRPr="00993EFF">
        <w:rPr>
          <w:rFonts w:ascii="Times New Roman" w:hAnsi="Times New Roman" w:cs="Times New Roman"/>
        </w:rPr>
        <w:t>Burmaoglu</w:t>
      </w:r>
      <w:proofErr w:type="spellEnd"/>
      <w:r w:rsidRPr="00993EFF">
        <w:rPr>
          <w:rFonts w:ascii="Times New Roman" w:hAnsi="Times New Roman" w:cs="Times New Roman"/>
        </w:rPr>
        <w:t xml:space="preserve"> et al., "Synthesis and biological evaluation of novel tris-chalcones as potent carbonic anhydrase, acetylcholinesterase, butyrylcholinesterase and α-glycosidase inhibitors," </w:t>
      </w:r>
      <w:r w:rsidRPr="00993EFF">
        <w:rPr>
          <w:rFonts w:ascii="Times New Roman" w:hAnsi="Times New Roman" w:cs="Times New Roman"/>
          <w:i/>
          <w:iCs/>
        </w:rPr>
        <w:t>Bioorganic Chemistry</w:t>
      </w:r>
      <w:r w:rsidRPr="00993EFF">
        <w:rPr>
          <w:rFonts w:ascii="Times New Roman" w:hAnsi="Times New Roman" w:cs="Times New Roman"/>
        </w:rPr>
        <w:t>, vol. 85, pp. 191–197, Apr. 2019.</w:t>
      </w:r>
    </w:p>
    <w:p w14:paraId="1B642B44"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 xml:space="preserve">[6] C. Tang, Q. Zheng, H. Zhu, L. Wang, S. C. Chen, E. Ma, and X. Chen, "Two-photon absorption and optical power limiting properties of ladder-type tetraphenylene cored chromophores with different terminal groups," </w:t>
      </w:r>
      <w:r w:rsidRPr="00765AD6">
        <w:rPr>
          <w:rFonts w:ascii="Times New Roman" w:hAnsi="Times New Roman" w:cs="Times New Roman"/>
          <w:i/>
          <w:iCs/>
        </w:rPr>
        <w:t>J. Mater. Chem. C</w:t>
      </w:r>
      <w:r w:rsidRPr="00765AD6">
        <w:rPr>
          <w:rFonts w:ascii="Times New Roman" w:hAnsi="Times New Roman" w:cs="Times New Roman"/>
        </w:rPr>
        <w:t>, vol. 1, pp. 1771–1780, 2013.</w:t>
      </w:r>
    </w:p>
    <w:p w14:paraId="6CDC90F7"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 xml:space="preserve">[7] T. C. Lin, Y. F. Chen, C. L. Hu, and C. S. Hsu, "Two-photon absorption and optical power limiting properties in femtosecond regime of novel multibranched chromophores based on tri-substituted olefinic scaffolds," </w:t>
      </w:r>
      <w:r w:rsidRPr="00765AD6">
        <w:rPr>
          <w:rFonts w:ascii="Times New Roman" w:hAnsi="Times New Roman" w:cs="Times New Roman"/>
          <w:i/>
          <w:iCs/>
        </w:rPr>
        <w:t>J. Mater. Chem.</w:t>
      </w:r>
      <w:r w:rsidRPr="00765AD6">
        <w:rPr>
          <w:rFonts w:ascii="Times New Roman" w:hAnsi="Times New Roman" w:cs="Times New Roman"/>
        </w:rPr>
        <w:t>, vol. 19, pp. 7075–7080, 2009.</w:t>
      </w:r>
    </w:p>
    <w:p w14:paraId="64B23596"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 xml:space="preserve">[8] H. S. </w:t>
      </w:r>
      <w:proofErr w:type="spellStart"/>
      <w:r w:rsidRPr="00765AD6">
        <w:rPr>
          <w:rFonts w:ascii="Times New Roman" w:hAnsi="Times New Roman" w:cs="Times New Roman"/>
        </w:rPr>
        <w:t>Yathirajan</w:t>
      </w:r>
      <w:proofErr w:type="spellEnd"/>
      <w:r w:rsidRPr="00765AD6">
        <w:rPr>
          <w:rFonts w:ascii="Times New Roman" w:hAnsi="Times New Roman" w:cs="Times New Roman"/>
        </w:rPr>
        <w:t>, A. N. Mayekar, B. Narayana, B. K. Sarojini, and M. Bolte, "2,3-Dibromo-1-(2,4-dichlorophenyl)-3-(4,5-dimethoxy-2-</w:t>
      </w:r>
      <w:proofErr w:type="gramStart"/>
      <w:r w:rsidRPr="00765AD6">
        <w:rPr>
          <w:rFonts w:ascii="Times New Roman" w:hAnsi="Times New Roman" w:cs="Times New Roman"/>
        </w:rPr>
        <w:t>nitrophenyl)propan</w:t>
      </w:r>
      <w:proofErr w:type="gramEnd"/>
      <w:r w:rsidRPr="00765AD6">
        <w:rPr>
          <w:rFonts w:ascii="Times New Roman" w:hAnsi="Times New Roman" w:cs="Times New Roman"/>
        </w:rPr>
        <w:t xml:space="preserve">-1-one," </w:t>
      </w:r>
      <w:r w:rsidRPr="00765AD6">
        <w:rPr>
          <w:rFonts w:ascii="Times New Roman" w:hAnsi="Times New Roman" w:cs="Times New Roman"/>
          <w:i/>
          <w:iCs/>
        </w:rPr>
        <w:t xml:space="preserve">Acta </w:t>
      </w:r>
      <w:proofErr w:type="spellStart"/>
      <w:r w:rsidRPr="00765AD6">
        <w:rPr>
          <w:rFonts w:ascii="Times New Roman" w:hAnsi="Times New Roman" w:cs="Times New Roman"/>
          <w:i/>
          <w:iCs/>
        </w:rPr>
        <w:t>Crystallogr</w:t>
      </w:r>
      <w:proofErr w:type="spellEnd"/>
      <w:r w:rsidRPr="00765AD6">
        <w:rPr>
          <w:rFonts w:ascii="Times New Roman" w:hAnsi="Times New Roman" w:cs="Times New Roman"/>
          <w:i/>
          <w:iCs/>
        </w:rPr>
        <w:t>. Sect. E</w:t>
      </w:r>
      <w:r w:rsidRPr="00765AD6">
        <w:rPr>
          <w:rFonts w:ascii="Times New Roman" w:hAnsi="Times New Roman" w:cs="Times New Roman"/>
        </w:rPr>
        <w:t>, vol. 63, pp. o2196–o2197, 2007.</w:t>
      </w:r>
    </w:p>
    <w:p w14:paraId="23BE9E06"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 xml:space="preserve">[9] B. Zhao, W. Q. Lu, Z. H. Zhou, and Y. Wu, "The important role of the bromo group in improving the properties of organic nonlinear optical materials," </w:t>
      </w:r>
      <w:r w:rsidRPr="00765AD6">
        <w:rPr>
          <w:rFonts w:ascii="Times New Roman" w:hAnsi="Times New Roman" w:cs="Times New Roman"/>
          <w:i/>
          <w:iCs/>
        </w:rPr>
        <w:t>J. Mater. Chem.</w:t>
      </w:r>
      <w:r w:rsidRPr="00765AD6">
        <w:rPr>
          <w:rFonts w:ascii="Times New Roman" w:hAnsi="Times New Roman" w:cs="Times New Roman"/>
        </w:rPr>
        <w:t>, vol. 10, pp. 1513–1517, 2000.</w:t>
      </w:r>
    </w:p>
    <w:p w14:paraId="62C1208C"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 xml:space="preserve">[0] R. J. Butcher, H. S. </w:t>
      </w:r>
      <w:proofErr w:type="spellStart"/>
      <w:r w:rsidRPr="00765AD6">
        <w:rPr>
          <w:rFonts w:ascii="Times New Roman" w:hAnsi="Times New Roman" w:cs="Times New Roman"/>
        </w:rPr>
        <w:t>Yathirajan</w:t>
      </w:r>
      <w:proofErr w:type="spellEnd"/>
      <w:r w:rsidRPr="00765AD6">
        <w:rPr>
          <w:rFonts w:ascii="Times New Roman" w:hAnsi="Times New Roman" w:cs="Times New Roman"/>
        </w:rPr>
        <w:t>, B. K. Sarojini, B. Narayana, and A. Mithun, "2,3-Dibromo-1-(4-methoxyphenyl)-3-[4-(</w:t>
      </w:r>
      <w:proofErr w:type="gramStart"/>
      <w:r w:rsidRPr="00765AD6">
        <w:rPr>
          <w:rFonts w:ascii="Times New Roman" w:hAnsi="Times New Roman" w:cs="Times New Roman"/>
        </w:rPr>
        <w:t>methylsulfanyl)phenyl</w:t>
      </w:r>
      <w:proofErr w:type="gramEnd"/>
      <w:r w:rsidRPr="00765AD6">
        <w:rPr>
          <w:rFonts w:ascii="Times New Roman" w:hAnsi="Times New Roman" w:cs="Times New Roman"/>
        </w:rPr>
        <w:t xml:space="preserve">]propan-1-one," </w:t>
      </w:r>
      <w:r w:rsidRPr="00765AD6">
        <w:rPr>
          <w:rFonts w:ascii="Times New Roman" w:hAnsi="Times New Roman" w:cs="Times New Roman"/>
          <w:i/>
          <w:iCs/>
        </w:rPr>
        <w:t xml:space="preserve">Acta </w:t>
      </w:r>
      <w:proofErr w:type="spellStart"/>
      <w:r w:rsidRPr="00765AD6">
        <w:rPr>
          <w:rFonts w:ascii="Times New Roman" w:hAnsi="Times New Roman" w:cs="Times New Roman"/>
          <w:i/>
          <w:iCs/>
        </w:rPr>
        <w:t>Crystallogr</w:t>
      </w:r>
      <w:proofErr w:type="spellEnd"/>
      <w:r w:rsidRPr="00765AD6">
        <w:rPr>
          <w:rFonts w:ascii="Times New Roman" w:hAnsi="Times New Roman" w:cs="Times New Roman"/>
          <w:i/>
          <w:iCs/>
        </w:rPr>
        <w:t>. Sect. E</w:t>
      </w:r>
      <w:r w:rsidRPr="00765AD6">
        <w:rPr>
          <w:rFonts w:ascii="Times New Roman" w:hAnsi="Times New Roman" w:cs="Times New Roman"/>
        </w:rPr>
        <w:t>, vol. 62, pp. o1629–o1630, 2006.</w:t>
      </w:r>
    </w:p>
    <w:p w14:paraId="260A88EE"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lastRenderedPageBreak/>
        <w:t>[</w:t>
      </w:r>
      <w:r>
        <w:rPr>
          <w:rFonts w:ascii="Times New Roman" w:hAnsi="Times New Roman" w:cs="Times New Roman"/>
        </w:rPr>
        <w:t>1</w:t>
      </w:r>
      <w:r w:rsidRPr="00765AD6">
        <w:rPr>
          <w:rFonts w:ascii="Times New Roman" w:hAnsi="Times New Roman" w:cs="Times New Roman"/>
        </w:rPr>
        <w:t xml:space="preserve">1] O. V. </w:t>
      </w:r>
      <w:proofErr w:type="spellStart"/>
      <w:r w:rsidRPr="00765AD6">
        <w:rPr>
          <w:rFonts w:ascii="Times New Roman" w:hAnsi="Times New Roman" w:cs="Times New Roman"/>
        </w:rPr>
        <w:t>Dyablo</w:t>
      </w:r>
      <w:proofErr w:type="spellEnd"/>
      <w:r w:rsidRPr="00765AD6">
        <w:rPr>
          <w:rFonts w:ascii="Times New Roman" w:hAnsi="Times New Roman" w:cs="Times New Roman"/>
        </w:rPr>
        <w:t xml:space="preserve"> and A. F. </w:t>
      </w:r>
      <w:proofErr w:type="spellStart"/>
      <w:r w:rsidRPr="00765AD6">
        <w:rPr>
          <w:rFonts w:ascii="Times New Roman" w:hAnsi="Times New Roman" w:cs="Times New Roman"/>
        </w:rPr>
        <w:t>Pozharskii</w:t>
      </w:r>
      <w:proofErr w:type="spellEnd"/>
      <w:r w:rsidRPr="00765AD6">
        <w:rPr>
          <w:rFonts w:ascii="Times New Roman" w:hAnsi="Times New Roman" w:cs="Times New Roman"/>
        </w:rPr>
        <w:t>, "Synthesis and properties of N-</w:t>
      </w:r>
      <w:proofErr w:type="spellStart"/>
      <w:r w:rsidRPr="00765AD6">
        <w:rPr>
          <w:rFonts w:ascii="Times New Roman" w:hAnsi="Times New Roman" w:cs="Times New Roman"/>
        </w:rPr>
        <w:t>aminoazolinethiones</w:t>
      </w:r>
      <w:proofErr w:type="spellEnd"/>
      <w:r w:rsidRPr="00765AD6">
        <w:rPr>
          <w:rFonts w:ascii="Times New Roman" w:hAnsi="Times New Roman" w:cs="Times New Roman"/>
        </w:rPr>
        <w:t xml:space="preserve"> and N-</w:t>
      </w:r>
      <w:proofErr w:type="spellStart"/>
      <w:r w:rsidRPr="00765AD6">
        <w:rPr>
          <w:rFonts w:ascii="Times New Roman" w:hAnsi="Times New Roman" w:cs="Times New Roman"/>
        </w:rPr>
        <w:t>aminoazinethiones</w:t>
      </w:r>
      <w:proofErr w:type="spellEnd"/>
      <w:r w:rsidRPr="00765AD6">
        <w:rPr>
          <w:rFonts w:ascii="Times New Roman" w:hAnsi="Times New Roman" w:cs="Times New Roman"/>
        </w:rPr>
        <w:t xml:space="preserve">," </w:t>
      </w:r>
      <w:r w:rsidRPr="00765AD6">
        <w:rPr>
          <w:rFonts w:ascii="Times New Roman" w:hAnsi="Times New Roman" w:cs="Times New Roman"/>
          <w:i/>
          <w:iCs/>
        </w:rPr>
        <w:t xml:space="preserve">Chem. </w:t>
      </w:r>
      <w:proofErr w:type="spellStart"/>
      <w:r w:rsidRPr="00765AD6">
        <w:rPr>
          <w:rFonts w:ascii="Times New Roman" w:hAnsi="Times New Roman" w:cs="Times New Roman"/>
          <w:i/>
          <w:iCs/>
        </w:rPr>
        <w:t>Heterocycl</w:t>
      </w:r>
      <w:proofErr w:type="spellEnd"/>
      <w:r w:rsidRPr="00765AD6">
        <w:rPr>
          <w:rFonts w:ascii="Times New Roman" w:hAnsi="Times New Roman" w:cs="Times New Roman"/>
          <w:i/>
          <w:iCs/>
        </w:rPr>
        <w:t>. Compd.</w:t>
      </w:r>
      <w:r w:rsidRPr="00765AD6">
        <w:rPr>
          <w:rFonts w:ascii="Times New Roman" w:hAnsi="Times New Roman" w:cs="Times New Roman"/>
        </w:rPr>
        <w:t>, vol. 33, pp. 1003–1027, 1997.</w:t>
      </w:r>
    </w:p>
    <w:p w14:paraId="7D33E5C7"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 xml:space="preserve">2] A. </w:t>
      </w:r>
      <w:proofErr w:type="spellStart"/>
      <w:r w:rsidRPr="00765AD6">
        <w:rPr>
          <w:rFonts w:ascii="Times New Roman" w:hAnsi="Times New Roman" w:cs="Times New Roman"/>
        </w:rPr>
        <w:t>Foroumadi</w:t>
      </w:r>
      <w:proofErr w:type="spellEnd"/>
      <w:r w:rsidRPr="00765AD6">
        <w:rPr>
          <w:rFonts w:ascii="Times New Roman" w:hAnsi="Times New Roman" w:cs="Times New Roman"/>
        </w:rPr>
        <w:t>, S. Mansouri, Z. Kiani, and A. Rahmani, "Synthesis and in vitro antibacterial evaluation of N-[5-(5-nitro-2-thienyl)-1,3,4-thiadiazole-2-</w:t>
      </w:r>
      <w:proofErr w:type="gramStart"/>
      <w:r w:rsidRPr="00765AD6">
        <w:rPr>
          <w:rFonts w:ascii="Times New Roman" w:hAnsi="Times New Roman" w:cs="Times New Roman"/>
        </w:rPr>
        <w:t>yl]piperazinyl</w:t>
      </w:r>
      <w:proofErr w:type="gramEnd"/>
      <w:r w:rsidRPr="00765AD6">
        <w:rPr>
          <w:rFonts w:ascii="Times New Roman" w:hAnsi="Times New Roman" w:cs="Times New Roman"/>
        </w:rPr>
        <w:t xml:space="preserve"> quinolones," </w:t>
      </w:r>
      <w:r w:rsidRPr="00765AD6">
        <w:rPr>
          <w:rFonts w:ascii="Times New Roman" w:hAnsi="Times New Roman" w:cs="Times New Roman"/>
          <w:i/>
          <w:iCs/>
        </w:rPr>
        <w:t>Eur. J. Med. Chem.</w:t>
      </w:r>
      <w:r w:rsidRPr="00765AD6">
        <w:rPr>
          <w:rFonts w:ascii="Times New Roman" w:hAnsi="Times New Roman" w:cs="Times New Roman"/>
        </w:rPr>
        <w:t>, vol. 38, pp. 851–854, 2003.</w:t>
      </w:r>
    </w:p>
    <w:p w14:paraId="4B0302E5"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 xml:space="preserve">3] S. </w:t>
      </w:r>
      <w:proofErr w:type="spellStart"/>
      <w:r w:rsidRPr="00765AD6">
        <w:rPr>
          <w:rFonts w:ascii="Times New Roman" w:hAnsi="Times New Roman" w:cs="Times New Roman"/>
        </w:rPr>
        <w:t>Rollas</w:t>
      </w:r>
      <w:proofErr w:type="spellEnd"/>
      <w:r w:rsidRPr="00765AD6">
        <w:rPr>
          <w:rFonts w:ascii="Times New Roman" w:hAnsi="Times New Roman" w:cs="Times New Roman"/>
        </w:rPr>
        <w:t xml:space="preserve">, N. </w:t>
      </w:r>
      <w:proofErr w:type="spellStart"/>
      <w:r w:rsidRPr="00765AD6">
        <w:rPr>
          <w:rFonts w:ascii="Times New Roman" w:hAnsi="Times New Roman" w:cs="Times New Roman"/>
        </w:rPr>
        <w:t>Kalyoncuoglu</w:t>
      </w:r>
      <w:proofErr w:type="spellEnd"/>
      <w:r w:rsidRPr="00765AD6">
        <w:rPr>
          <w:rFonts w:ascii="Times New Roman" w:hAnsi="Times New Roman" w:cs="Times New Roman"/>
        </w:rPr>
        <w:t>, D. Sur-</w:t>
      </w:r>
      <w:proofErr w:type="spellStart"/>
      <w:r w:rsidRPr="00765AD6">
        <w:rPr>
          <w:rFonts w:ascii="Times New Roman" w:hAnsi="Times New Roman" w:cs="Times New Roman"/>
        </w:rPr>
        <w:t>Altiner</w:t>
      </w:r>
      <w:proofErr w:type="spellEnd"/>
      <w:r w:rsidRPr="00765AD6">
        <w:rPr>
          <w:rFonts w:ascii="Times New Roman" w:hAnsi="Times New Roman" w:cs="Times New Roman"/>
        </w:rPr>
        <w:t xml:space="preserve">, and Y. </w:t>
      </w:r>
      <w:proofErr w:type="spellStart"/>
      <w:r w:rsidRPr="00765AD6">
        <w:rPr>
          <w:rFonts w:ascii="Times New Roman" w:hAnsi="Times New Roman" w:cs="Times New Roman"/>
        </w:rPr>
        <w:t>Yegenoglu</w:t>
      </w:r>
      <w:proofErr w:type="spellEnd"/>
      <w:r w:rsidRPr="00765AD6">
        <w:rPr>
          <w:rFonts w:ascii="Times New Roman" w:hAnsi="Times New Roman" w:cs="Times New Roman"/>
        </w:rPr>
        <w:t xml:space="preserve">, "5-(4-Aminophenyl)-4-substituted-2,4-dihydro-3H-1,2,4-triazole-3-thiones: synthesis and antibacterial and antifungal activities," </w:t>
      </w:r>
      <w:proofErr w:type="spellStart"/>
      <w:r w:rsidRPr="00765AD6">
        <w:rPr>
          <w:rFonts w:ascii="Times New Roman" w:hAnsi="Times New Roman" w:cs="Times New Roman"/>
          <w:i/>
          <w:iCs/>
        </w:rPr>
        <w:t>Pharmazie</w:t>
      </w:r>
      <w:proofErr w:type="spellEnd"/>
      <w:r w:rsidRPr="00765AD6">
        <w:rPr>
          <w:rFonts w:ascii="Times New Roman" w:hAnsi="Times New Roman" w:cs="Times New Roman"/>
        </w:rPr>
        <w:t>, vol. 48, pp. 308–309, 1993.</w:t>
      </w:r>
    </w:p>
    <w:p w14:paraId="4D92F1EB"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4] I. Mir, M. T. Siddiqui, and A. Comrie, "Antituberculosis agents-I: α-[5-(2-Furyl)-1,2,4-triazol-3-</w:t>
      </w:r>
      <w:proofErr w:type="gramStart"/>
      <w:r w:rsidRPr="00765AD6">
        <w:rPr>
          <w:rFonts w:ascii="Times New Roman" w:hAnsi="Times New Roman" w:cs="Times New Roman"/>
        </w:rPr>
        <w:t>ylthio]</w:t>
      </w:r>
      <w:proofErr w:type="spellStart"/>
      <w:r w:rsidRPr="00765AD6">
        <w:rPr>
          <w:rFonts w:ascii="Times New Roman" w:hAnsi="Times New Roman" w:cs="Times New Roman"/>
        </w:rPr>
        <w:t>acethydrazide</w:t>
      </w:r>
      <w:proofErr w:type="spellEnd"/>
      <w:proofErr w:type="gramEnd"/>
      <w:r w:rsidRPr="00765AD6">
        <w:rPr>
          <w:rFonts w:ascii="Times New Roman" w:hAnsi="Times New Roman" w:cs="Times New Roman"/>
        </w:rPr>
        <w:t xml:space="preserve"> and related compounds," </w:t>
      </w:r>
      <w:r w:rsidRPr="00765AD6">
        <w:rPr>
          <w:rFonts w:ascii="Times New Roman" w:hAnsi="Times New Roman" w:cs="Times New Roman"/>
          <w:i/>
          <w:iCs/>
        </w:rPr>
        <w:t>Tetrahedron</w:t>
      </w:r>
      <w:r w:rsidRPr="00765AD6">
        <w:rPr>
          <w:rFonts w:ascii="Times New Roman" w:hAnsi="Times New Roman" w:cs="Times New Roman"/>
        </w:rPr>
        <w:t>, vol. 26, pp. 5235–5238, 1970.</w:t>
      </w:r>
    </w:p>
    <w:p w14:paraId="19579F56"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 xml:space="preserve">5] B. S. Holla, B. Veerendra, M. K. </w:t>
      </w:r>
      <w:proofErr w:type="spellStart"/>
      <w:r w:rsidRPr="00765AD6">
        <w:rPr>
          <w:rFonts w:ascii="Times New Roman" w:hAnsi="Times New Roman" w:cs="Times New Roman"/>
        </w:rPr>
        <w:t>Shivananda</w:t>
      </w:r>
      <w:proofErr w:type="spellEnd"/>
      <w:r w:rsidRPr="00765AD6">
        <w:rPr>
          <w:rFonts w:ascii="Times New Roman" w:hAnsi="Times New Roman" w:cs="Times New Roman"/>
        </w:rPr>
        <w:t xml:space="preserve">, and B. Poojary, "Synthesis, characterization and anticancer activity studies on some </w:t>
      </w:r>
      <w:proofErr w:type="spellStart"/>
      <w:r w:rsidRPr="00765AD6">
        <w:rPr>
          <w:rFonts w:ascii="Times New Roman" w:hAnsi="Times New Roman" w:cs="Times New Roman"/>
        </w:rPr>
        <w:t>Mannich</w:t>
      </w:r>
      <w:proofErr w:type="spellEnd"/>
      <w:r w:rsidRPr="00765AD6">
        <w:rPr>
          <w:rFonts w:ascii="Times New Roman" w:hAnsi="Times New Roman" w:cs="Times New Roman"/>
        </w:rPr>
        <w:t xml:space="preserve"> bases derived from 1,2,4-triazoles," </w:t>
      </w:r>
      <w:r w:rsidRPr="00765AD6">
        <w:rPr>
          <w:rFonts w:ascii="Times New Roman" w:hAnsi="Times New Roman" w:cs="Times New Roman"/>
          <w:i/>
          <w:iCs/>
        </w:rPr>
        <w:t>Eur. J. Med. Chem.</w:t>
      </w:r>
      <w:r w:rsidRPr="00765AD6">
        <w:rPr>
          <w:rFonts w:ascii="Times New Roman" w:hAnsi="Times New Roman" w:cs="Times New Roman"/>
        </w:rPr>
        <w:t>, vol. 38, pp. 759–767, 2003.</w:t>
      </w:r>
    </w:p>
    <w:p w14:paraId="51886D59"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 xml:space="preserve">6] H. L. Yale and J. J. </w:t>
      </w:r>
      <w:proofErr w:type="spellStart"/>
      <w:r w:rsidRPr="00765AD6">
        <w:rPr>
          <w:rFonts w:ascii="Times New Roman" w:hAnsi="Times New Roman" w:cs="Times New Roman"/>
        </w:rPr>
        <w:t>Piala</w:t>
      </w:r>
      <w:proofErr w:type="spellEnd"/>
      <w:r w:rsidRPr="00765AD6">
        <w:rPr>
          <w:rFonts w:ascii="Times New Roman" w:hAnsi="Times New Roman" w:cs="Times New Roman"/>
        </w:rPr>
        <w:t xml:space="preserve">, "Substituted s-triazoles and related compounds," </w:t>
      </w:r>
      <w:r w:rsidRPr="00765AD6">
        <w:rPr>
          <w:rFonts w:ascii="Times New Roman" w:hAnsi="Times New Roman" w:cs="Times New Roman"/>
          <w:i/>
          <w:iCs/>
        </w:rPr>
        <w:t>J. Med. Chem.</w:t>
      </w:r>
      <w:r w:rsidRPr="00765AD6">
        <w:rPr>
          <w:rFonts w:ascii="Times New Roman" w:hAnsi="Times New Roman" w:cs="Times New Roman"/>
        </w:rPr>
        <w:t>, vol. 9, pp. 42–46, 1966.</w:t>
      </w:r>
    </w:p>
    <w:p w14:paraId="79D7D7A1"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 xml:space="preserve">7] M. Y. Mhasalkar, M. H. Shah, S. T. Nikam, K. G. </w:t>
      </w:r>
      <w:proofErr w:type="spellStart"/>
      <w:r w:rsidRPr="00765AD6">
        <w:rPr>
          <w:rFonts w:ascii="Times New Roman" w:hAnsi="Times New Roman" w:cs="Times New Roman"/>
        </w:rPr>
        <w:t>Anantanarayanan</w:t>
      </w:r>
      <w:proofErr w:type="spellEnd"/>
      <w:r w:rsidRPr="00765AD6">
        <w:rPr>
          <w:rFonts w:ascii="Times New Roman" w:hAnsi="Times New Roman" w:cs="Times New Roman"/>
        </w:rPr>
        <w:t xml:space="preserve">, and C. V. </w:t>
      </w:r>
      <w:proofErr w:type="spellStart"/>
      <w:r w:rsidRPr="00765AD6">
        <w:rPr>
          <w:rFonts w:ascii="Times New Roman" w:hAnsi="Times New Roman" w:cs="Times New Roman"/>
        </w:rPr>
        <w:t>Deliwala</w:t>
      </w:r>
      <w:proofErr w:type="spellEnd"/>
      <w:r w:rsidRPr="00765AD6">
        <w:rPr>
          <w:rFonts w:ascii="Times New Roman" w:hAnsi="Times New Roman" w:cs="Times New Roman"/>
        </w:rPr>
        <w:t xml:space="preserve">, "4-Alkyl-5-aryl-4H-1,2,4-triazole-3-thiols as </w:t>
      </w:r>
      <w:proofErr w:type="spellStart"/>
      <w:r w:rsidRPr="00765AD6">
        <w:rPr>
          <w:rFonts w:ascii="Times New Roman" w:hAnsi="Times New Roman" w:cs="Times New Roman"/>
        </w:rPr>
        <w:t>hypoglycemic</w:t>
      </w:r>
      <w:proofErr w:type="spellEnd"/>
      <w:r w:rsidRPr="00765AD6">
        <w:rPr>
          <w:rFonts w:ascii="Times New Roman" w:hAnsi="Times New Roman" w:cs="Times New Roman"/>
        </w:rPr>
        <w:t xml:space="preserve"> agents," </w:t>
      </w:r>
      <w:r w:rsidRPr="00765AD6">
        <w:rPr>
          <w:rFonts w:ascii="Times New Roman" w:hAnsi="Times New Roman" w:cs="Times New Roman"/>
          <w:i/>
          <w:iCs/>
        </w:rPr>
        <w:t>J. Med. Chem.</w:t>
      </w:r>
      <w:r w:rsidRPr="00765AD6">
        <w:rPr>
          <w:rFonts w:ascii="Times New Roman" w:hAnsi="Times New Roman" w:cs="Times New Roman"/>
        </w:rPr>
        <w:t>, vol. 13, pp. 672–674, 1970.</w:t>
      </w:r>
    </w:p>
    <w:p w14:paraId="687835B2"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8] I. A. Al-Masoudi, Y. A. Al-Soud, N. J. Al-</w:t>
      </w:r>
      <w:proofErr w:type="spellStart"/>
      <w:r w:rsidRPr="00765AD6">
        <w:rPr>
          <w:rFonts w:ascii="Times New Roman" w:hAnsi="Times New Roman" w:cs="Times New Roman"/>
        </w:rPr>
        <w:t>Salihi</w:t>
      </w:r>
      <w:proofErr w:type="spellEnd"/>
      <w:r w:rsidRPr="00765AD6">
        <w:rPr>
          <w:rFonts w:ascii="Times New Roman" w:hAnsi="Times New Roman" w:cs="Times New Roman"/>
        </w:rPr>
        <w:t xml:space="preserve">, and N. A. Al-Masoudi, "1,2,4-Triazoles: synthetic approaches and pharmacological importance," </w:t>
      </w:r>
      <w:r w:rsidRPr="00765AD6">
        <w:rPr>
          <w:rFonts w:ascii="Times New Roman" w:hAnsi="Times New Roman" w:cs="Times New Roman"/>
          <w:i/>
          <w:iCs/>
        </w:rPr>
        <w:t xml:space="preserve">Chem. </w:t>
      </w:r>
      <w:proofErr w:type="spellStart"/>
      <w:r w:rsidRPr="00765AD6">
        <w:rPr>
          <w:rFonts w:ascii="Times New Roman" w:hAnsi="Times New Roman" w:cs="Times New Roman"/>
          <w:i/>
          <w:iCs/>
        </w:rPr>
        <w:t>Heterocycl</w:t>
      </w:r>
      <w:proofErr w:type="spellEnd"/>
      <w:r w:rsidRPr="00765AD6">
        <w:rPr>
          <w:rFonts w:ascii="Times New Roman" w:hAnsi="Times New Roman" w:cs="Times New Roman"/>
          <w:i/>
          <w:iCs/>
        </w:rPr>
        <w:t>. Compd.</w:t>
      </w:r>
      <w:r w:rsidRPr="00765AD6">
        <w:rPr>
          <w:rFonts w:ascii="Times New Roman" w:hAnsi="Times New Roman" w:cs="Times New Roman"/>
        </w:rPr>
        <w:t>, vol. 42, pp. 1377–1403, 2006.</w:t>
      </w:r>
    </w:p>
    <w:p w14:paraId="66B0D164"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1</w:t>
      </w:r>
      <w:r w:rsidRPr="00765AD6">
        <w:rPr>
          <w:rFonts w:ascii="Times New Roman" w:hAnsi="Times New Roman" w:cs="Times New Roman"/>
        </w:rPr>
        <w:t xml:space="preserve">9] G. Turan-Zitouni, Z. A. </w:t>
      </w:r>
      <w:proofErr w:type="spellStart"/>
      <w:r w:rsidRPr="00765AD6">
        <w:rPr>
          <w:rFonts w:ascii="Times New Roman" w:hAnsi="Times New Roman" w:cs="Times New Roman"/>
        </w:rPr>
        <w:t>Kaplancikli</w:t>
      </w:r>
      <w:proofErr w:type="spellEnd"/>
      <w:r w:rsidRPr="00765AD6">
        <w:rPr>
          <w:rFonts w:ascii="Times New Roman" w:hAnsi="Times New Roman" w:cs="Times New Roman"/>
        </w:rPr>
        <w:t xml:space="preserve">, K. Erol, and F. S. Kilic, "Synthesis and analgesic activity of some triazoles and </w:t>
      </w:r>
      <w:proofErr w:type="spellStart"/>
      <w:r w:rsidRPr="00765AD6">
        <w:rPr>
          <w:rFonts w:ascii="Times New Roman" w:hAnsi="Times New Roman" w:cs="Times New Roman"/>
        </w:rPr>
        <w:t>triazolothiadiazines</w:t>
      </w:r>
      <w:proofErr w:type="spellEnd"/>
      <w:r w:rsidRPr="00765AD6">
        <w:rPr>
          <w:rFonts w:ascii="Times New Roman" w:hAnsi="Times New Roman" w:cs="Times New Roman"/>
        </w:rPr>
        <w:t xml:space="preserve">," </w:t>
      </w:r>
      <w:r w:rsidRPr="00765AD6">
        <w:rPr>
          <w:rFonts w:ascii="Times New Roman" w:hAnsi="Times New Roman" w:cs="Times New Roman"/>
          <w:i/>
          <w:iCs/>
        </w:rPr>
        <w:t xml:space="preserve">Il </w:t>
      </w:r>
      <w:proofErr w:type="spellStart"/>
      <w:r w:rsidRPr="00765AD6">
        <w:rPr>
          <w:rFonts w:ascii="Times New Roman" w:hAnsi="Times New Roman" w:cs="Times New Roman"/>
          <w:i/>
          <w:iCs/>
        </w:rPr>
        <w:t>Farmaco</w:t>
      </w:r>
      <w:proofErr w:type="spellEnd"/>
      <w:r w:rsidRPr="00765AD6">
        <w:rPr>
          <w:rFonts w:ascii="Times New Roman" w:hAnsi="Times New Roman" w:cs="Times New Roman"/>
        </w:rPr>
        <w:t>, vol. 54, pp. 218–223, 1999.</w:t>
      </w:r>
    </w:p>
    <w:p w14:paraId="285DE077"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2</w:t>
      </w:r>
      <w:r w:rsidRPr="00765AD6">
        <w:rPr>
          <w:rFonts w:ascii="Times New Roman" w:hAnsi="Times New Roman" w:cs="Times New Roman"/>
        </w:rPr>
        <w:t>0] N. D. Heindel and J. R. Reid, "4-Amino-3-mercapto-4H-1,2,4-triazoles and propargyl aldehydes: a new route to 3-R-8-aryl-1,2,4-triazolo[3,4-</w:t>
      </w:r>
      <w:proofErr w:type="gramStart"/>
      <w:r w:rsidRPr="00765AD6">
        <w:rPr>
          <w:rFonts w:ascii="Times New Roman" w:hAnsi="Times New Roman" w:cs="Times New Roman"/>
        </w:rPr>
        <w:t>b][</w:t>
      </w:r>
      <w:proofErr w:type="gramEnd"/>
      <w:r w:rsidRPr="00765AD6">
        <w:rPr>
          <w:rFonts w:ascii="Times New Roman" w:hAnsi="Times New Roman" w:cs="Times New Roman"/>
        </w:rPr>
        <w:t>1,3,4]</w:t>
      </w:r>
      <w:proofErr w:type="spellStart"/>
      <w:r w:rsidRPr="00765AD6">
        <w:rPr>
          <w:rFonts w:ascii="Times New Roman" w:hAnsi="Times New Roman" w:cs="Times New Roman"/>
        </w:rPr>
        <w:t>thiadiazepines</w:t>
      </w:r>
      <w:proofErr w:type="spellEnd"/>
      <w:r w:rsidRPr="00765AD6">
        <w:rPr>
          <w:rFonts w:ascii="Times New Roman" w:hAnsi="Times New Roman" w:cs="Times New Roman"/>
        </w:rPr>
        <w:t xml:space="preserve">," </w:t>
      </w:r>
      <w:r w:rsidRPr="00765AD6">
        <w:rPr>
          <w:rFonts w:ascii="Times New Roman" w:hAnsi="Times New Roman" w:cs="Times New Roman"/>
          <w:i/>
          <w:iCs/>
        </w:rPr>
        <w:t xml:space="preserve">J. </w:t>
      </w:r>
      <w:proofErr w:type="spellStart"/>
      <w:r w:rsidRPr="00765AD6">
        <w:rPr>
          <w:rFonts w:ascii="Times New Roman" w:hAnsi="Times New Roman" w:cs="Times New Roman"/>
          <w:i/>
          <w:iCs/>
        </w:rPr>
        <w:t>Heterocycl</w:t>
      </w:r>
      <w:proofErr w:type="spellEnd"/>
      <w:r w:rsidRPr="00765AD6">
        <w:rPr>
          <w:rFonts w:ascii="Times New Roman" w:hAnsi="Times New Roman" w:cs="Times New Roman"/>
          <w:i/>
          <w:iCs/>
        </w:rPr>
        <w:t>. Chem.</w:t>
      </w:r>
      <w:r w:rsidRPr="00765AD6">
        <w:rPr>
          <w:rFonts w:ascii="Times New Roman" w:hAnsi="Times New Roman" w:cs="Times New Roman"/>
        </w:rPr>
        <w:t>, vol. 17, pp. 1087–1088, 1980.</w:t>
      </w:r>
    </w:p>
    <w:p w14:paraId="347907BA"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2</w:t>
      </w:r>
      <w:r w:rsidRPr="00765AD6">
        <w:rPr>
          <w:rFonts w:ascii="Times New Roman" w:hAnsi="Times New Roman" w:cs="Times New Roman"/>
        </w:rPr>
        <w:t xml:space="preserve">1] T. </w:t>
      </w:r>
      <w:proofErr w:type="spellStart"/>
      <w:r w:rsidRPr="00765AD6">
        <w:rPr>
          <w:rFonts w:ascii="Times New Roman" w:hAnsi="Times New Roman" w:cs="Times New Roman"/>
        </w:rPr>
        <w:t>Karabasanagouda</w:t>
      </w:r>
      <w:proofErr w:type="spellEnd"/>
      <w:r w:rsidRPr="00765AD6">
        <w:rPr>
          <w:rFonts w:ascii="Times New Roman" w:hAnsi="Times New Roman" w:cs="Times New Roman"/>
        </w:rPr>
        <w:t>, A. V. Adhikari, and N. S. Shetty, "Synthesis and antimicrobial activities of some novel 1,2,4-triazolo[3,4-</w:t>
      </w:r>
      <w:proofErr w:type="gramStart"/>
      <w:r w:rsidRPr="00765AD6">
        <w:rPr>
          <w:rFonts w:ascii="Times New Roman" w:hAnsi="Times New Roman" w:cs="Times New Roman"/>
        </w:rPr>
        <w:t>b][</w:t>
      </w:r>
      <w:proofErr w:type="gramEnd"/>
      <w:r w:rsidRPr="00765AD6">
        <w:rPr>
          <w:rFonts w:ascii="Times New Roman" w:hAnsi="Times New Roman" w:cs="Times New Roman"/>
        </w:rPr>
        <w:t>1,3,4]</w:t>
      </w:r>
      <w:proofErr w:type="spellStart"/>
      <w:r w:rsidRPr="00765AD6">
        <w:rPr>
          <w:rFonts w:ascii="Times New Roman" w:hAnsi="Times New Roman" w:cs="Times New Roman"/>
        </w:rPr>
        <w:t>thiadiazoles</w:t>
      </w:r>
      <w:proofErr w:type="spellEnd"/>
      <w:r w:rsidRPr="00765AD6">
        <w:rPr>
          <w:rFonts w:ascii="Times New Roman" w:hAnsi="Times New Roman" w:cs="Times New Roman"/>
        </w:rPr>
        <w:t xml:space="preserve"> and 1,2,4-triazolo[3,4-b]-1,3,4-thiadiazines," </w:t>
      </w:r>
      <w:r w:rsidRPr="00765AD6">
        <w:rPr>
          <w:rFonts w:ascii="Times New Roman" w:hAnsi="Times New Roman" w:cs="Times New Roman"/>
          <w:i/>
          <w:iCs/>
        </w:rPr>
        <w:t>Eur. J. Med. Chem.</w:t>
      </w:r>
      <w:r w:rsidRPr="00765AD6">
        <w:rPr>
          <w:rFonts w:ascii="Times New Roman" w:hAnsi="Times New Roman" w:cs="Times New Roman"/>
        </w:rPr>
        <w:t>, vol. 42, pp. 521–529, 2007.</w:t>
      </w:r>
    </w:p>
    <w:p w14:paraId="222A43E3"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lastRenderedPageBreak/>
        <w:t>[</w:t>
      </w:r>
      <w:r>
        <w:rPr>
          <w:rFonts w:ascii="Times New Roman" w:hAnsi="Times New Roman" w:cs="Times New Roman"/>
        </w:rPr>
        <w:t>2</w:t>
      </w:r>
      <w:r w:rsidRPr="00765AD6">
        <w:rPr>
          <w:rFonts w:ascii="Times New Roman" w:hAnsi="Times New Roman" w:cs="Times New Roman"/>
        </w:rPr>
        <w:t xml:space="preserve">2] M. Bhalla, A. </w:t>
      </w:r>
      <w:proofErr w:type="spellStart"/>
      <w:r w:rsidRPr="00765AD6">
        <w:rPr>
          <w:rFonts w:ascii="Times New Roman" w:hAnsi="Times New Roman" w:cs="Times New Roman"/>
        </w:rPr>
        <w:t>Hitkari</w:t>
      </w:r>
      <w:proofErr w:type="spellEnd"/>
      <w:r w:rsidRPr="00765AD6">
        <w:rPr>
          <w:rFonts w:ascii="Times New Roman" w:hAnsi="Times New Roman" w:cs="Times New Roman"/>
        </w:rPr>
        <w:t xml:space="preserve">, V. R. Gujrati, T. N. Bhalla, and K. Shanker, "Benzopyran-2-one derivatives: anti-inflammatory, analgesic and </w:t>
      </w:r>
      <w:proofErr w:type="spellStart"/>
      <w:r w:rsidRPr="00765AD6">
        <w:rPr>
          <w:rFonts w:ascii="Times New Roman" w:hAnsi="Times New Roman" w:cs="Times New Roman"/>
        </w:rPr>
        <w:t>antiproteolytic</w:t>
      </w:r>
      <w:proofErr w:type="spellEnd"/>
      <w:r w:rsidRPr="00765AD6">
        <w:rPr>
          <w:rFonts w:ascii="Times New Roman" w:hAnsi="Times New Roman" w:cs="Times New Roman"/>
        </w:rPr>
        <w:t xml:space="preserve"> agents," </w:t>
      </w:r>
      <w:r w:rsidRPr="00765AD6">
        <w:rPr>
          <w:rFonts w:ascii="Times New Roman" w:hAnsi="Times New Roman" w:cs="Times New Roman"/>
          <w:i/>
          <w:iCs/>
        </w:rPr>
        <w:t>Eur. J. Med. Chem.</w:t>
      </w:r>
      <w:r w:rsidRPr="00765AD6">
        <w:rPr>
          <w:rFonts w:ascii="Times New Roman" w:hAnsi="Times New Roman" w:cs="Times New Roman"/>
        </w:rPr>
        <w:t>, vol. 29, pp. 713–717, 1994.</w:t>
      </w:r>
    </w:p>
    <w:p w14:paraId="4A7B22B9"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2</w:t>
      </w:r>
      <w:r w:rsidRPr="00765AD6">
        <w:rPr>
          <w:rFonts w:ascii="Times New Roman" w:hAnsi="Times New Roman" w:cs="Times New Roman"/>
        </w:rPr>
        <w:t xml:space="preserve">3] S. A. Khanum, S. Shashikanth, S. Umesha, and R. Kavitha, "Synthesis and antimicrobial study of novel heterocyclic compounds from </w:t>
      </w:r>
      <w:proofErr w:type="spellStart"/>
      <w:r w:rsidRPr="00765AD6">
        <w:rPr>
          <w:rFonts w:ascii="Times New Roman" w:hAnsi="Times New Roman" w:cs="Times New Roman"/>
        </w:rPr>
        <w:t>hydroxybenzophenones</w:t>
      </w:r>
      <w:proofErr w:type="spellEnd"/>
      <w:r w:rsidRPr="00765AD6">
        <w:rPr>
          <w:rFonts w:ascii="Times New Roman" w:hAnsi="Times New Roman" w:cs="Times New Roman"/>
        </w:rPr>
        <w:t xml:space="preserve">," </w:t>
      </w:r>
      <w:r w:rsidRPr="00765AD6">
        <w:rPr>
          <w:rFonts w:ascii="Times New Roman" w:hAnsi="Times New Roman" w:cs="Times New Roman"/>
          <w:i/>
          <w:iCs/>
        </w:rPr>
        <w:t>Eur. J. Med. Chem.</w:t>
      </w:r>
      <w:r w:rsidRPr="00765AD6">
        <w:rPr>
          <w:rFonts w:ascii="Times New Roman" w:hAnsi="Times New Roman" w:cs="Times New Roman"/>
        </w:rPr>
        <w:t>, vol. 40, pp. 1156–1162, 2005.</w:t>
      </w:r>
    </w:p>
    <w:p w14:paraId="70EFE314"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2</w:t>
      </w:r>
      <w:r w:rsidRPr="00765AD6">
        <w:rPr>
          <w:rFonts w:ascii="Times New Roman" w:hAnsi="Times New Roman" w:cs="Times New Roman"/>
        </w:rPr>
        <w:t xml:space="preserve">4] B. S. Holla, B. R. Sooryanarayana, B. K. Sarojini, P. M. </w:t>
      </w:r>
      <w:proofErr w:type="spellStart"/>
      <w:r w:rsidRPr="00765AD6">
        <w:rPr>
          <w:rFonts w:ascii="Times New Roman" w:hAnsi="Times New Roman" w:cs="Times New Roman"/>
        </w:rPr>
        <w:t>Akberali</w:t>
      </w:r>
      <w:proofErr w:type="spellEnd"/>
      <w:r w:rsidRPr="00765AD6">
        <w:rPr>
          <w:rFonts w:ascii="Times New Roman" w:hAnsi="Times New Roman" w:cs="Times New Roman"/>
        </w:rPr>
        <w:t xml:space="preserve">, and K. N. Suchetha, "Synthesis and studies on some new fluorine containing </w:t>
      </w:r>
      <w:proofErr w:type="spellStart"/>
      <w:r w:rsidRPr="00765AD6">
        <w:rPr>
          <w:rFonts w:ascii="Times New Roman" w:hAnsi="Times New Roman" w:cs="Times New Roman"/>
        </w:rPr>
        <w:t>triazolothiadiazines</w:t>
      </w:r>
      <w:proofErr w:type="spellEnd"/>
      <w:r w:rsidRPr="00765AD6">
        <w:rPr>
          <w:rFonts w:ascii="Times New Roman" w:hAnsi="Times New Roman" w:cs="Times New Roman"/>
        </w:rPr>
        <w:t xml:space="preserve"> as possible antibacterial, antifungal and anticancer agents," </w:t>
      </w:r>
      <w:r w:rsidRPr="00765AD6">
        <w:rPr>
          <w:rFonts w:ascii="Times New Roman" w:hAnsi="Times New Roman" w:cs="Times New Roman"/>
          <w:i/>
          <w:iCs/>
        </w:rPr>
        <w:t>Eur. J. Med. Chem.</w:t>
      </w:r>
      <w:r w:rsidRPr="00765AD6">
        <w:rPr>
          <w:rFonts w:ascii="Times New Roman" w:hAnsi="Times New Roman" w:cs="Times New Roman"/>
        </w:rPr>
        <w:t>, vol. 41, pp. 657–663, 2006.</w:t>
      </w:r>
    </w:p>
    <w:p w14:paraId="3DE7683B" w14:textId="77777777" w:rsidR="00765AD6" w:rsidRPr="00765AD6" w:rsidRDefault="00765AD6" w:rsidP="00765AD6">
      <w:pPr>
        <w:spacing w:line="360" w:lineRule="auto"/>
        <w:jc w:val="both"/>
        <w:rPr>
          <w:rFonts w:ascii="Times New Roman" w:hAnsi="Times New Roman" w:cs="Times New Roman"/>
        </w:rPr>
      </w:pPr>
      <w:r w:rsidRPr="00765AD6">
        <w:rPr>
          <w:rFonts w:ascii="Times New Roman" w:hAnsi="Times New Roman" w:cs="Times New Roman"/>
        </w:rPr>
        <w:t>[</w:t>
      </w:r>
      <w:r>
        <w:rPr>
          <w:rFonts w:ascii="Times New Roman" w:hAnsi="Times New Roman" w:cs="Times New Roman"/>
        </w:rPr>
        <w:t>2</w:t>
      </w:r>
      <w:r w:rsidRPr="00765AD6">
        <w:rPr>
          <w:rFonts w:ascii="Times New Roman" w:hAnsi="Times New Roman" w:cs="Times New Roman"/>
        </w:rPr>
        <w:t xml:space="preserve">5] B. S. Holla, B. K. Sarojini, B. R. Sooryanarayana, P. M. </w:t>
      </w:r>
      <w:proofErr w:type="spellStart"/>
      <w:r w:rsidRPr="00765AD6">
        <w:rPr>
          <w:rFonts w:ascii="Times New Roman" w:hAnsi="Times New Roman" w:cs="Times New Roman"/>
        </w:rPr>
        <w:t>Akberali</w:t>
      </w:r>
      <w:proofErr w:type="spellEnd"/>
      <w:r w:rsidRPr="00765AD6">
        <w:rPr>
          <w:rFonts w:ascii="Times New Roman" w:hAnsi="Times New Roman" w:cs="Times New Roman"/>
        </w:rPr>
        <w:t xml:space="preserve">, K. N. Suchetha, and S. Veena, "Synthesis of some halogen-containing 1,2,4-triazolo-1,3,4-thiadiazines and their antibacterial and anticancer screening studies—Part I," </w:t>
      </w:r>
      <w:r w:rsidRPr="00765AD6">
        <w:rPr>
          <w:rFonts w:ascii="Times New Roman" w:hAnsi="Times New Roman" w:cs="Times New Roman"/>
          <w:i/>
          <w:iCs/>
        </w:rPr>
        <w:t xml:space="preserve">Il </w:t>
      </w:r>
      <w:proofErr w:type="spellStart"/>
      <w:r w:rsidRPr="00765AD6">
        <w:rPr>
          <w:rFonts w:ascii="Times New Roman" w:hAnsi="Times New Roman" w:cs="Times New Roman"/>
          <w:i/>
          <w:iCs/>
        </w:rPr>
        <w:t>Farmaco</w:t>
      </w:r>
      <w:proofErr w:type="spellEnd"/>
      <w:r w:rsidRPr="00765AD6">
        <w:rPr>
          <w:rFonts w:ascii="Times New Roman" w:hAnsi="Times New Roman" w:cs="Times New Roman"/>
        </w:rPr>
        <w:t>, vol. 56, pp. 565–570, 2001.</w:t>
      </w:r>
    </w:p>
    <w:p w14:paraId="719683E9" w14:textId="77777777" w:rsidR="00765AD6" w:rsidRPr="00993EFF" w:rsidRDefault="00765AD6" w:rsidP="00993EFF">
      <w:pPr>
        <w:spacing w:line="360" w:lineRule="auto"/>
        <w:jc w:val="both"/>
        <w:rPr>
          <w:rFonts w:ascii="Times New Roman" w:hAnsi="Times New Roman" w:cs="Times New Roman"/>
        </w:rPr>
      </w:pPr>
    </w:p>
    <w:p w14:paraId="364F71BD" w14:textId="77777777" w:rsidR="00993EFF" w:rsidRPr="00F1085D" w:rsidRDefault="00993EFF" w:rsidP="00F1085D">
      <w:pPr>
        <w:spacing w:line="360" w:lineRule="auto"/>
        <w:jc w:val="both"/>
        <w:rPr>
          <w:rFonts w:ascii="Times New Roman" w:hAnsi="Times New Roman" w:cs="Times New Roman"/>
        </w:rPr>
      </w:pPr>
    </w:p>
    <w:p w14:paraId="20CB2F50" w14:textId="77777777" w:rsidR="00EC0751" w:rsidRPr="00F1085D" w:rsidRDefault="00EC0751" w:rsidP="00EC0751">
      <w:pPr>
        <w:spacing w:line="360" w:lineRule="auto"/>
        <w:rPr>
          <w:rFonts w:ascii="Times New Roman" w:hAnsi="Times New Roman" w:cs="Times New Roman"/>
        </w:rPr>
      </w:pPr>
    </w:p>
    <w:sectPr w:rsidR="00EC0751" w:rsidRPr="00F108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2EB"/>
    <w:rsid w:val="000B22EB"/>
    <w:rsid w:val="000D6DC8"/>
    <w:rsid w:val="001D39FD"/>
    <w:rsid w:val="00200B98"/>
    <w:rsid w:val="002451C3"/>
    <w:rsid w:val="003401BE"/>
    <w:rsid w:val="003C428A"/>
    <w:rsid w:val="0041302D"/>
    <w:rsid w:val="0043237C"/>
    <w:rsid w:val="0044089B"/>
    <w:rsid w:val="00584221"/>
    <w:rsid w:val="005E24C8"/>
    <w:rsid w:val="005E2885"/>
    <w:rsid w:val="00616566"/>
    <w:rsid w:val="006332C8"/>
    <w:rsid w:val="00633523"/>
    <w:rsid w:val="00636426"/>
    <w:rsid w:val="006538DE"/>
    <w:rsid w:val="00656298"/>
    <w:rsid w:val="00667863"/>
    <w:rsid w:val="00670186"/>
    <w:rsid w:val="00765AD6"/>
    <w:rsid w:val="007C1888"/>
    <w:rsid w:val="007C587C"/>
    <w:rsid w:val="00846FF7"/>
    <w:rsid w:val="008A69EE"/>
    <w:rsid w:val="008B791B"/>
    <w:rsid w:val="008C27BB"/>
    <w:rsid w:val="00911179"/>
    <w:rsid w:val="00993EFF"/>
    <w:rsid w:val="009C4BD3"/>
    <w:rsid w:val="00A17D72"/>
    <w:rsid w:val="00B24055"/>
    <w:rsid w:val="00B34720"/>
    <w:rsid w:val="00C342E7"/>
    <w:rsid w:val="00D2685F"/>
    <w:rsid w:val="00D40AC6"/>
    <w:rsid w:val="00D60E99"/>
    <w:rsid w:val="00E60A85"/>
    <w:rsid w:val="00E67D2C"/>
    <w:rsid w:val="00E77828"/>
    <w:rsid w:val="00EB5981"/>
    <w:rsid w:val="00EC0751"/>
    <w:rsid w:val="00ED3E2B"/>
    <w:rsid w:val="00ED6963"/>
    <w:rsid w:val="00EE2DB3"/>
    <w:rsid w:val="00F1085D"/>
    <w:rsid w:val="00F20C89"/>
    <w:rsid w:val="00F514F3"/>
    <w:rsid w:val="00F65093"/>
    <w:rsid w:val="00FE2A32"/>
    <w:rsid w:val="00FE748D"/>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71CF0"/>
  <w15:chartTrackingRefBased/>
  <w15:docId w15:val="{D80CEE67-0182-4457-B2FE-879E80520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gu-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2E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22E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B22E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22E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22E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22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22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22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22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2E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22E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22E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22E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22E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22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22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22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22EB"/>
    <w:rPr>
      <w:rFonts w:eastAsiaTheme="majorEastAsia" w:cstheme="majorBidi"/>
      <w:color w:val="272727" w:themeColor="text1" w:themeTint="D8"/>
    </w:rPr>
  </w:style>
  <w:style w:type="paragraph" w:styleId="Title">
    <w:name w:val="Title"/>
    <w:basedOn w:val="Normal"/>
    <w:next w:val="Normal"/>
    <w:link w:val="TitleChar"/>
    <w:uiPriority w:val="10"/>
    <w:qFormat/>
    <w:rsid w:val="000B22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2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22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22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22EB"/>
    <w:pPr>
      <w:spacing w:before="160"/>
      <w:jc w:val="center"/>
    </w:pPr>
    <w:rPr>
      <w:i/>
      <w:iCs/>
      <w:color w:val="404040" w:themeColor="text1" w:themeTint="BF"/>
    </w:rPr>
  </w:style>
  <w:style w:type="character" w:customStyle="1" w:styleId="QuoteChar">
    <w:name w:val="Quote Char"/>
    <w:basedOn w:val="DefaultParagraphFont"/>
    <w:link w:val="Quote"/>
    <w:uiPriority w:val="29"/>
    <w:rsid w:val="000B22EB"/>
    <w:rPr>
      <w:i/>
      <w:iCs/>
      <w:color w:val="404040" w:themeColor="text1" w:themeTint="BF"/>
    </w:rPr>
  </w:style>
  <w:style w:type="paragraph" w:styleId="ListParagraph">
    <w:name w:val="List Paragraph"/>
    <w:basedOn w:val="Normal"/>
    <w:uiPriority w:val="34"/>
    <w:qFormat/>
    <w:rsid w:val="000B22EB"/>
    <w:pPr>
      <w:ind w:left="720"/>
      <w:contextualSpacing/>
    </w:pPr>
  </w:style>
  <w:style w:type="character" w:styleId="IntenseEmphasis">
    <w:name w:val="Intense Emphasis"/>
    <w:basedOn w:val="DefaultParagraphFont"/>
    <w:uiPriority w:val="21"/>
    <w:qFormat/>
    <w:rsid w:val="000B22EB"/>
    <w:rPr>
      <w:i/>
      <w:iCs/>
      <w:color w:val="2F5496" w:themeColor="accent1" w:themeShade="BF"/>
    </w:rPr>
  </w:style>
  <w:style w:type="paragraph" w:styleId="IntenseQuote">
    <w:name w:val="Intense Quote"/>
    <w:basedOn w:val="Normal"/>
    <w:next w:val="Normal"/>
    <w:link w:val="IntenseQuoteChar"/>
    <w:uiPriority w:val="30"/>
    <w:qFormat/>
    <w:rsid w:val="000B22E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22EB"/>
    <w:rPr>
      <w:i/>
      <w:iCs/>
      <w:color w:val="2F5496" w:themeColor="accent1" w:themeShade="BF"/>
    </w:rPr>
  </w:style>
  <w:style w:type="character" w:styleId="IntenseReference">
    <w:name w:val="Intense Reference"/>
    <w:basedOn w:val="DefaultParagraphFont"/>
    <w:uiPriority w:val="32"/>
    <w:qFormat/>
    <w:rsid w:val="000B22EB"/>
    <w:rPr>
      <w:b/>
      <w:bCs/>
      <w:smallCaps/>
      <w:color w:val="2F5496" w:themeColor="accent1" w:themeShade="BF"/>
      <w:spacing w:val="5"/>
    </w:rPr>
  </w:style>
  <w:style w:type="paragraph" w:styleId="BodyText">
    <w:name w:val="Body Text"/>
    <w:basedOn w:val="Normal"/>
    <w:link w:val="BodyTextChar"/>
    <w:uiPriority w:val="1"/>
    <w:qFormat/>
    <w:rsid w:val="000B22EB"/>
    <w:pPr>
      <w:widowControl w:val="0"/>
      <w:autoSpaceDE w:val="0"/>
      <w:autoSpaceDN w:val="0"/>
      <w:spacing w:after="0" w:line="240" w:lineRule="auto"/>
    </w:pPr>
    <w:rPr>
      <w:rFonts w:ascii="Times New Roman" w:eastAsia="Times New Roman" w:hAnsi="Times New Roman" w:cs="Times New Roman"/>
      <w:kern w:val="0"/>
      <w:sz w:val="20"/>
      <w:szCs w:val="20"/>
      <w:lang w:val="en-US" w:bidi="ar-SA"/>
      <w14:ligatures w14:val="none"/>
    </w:rPr>
  </w:style>
  <w:style w:type="character" w:customStyle="1" w:styleId="BodyTextChar">
    <w:name w:val="Body Text Char"/>
    <w:basedOn w:val="DefaultParagraphFont"/>
    <w:link w:val="BodyText"/>
    <w:uiPriority w:val="1"/>
    <w:rsid w:val="000B22EB"/>
    <w:rPr>
      <w:rFonts w:ascii="Times New Roman" w:eastAsia="Times New Roman" w:hAnsi="Times New Roman" w:cs="Times New Roman"/>
      <w:kern w:val="0"/>
      <w:sz w:val="20"/>
      <w:szCs w:val="20"/>
      <w:lang w:val="en-US" w:bidi="ar-SA"/>
      <w14:ligatures w14:val="none"/>
    </w:rPr>
  </w:style>
  <w:style w:type="character" w:styleId="CommentReference">
    <w:name w:val="annotation reference"/>
    <w:basedOn w:val="DefaultParagraphFont"/>
    <w:uiPriority w:val="99"/>
    <w:rsid w:val="000F3DF7"/>
    <w:rPr>
      <w:sz w:val="16"/>
      <w:szCs w:val="16"/>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paragraph" w:styleId="CommentText">
    <w:name w:val="annotation text"/>
    <w:basedOn w:val="Normal"/>
    <w:link w:val="CommentTextChar"/>
    <w:uiPriority w:val="99"/>
    <w:rsid w:val="000F3DF7"/>
    <w:pPr>
      <w:spacing w:line="240" w:lineRule="auto"/>
    </w:pPr>
    <w:rPr>
      <w:sz w:val="20"/>
      <w:szCs w:val="20"/>
    </w:rPr>
  </w:style>
  <w:style w:type="character" w:customStyle="1" w:styleId="CommentTextChar">
    <w:name w:val="Comment Text Char"/>
    <w:basedOn w:val="DefaultParagraphFont"/>
    <w:link w:val="CommentText"/>
    <w:uiPriority w:val="99"/>
    <w:rsid w:val="000F3DF7"/>
    <w:rPr>
      <w:sz w:val="20"/>
      <w:szCs w:val="20"/>
    </w:rPr>
  </w:style>
  <w:style w:type="character" w:styleId="Hyperlink">
    <w:name w:val="Hyperlink"/>
    <w:basedOn w:val="DefaultParagraphFont"/>
    <w:uiPriority w:val="99"/>
    <w:unhideWhenUsed/>
    <w:rsid w:val="00993EFF"/>
    <w:rPr>
      <w:color w:val="0563C1" w:themeColor="hyperlink"/>
      <w:u w:val="single"/>
    </w:rPr>
  </w:style>
  <w:style w:type="character" w:styleId="UnresolvedMention">
    <w:name w:val="Unresolved Mention"/>
    <w:basedOn w:val="DefaultParagraphFont"/>
    <w:uiPriority w:val="99"/>
    <w:semiHidden/>
    <w:unhideWhenUsed/>
    <w:rsid w:val="00993EFF"/>
    <w:rPr>
      <w:color w:val="605E5C"/>
      <w:shd w:val="clear" w:color="auto" w:fill="E1DFDD"/>
    </w:rPr>
  </w:style>
  <w:style w:type="paragraph" w:styleId="NoSpacing">
    <w:name w:val="No Spacing"/>
    <w:uiPriority w:val="1"/>
    <w:qFormat/>
    <w:rsid w:val="009C4BD3"/>
    <w:pPr>
      <w:widowControl w:val="0"/>
      <w:autoSpaceDE w:val="0"/>
      <w:autoSpaceDN w:val="0"/>
      <w:spacing w:after="0" w:line="240" w:lineRule="auto"/>
    </w:pPr>
    <w:rPr>
      <w:kern w:val="0"/>
      <w:sz w:val="22"/>
      <w:szCs w:val="22"/>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65533">
      <w:bodyDiv w:val="1"/>
      <w:marLeft w:val="0"/>
      <w:marRight w:val="0"/>
      <w:marTop w:val="0"/>
      <w:marBottom w:val="0"/>
      <w:divBdr>
        <w:top w:val="none" w:sz="0" w:space="0" w:color="auto"/>
        <w:left w:val="none" w:sz="0" w:space="0" w:color="auto"/>
        <w:bottom w:val="none" w:sz="0" w:space="0" w:color="auto"/>
        <w:right w:val="none" w:sz="0" w:space="0" w:color="auto"/>
      </w:divBdr>
    </w:div>
    <w:div w:id="222185510">
      <w:bodyDiv w:val="1"/>
      <w:marLeft w:val="0"/>
      <w:marRight w:val="0"/>
      <w:marTop w:val="0"/>
      <w:marBottom w:val="0"/>
      <w:divBdr>
        <w:top w:val="none" w:sz="0" w:space="0" w:color="auto"/>
        <w:left w:val="none" w:sz="0" w:space="0" w:color="auto"/>
        <w:bottom w:val="none" w:sz="0" w:space="0" w:color="auto"/>
        <w:right w:val="none" w:sz="0" w:space="0" w:color="auto"/>
      </w:divBdr>
    </w:div>
    <w:div w:id="263926978">
      <w:bodyDiv w:val="1"/>
      <w:marLeft w:val="0"/>
      <w:marRight w:val="0"/>
      <w:marTop w:val="0"/>
      <w:marBottom w:val="0"/>
      <w:divBdr>
        <w:top w:val="none" w:sz="0" w:space="0" w:color="auto"/>
        <w:left w:val="none" w:sz="0" w:space="0" w:color="auto"/>
        <w:bottom w:val="none" w:sz="0" w:space="0" w:color="auto"/>
        <w:right w:val="none" w:sz="0" w:space="0" w:color="auto"/>
      </w:divBdr>
    </w:div>
    <w:div w:id="343092474">
      <w:bodyDiv w:val="1"/>
      <w:marLeft w:val="0"/>
      <w:marRight w:val="0"/>
      <w:marTop w:val="0"/>
      <w:marBottom w:val="0"/>
      <w:divBdr>
        <w:top w:val="none" w:sz="0" w:space="0" w:color="auto"/>
        <w:left w:val="none" w:sz="0" w:space="0" w:color="auto"/>
        <w:bottom w:val="none" w:sz="0" w:space="0" w:color="auto"/>
        <w:right w:val="none" w:sz="0" w:space="0" w:color="auto"/>
      </w:divBdr>
    </w:div>
    <w:div w:id="584723986">
      <w:bodyDiv w:val="1"/>
      <w:marLeft w:val="0"/>
      <w:marRight w:val="0"/>
      <w:marTop w:val="0"/>
      <w:marBottom w:val="0"/>
      <w:divBdr>
        <w:top w:val="none" w:sz="0" w:space="0" w:color="auto"/>
        <w:left w:val="none" w:sz="0" w:space="0" w:color="auto"/>
        <w:bottom w:val="none" w:sz="0" w:space="0" w:color="auto"/>
        <w:right w:val="none" w:sz="0" w:space="0" w:color="auto"/>
      </w:divBdr>
    </w:div>
    <w:div w:id="624966200">
      <w:bodyDiv w:val="1"/>
      <w:marLeft w:val="0"/>
      <w:marRight w:val="0"/>
      <w:marTop w:val="0"/>
      <w:marBottom w:val="0"/>
      <w:divBdr>
        <w:top w:val="none" w:sz="0" w:space="0" w:color="auto"/>
        <w:left w:val="none" w:sz="0" w:space="0" w:color="auto"/>
        <w:bottom w:val="none" w:sz="0" w:space="0" w:color="auto"/>
        <w:right w:val="none" w:sz="0" w:space="0" w:color="auto"/>
      </w:divBdr>
    </w:div>
    <w:div w:id="925073119">
      <w:bodyDiv w:val="1"/>
      <w:marLeft w:val="0"/>
      <w:marRight w:val="0"/>
      <w:marTop w:val="0"/>
      <w:marBottom w:val="0"/>
      <w:divBdr>
        <w:top w:val="none" w:sz="0" w:space="0" w:color="auto"/>
        <w:left w:val="none" w:sz="0" w:space="0" w:color="auto"/>
        <w:bottom w:val="none" w:sz="0" w:space="0" w:color="auto"/>
        <w:right w:val="none" w:sz="0" w:space="0" w:color="auto"/>
      </w:divBdr>
    </w:div>
    <w:div w:id="993485232">
      <w:bodyDiv w:val="1"/>
      <w:marLeft w:val="0"/>
      <w:marRight w:val="0"/>
      <w:marTop w:val="0"/>
      <w:marBottom w:val="0"/>
      <w:divBdr>
        <w:top w:val="none" w:sz="0" w:space="0" w:color="auto"/>
        <w:left w:val="none" w:sz="0" w:space="0" w:color="auto"/>
        <w:bottom w:val="none" w:sz="0" w:space="0" w:color="auto"/>
        <w:right w:val="none" w:sz="0" w:space="0" w:color="auto"/>
      </w:divBdr>
    </w:div>
    <w:div w:id="1250888837">
      <w:bodyDiv w:val="1"/>
      <w:marLeft w:val="0"/>
      <w:marRight w:val="0"/>
      <w:marTop w:val="0"/>
      <w:marBottom w:val="0"/>
      <w:divBdr>
        <w:top w:val="none" w:sz="0" w:space="0" w:color="auto"/>
        <w:left w:val="none" w:sz="0" w:space="0" w:color="auto"/>
        <w:bottom w:val="none" w:sz="0" w:space="0" w:color="auto"/>
        <w:right w:val="none" w:sz="0" w:space="0" w:color="auto"/>
      </w:divBdr>
    </w:div>
    <w:div w:id="130091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pubmed.ncbi.nlm.nih.gov/36691991/?utm_source=chatgpt.com" TargetMode="External"/><Relationship Id="rId4" Type="http://schemas.openxmlformats.org/officeDocument/2006/relationships/hyperlink" Target="mailto:umeshtarpada@gmail.com"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5554</Words>
  <Characters>31663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RATHOD NEHA</dc:creator>
  <cp:lastModifiedBy>Intel</cp:lastModifiedBy>
  <cp:revision>2</cp:revision>
  <dcterms:created xsi:type="dcterms:W3CDTF">2026-03-04T07:40:00Z</dcterms:created>
  <dcterms:modified xsi:type="dcterms:W3CDTF">2026-03-04T07:40:00Z</dcterms:modified>
</cp:coreProperties>
</file>