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Style w:val="Heading1"/>
        <w:spacing w:before="0" w:line="240" w:lineRule="auto"/>
        <w:jc w:val="center"/>
        <w:rPr>
          <w:rFonts w:ascii="Times New Roman" w:cs="Times New Roman" w:eastAsia="Times New Roman" w:hAnsi="Times New Roman"/>
          <w:color w:val="000000"/>
          <w:sz w:val="36"/>
          <w:szCs w:val="36"/>
        </w:rPr>
      </w:pPr>
      <w:bookmarkStart w:colFirst="0" w:colLast="0" w:name="_55i4a2nirrmw" w:id="0"/>
      <w:bookmarkEnd w:id="0"/>
      <w:r w:rsidDel="00000000" w:rsidR="00000000" w:rsidRPr="00000000">
        <w:rPr>
          <w:rFonts w:ascii="Times New Roman" w:cs="Times New Roman" w:eastAsia="Times New Roman" w:hAnsi="Times New Roman"/>
          <w:color w:val="000000"/>
          <w:sz w:val="36"/>
          <w:szCs w:val="36"/>
          <w:rtl w:val="0"/>
        </w:rPr>
        <w:t xml:space="preserve">Identified Challenges in ALS Science Education:  Basis for Developing a Learning Intervention </w:t>
      </w:r>
    </w:p>
    <w:p w:rsidR="00000000" w:rsidDel="00000000" w:rsidP="00000000" w:rsidRDefault="00000000" w:rsidRPr="00000000" w14:paraId="0000000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r>
    </w:p>
    <w:p w:rsidR="00000000" w:rsidDel="00000000" w:rsidP="00000000" w:rsidRDefault="00000000" w:rsidRPr="00000000" w14:paraId="0000000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ab/>
        <w:tab/>
        <w:t xml:space="preserve"/>
        <w:tab/>
        <w:tab/>
        <w:t xml:space="preserve"/>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widowControl w:val="0"/>
        <w:spacing w:after="0" w:line="240" w:lineRule="auto"/>
        <w:ind w:left="720" w:righ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w:r>
      <w:r w:rsidDel="00000000" w:rsidR="00000000" w:rsidRPr="00000000">
        <w:rPr>
          <w:rFonts w:ascii="Times New Roman" w:cs="Times New Roman" w:eastAsia="Times New Roman" w:hAnsi="Times New Roman"/>
          <w:rtl w:val="0"/>
        </w:rPr>
        <w:t xml:space="preserve"/>
      </w:r>
      <w:r w:rsidDel="00000000" w:rsidR="00000000" w:rsidRPr="00000000">
        <w:rPr>
          <w:rtl w:val="0"/>
        </w:rPr>
      </w:r>
    </w:p>
    <w:p w:rsidR="00000000" w:rsidDel="00000000" w:rsidP="00000000" w:rsidRDefault="00000000" w:rsidRPr="00000000" w14:paraId="00000012">
      <w:pPr>
        <w:spacing w:after="0" w:line="240" w:lineRule="auto"/>
        <w:ind w:left="720" w:righ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0"/>
          <w:szCs w:val="20"/>
          <w:rtl w:val="0"/>
        </w:rPr>
        <w:t xml:space="preserve"/>
      </w: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13">
      <w:pPr>
        <w:spacing w:after="0" w:line="240" w:lineRule="auto"/>
        <w:ind w:left="720" w:righ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ind w:left="720" w:righ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Introduction </w:t>
      </w:r>
    </w:p>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core goals of the United Nations Educational Scientific Cultural Organization (UNESCO) is to provide education for all to mitigate illiteracy worldwide. With this, programs such as the Sustainable Development Goals (SDGs) were formed to expedite the progress toward achieving the global goals. Particularly SDG 4: Quality Education, which emphasizes the significance of education, aiming to provide inclusive, equitable, basic, and high-quality education, as well as lifelong learning opportunities for all. However, despite the continuous improvement in education in the Philippines, promoting equitable education remains a significant challenge, especially for underserved youths and adults who are unable to attend formal schooling for various reasons (Casingal &amp; Guino, 2025; Catyong et al., 2023). </w:t>
      </w:r>
    </w:p>
    <w:p w:rsidR="00000000" w:rsidDel="00000000" w:rsidP="00000000" w:rsidRDefault="00000000" w:rsidRPr="00000000" w14:paraId="00000017">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according to the Annual Poverty Indicator Survey (APIS), approximately 3.6 million out-of-school youth and adults (OSYA) have not completed basic education (Albert et al., 2024). In response to these challenges, the Department of Education (DepEd) addresses these gaps through the Alternative Learning System (ALS) program, which serves as a parallel education system to provide flexible learning opportunities tailored for out-of-school youth and adults, which enables them to continue their education and earn certification equivalent to formal education through various delivery modalities (Alvarez, 2024; Mahinay &amp; Manla, 2025). Similar to formal education, ALS curriculum also focuses on scientific and critical thinking skills, equipping learners with academic success and skills necessary for real-world challenges (Borela, 2020), and cultivates critical thinking, problem-solving, creativity, and decision-making, thereby contributing to long-term development (Cortes et al., 2024; Llego, 2022). Despite growing interest in improving education, studies reveal substantial gaps in the effectiveness of science education, especially for marginalized learners. </w:t>
      </w:r>
    </w:p>
    <w:p w:rsidR="00000000" w:rsidDel="00000000" w:rsidP="00000000" w:rsidRDefault="00000000" w:rsidRPr="00000000" w14:paraId="00000018">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shows that engagement is one of the most prevalent challenges in ALS (Casingal &amp; Guino, 2025), as well as scarcity and limited access to resources (Casingal &amp; Guino, 2025; Mahinay &amp; Manla, 2025; Ricohermoso, 2023). Aside from that, among the learning strands in ALS, the learning strand 2: scientific and critical thinking skills is one of the least developed functional literacy skills  (Ocampo, 2021), and one of the reasons is that learners often struggle with abstract concepts in science and a lack of familiarity with scientific tools (Borja &amp; Ecle, 2016), especially that among the science concepts in ALS, weather systems is identified as one of the least mastered competencies based on the Accreditation and Equivalency Test 2024-2025.  </w:t>
      </w:r>
    </w:p>
    <w:p w:rsidR="00000000" w:rsidDel="00000000" w:rsidP="00000000" w:rsidRDefault="00000000" w:rsidRPr="00000000" w14:paraId="00000019">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previous studies have identified challenges in teaching science in ALS, there is still a need to examine whether these challenges are similarly experienced in the present study context to provide a localized basis for developing an appropriate learning intervention. Thus, this</w:t>
      </w:r>
      <w:r w:rsidDel="00000000" w:rsidR="00000000" w:rsidRPr="00000000">
        <w:rPr>
          <w:rFonts w:ascii="Times New Roman" w:cs="Times New Roman" w:eastAsia="Times New Roman" w:hAnsi="Times New Roman"/>
          <w:rtl w:val="0"/>
        </w:rPr>
        <w:t xml:space="preserve"> study aims to 1) identify the instructional challenges of ALS teachers in teaching science, 2) identify the teaching strategies used to address the challenges, and 3) determine the most difficult topic in learning strand 2: scientific and critical thinking skills, particularly in weather systems  </w:t>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Methodology</w:t>
      </w:r>
    </w:p>
    <w:p w:rsidR="00000000" w:rsidDel="00000000" w:rsidP="00000000" w:rsidRDefault="00000000" w:rsidRPr="00000000" w14:paraId="0000001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 Research Design</w:t>
      </w:r>
    </w:p>
    <w:p w:rsidR="00000000" w:rsidDel="00000000" w:rsidP="00000000" w:rsidRDefault="00000000" w:rsidRPr="00000000" w14:paraId="0000001E">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employed a convergent parallel mixed-methods design, in which qualitative and quantitative data were collected simultaneously to produce a result (Creswell &amp; Creswell, 2018).</w:t>
      </w:r>
    </w:p>
    <w:p w:rsidR="00000000" w:rsidDel="00000000" w:rsidP="00000000" w:rsidRDefault="00000000" w:rsidRPr="00000000" w14:paraId="0000001F">
      <w:pPr>
        <w:spacing w:after="0" w:line="24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2.2 Participants and Setting</w:t>
      </w:r>
    </w:p>
    <w:p w:rsidR="00000000" w:rsidDel="00000000" w:rsidP="00000000" w:rsidRDefault="00000000" w:rsidRPr="00000000" w14:paraId="0000002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rtl w:val="0"/>
        </w:rPr>
        <w:t xml:space="preserve">The study was conducted in one of the school districts in Iligan City, Lanao del Norte, that has Alternative Learning System Community Learning Centers (ALS CLCs). The research setting was selected because ALS teachers were assigned to teach ALS learners who were unable to attend formal schooling for various reasons. </w:t>
      </w:r>
    </w:p>
    <w:p w:rsidR="00000000" w:rsidDel="00000000" w:rsidP="00000000" w:rsidRDefault="00000000" w:rsidRPr="00000000" w14:paraId="00000022">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researcher employed purposive sampling to select the participants. This sampling method was employed because participants were selected based on specific characteristics, which aligns with the objectives of the study and enabling them to provide relevant and diverse insights. Hence, this study selected five (5) ALS teachers in the Division of Iligan City with at least three (3) years of teaching experience as key informants.  </w:t>
      </w:r>
    </w:p>
    <w:p w:rsidR="00000000" w:rsidDel="00000000" w:rsidP="00000000" w:rsidRDefault="00000000" w:rsidRPr="00000000" w14:paraId="00000023">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2.3 Research Instrument </w:t>
      </w:r>
    </w:p>
    <w:p w:rsidR="00000000" w:rsidDel="00000000" w:rsidP="00000000" w:rsidRDefault="00000000" w:rsidRPr="00000000" w14:paraId="00000025">
      <w:pPr>
        <w:spacing w:after="0" w:line="240" w:lineRule="auto"/>
        <w:ind w:left="0" w:firstLine="72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rtl w:val="0"/>
        </w:rPr>
        <w:t xml:space="preserve">The research instruments were adapted from Paez (2025) and Lindayao et al. (2025) to assess the challenges and needs of ALS learners and teachers, specifically in terms of mode of delivery, learning materials, and the most difficult topic in weather systems. The research instrument consists of five (5) open-ended questions, four (4) closed-ended questions, and a Likert scale in which teachers rate each topic in weather systems on how difficult they perceive it to be for their learners. The Likert scale was composed of 5 weather system topics, which were divided into four  (4) scales, wherein 4 corresponded to the most difficult, 3 corresponded to moderately difficult, 2 corresponded to slightly difficult, and 1 corresponded to not difficult. </w:t>
      </w:r>
      <w:r w:rsidDel="00000000" w:rsidR="00000000" w:rsidRPr="00000000">
        <w:rPr>
          <w:rtl w:val="0"/>
        </w:rPr>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2.4 Data Gathering Procedure</w:t>
      </w:r>
    </w:p>
    <w:p w:rsidR="00000000" w:rsidDel="00000000" w:rsidP="00000000" w:rsidRDefault="00000000" w:rsidRPr="00000000" w14:paraId="00000028">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researcher initially requested approval to conduct the study from the Division Schools Superintendent, Public School District Supervisor (PSDS), and ALS teachers, respectively. Upon approval, the needs assessment questionnaire was administered to ALS teachers to gather insights into their instructional challenges and needs in teaching science to ALS learners, as well as to obtain data on the most perceived difficult topic in learning strand 2: scientific and critical thinking skills, particularly in weather systems. After the results were collected, they were organized and analyzed. The acquired data will then be used as a foundation for designing and developing a learning intervention. </w:t>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ensured that participation would be entirely voluntary. Before data collection, respondents were informed of their right to withdraw at any point without penalty or consequence. Moreover, all information obtained was handled with utmost confidentiality in accordance with the Philippine Constitution, specifically Act No. 10173, “Data Privacy Act of 2012”. The collected data were used solely for the study and were not shared with third parties without the participant's consent. </w:t>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2.5 Data Analysis</w:t>
      </w:r>
    </w:p>
    <w:p w:rsidR="00000000" w:rsidDel="00000000" w:rsidP="00000000" w:rsidRDefault="00000000" w:rsidRPr="00000000" w14:paraId="0000002C">
      <w:pPr>
        <w:widowControl w:val="1"/>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employed both quantitative and qualitative data analysis. The study employed thematic analysis to identify the challenges of ALS teachers in teaching science and to determine the strategic approach in overcoming the challenges. This approach was used to systemically identify, organize, and interpret patterns of meaning within the dataset (Nowell et al., 2017). </w:t>
      </w:r>
    </w:p>
    <w:p w:rsidR="00000000" w:rsidDel="00000000" w:rsidP="00000000" w:rsidRDefault="00000000" w:rsidRPr="00000000" w14:paraId="0000002D">
      <w:pPr>
        <w:widowControl w:val="1"/>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Whilst the quantitative data used descriptive statistics, such as the mean and its interpretation to determine the most perceived difficult topic in weather systems in ALS.</w:t>
      </w:r>
    </w:p>
    <w:p w:rsidR="00000000" w:rsidDel="00000000" w:rsidP="00000000" w:rsidRDefault="00000000" w:rsidRPr="00000000" w14:paraId="0000002E">
      <w:pPr>
        <w:widowControl w:val="1"/>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F">
      <w:pPr>
        <w:widowControl w:val="1"/>
        <w:spacing w:after="0" w:line="24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0">
      <w:pPr>
        <w:widowControl w:val="1"/>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Results and Discussion</w:t>
      </w:r>
    </w:p>
    <w:p w:rsidR="00000000" w:rsidDel="00000000" w:rsidP="00000000" w:rsidRDefault="00000000" w:rsidRPr="00000000" w14:paraId="00000031">
      <w:pPr>
        <w:widowControl w:val="1"/>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Summary of the Results of the Needs Assessment of the Key Informants</w:t>
      </w:r>
    </w:p>
    <w:p w:rsidR="00000000" w:rsidDel="00000000" w:rsidP="00000000" w:rsidRDefault="00000000" w:rsidRPr="00000000" w14:paraId="00000032">
      <w:pPr>
        <w:widowControl w:val="1"/>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3">
      <w:pPr>
        <w:widowControl w:val="1"/>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Table 3.1 </w:t>
      </w:r>
      <w:r w:rsidDel="00000000" w:rsidR="00000000" w:rsidRPr="00000000">
        <w:rPr>
          <w:rFonts w:ascii="Times New Roman" w:cs="Times New Roman" w:eastAsia="Times New Roman" w:hAnsi="Times New Roman"/>
          <w:sz w:val="20"/>
          <w:szCs w:val="20"/>
          <w:rtl w:val="0"/>
        </w:rPr>
        <w:t xml:space="preserve">Challenges in Teaching Science in ALS </w:t>
      </w:r>
    </w:p>
    <w:p w:rsidR="00000000" w:rsidDel="00000000" w:rsidP="00000000" w:rsidRDefault="00000000" w:rsidRPr="00000000" w14:paraId="00000034">
      <w:pPr>
        <w:widowControl w:val="1"/>
        <w:spacing w:after="0" w:line="240" w:lineRule="auto"/>
        <w:rPr>
          <w:rFonts w:ascii="Times New Roman" w:cs="Times New Roman" w:eastAsia="Times New Roman" w:hAnsi="Times New Roman"/>
          <w:b w:val="1"/>
          <w:bCs w:val="1"/>
          <w:sz w:val="20"/>
          <w:szCs w:val="20"/>
        </w:rPr>
      </w:pPr>
      <w:r w:rsidDel="00000000" w:rsidR="00000000" w:rsidRPr="00000000">
        <w:rPr>
          <w:rtl w:val="0"/>
        </w:rPr>
      </w:r>
    </w:p>
    <w:tbl>
      <w:tblPr>
        <w:tblStyle w:val="Table1"/>
        <w:tblW w:w="786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622.6666666666665"/>
        <w:gridCol w:w="2622.6666666666665"/>
        <w:gridCol w:w="2622.6666666666665"/>
        <w:tblGridChange w:id="0">
          <w:tblGrid>
            <w:gridCol w:w="2622.6666666666665"/>
            <w:gridCol w:w="2622.6666666666665"/>
            <w:gridCol w:w="2622.6666666666665"/>
          </w:tblGrid>
        </w:tblGridChange>
      </w:tblGrid>
      <w:tr>
        <w:trPr>
          <w:cantSplit w:val="0"/>
          <w:trHeight w:val="144" w:hRule="atLeast"/>
          <w:tblHeader w:val="0"/>
        </w:trPr>
        <w:tc>
          <w:tcPr>
            <w:tcBorders>
              <w:top w:color="000000" w:space="0" w:sz="8" w:val="single"/>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Codes</w:t>
            </w:r>
          </w:p>
        </w:tc>
        <w:tc>
          <w:tcPr>
            <w:tcBorders>
              <w:top w:color="000000" w:space="0" w:sz="8" w:val="single"/>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Mentions</w:t>
            </w:r>
          </w:p>
        </w:tc>
        <w:tc>
          <w:tcPr>
            <w:tcBorders>
              <w:top w:color="000000" w:space="0" w:sz="8" w:val="single"/>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Utterances</w:t>
            </w:r>
          </w:p>
        </w:tc>
      </w:tr>
      <w:tr>
        <w:trPr>
          <w:cantSplit w:val="0"/>
          <w:tblHeader w:val="0"/>
        </w:trPr>
        <w:tc>
          <w:tcPr>
            <w:tcBorders>
              <w:top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Learning Engagement </w:t>
            </w:r>
          </w:p>
        </w:tc>
        <w:tc>
          <w:tcPr>
            <w:tcBorders>
              <w:top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“Learning engagement of the learners (K1).</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“One of the challenges also involved how to engage them during the class and to motivate them to attend the class (K2).”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“I also found difficulty in engaging my students since they are diverse learners, so you need to think a lot of ways on how to motivate them to go to school and engage them in the discussion since they have short attention span (K4).”</w:t>
            </w: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Insufficient learning material and resources</w:t>
            </w:r>
          </w:p>
        </w:tc>
        <w:tc>
          <w:tcPr>
            <w:shd w:fill="auto" w:val="clear"/>
            <w:tcMar>
              <w:top w:w="0.0" w:type="dxa"/>
              <w:left w:w="0.0" w:type="dxa"/>
              <w:bottom w:w="0.0" w:type="dxa"/>
              <w:right w:w="0.0" w:type="dxa"/>
            </w:tcMa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0.0" w:type="dxa"/>
              <w:left w:w="0.0" w:type="dxa"/>
              <w:bottom w:w="0.0" w:type="dxa"/>
              <w:right w:w="0.0" w:type="dxa"/>
            </w:tcM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“Learning materials is really needed but there is insufficient or lacking of learning resources or materials to cater all the students. We lack allowance for transporation and foods for learners (K2).”</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“Develop of instructional materials (K4).”</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“One of the challenges in ALS, especially in resources is the late books / modules distribution (K5).”</w:t>
            </w: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Delivery Mode</w:t>
            </w:r>
          </w:p>
        </w:tc>
        <w:tc>
          <w:tcPr>
            <w:shd w:fill="auto" w:val="clear"/>
            <w:tcMar>
              <w:top w:w="0.0" w:type="dxa"/>
              <w:left w:w="0.0" w:type="dxa"/>
              <w:bottom w:w="0.0" w:type="dxa"/>
              <w:right w:w="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“So, the idea of not having an encounter face to face on a daily basis is so challenging for us, ALS teachers (T3).”</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Lack of teacher training in science</w:t>
            </w:r>
          </w:p>
        </w:tc>
        <w:tc>
          <w:tcPr>
            <w:shd w:fill="auto" w:val="clear"/>
            <w:tcMar>
              <w:top w:w="0.0" w:type="dxa"/>
              <w:left w:w="0.0" w:type="dxa"/>
              <w:bottom w:w="0.0" w:type="dxa"/>
              <w:right w:w="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0.0" w:type="dxa"/>
              <w:left w:w="0.0" w:type="dxa"/>
              <w:bottom w:w="0.0" w:type="dxa"/>
              <w:right w:w="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“Teachers need to think creatively to create some teacher-made activities (T2).”</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“Lack of training skills in science (T4).”</w:t>
            </w:r>
          </w:p>
        </w:tc>
      </w:tr>
      <w:tr>
        <w:trPr>
          <w:cantSplit w:val="0"/>
          <w:tblHeader w:val="0"/>
        </w:trPr>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Time management</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“I’m having difficulties in time management since some of the topics need a lot of time to discuss, but we are only given at most 45 mins to discuss the lesson, and we only meet twice to thrice a week (T5).”</w:t>
            </w:r>
          </w:p>
        </w:tc>
      </w:tr>
    </w:tbl>
    <w:p w:rsidR="00000000" w:rsidDel="00000000" w:rsidP="00000000" w:rsidRDefault="00000000" w:rsidRPr="00000000" w14:paraId="0000004C">
      <w:pPr>
        <w:spacing w:after="240" w:before="240" w:line="240" w:lineRule="auto"/>
        <w:ind w:firstLine="72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rtl w:val="0"/>
        </w:rPr>
        <w:t xml:space="preserve">Table 3.1 shows the identified challenges in teaching in Alternative Learning System (ALS). As shown in Table 3.1, these challenges are multifaceted and affect the teaching and learning process for ALS teachers and learners. The significant challenge identified is keeping learners engaged in class, consistent with Casingal &amp; Guino (2025), and one barrier to learner engagement is learners’ short attention spans, which aligns with Shuwara et al. (2025).  Aside from engagement, insufficient learning materials are also a prevalent challenge in Alternative Learning Systems (ALS), as supported by Casingal &amp; Guino, 2025; Mahinay &amp; Manla, 2025; Ricohermoso, 2023, hindering teachers from delivering structured and meaningful science education. Moreover, resource scarcity in the Alternative Learning System (ALS) affects</w:t>
      </w:r>
      <w:r w:rsidDel="00000000" w:rsidR="00000000" w:rsidRPr="00000000">
        <w:rPr>
          <w:rFonts w:ascii="Times New Roman" w:cs="Times New Roman" w:eastAsia="Times New Roman" w:hAnsi="Times New Roman"/>
          <w:rtl w:val="0"/>
        </w:rPr>
        <w:t xml:space="preserve"> the quality of education and learning outcomes (Albert et al., 2024). Moreover, lack of teacher training in science is deemed as one of the challenges in ALS, which can affect their instructional quality</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rtl w:val="0"/>
        </w:rPr>
        <w:t xml:space="preserve">Additionally, the limited face-to-face class undermines instructional continuity and engagement, making it more difficult to sustain learning, especially in content-heavy topics. Moreover, Antipuesto et al. (2023) emphasized that time constraints and inadequate academic readiness significantly hinder the learning process of ALS learners, underscoring the need for more adaptive teaching strategies and robust institutional support. </w:t>
      </w:r>
      <w:r w:rsidDel="00000000" w:rsidR="00000000" w:rsidRPr="00000000">
        <w:rPr>
          <w:rtl w:val="0"/>
        </w:rPr>
      </w:r>
    </w:p>
    <w:p w:rsidR="00000000" w:rsidDel="00000000" w:rsidP="00000000" w:rsidRDefault="00000000" w:rsidRPr="00000000" w14:paraId="0000004D">
      <w:pPr>
        <w:widowControl w:val="1"/>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Table 3.2 </w:t>
      </w:r>
      <w:r w:rsidDel="00000000" w:rsidR="00000000" w:rsidRPr="00000000">
        <w:rPr>
          <w:rFonts w:ascii="Times New Roman" w:cs="Times New Roman" w:eastAsia="Times New Roman" w:hAnsi="Times New Roman"/>
          <w:sz w:val="20"/>
          <w:szCs w:val="20"/>
          <w:rtl w:val="0"/>
        </w:rPr>
        <w:t xml:space="preserve">Teaching Strategies Used to Address the Challenges</w:t>
      </w:r>
      <w:r w:rsidDel="00000000" w:rsidR="00000000" w:rsidRPr="00000000">
        <w:rPr>
          <w:rtl w:val="0"/>
        </w:rPr>
      </w:r>
    </w:p>
    <w:tbl>
      <w:tblPr>
        <w:tblStyle w:val="Table2"/>
        <w:tblW w:w="786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622.6666666666665"/>
        <w:gridCol w:w="2622.6666666666665"/>
        <w:gridCol w:w="2622.6666666666665"/>
        <w:tblGridChange w:id="0">
          <w:tblGrid>
            <w:gridCol w:w="2622.6666666666665"/>
            <w:gridCol w:w="2622.6666666666665"/>
            <w:gridCol w:w="2622.6666666666665"/>
          </w:tblGrid>
        </w:tblGridChange>
      </w:tblGrid>
      <w:tr>
        <w:trPr>
          <w:cantSplit w:val="0"/>
          <w:tblHeader w:val="0"/>
        </w:trPr>
        <w:tc>
          <w:tcPr>
            <w:tcBorders>
              <w:top w:color="000000" w:space="0" w:sz="8" w:val="single"/>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Codes</w:t>
            </w:r>
          </w:p>
        </w:tc>
        <w:tc>
          <w:tcPr>
            <w:tcBorders>
              <w:top w:color="000000" w:space="0" w:sz="8" w:val="single"/>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Mentions</w:t>
            </w:r>
          </w:p>
        </w:tc>
        <w:tc>
          <w:tcPr>
            <w:tcBorders>
              <w:top w:color="000000" w:space="0" w:sz="8" w:val="single"/>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0">
            <w:pPr>
              <w:spacing w:after="0" w:line="24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Utterances</w:t>
            </w:r>
          </w:p>
        </w:tc>
      </w:tr>
      <w:tr>
        <w:trPr>
          <w:cantSplit w:val="0"/>
          <w:tblHeader w:val="0"/>
        </w:trPr>
        <w:tc>
          <w:tcPr>
            <w:tcBorders>
              <w:top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Skills Training </w:t>
            </w:r>
          </w:p>
        </w:tc>
        <w:tc>
          <w:tcPr>
            <w:tcBorders>
              <w:top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“Conducted skills training to sustain the program (K1).”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Financial support</w:t>
            </w:r>
          </w:p>
        </w:tc>
        <w:tc>
          <w:tcPr>
            <w:shd w:fill="auto" w:val="clear"/>
            <w:tcMar>
              <w:top w:w="0.0" w:type="dxa"/>
              <w:left w:w="0.0" w:type="dxa"/>
              <w:bottom w:w="0.0" w:type="dxa"/>
              <w:right w:w="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0.0" w:type="dxa"/>
              <w:left w:w="0.0" w:type="dxa"/>
              <w:bottom w:w="0.0" w:type="dxa"/>
              <w:right w:w="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“To overcome such challenges, we use our pocket money to provide materials for them and instead of using gadgets, we opt to create activities for students to understand the lesson better (K2).”</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“...and with regards to the resources, I ask for sponsors thru linkages (K5).”</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Vocational integration</w:t>
            </w:r>
          </w:p>
        </w:tc>
        <w:tc>
          <w:tcPr>
            <w:shd w:fill="auto" w:val="clear"/>
            <w:tcMar>
              <w:top w:w="0.0" w:type="dxa"/>
              <w:left w:w="0.0" w:type="dxa"/>
              <w:bottom w:w="0.0" w:type="dxa"/>
              <w:right w:w="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“...we incorporate livelihood training skills, which they can use in their day to day lives (this help them motivate to attend the class) (K2).”</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Differentiated instructions</w:t>
            </w:r>
          </w:p>
        </w:tc>
        <w:tc>
          <w:tcPr>
            <w:shd w:fill="auto" w:val="clear"/>
            <w:tcMar>
              <w:top w:w="0.0" w:type="dxa"/>
              <w:left w:w="0.0" w:type="dxa"/>
              <w:bottom w:w="0.0" w:type="dxa"/>
              <w:right w:w="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I  give them differentiated instructions (K4).” </w:t>
            </w:r>
          </w:p>
        </w:tc>
      </w:tr>
      <w:tr>
        <w:trPr>
          <w:cantSplit w:val="0"/>
          <w:tblHeader w:val="0"/>
        </w:trPr>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Time management</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“I overcame these challenges through study the lesson ahead of time (K4).”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“Things that help me overcome these challenges is to be patient with them (K5).”</w:t>
            </w:r>
          </w:p>
        </w:tc>
      </w:tr>
    </w:tbl>
    <w:p w:rsidR="00000000" w:rsidDel="00000000" w:rsidP="00000000" w:rsidRDefault="00000000" w:rsidRPr="00000000" w14:paraId="0000006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rtl w:val="0"/>
        </w:rPr>
        <w:t xml:space="preserve">As shown in Table 3.2, there are teaching approaches that can help mitigate the challenges in Alternative Learning System (ALS). Teachers demonstrate strong initiative by providing financial support to learners, including personal funds and community linkages, reflecting the need to compensate for limited instructional materials. One of the most frequently used teaching strategies is time management, specifically advanced lesson preparation and sustained patience, to compensate for limited contact time and irregular attendance. Similarly, Bi et al. (2023) highlighted in their study that differentiated instruction is an effective inclusive teaching strategy for addressing learners’ diverse needs, notably that learners in Alternative Learning System (ALS) are diverse learners. In consistent to Casingal (2025), integrating livelihood skills in Alternative Learning System (ALS) provides an effective strategy to improve their engagement in class,  as well as conducting skills training for ALS teachers to effectively teach the learners. </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Table 3.3 </w:t>
      </w:r>
      <w:r w:rsidDel="00000000" w:rsidR="00000000" w:rsidRPr="00000000">
        <w:rPr>
          <w:rFonts w:ascii="Times New Roman" w:cs="Times New Roman" w:eastAsia="Times New Roman" w:hAnsi="Times New Roman"/>
          <w:sz w:val="20"/>
          <w:szCs w:val="20"/>
          <w:rtl w:val="0"/>
        </w:rPr>
        <w:t xml:space="preserve">Perceived Difficulty Levels of Topics in Weather Systems </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787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300"/>
        <w:gridCol w:w="2280"/>
        <w:gridCol w:w="2295"/>
        <w:tblGridChange w:id="0">
          <w:tblGrid>
            <w:gridCol w:w="3300"/>
            <w:gridCol w:w="2280"/>
            <w:gridCol w:w="2295"/>
          </w:tblGrid>
        </w:tblGridChange>
      </w:tblGrid>
      <w:tr>
        <w:trPr>
          <w:cantSplit w:val="0"/>
          <w:tblHeader w:val="0"/>
        </w:trPr>
        <w:tc>
          <w:tcPr>
            <w:tcBorders>
              <w:top w:color="000000" w:space="0" w:sz="8" w:val="single"/>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Topic</w:t>
            </w:r>
          </w:p>
        </w:tc>
        <w:tc>
          <w:tcPr>
            <w:tcBorders>
              <w:top w:color="000000" w:space="0" w:sz="8" w:val="single"/>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Mean</w:t>
            </w:r>
          </w:p>
        </w:tc>
        <w:tc>
          <w:tcPr>
            <w:tcBorders>
              <w:top w:color="000000" w:space="0" w:sz="8" w:val="single"/>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Interpretation</w:t>
            </w:r>
          </w:p>
        </w:tc>
      </w:tr>
      <w:tr>
        <w:trPr>
          <w:cantSplit w:val="0"/>
          <w:tblHeader w:val="0"/>
        </w:trPr>
        <w:tc>
          <w:tcPr>
            <w:tcBorders>
              <w:top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Northeast and Southwest Monsoon</w:t>
            </w:r>
          </w:p>
        </w:tc>
        <w:tc>
          <w:tcPr>
            <w:tcBorders>
              <w:top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A">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6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Moderately difficult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Tropical Cyclone</w:t>
            </w:r>
          </w:p>
        </w:tc>
        <w:tc>
          <w:tcPr>
            <w:shd w:fill="auto" w:val="clear"/>
            <w:tcMar>
              <w:top w:w="0.0" w:type="dxa"/>
              <w:left w:w="0.0" w:type="dxa"/>
              <w:bottom w:w="0.0" w:type="dxa"/>
              <w:right w:w="0.0" w:type="dxa"/>
            </w:tcMar>
            <w:vAlign w:val="top"/>
          </w:tcPr>
          <w:p w:rsidR="00000000" w:rsidDel="00000000" w:rsidP="00000000" w:rsidRDefault="00000000" w:rsidRPr="00000000" w14:paraId="0000006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auto" w:val="clear"/>
            <w:tcMar>
              <w:top w:w="0.0" w:type="dxa"/>
              <w:left w:w="0.0" w:type="dxa"/>
              <w:bottom w:w="0.0" w:type="dxa"/>
              <w:right w:w="0.0" w:type="dxa"/>
            </w:tcMar>
            <w:vAlign w:val="top"/>
          </w:tcPr>
          <w:p w:rsidR="00000000" w:rsidDel="00000000" w:rsidP="00000000" w:rsidRDefault="00000000" w:rsidRPr="00000000" w14:paraId="0000006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Most difficult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Thunderstorms</w:t>
            </w:r>
          </w:p>
        </w:tc>
        <w:tc>
          <w:tcPr>
            <w:shd w:fill="auto" w:val="clear"/>
            <w:tcMar>
              <w:top w:w="0.0" w:type="dxa"/>
              <w:left w:w="0.0" w:type="dxa"/>
              <w:bottom w:w="0.0" w:type="dxa"/>
              <w:right w:w="0.0" w:type="dxa"/>
            </w:tcMar>
            <w:vAlign w:val="top"/>
          </w:tcPr>
          <w:p w:rsidR="00000000" w:rsidDel="00000000" w:rsidP="00000000" w:rsidRDefault="00000000" w:rsidRPr="00000000" w14:paraId="0000007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0.0" w:type="dxa"/>
              <w:left w:w="0.0" w:type="dxa"/>
              <w:bottom w:w="0.0" w:type="dxa"/>
              <w:right w:w="0.0" w:type="dxa"/>
            </w:tcMar>
            <w:vAlign w:val="top"/>
          </w:tcPr>
          <w:p w:rsidR="00000000" w:rsidDel="00000000" w:rsidP="00000000" w:rsidRDefault="00000000" w:rsidRPr="00000000" w14:paraId="0000007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difficult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Tornado</w:t>
            </w:r>
          </w:p>
        </w:tc>
        <w:tc>
          <w:tcPr>
            <w:shd w:fill="auto" w:val="clear"/>
            <w:tcMar>
              <w:top w:w="0.0" w:type="dxa"/>
              <w:left w:w="0.0" w:type="dxa"/>
              <w:bottom w:w="0.0" w:type="dxa"/>
              <w:right w:w="0.0" w:type="dxa"/>
            </w:tcMar>
            <w:vAlign w:val="top"/>
          </w:tcPr>
          <w:p w:rsidR="00000000" w:rsidDel="00000000" w:rsidP="00000000" w:rsidRDefault="00000000" w:rsidRPr="00000000" w14:paraId="0000007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0.0" w:type="dxa"/>
              <w:left w:w="0.0" w:type="dxa"/>
              <w:bottom w:w="0.0" w:type="dxa"/>
              <w:right w:w="0.0" w:type="dxa"/>
            </w:tcMar>
            <w:vAlign w:val="top"/>
          </w:tcPr>
          <w:p w:rsidR="00000000" w:rsidDel="00000000" w:rsidP="00000000" w:rsidRDefault="00000000" w:rsidRPr="00000000" w14:paraId="0000007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difficult</w:t>
            </w:r>
          </w:p>
        </w:tc>
      </w:tr>
      <w:tr>
        <w:trPr>
          <w:cantSplit w:val="0"/>
          <w:tblHeader w:val="0"/>
        </w:trPr>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Weather Fronts</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6">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bottom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7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Slightly difficult</w:t>
            </w:r>
          </w:p>
        </w:tc>
      </w:tr>
    </w:tbl>
    <w:p w:rsidR="00000000" w:rsidDel="00000000" w:rsidP="00000000" w:rsidRDefault="00000000" w:rsidRPr="00000000" w14:paraId="00000078">
      <w:pPr>
        <w:spacing w:after="0" w:line="24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Note: 1.00-1.75 - Not difficult; 1.76-2.5 - Slightly difficult; 2.51-3.25 Moderately difficult;  </w:t>
      </w:r>
    </w:p>
    <w:p w:rsidR="00000000" w:rsidDel="00000000" w:rsidP="00000000" w:rsidRDefault="00000000" w:rsidRPr="00000000" w14:paraId="00000079">
      <w:pPr>
        <w:spacing w:after="0" w:line="240" w:lineRule="auto"/>
        <w:ind w:left="450" w:firstLine="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3.26-4.00 Most difficult</w:t>
        <w:tab/>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3.3 shows the perceived difficulty levels of topics in weather systems in ALS, as evaluated by five (5) key informants. The data reveal that, among weather system topics, tropical cyclones are perceived as the most difficult (M=3.4), indicating that learners struggle to understand this topic in Learning Strand 2: Scientific and Critical Thinking Skills. This is followed by Northeast and Southwest Monsoon (M=2.8), interpreted as moderately difficult. In contrast, the Weather Fronts topic presented a lower level of difficulty, which is interpreted as slightly difficult. Furthermore, the least difficult topic in weather systems in Alternative Learning System (ALS) is thunderstorms and tornadoes, indicating that learners have minimal difficulty understanding it. </w:t>
      </w:r>
    </w:p>
    <w:p w:rsidR="00000000" w:rsidDel="00000000" w:rsidP="00000000" w:rsidRDefault="00000000" w:rsidRPr="00000000" w14:paraId="0000007C">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high perceived difficulty level of Tropical Cyclone (M=3.4) stems from the inherent complexity of the natural phenomena, which involves the connection of multi-variable systems (Wang et al., 2024; Kumar, 2022). These complex scientific concepts often lead to persistent learner misconceptions, making these concepts difficult to understand (Guerra-Reyes et al., 2024). This suggests that the topic requires higher-order thinking skills that may exceed Alternative Learning System (ALS) learners’ current cognitive capabilities and readiness. Unlike tropical cyclones, thunderstorms and tornadoes are categorized as “not difficult” because they are short-term and readily observable in the environment, allowing learners to visualize the stages of storm development through direct experience. (Roegner et al., 2024).   </w:t>
      </w:r>
    </w:p>
    <w:p w:rsidR="00000000" w:rsidDel="00000000" w:rsidP="00000000" w:rsidRDefault="00000000" w:rsidRPr="00000000" w14:paraId="0000007D">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Nevertheless, these findings can serve as a basis for developing learning interventions to teach science in ALS, helping learners fully understand weather system concepts. </w:t>
      </w:r>
    </w:p>
    <w:p w:rsidR="00000000" w:rsidDel="00000000" w:rsidP="00000000" w:rsidRDefault="00000000" w:rsidRPr="00000000" w14:paraId="0000007E">
      <w:pPr>
        <w:spacing w:after="0" w:line="24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Conclusion and Recommendations</w:t>
      </w:r>
    </w:p>
    <w:p w:rsidR="00000000" w:rsidDel="00000000" w:rsidP="00000000" w:rsidRDefault="00000000" w:rsidRPr="00000000" w14:paraId="0000008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rtl w:val="0"/>
        </w:rPr>
        <w:t xml:space="preserve">This study concludes Alternative Learning System (ALS) encounters a complex array of challenges that compromise the quality of instructional delivery, most notably in sustaining learners’ engagement. To mitigate these barriers, ALS educators employ a variety of adaptive strategies. These include utilizing personal financial resources to address the limited instructional materials and resources,  integrating practical livelihood skills into the curriculum, applying differentiated instruction to accommodate diverse needs, pursuing continuous professional training, and exercising strategic time management. Furthermore, within the ALS science curriculum, tropical cyclones emerged as the most conceptually difficult topic for ALS learners. Ultimately, these integrated findings provide a vital empirical foundation for the design and development of targeted, context-responsive learning interventions. With these findings, the following are recommended: a) develop and implement a contextualized learning material for the Alternative Learning System that focuses on tropical cyclones, incorporating interactive and bite-sized lessons to enhance learner understanding and engagement, b) the Department of Education should provide professional development training for ALS teachers, especially in science to strengthen their content knowledge, improve their use of differentiated instructions, and equip them with effective teaching strategies, c) strengthen resource support by establishing partnerships with local government, non-government organizations, and stakeholders to help provide essential learning materials. </w:t>
      </w:r>
      <w:r w:rsidDel="00000000" w:rsidR="00000000" w:rsidRPr="00000000">
        <w:rPr>
          <w:rFonts w:ascii="Times New Roman" w:cs="Times New Roman" w:eastAsia="Times New Roman" w:hAnsi="Times New Roman"/>
          <w:rtl w:val="0"/>
        </w:rPr>
        <w:t xml:space="preserve">These combined efforts aim to improve instructional delivery, increase learner engagement, and address existing gaps in ALS science education.</w:t>
      </w: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sz w:val="24"/>
          <w:szCs w:val="24"/>
          <w:rtl w:val="0"/>
        </w:rPr>
        <w:t xml:space="preserve">. References </w:t>
      </w:r>
    </w:p>
    <w:p w:rsidR="00000000" w:rsidDel="00000000" w:rsidP="00000000" w:rsidRDefault="00000000" w:rsidRPr="00000000" w14:paraId="00000083">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Albert, J. R., Mendoza, R., Cabalfin, D. L., Mahmoud, M., &amp; Muñoz, M. (2024b). </w:t>
      </w:r>
      <w:r w:rsidDel="00000000" w:rsidR="00000000" w:rsidRPr="00000000">
        <w:rPr>
          <w:rFonts w:ascii="Times New Roman" w:cs="Times New Roman" w:eastAsia="Times New Roman" w:hAnsi="Times New Roman"/>
          <w:i w:val="1"/>
          <w:iCs w:val="1"/>
          <w:rtl w:val="0"/>
        </w:rPr>
        <w:t xml:space="preserve">A process evaluation of the Philippine Alternative Learning System</w:t>
      </w:r>
      <w:r w:rsidDel="00000000" w:rsidR="00000000" w:rsidRPr="00000000">
        <w:rPr>
          <w:rFonts w:ascii="Times New Roman" w:cs="Times New Roman" w:eastAsia="Times New Roman" w:hAnsi="Times New Roman"/>
          <w:rtl w:val="0"/>
        </w:rPr>
        <w:t xml:space="preserve">. https://doi.org/10.62986/dp2024.31</w:t>
      </w:r>
    </w:p>
    <w:p w:rsidR="00000000" w:rsidDel="00000000" w:rsidP="00000000" w:rsidRDefault="00000000" w:rsidRPr="00000000" w14:paraId="00000084">
      <w:pPr>
        <w:widowControl w:val="1"/>
        <w:spacing w:after="0" w:line="240" w:lineRule="auto"/>
        <w:ind w:left="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Alvarez, A. V. Jr. (2024). Second chances: Exploring the Philippine alternative learning system. International Journal of Scholars in Education, 7(1), 1-16. https://doi.org/10.52134/ueader.1445226</w:t>
      </w:r>
    </w:p>
    <w:p w:rsidR="00000000" w:rsidDel="00000000" w:rsidP="00000000" w:rsidRDefault="00000000" w:rsidRPr="00000000" w14:paraId="00000086">
      <w:pPr>
        <w:widowControl w:val="1"/>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Antipuesto, I. C., Quibranza, A. L. A., Ugbaniel, M. R. G., &amp; Cabello, C. A. (2023). The Alternative Learning System (ALS) students’ challenges in untangling the reading comprehension ability. </w:t>
      </w:r>
      <w:r w:rsidDel="00000000" w:rsidR="00000000" w:rsidRPr="00000000">
        <w:rPr>
          <w:rFonts w:ascii="Times New Roman" w:cs="Times New Roman" w:eastAsia="Times New Roman" w:hAnsi="Times New Roman"/>
          <w:i w:val="1"/>
          <w:iCs w:val="1"/>
          <w:rtl w:val="0"/>
        </w:rPr>
        <w:t xml:space="preserve">Zenodo (CERN European Organization for Nuclear Research)</w:t>
      </w:r>
      <w:r w:rsidDel="00000000" w:rsidR="00000000" w:rsidRPr="00000000">
        <w:rPr>
          <w:rFonts w:ascii="Times New Roman" w:cs="Times New Roman" w:eastAsia="Times New Roman" w:hAnsi="Times New Roman"/>
          <w:rtl w:val="0"/>
        </w:rPr>
        <w:t xml:space="preserve">. https://doi.org/10.5281/zenodo.8251133</w:t>
      </w:r>
    </w:p>
    <w:p w:rsidR="00000000" w:rsidDel="00000000" w:rsidP="00000000" w:rsidRDefault="00000000" w:rsidRPr="00000000" w14:paraId="00000087">
      <w:pPr>
        <w:widowControl w:val="0"/>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 M., Struyven, K., &amp; Zhu, C. (2023). Variables that influence teachers’ practice of differentiated instruction in Chinese classrooms: A study from teachers’ perspectives. </w:t>
      </w:r>
      <w:r w:rsidDel="00000000" w:rsidR="00000000" w:rsidRPr="00000000">
        <w:rPr>
          <w:rFonts w:ascii="Times New Roman" w:cs="Times New Roman" w:eastAsia="Times New Roman" w:hAnsi="Times New Roman"/>
          <w:i w:val="1"/>
          <w:iCs w:val="1"/>
          <w:rtl w:val="0"/>
        </w:rPr>
        <w:t xml:space="preserve">Frontiers in Psychology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14</w:t>
      </w:r>
      <w:r w:rsidDel="00000000" w:rsidR="00000000" w:rsidRPr="00000000">
        <w:rPr>
          <w:rFonts w:ascii="Times New Roman" w:cs="Times New Roman" w:eastAsia="Times New Roman" w:hAnsi="Times New Roman"/>
          <w:rtl w:val="0"/>
        </w:rPr>
        <w:t xml:space="preserve">, 1124259. </w:t>
      </w:r>
      <w:hyperlink r:id="rId6">
        <w:r w:rsidDel="00000000" w:rsidR="00000000" w:rsidRPr="00000000">
          <w:rPr>
            <w:rFonts w:ascii="Times New Roman" w:cs="Times New Roman" w:eastAsia="Times New Roman" w:hAnsi="Times New Roman"/>
            <w:rtl w:val="0"/>
          </w:rPr>
          <w:t xml:space="preserve">https://doi.org/10.3389/fpsyg.2023.1124259</w:t>
        </w:r>
      </w:hyperlink>
      <w:r w:rsidDel="00000000" w:rsidR="00000000" w:rsidRPr="00000000">
        <w:rPr>
          <w:rtl w:val="0"/>
        </w:rPr>
      </w:r>
    </w:p>
    <w:p w:rsidR="00000000" w:rsidDel="00000000" w:rsidP="00000000" w:rsidRDefault="00000000" w:rsidRPr="00000000" w14:paraId="00000088">
      <w:pPr>
        <w:widowControl w:val="0"/>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Borela, V. (2020). ALS Curriculum Implementation for Juvenile Delinquents in Urban and Rural Areas in the Philippines: A Comparative Analysis. Middle Eastern Journal of Research in Education and Social Sciences, 1(1), 1-14.</w:t>
      </w:r>
    </w:p>
    <w:p w:rsidR="00000000" w:rsidDel="00000000" w:rsidP="00000000" w:rsidRDefault="00000000" w:rsidRPr="00000000" w14:paraId="00000089">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Borja, E. A., &amp; Ecle, N. L. (2016). Predictors of Scientific Literacy among Alternative Learning System (ALS) Students: A model. </w:t>
      </w:r>
      <w:r w:rsidDel="00000000" w:rsidR="00000000" w:rsidRPr="00000000">
        <w:rPr>
          <w:rFonts w:ascii="Times New Roman" w:cs="Times New Roman" w:eastAsia="Times New Roman" w:hAnsi="Times New Roman"/>
          <w:i w:val="1"/>
          <w:iCs w:val="1"/>
          <w:rtl w:val="0"/>
        </w:rPr>
        <w:t xml:space="preserve">SSRN Electronic Journal</w:t>
      </w:r>
      <w:r w:rsidDel="00000000" w:rsidR="00000000" w:rsidRPr="00000000">
        <w:rPr>
          <w:rFonts w:ascii="Times New Roman" w:cs="Times New Roman" w:eastAsia="Times New Roman" w:hAnsi="Times New Roman"/>
          <w:rtl w:val="0"/>
        </w:rPr>
        <w:t xml:space="preserve">. https://doi.org/10.2139/ssrn.3138687</w:t>
      </w:r>
    </w:p>
    <w:p w:rsidR="00000000" w:rsidDel="00000000" w:rsidP="00000000" w:rsidRDefault="00000000" w:rsidRPr="00000000" w14:paraId="0000008A">
      <w:pPr>
        <w:widowControl w:val="0"/>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Casingal, C. P. (2025). </w:t>
      </w:r>
      <w:r w:rsidDel="00000000" w:rsidR="00000000" w:rsidRPr="00000000">
        <w:rPr>
          <w:rFonts w:ascii="Times New Roman" w:cs="Times New Roman" w:eastAsia="Times New Roman" w:hAnsi="Times New Roman"/>
          <w:i w:val="1"/>
          <w:iCs w:val="1"/>
          <w:rtl w:val="0"/>
        </w:rPr>
        <w:t xml:space="preserve">Competencies and professional development needs of Philippine Alternative Learning System (ALS) teachers: Strategies, challenges, and learning facilitation insights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Southeast Asian Journal of Agriculture and Allied Sciences, 5</w:t>
      </w:r>
      <w:r w:rsidDel="00000000" w:rsidR="00000000" w:rsidRPr="00000000">
        <w:rPr>
          <w:rFonts w:ascii="Times New Roman" w:cs="Times New Roman" w:eastAsia="Times New Roman" w:hAnsi="Times New Roman"/>
          <w:rtl w:val="0"/>
        </w:rPr>
        <w:t xml:space="preserve">(1), 1–20.</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rtl w:val="0"/>
          </w:rPr>
          <w:t xml:space="preserve">https://doi.org/10.63943/sajaas.vol5iss1art64pp1-20</w:t>
        </w:r>
      </w:hyperlink>
      <w:r w:rsidDel="00000000" w:rsidR="00000000" w:rsidRPr="00000000">
        <w:rPr>
          <w:rtl w:val="0"/>
        </w:rPr>
      </w:r>
    </w:p>
    <w:p w:rsidR="00000000" w:rsidDel="00000000" w:rsidP="00000000" w:rsidRDefault="00000000" w:rsidRPr="00000000" w14:paraId="0000008B">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Casingal, C., &amp; Guino, R. (2025). Bridging Literacy Gaps in Alternative Learning Systems: Reading Proficiency and Teacher Development in Philippine Education. </w:t>
      </w:r>
      <w:r w:rsidDel="00000000" w:rsidR="00000000" w:rsidRPr="00000000">
        <w:rPr>
          <w:rFonts w:ascii="Times New Roman" w:cs="Times New Roman" w:eastAsia="Times New Roman" w:hAnsi="Times New Roman"/>
          <w:i w:val="1"/>
          <w:iCs w:val="1"/>
          <w:rtl w:val="0"/>
        </w:rPr>
        <w:t xml:space="preserve">MSI Journal of Arts, Law, and Justice (MSIJALJ)</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w:t>
      </w: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08C">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Catyong, C., Dulce, M., Luchavez, A., &amp; Garciano, L. (2023). Recognizing the status, needs, and challenges of alternative learning system students in a rural district. </w:t>
      </w:r>
      <w:r w:rsidDel="00000000" w:rsidR="00000000" w:rsidRPr="00000000">
        <w:rPr>
          <w:rFonts w:ascii="Times New Roman" w:cs="Times New Roman" w:eastAsia="Times New Roman" w:hAnsi="Times New Roman"/>
          <w:i w:val="1"/>
          <w:iCs w:val="1"/>
          <w:rtl w:val="0"/>
        </w:rPr>
        <w:t xml:space="preserve">Journal of Education and Practice</w:t>
      </w:r>
      <w:r w:rsidDel="00000000" w:rsidR="00000000" w:rsidRPr="00000000">
        <w:rPr>
          <w:rFonts w:ascii="Times New Roman" w:cs="Times New Roman" w:eastAsia="Times New Roman" w:hAnsi="Times New Roman"/>
          <w:rtl w:val="0"/>
        </w:rPr>
        <w:t xml:space="preserve">. https://doi.org/10.7176/jep/14-17-04</w:t>
      </w:r>
    </w:p>
    <w:p w:rsidR="00000000" w:rsidDel="00000000" w:rsidP="00000000" w:rsidRDefault="00000000" w:rsidRPr="00000000" w14:paraId="0000008D">
      <w:pPr>
        <w:widowControl w:val="0"/>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Creswell, J. W., &amp; Creswell, J. D. (2018). </w:t>
      </w:r>
      <w:r w:rsidDel="00000000" w:rsidR="00000000" w:rsidRPr="00000000">
        <w:rPr>
          <w:rFonts w:ascii="Times New Roman" w:cs="Times New Roman" w:eastAsia="Times New Roman" w:hAnsi="Times New Roman"/>
          <w:i w:val="1"/>
          <w:iCs w:val="1"/>
          <w:rtl w:val="0"/>
        </w:rPr>
        <w:t xml:space="preserve">Research design: Qualitative, Quantitative, and Mixed Methods Approaches</w:t>
      </w:r>
      <w:r w:rsidDel="00000000" w:rsidR="00000000" w:rsidRPr="00000000">
        <w:rPr>
          <w:rFonts w:ascii="Times New Roman" w:cs="Times New Roman" w:eastAsia="Times New Roman" w:hAnsi="Times New Roman"/>
          <w:rtl w:val="0"/>
        </w:rPr>
        <w:t xml:space="preserve">. SAGE Publications, Incorporated.</w:t>
      </w:r>
    </w:p>
    <w:p w:rsidR="00000000" w:rsidDel="00000000" w:rsidP="00000000" w:rsidRDefault="00000000" w:rsidRPr="00000000" w14:paraId="0000008E">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Cortes, S. T., Lorca, A. S., Pineda, H. A., Tubog, R., &amp; Vilbar, A. (2024). Strengthening science education in basic education through a professional development program on participatory action research for science teachers. </w:t>
      </w:r>
      <w:r w:rsidDel="00000000" w:rsidR="00000000" w:rsidRPr="00000000">
        <w:rPr>
          <w:rFonts w:ascii="Times New Roman" w:cs="Times New Roman" w:eastAsia="Times New Roman" w:hAnsi="Times New Roman"/>
          <w:i w:val="1"/>
          <w:iCs w:val="1"/>
          <w:rtl w:val="0"/>
        </w:rPr>
        <w:t xml:space="preserve">Social Sciences &amp; Humanities Open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10</w:t>
      </w:r>
      <w:r w:rsidDel="00000000" w:rsidR="00000000" w:rsidRPr="00000000">
        <w:rPr>
          <w:rFonts w:ascii="Times New Roman" w:cs="Times New Roman" w:eastAsia="Times New Roman" w:hAnsi="Times New Roman"/>
          <w:rtl w:val="0"/>
        </w:rPr>
        <w:t xml:space="preserve">, 101194. https://doi.org/10.1016/j.ssaho.2024.101194</w:t>
      </w:r>
      <w:r w:rsidDel="00000000" w:rsidR="00000000" w:rsidRPr="00000000">
        <w:rPr>
          <w:rtl w:val="0"/>
        </w:rPr>
      </w:r>
    </w:p>
    <w:p w:rsidR="00000000" w:rsidDel="00000000" w:rsidP="00000000" w:rsidRDefault="00000000" w:rsidRPr="00000000" w14:paraId="0000008F">
      <w:pPr>
        <w:widowControl w:val="1"/>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Guerra-Reyes, F., Guerra-Dávila, E., Naranjo-Toro, M., Basantes-Andrade, A., &amp; Guevara-Betancourt, S. (2024). Misconceptions in the Learning of Natural Sciences: A Systematic review. </w:t>
      </w:r>
      <w:r w:rsidDel="00000000" w:rsidR="00000000" w:rsidRPr="00000000">
        <w:rPr>
          <w:rFonts w:ascii="Times New Roman" w:cs="Times New Roman" w:eastAsia="Times New Roman" w:hAnsi="Times New Roman"/>
          <w:i w:val="1"/>
          <w:iCs w:val="1"/>
          <w:rtl w:val="0"/>
        </w:rPr>
        <w:t xml:space="preserve">Education Sciences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14</w:t>
      </w:r>
      <w:r w:rsidDel="00000000" w:rsidR="00000000" w:rsidRPr="00000000">
        <w:rPr>
          <w:rFonts w:ascii="Times New Roman" w:cs="Times New Roman" w:eastAsia="Times New Roman" w:hAnsi="Times New Roman"/>
          <w:rtl w:val="0"/>
        </w:rPr>
        <w:t xml:space="preserve">(5), 497. https://doi.org/10.3390/educsci14050497</w:t>
      </w:r>
    </w:p>
    <w:p w:rsidR="00000000" w:rsidDel="00000000" w:rsidP="00000000" w:rsidRDefault="00000000" w:rsidRPr="00000000" w14:paraId="00000090">
      <w:pPr>
        <w:widowControl w:val="0"/>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Kumar, S., Biswas, K., &amp; Pandey, A. K. (2024). Forecasting formation of a tropical cyclone using reanalysis data. </w:t>
      </w:r>
      <w:r w:rsidDel="00000000" w:rsidR="00000000" w:rsidRPr="00000000">
        <w:rPr>
          <w:rFonts w:ascii="Times New Roman" w:cs="Times New Roman" w:eastAsia="Times New Roman" w:hAnsi="Times New Roman"/>
          <w:i w:val="1"/>
          <w:iCs w:val="1"/>
          <w:rtl w:val="0"/>
        </w:rPr>
        <w:t xml:space="preserve">Advances in Artificial Intelligence and Machine Learning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04</w:t>
      </w:r>
      <w:r w:rsidDel="00000000" w:rsidR="00000000" w:rsidRPr="00000000">
        <w:rPr>
          <w:rFonts w:ascii="Times New Roman" w:cs="Times New Roman" w:eastAsia="Times New Roman" w:hAnsi="Times New Roman"/>
          <w:rtl w:val="0"/>
        </w:rPr>
        <w:t xml:space="preserve">(03), 2718–2730. </w:t>
      </w:r>
      <w:hyperlink r:id="rId9">
        <w:r w:rsidDel="00000000" w:rsidR="00000000" w:rsidRPr="00000000">
          <w:rPr>
            <w:rFonts w:ascii="Times New Roman" w:cs="Times New Roman" w:eastAsia="Times New Roman" w:hAnsi="Times New Roman"/>
            <w:rtl w:val="0"/>
          </w:rPr>
          <w:t xml:space="preserve">https://doi.org/10.54364/aaiml.2024.43158</w:t>
        </w:r>
      </w:hyperlink>
      <w:r w:rsidDel="00000000" w:rsidR="00000000" w:rsidRPr="00000000">
        <w:rPr>
          <w:rtl w:val="0"/>
        </w:rPr>
      </w:r>
    </w:p>
    <w:p w:rsidR="00000000" w:rsidDel="00000000" w:rsidP="00000000" w:rsidRDefault="00000000" w:rsidRPr="00000000" w14:paraId="00000091">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Llego, M. A. (2022). Science learning in ALS: Gaps and opportunities. DepEd Research Journal, 11(1), 32– 40.</w:t>
      </w:r>
    </w:p>
    <w:p w:rsidR="00000000" w:rsidDel="00000000" w:rsidP="00000000" w:rsidRDefault="00000000" w:rsidRPr="00000000" w14:paraId="00000092">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Mahinay, R. B. D., &amp; Manla, E. C. (2025). Qualitative insights on the implementation of the alternative learning system in the Philippines. </w:t>
      </w:r>
      <w:r w:rsidDel="00000000" w:rsidR="00000000" w:rsidRPr="00000000">
        <w:rPr>
          <w:rFonts w:ascii="Times New Roman" w:cs="Times New Roman" w:eastAsia="Times New Roman" w:hAnsi="Times New Roman"/>
          <w:i w:val="1"/>
          <w:iCs w:val="1"/>
          <w:rtl w:val="0"/>
        </w:rPr>
        <w:t xml:space="preserve">European Journal of Education and Pedagogy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6</w:t>
      </w:r>
      <w:r w:rsidDel="00000000" w:rsidR="00000000" w:rsidRPr="00000000">
        <w:rPr>
          <w:rFonts w:ascii="Times New Roman" w:cs="Times New Roman" w:eastAsia="Times New Roman" w:hAnsi="Times New Roman"/>
          <w:rtl w:val="0"/>
        </w:rPr>
        <w:t xml:space="preserve">(1), 72–76. https://doi.org/10.24018/ejedu.2025.6.1.896</w:t>
      </w:r>
    </w:p>
    <w:p w:rsidR="00000000" w:rsidDel="00000000" w:rsidP="00000000" w:rsidRDefault="00000000" w:rsidRPr="00000000" w14:paraId="00000093">
      <w:pPr>
        <w:widowControl w:val="0"/>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Nowell, L. S., Norris, J. M., White, D. E., &amp; Moules, N. J. (2017). Thematic analysis. </w:t>
      </w:r>
      <w:r w:rsidDel="00000000" w:rsidR="00000000" w:rsidRPr="00000000">
        <w:rPr>
          <w:rFonts w:ascii="Times New Roman" w:cs="Times New Roman" w:eastAsia="Times New Roman" w:hAnsi="Times New Roman"/>
          <w:i w:val="1"/>
          <w:iCs w:val="1"/>
          <w:rtl w:val="0"/>
        </w:rPr>
        <w:t xml:space="preserve">International Journal of Qualitative Methods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16</w:t>
      </w:r>
      <w:r w:rsidDel="00000000" w:rsidR="00000000" w:rsidRPr="00000000">
        <w:rPr>
          <w:rFonts w:ascii="Times New Roman" w:cs="Times New Roman" w:eastAsia="Times New Roman" w:hAnsi="Times New Roman"/>
          <w:rtl w:val="0"/>
        </w:rPr>
        <w:t xml:space="preserve">(1). </w:t>
      </w:r>
      <w:hyperlink r:id="rId10">
        <w:r w:rsidDel="00000000" w:rsidR="00000000" w:rsidRPr="00000000">
          <w:rPr>
            <w:rFonts w:ascii="Times New Roman" w:cs="Times New Roman" w:eastAsia="Times New Roman" w:hAnsi="Times New Roman"/>
            <w:rtl w:val="0"/>
          </w:rPr>
          <w:t xml:space="preserve">https://doi.org/10.1177/1609406917733847</w:t>
        </w:r>
      </w:hyperlink>
      <w:r w:rsidDel="00000000" w:rsidR="00000000" w:rsidRPr="00000000">
        <w:rPr>
          <w:rtl w:val="0"/>
        </w:rPr>
      </w:r>
    </w:p>
    <w:p w:rsidR="00000000" w:rsidDel="00000000" w:rsidP="00000000" w:rsidRDefault="00000000" w:rsidRPr="00000000" w14:paraId="00000094">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Ocampo, D. M. (2021). Functional Literacy of Alternative Learning System (ALS) Learners: Basis for Sustainable Extension Activity Development. </w:t>
      </w:r>
      <w:r w:rsidDel="00000000" w:rsidR="00000000" w:rsidRPr="00000000">
        <w:rPr>
          <w:rFonts w:ascii="Times New Roman" w:cs="Times New Roman" w:eastAsia="Times New Roman" w:hAnsi="Times New Roman"/>
          <w:i w:val="1"/>
          <w:iCs w:val="1"/>
          <w:rtl w:val="0"/>
        </w:rPr>
        <w:t xml:space="preserve">European Modern Studies Journal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5</w:t>
      </w:r>
      <w:r w:rsidDel="00000000" w:rsidR="00000000" w:rsidRPr="00000000">
        <w:rPr>
          <w:rFonts w:ascii="Times New Roman" w:cs="Times New Roman" w:eastAsia="Times New Roman" w:hAnsi="Times New Roman"/>
          <w:rtl w:val="0"/>
        </w:rPr>
        <w:t xml:space="preserve">(2), 359–368. http://www.journal-ems.com/index.php/emsj/article/download/234/228</w:t>
      </w:r>
    </w:p>
    <w:p w:rsidR="00000000" w:rsidDel="00000000" w:rsidP="00000000" w:rsidRDefault="00000000" w:rsidRPr="00000000" w14:paraId="00000095">
      <w:pPr>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Ricohermoso, R. R. (2023). Mobile Facilitated instruction: Self Directed learning for ALS life skills. </w:t>
      </w:r>
      <w:r w:rsidDel="00000000" w:rsidR="00000000" w:rsidRPr="00000000">
        <w:rPr>
          <w:rFonts w:ascii="Times New Roman" w:cs="Times New Roman" w:eastAsia="Times New Roman" w:hAnsi="Times New Roman"/>
          <w:i w:val="1"/>
          <w:iCs w:val="1"/>
          <w:rtl w:val="0"/>
        </w:rPr>
        <w:t xml:space="preserve">Zenodo (CERN European Organization for Nuclear Research)</w:t>
      </w:r>
      <w:r w:rsidDel="00000000" w:rsidR="00000000" w:rsidRPr="00000000">
        <w:rPr>
          <w:rFonts w:ascii="Times New Roman" w:cs="Times New Roman" w:eastAsia="Times New Roman" w:hAnsi="Times New Roman"/>
          <w:rtl w:val="0"/>
        </w:rPr>
        <w:t xml:space="preserve">. https://doi.org/10.5281/zenodo.7743958</w:t>
      </w:r>
    </w:p>
    <w:p w:rsidR="00000000" w:rsidDel="00000000" w:rsidP="00000000" w:rsidRDefault="00000000" w:rsidRPr="00000000" w14:paraId="00000096">
      <w:pPr>
        <w:widowControl w:val="0"/>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Roegner, D. T., Lombardo, F. T., Wienhoff, Z. B., Rhee, D. M., Wagner, M. A., &amp; Wood, R. L. (2024). The influence of thunderstorm type on extreme near-surface wind speeds: Iowa case study. </w:t>
      </w:r>
      <w:r w:rsidDel="00000000" w:rsidR="00000000" w:rsidRPr="00000000">
        <w:rPr>
          <w:rFonts w:ascii="Times New Roman" w:cs="Times New Roman" w:eastAsia="Times New Roman" w:hAnsi="Times New Roman"/>
          <w:i w:val="1"/>
          <w:iCs w:val="1"/>
          <w:rtl w:val="0"/>
        </w:rPr>
        <w:t xml:space="preserve">Journal of Wind Engineering and Industrial Aerodynamics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251</w:t>
      </w:r>
      <w:r w:rsidDel="00000000" w:rsidR="00000000" w:rsidRPr="00000000">
        <w:rPr>
          <w:rFonts w:ascii="Times New Roman" w:cs="Times New Roman" w:eastAsia="Times New Roman" w:hAnsi="Times New Roman"/>
          <w:rtl w:val="0"/>
        </w:rPr>
        <w:t xml:space="preserve">, 105805. </w:t>
      </w:r>
      <w:hyperlink r:id="rId11">
        <w:r w:rsidDel="00000000" w:rsidR="00000000" w:rsidRPr="00000000">
          <w:rPr>
            <w:rFonts w:ascii="Times New Roman" w:cs="Times New Roman" w:eastAsia="Times New Roman" w:hAnsi="Times New Roman"/>
            <w:rtl w:val="0"/>
          </w:rPr>
          <w:t xml:space="preserve">https://doi.org/10.1016/j.jweia.2024.105805</w:t>
        </w:r>
      </w:hyperlink>
      <w:r w:rsidDel="00000000" w:rsidR="00000000" w:rsidRPr="00000000">
        <w:rPr>
          <w:rtl w:val="0"/>
        </w:rPr>
      </w:r>
    </w:p>
    <w:p w:rsidR="00000000" w:rsidDel="00000000" w:rsidP="00000000" w:rsidRDefault="00000000" w:rsidRPr="00000000" w14:paraId="00000097">
      <w:pPr>
        <w:widowControl w:val="0"/>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Shuwara, T., Malik, J., Kaur, M., Amand, T. S., Johnson, D., Wehida, N., Whiting, K., Gould, S., &amp; Elbediwy, A. (2025). Do teaching methods affect student’s attention span, engagement and attainment? </w:t>
      </w:r>
      <w:r w:rsidDel="00000000" w:rsidR="00000000" w:rsidRPr="00000000">
        <w:rPr>
          <w:rFonts w:ascii="Times New Roman" w:cs="Times New Roman" w:eastAsia="Times New Roman" w:hAnsi="Times New Roman"/>
          <w:i w:val="1"/>
          <w:iCs w:val="1"/>
          <w:rtl w:val="0"/>
        </w:rPr>
        <w:t xml:space="preserve">New Directions in the Teaching of Natural Sciences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20</w:t>
      </w:r>
      <w:r w:rsidDel="00000000" w:rsidR="00000000" w:rsidRPr="00000000">
        <w:rPr>
          <w:rFonts w:ascii="Times New Roman" w:cs="Times New Roman" w:eastAsia="Times New Roman" w:hAnsi="Times New Roman"/>
          <w:rtl w:val="0"/>
        </w:rPr>
        <w:t xml:space="preserve">. https://doi.org/10.29311/ndtns.vi20.4998</w:t>
      </w:r>
    </w:p>
    <w:p w:rsidR="00000000" w:rsidDel="00000000" w:rsidP="00000000" w:rsidRDefault="00000000" w:rsidRPr="00000000" w14:paraId="00000098">
      <w:pPr>
        <w:widowControl w:val="0"/>
        <w:spacing w:after="0" w:line="240" w:lineRule="auto"/>
        <w:ind w:left="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Wang, J., Chang, Y., &amp; Tse, K. T. (2024). Synthesis of Tropical Cyclones: Understanding, modeling, and adapting to climate change impacts. In </w:t>
      </w:r>
      <w:r w:rsidDel="00000000" w:rsidR="00000000" w:rsidRPr="00000000">
        <w:rPr>
          <w:rFonts w:ascii="Times New Roman" w:cs="Times New Roman" w:eastAsia="Times New Roman" w:hAnsi="Times New Roman"/>
          <w:i w:val="1"/>
          <w:iCs w:val="1"/>
          <w:rtl w:val="0"/>
        </w:rPr>
        <w:t xml:space="preserve">Sustainable development</w:t>
      </w:r>
      <w:r w:rsidDel="00000000" w:rsidR="00000000" w:rsidRPr="00000000">
        <w:rPr>
          <w:rFonts w:ascii="Times New Roman" w:cs="Times New Roman" w:eastAsia="Times New Roman" w:hAnsi="Times New Roman"/>
          <w:rtl w:val="0"/>
        </w:rPr>
        <w:t xml:space="preserve">. </w:t>
      </w:r>
      <w:hyperlink r:id="rId12">
        <w:r w:rsidDel="00000000" w:rsidR="00000000" w:rsidRPr="00000000">
          <w:rPr>
            <w:rFonts w:ascii="Times New Roman" w:cs="Times New Roman" w:eastAsia="Times New Roman" w:hAnsi="Times New Roman"/>
            <w:rtl w:val="0"/>
          </w:rPr>
          <w:t xml:space="preserve">https://doi.org/10.5772/intechopen.114390</w:t>
        </w:r>
      </w:hyperlink>
      <w:r w:rsidDel="00000000" w:rsidR="00000000" w:rsidRPr="00000000">
        <w:rPr>
          <w:rtl w:val="0"/>
        </w:rPr>
      </w:r>
    </w:p>
    <w:p w:rsidR="00000000" w:rsidDel="00000000" w:rsidP="00000000" w:rsidRDefault="00000000" w:rsidRPr="00000000" w14:paraId="00000099">
      <w:pPr>
        <w:widowControl w:val="0"/>
        <w:spacing w:after="0" w:line="240" w:lineRule="auto"/>
        <w:ind w:left="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widowControl w:val="1"/>
        <w:spacing w:after="0" w:line="240" w:lineRule="auto"/>
        <w:ind w:left="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widowControl w:val="0"/>
        <w:spacing w:after="0" w:line="240" w:lineRule="auto"/>
        <w:ind w:lef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C">
      <w:pPr>
        <w:widowControl w:val="0"/>
        <w:spacing w:after="0" w:line="240" w:lineRule="auto"/>
        <w:ind w:lef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spacing w:after="0" w:line="240"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E">
      <w:pPr>
        <w:spacing w:after="0"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40" w:lineRule="auto"/>
        <w:ind w:left="720" w:hanging="720"/>
        <w:rPr>
          <w:rFonts w:ascii="Times New Roman" w:cs="Times New Roman" w:eastAsia="Times New Roman" w:hAnsi="Times New Roman"/>
          <w:b w:val="1"/>
          <w:bCs w:val="1"/>
          <w:sz w:val="24"/>
          <w:szCs w:val="24"/>
        </w:rPr>
      </w:pPr>
      <w:bookmarkStart w:colFirst="0" w:colLast="0" w:name="_7zfagln1gi32" w:id="1"/>
      <w:bookmarkEnd w:id="1"/>
      <w:r w:rsidDel="00000000" w:rsidR="00000000" w:rsidRPr="00000000">
        <w:rPr>
          <w:rtl w:val="0"/>
        </w:rPr>
      </w:r>
    </w:p>
    <w:p w:rsidR="00000000" w:rsidDel="00000000" w:rsidP="00000000" w:rsidRDefault="00000000" w:rsidRPr="00000000" w14:paraId="000000A0">
      <w:pPr>
        <w:spacing w:after="0" w:line="240" w:lineRule="auto"/>
        <w:ind w:left="720" w:hanging="72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ind w:left="720" w:firstLine="0"/>
        <w:jc w:val="center"/>
        <w:rPr>
          <w:rFonts w:ascii="Times New Roman" w:cs="Times New Roman" w:eastAsia="Times New Roman" w:hAnsi="Times New Roman"/>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729" w:top="1729" w:left="2019" w:right="201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spacing w:after="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bCs w:val="1"/>
        <w:i w:val="0"/>
        <w:iCs w:val="0"/>
        <w:smallCaps w:val="0"/>
        <w:strike w:val="0"/>
        <w:color w:val="7030a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Sarabun" w:cs="Sarabun" w:eastAsia="Sarabun" w:hAnsi="Sarabu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80808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80808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16/j.jweia.2024.105805" TargetMode="External"/><Relationship Id="rId10" Type="http://schemas.openxmlformats.org/officeDocument/2006/relationships/hyperlink" Target="https://doi.org/10.1177/1609406917733847" TargetMode="External"/><Relationship Id="rId13" Type="http://schemas.openxmlformats.org/officeDocument/2006/relationships/header" Target="header2.xml"/><Relationship Id="rId12" Type="http://schemas.openxmlformats.org/officeDocument/2006/relationships/hyperlink" Target="https://doi.org/10.5772/intechopen.11439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54364/aaiml.2024.43158"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i.org/10.3389/fpsyg.2023.1124259" TargetMode="External"/><Relationship Id="rId18" Type="http://schemas.openxmlformats.org/officeDocument/2006/relationships/footer" Target="footer1.xml"/><Relationship Id="rId7" Type="http://schemas.openxmlformats.org/officeDocument/2006/relationships/hyperlink" Target="https://doi.org/10.63943/sajaas.vol5iss1art64pp1-20" TargetMode="External"/><Relationship Id="rId8" Type="http://schemas.openxmlformats.org/officeDocument/2006/relationships/hyperlink" Target="https://doi.org/10.63943/sajaas.vol5iss1art64pp1-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0x010100D1BF6462E5017D409EB0216756B1E048</vt:lpwstr>
  </property>
</Properties>
</file>