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84FE5">
      <w:pPr>
        <w:spacing w:after="0" w:line="240" w:lineRule="auto"/>
        <w:jc w:val="center"/>
        <w:rPr>
          <w:rFonts w:ascii="Book Antiqua" w:hAnsi="Book Antiqua"/>
          <w:b/>
          <w:bCs/>
          <w:sz w:val="30"/>
          <w:szCs w:val="30"/>
        </w:rPr>
      </w:pPr>
      <w:bookmarkStart w:id="0" w:name="_Hlk191148661"/>
      <w:r>
        <w:rPr>
          <w:rFonts w:ascii="Book Antiqua" w:hAnsi="Book Antiqua"/>
          <w:b/>
          <w:bCs/>
          <w:sz w:val="30"/>
          <w:szCs w:val="30"/>
        </w:rPr>
        <w:t>From Challenges to Innovation:</w:t>
      </w:r>
    </w:p>
    <w:p w14:paraId="519DF0E9">
      <w:pPr>
        <w:spacing w:after="0" w:line="240" w:lineRule="auto"/>
        <w:jc w:val="center"/>
        <w:rPr>
          <w:rFonts w:ascii="Book Antiqua" w:hAnsi="Book Antiqua"/>
          <w:sz w:val="30"/>
          <w:szCs w:val="30"/>
        </w:rPr>
      </w:pPr>
      <w:r>
        <w:rPr>
          <w:rFonts w:ascii="Book Antiqua" w:hAnsi="Book Antiqua"/>
          <w:b/>
          <w:bCs/>
          <w:sz w:val="30"/>
          <w:szCs w:val="30"/>
        </w:rPr>
        <w:t>Technology Management for Sustainable Coconut Industry</w:t>
      </w:r>
    </w:p>
    <w:bookmarkEnd w:id="0"/>
    <w:p w14:paraId="33300A10">
      <w:pPr>
        <w:spacing w:after="0" w:line="240" w:lineRule="auto"/>
        <w:jc w:val="center"/>
        <w:rPr>
          <w:rFonts w:ascii="Book Antiqua" w:hAnsi="Book Antiqua"/>
          <w:sz w:val="20"/>
          <w:szCs w:val="20"/>
        </w:rPr>
      </w:pPr>
    </w:p>
    <w:p w14:paraId="54FEE579">
      <w:pPr>
        <w:spacing w:after="0" w:line="240" w:lineRule="auto"/>
        <w:jc w:val="center"/>
        <w:rPr>
          <w:rFonts w:ascii="Book Antiqua" w:hAnsi="Book Antiqua"/>
          <w:b/>
          <w:bCs/>
          <w:sz w:val="20"/>
          <w:szCs w:val="20"/>
        </w:rPr>
      </w:pPr>
      <w:r>
        <w:rPr>
          <w:rFonts w:ascii="Book Antiqua" w:hAnsi="Book Antiqua"/>
          <w:b/>
          <w:bCs/>
          <w:sz w:val="20"/>
          <w:szCs w:val="20"/>
        </w:rPr>
        <w:t>Venson B. Sarita</w:t>
      </w:r>
    </w:p>
    <w:p w14:paraId="51B62EBE">
      <w:pPr>
        <w:spacing w:after="0" w:line="240" w:lineRule="auto"/>
        <w:jc w:val="center"/>
        <w:rPr>
          <w:rFonts w:ascii="Book Antiqua" w:hAnsi="Book Antiqua"/>
          <w:i/>
          <w:iCs/>
          <w:sz w:val="20"/>
          <w:szCs w:val="20"/>
        </w:rPr>
      </w:pPr>
      <w:r>
        <w:rPr>
          <w:rFonts w:ascii="Book Antiqua" w:hAnsi="Book Antiqua"/>
          <w:i/>
          <w:iCs/>
          <w:sz w:val="20"/>
          <w:szCs w:val="20"/>
        </w:rPr>
        <w:t>Davao Oriental State University, City of Mati, Davao Oriental, Philippines</w:t>
      </w:r>
    </w:p>
    <w:p w14:paraId="552C1C6B">
      <w:pPr>
        <w:spacing w:after="0" w:line="240" w:lineRule="auto"/>
        <w:jc w:val="center"/>
        <w:rPr>
          <w:rFonts w:ascii="Book Antiqua" w:hAnsi="Book Antiqua"/>
          <w:sz w:val="20"/>
          <w:szCs w:val="20"/>
        </w:rPr>
      </w:pPr>
    </w:p>
    <w:p w14:paraId="184B1635">
      <w:pPr>
        <w:spacing w:after="0" w:line="240" w:lineRule="auto"/>
        <w:jc w:val="center"/>
        <w:rPr>
          <w:rFonts w:ascii="Book Antiqua" w:hAnsi="Book Antiqua"/>
          <w:sz w:val="20"/>
          <w:szCs w:val="20"/>
        </w:rPr>
      </w:pPr>
    </w:p>
    <w:p w14:paraId="139FA0DC">
      <w:pPr>
        <w:spacing w:after="0" w:line="240" w:lineRule="auto"/>
        <w:jc w:val="center"/>
        <w:rPr>
          <w:rFonts w:ascii="Book Antiqua" w:hAnsi="Book Antiqua"/>
          <w:b/>
          <w:bCs/>
          <w:sz w:val="20"/>
          <w:szCs w:val="20"/>
        </w:rPr>
      </w:pPr>
      <w:r>
        <w:rPr>
          <w:rFonts w:ascii="Book Antiqua" w:hAnsi="Book Antiqua"/>
          <w:b/>
          <w:bCs/>
          <w:sz w:val="20"/>
          <w:szCs w:val="20"/>
        </w:rPr>
        <w:t>Abstract</w:t>
      </w:r>
    </w:p>
    <w:p w14:paraId="6DEAD4D6">
      <w:pPr>
        <w:spacing w:after="0" w:line="240" w:lineRule="auto"/>
        <w:jc w:val="center"/>
        <w:rPr>
          <w:rFonts w:ascii="Book Antiqua" w:hAnsi="Book Antiqua"/>
          <w:sz w:val="20"/>
          <w:szCs w:val="20"/>
        </w:rPr>
      </w:pPr>
    </w:p>
    <w:p w14:paraId="64F4096E">
      <w:pPr>
        <w:spacing w:after="0" w:line="240" w:lineRule="auto"/>
        <w:ind w:firstLine="720"/>
        <w:jc w:val="both"/>
        <w:rPr>
          <w:rFonts w:ascii="Book Antiqua" w:hAnsi="Book Antiqua"/>
          <w:sz w:val="20"/>
          <w:szCs w:val="20"/>
        </w:rPr>
      </w:pPr>
      <w:r>
        <w:rPr>
          <w:rFonts w:ascii="Book Antiqua" w:hAnsi="Book Antiqua"/>
          <w:sz w:val="20"/>
          <w:szCs w:val="20"/>
        </w:rPr>
        <w:t>Coconut agriculture is a key economic driver in Davao Oriental, contributing significantly to livelihoods and local industries. The province is among the top coconut-producing areas in the Philippines, yet farmers struggle with low yields, aging trees, and limited access to modern processing facilities. To enhance productivity and market competitiveness, investments in processing infrastructure, sustainable farming techniques, and value-adding innovations are crucial. Agrotourism, precision agriculture, and indigenous knowledge integration can boost profitability and resilience. Government policies play a vital role in sustaining the sector through financial aid, training, and technology adoption. Programs such as the Philippine Coconut Authority’s (PCA) replanting initiatives, mechanization support, and market linkages help modernize operations. Strengthening farmer cooperatives improves supply chains and international trade compliance. However, challenges persist due to bureaucratic delays and inadequate farmer awareness. Strengthened policy implementation, public-private collaboration, and transparent governance are essential to ensure a sustainable and competitive coconut industry.</w:t>
      </w:r>
    </w:p>
    <w:p w14:paraId="011AAC30">
      <w:pPr>
        <w:spacing w:after="0" w:line="240" w:lineRule="auto"/>
        <w:ind w:firstLine="720"/>
        <w:jc w:val="both"/>
        <w:rPr>
          <w:rFonts w:ascii="Book Antiqua" w:hAnsi="Book Antiqua"/>
          <w:sz w:val="20"/>
          <w:szCs w:val="20"/>
        </w:rPr>
      </w:pPr>
    </w:p>
    <w:p w14:paraId="774C5E23">
      <w:pPr>
        <w:spacing w:after="0" w:line="240" w:lineRule="auto"/>
        <w:jc w:val="both"/>
        <w:rPr>
          <w:rFonts w:ascii="Book Antiqua" w:hAnsi="Book Antiqua"/>
          <w:sz w:val="20"/>
          <w:szCs w:val="20"/>
        </w:rPr>
      </w:pPr>
      <w:r>
        <w:rPr>
          <w:rFonts w:ascii="Book Antiqua" w:hAnsi="Book Antiqua"/>
          <w:sz w:val="20"/>
          <w:szCs w:val="20"/>
        </w:rPr>
        <w:t xml:space="preserve">Keywords: </w:t>
      </w:r>
      <w:r>
        <w:rPr>
          <w:rFonts w:ascii="Book Antiqua" w:hAnsi="Book Antiqua"/>
          <w:i/>
          <w:iCs/>
          <w:sz w:val="20"/>
          <w:szCs w:val="20"/>
        </w:rPr>
        <w:t>Challenges,</w:t>
      </w:r>
      <w:r>
        <w:rPr>
          <w:rFonts w:ascii="Book Antiqua" w:hAnsi="Book Antiqua"/>
          <w:sz w:val="20"/>
          <w:szCs w:val="20"/>
        </w:rPr>
        <w:t xml:space="preserve"> </w:t>
      </w:r>
      <w:r>
        <w:rPr>
          <w:rFonts w:ascii="Book Antiqua" w:hAnsi="Book Antiqua"/>
          <w:i/>
          <w:iCs/>
          <w:sz w:val="20"/>
          <w:szCs w:val="20"/>
        </w:rPr>
        <w:t xml:space="preserve">Coconut Industry, </w:t>
      </w:r>
      <w:r>
        <w:rPr>
          <w:rFonts w:hint="default" w:ascii="Book Antiqua" w:hAnsi="Book Antiqua"/>
          <w:i/>
          <w:iCs/>
          <w:sz w:val="20"/>
          <w:szCs w:val="20"/>
          <w:lang w:val="en-PH"/>
        </w:rPr>
        <w:t>Indigenous Knowledge, Technology Adoption</w:t>
      </w:r>
      <w:r>
        <w:rPr>
          <w:rFonts w:ascii="Book Antiqua" w:hAnsi="Book Antiqua"/>
          <w:i/>
          <w:iCs/>
          <w:sz w:val="20"/>
          <w:szCs w:val="20"/>
        </w:rPr>
        <w:t>,</w:t>
      </w:r>
      <w:r>
        <w:rPr>
          <w:rFonts w:ascii="Book Antiqua" w:hAnsi="Book Antiqua"/>
          <w:sz w:val="20"/>
          <w:szCs w:val="20"/>
        </w:rPr>
        <w:t xml:space="preserve"> </w:t>
      </w:r>
      <w:r>
        <w:rPr>
          <w:rFonts w:hint="default" w:ascii="Book Antiqua" w:hAnsi="Book Antiqua"/>
          <w:i/>
          <w:iCs/>
          <w:sz w:val="20"/>
          <w:szCs w:val="20"/>
          <w:lang w:val="en-PH"/>
        </w:rPr>
        <w:t xml:space="preserve">Value-adding </w:t>
      </w:r>
      <w:r>
        <w:rPr>
          <w:rFonts w:ascii="Book Antiqua" w:hAnsi="Book Antiqua"/>
          <w:i/>
          <w:iCs/>
          <w:sz w:val="20"/>
          <w:szCs w:val="20"/>
        </w:rPr>
        <w:t>Innovation</w:t>
      </w:r>
    </w:p>
    <w:p w14:paraId="47C46777">
      <w:pPr>
        <w:spacing w:after="0" w:line="240" w:lineRule="auto"/>
        <w:jc w:val="center"/>
        <w:rPr>
          <w:rFonts w:ascii="Book Antiqua" w:hAnsi="Book Antiqua"/>
          <w:sz w:val="20"/>
          <w:szCs w:val="20"/>
        </w:rPr>
      </w:pPr>
    </w:p>
    <w:p w14:paraId="54C22442">
      <w:pPr>
        <w:spacing w:after="0" w:line="240" w:lineRule="auto"/>
        <w:jc w:val="center"/>
        <w:rPr>
          <w:rFonts w:ascii="Book Antiqua" w:hAnsi="Book Antiqua"/>
          <w:sz w:val="20"/>
          <w:szCs w:val="20"/>
        </w:rPr>
      </w:pPr>
      <w:bookmarkStart w:id="2" w:name="_GoBack"/>
      <w:bookmarkEnd w:id="2"/>
    </w:p>
    <w:p w14:paraId="36F5E4A0">
      <w:pPr>
        <w:pStyle w:val="29"/>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INTRODUCTION</w:t>
      </w:r>
    </w:p>
    <w:p w14:paraId="12509024">
      <w:pPr>
        <w:spacing w:after="0" w:line="240" w:lineRule="auto"/>
        <w:jc w:val="center"/>
        <w:rPr>
          <w:rFonts w:ascii="Book Antiqua" w:hAnsi="Book Antiqua"/>
          <w:b/>
          <w:bCs/>
          <w:sz w:val="20"/>
          <w:szCs w:val="20"/>
        </w:rPr>
      </w:pPr>
    </w:p>
    <w:p w14:paraId="37B66987">
      <w:pPr>
        <w:spacing w:after="0" w:line="240" w:lineRule="auto"/>
        <w:ind w:firstLine="720"/>
        <w:jc w:val="both"/>
        <w:rPr>
          <w:rFonts w:ascii="Book Antiqua" w:hAnsi="Book Antiqua"/>
          <w:sz w:val="20"/>
          <w:szCs w:val="20"/>
        </w:rPr>
      </w:pPr>
      <w:r>
        <w:rPr>
          <w:rFonts w:ascii="Book Antiqua" w:hAnsi="Book Antiqua"/>
          <w:sz w:val="20"/>
          <w:szCs w:val="20"/>
        </w:rPr>
        <w:t>Coconut farming is a significant component of the agricultural economy in the Philippines, particularly in Davao Oriental. The region is known for its rich coconut resources, yet local farmers struggle with production inefficiencies, quality control, and marketing challenges (Mendoza, Teves &amp; Miciano, 2018). Effective technology management practices can help mitigate these issues and unlock the full potential of coconut-based products in both local and international markets.</w:t>
      </w:r>
    </w:p>
    <w:p w14:paraId="6BFB3F93">
      <w:pPr>
        <w:spacing w:after="0" w:line="240" w:lineRule="auto"/>
        <w:ind w:firstLine="720"/>
        <w:jc w:val="both"/>
        <w:rPr>
          <w:rFonts w:ascii="Book Antiqua" w:hAnsi="Book Antiqua"/>
          <w:sz w:val="20"/>
          <w:szCs w:val="20"/>
        </w:rPr>
      </w:pPr>
      <w:r>
        <w:rPr>
          <w:rFonts w:ascii="Book Antiqua" w:hAnsi="Book Antiqua"/>
          <w:sz w:val="20"/>
          <w:szCs w:val="20"/>
        </w:rPr>
        <w:t>The Coconut Industry in the Philippines is ready for growth, particularly in eastern Davao. However, farmers must face local challenges facing the production, quality and marketing of coconut -based products. By adopting effective technology management practices, collaborating with each other and adopting modern innovations and indigenous knowledge, farmers can improve their subsistence means and contribute to the regional economy.</w:t>
      </w:r>
    </w:p>
    <w:p w14:paraId="20C2DAF2">
      <w:pPr>
        <w:spacing w:after="0" w:line="240" w:lineRule="auto"/>
        <w:ind w:firstLine="720"/>
        <w:jc w:val="both"/>
        <w:rPr>
          <w:rFonts w:ascii="Book Antiqua" w:hAnsi="Book Antiqua"/>
          <w:sz w:val="20"/>
          <w:szCs w:val="20"/>
        </w:rPr>
      </w:pPr>
      <w:r>
        <w:rPr>
          <w:rFonts w:ascii="Book Antiqua" w:hAnsi="Book Antiqua"/>
          <w:sz w:val="20"/>
          <w:szCs w:val="20"/>
        </w:rPr>
        <w:t>The coconut industry is essential for many smallholder farmers, serving as a primary source of income and livelihood. However, limitations in technology adoption hinder productivity and the quality of processed products (Herrera et al., 2019). Small farmers often lack access to modern tools and knowledge, reducing their ability to compete in expanding global markets (Sagena, 2021).</w:t>
      </w:r>
    </w:p>
    <w:p w14:paraId="6E564928">
      <w:pPr>
        <w:spacing w:after="0" w:line="240" w:lineRule="auto"/>
        <w:ind w:firstLine="720"/>
        <w:jc w:val="both"/>
        <w:rPr>
          <w:rFonts w:ascii="Book Antiqua" w:hAnsi="Book Antiqua"/>
          <w:sz w:val="20"/>
          <w:szCs w:val="20"/>
        </w:rPr>
      </w:pPr>
      <w:r>
        <w:rPr>
          <w:rFonts w:ascii="Book Antiqua" w:hAnsi="Book Antiqua"/>
          <w:sz w:val="20"/>
          <w:szCs w:val="20"/>
        </w:rPr>
        <w:t>Among the key barriers to the development of the coconut sector in Davao Oriental are inadequate infrastructure, outdated processing techniques, and insufficient government support (Briones, 2014). Modernizing coconut processing facilities can improve product quality, making coconut-based goods more competitive in domestic and global markets (Posso et al., 2018).</w:t>
      </w:r>
    </w:p>
    <w:p w14:paraId="7F417C2A">
      <w:pPr>
        <w:spacing w:after="0" w:line="240" w:lineRule="auto"/>
        <w:ind w:firstLine="720"/>
        <w:jc w:val="both"/>
        <w:rPr>
          <w:rFonts w:ascii="Book Antiqua" w:hAnsi="Book Antiqua"/>
          <w:sz w:val="20"/>
          <w:szCs w:val="20"/>
        </w:rPr>
      </w:pPr>
      <w:r>
        <w:rPr>
          <w:rFonts w:ascii="Book Antiqua" w:hAnsi="Book Antiqua"/>
          <w:sz w:val="20"/>
          <w:szCs w:val="20"/>
        </w:rPr>
        <w:t>Additionally, the integration of technology in agricultural practices has proven beneficial in other regions, where investments in mechanization and value-added processing have significantly boosted profitability (Barroga et al., 2023). Farmers in Davao Oriental can benefit from similar technological advancements and management strategies to improve their productivity.</w:t>
      </w:r>
    </w:p>
    <w:p w14:paraId="0E45422F">
      <w:pPr>
        <w:spacing w:after="0" w:line="240" w:lineRule="auto"/>
        <w:ind w:firstLine="720"/>
        <w:jc w:val="both"/>
        <w:rPr>
          <w:rFonts w:ascii="Book Antiqua" w:hAnsi="Book Antiqua"/>
          <w:sz w:val="20"/>
          <w:szCs w:val="20"/>
        </w:rPr>
      </w:pPr>
      <w:r>
        <w:rPr>
          <w:rFonts w:ascii="Book Antiqua" w:hAnsi="Book Antiqua"/>
          <w:sz w:val="20"/>
          <w:szCs w:val="20"/>
        </w:rPr>
        <w:t>Marketing remains another critical concern for local coconut producers. Many farmers and entrepreneurs struggle to establish stable supply chains due to fluctuating prices and demand volatility (Curry et al., 2019). Creating farmer clusters and cooperatives can enhance their market reach and bargaining power, ensuring stable income and fair pricing.</w:t>
      </w:r>
    </w:p>
    <w:p w14:paraId="1208C058">
      <w:pPr>
        <w:spacing w:after="0" w:line="240" w:lineRule="auto"/>
        <w:ind w:firstLine="720"/>
        <w:jc w:val="both"/>
        <w:rPr>
          <w:rFonts w:ascii="Book Antiqua" w:hAnsi="Book Antiqua"/>
          <w:sz w:val="20"/>
          <w:szCs w:val="20"/>
        </w:rPr>
      </w:pPr>
      <w:r>
        <w:rPr>
          <w:rFonts w:ascii="Book Antiqua" w:hAnsi="Book Antiqua"/>
          <w:sz w:val="20"/>
          <w:szCs w:val="20"/>
        </w:rPr>
        <w:t>Innovations such as agrotourism and value-added coconut products have shown promise in improving the marketability of coconut goods. By diversifying their sources of revenue, farmers can create new economic opportunities while promoting the local coconut industry (Alzate, 2018). The success of coconut sap-based products further illustrates the market potential of innovation-driven coconut enterprises (Secretariat &amp; Adon Sr., n.d.).</w:t>
      </w:r>
    </w:p>
    <w:p w14:paraId="74C7BD71">
      <w:pPr>
        <w:spacing w:after="0" w:line="240" w:lineRule="auto"/>
        <w:ind w:firstLine="720"/>
        <w:jc w:val="both"/>
        <w:rPr>
          <w:rFonts w:ascii="Book Antiqua" w:hAnsi="Book Antiqua"/>
          <w:sz w:val="20"/>
          <w:szCs w:val="20"/>
        </w:rPr>
      </w:pPr>
      <w:r>
        <w:rPr>
          <w:rFonts w:ascii="Book Antiqua" w:hAnsi="Book Antiqua"/>
          <w:sz w:val="20"/>
          <w:szCs w:val="20"/>
        </w:rPr>
        <w:t>The role of indigenous knowledge in coconut production should not be overlooked. Traditional farming methods, when combined with modern technology, can lead to more sustainable and high-quality production (Macusi et al., 2023). The integration of indigenous and scientific approaches can be key to overcoming local agricultural challenges.</w:t>
      </w:r>
    </w:p>
    <w:p w14:paraId="2DBB9136">
      <w:pPr>
        <w:spacing w:after="0" w:line="240" w:lineRule="auto"/>
        <w:ind w:firstLine="720"/>
        <w:jc w:val="both"/>
        <w:rPr>
          <w:rFonts w:ascii="Book Antiqua" w:hAnsi="Book Antiqua"/>
          <w:sz w:val="20"/>
          <w:szCs w:val="20"/>
        </w:rPr>
      </w:pPr>
      <w:r>
        <w:rPr>
          <w:rFonts w:ascii="Book Antiqua" w:hAnsi="Book Antiqua"/>
          <w:sz w:val="20"/>
          <w:szCs w:val="20"/>
        </w:rPr>
        <w:t>Given the environmental threats posed by climate change and natural disasters, adaptive farming strategies such as planting resilient coconut varieties and precision agriculture should be prioritized (Nemenzo-Calica et al., 2024). Policymakers must also support these efforts through subsidies, training, and research initiatives (Felix Jr, Payos &amp; Lelis, n.d.).</w:t>
      </w:r>
    </w:p>
    <w:p w14:paraId="0FBE9385">
      <w:pPr>
        <w:spacing w:after="0" w:line="240" w:lineRule="auto"/>
        <w:ind w:firstLine="720"/>
        <w:jc w:val="both"/>
        <w:rPr>
          <w:rFonts w:ascii="Book Antiqua" w:hAnsi="Book Antiqua"/>
          <w:sz w:val="20"/>
          <w:szCs w:val="20"/>
        </w:rPr>
      </w:pPr>
      <w:r>
        <w:rPr>
          <w:rFonts w:ascii="Book Antiqua" w:hAnsi="Book Antiqua"/>
          <w:sz w:val="20"/>
          <w:szCs w:val="20"/>
        </w:rPr>
        <w:t>The effectiveness of technology management practices in improving the oriental coconut industry lies in addressing local challenges and opportunities. Focusing on improved production techniques, quality control and market strategies, coconut farmers in the region can emerge stronger and more competitive. By promoting innovation and encouraging sustainable practices, Eastern Davao can lead the way to show the potential of coconut -based products on local and global stages. Ensuring that technology management practices are effectively implemented not only will benefit farmers economically, but also improve the overall quality of coconut -based products available in the markets.</w:t>
      </w:r>
    </w:p>
    <w:p w14:paraId="1D2E130F">
      <w:pPr>
        <w:spacing w:after="0" w:line="240" w:lineRule="auto"/>
        <w:ind w:firstLine="720"/>
        <w:jc w:val="both"/>
        <w:rPr>
          <w:rFonts w:ascii="Book Antiqua" w:hAnsi="Book Antiqua"/>
          <w:sz w:val="20"/>
          <w:szCs w:val="20"/>
        </w:rPr>
      </w:pPr>
    </w:p>
    <w:p w14:paraId="20652CA2">
      <w:pPr>
        <w:spacing w:after="0" w:line="240" w:lineRule="auto"/>
        <w:jc w:val="center"/>
        <w:rPr>
          <w:rFonts w:ascii="Book Antiqua" w:hAnsi="Book Antiqua"/>
          <w:b/>
          <w:bCs/>
          <w:sz w:val="20"/>
          <w:szCs w:val="20"/>
        </w:rPr>
      </w:pPr>
    </w:p>
    <w:p w14:paraId="3D073589">
      <w:pPr>
        <w:pStyle w:val="29"/>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METHODOLOGY</w:t>
      </w:r>
    </w:p>
    <w:p w14:paraId="33EDF334">
      <w:pPr>
        <w:spacing w:after="0" w:line="240" w:lineRule="auto"/>
        <w:rPr>
          <w:rFonts w:ascii="Book Antiqua" w:hAnsi="Book Antiqua"/>
          <w:b/>
          <w:bCs/>
          <w:sz w:val="20"/>
          <w:szCs w:val="20"/>
        </w:rPr>
      </w:pPr>
    </w:p>
    <w:p w14:paraId="68637951">
      <w:pPr>
        <w:spacing w:after="0" w:line="240" w:lineRule="auto"/>
        <w:ind w:firstLine="720"/>
        <w:jc w:val="both"/>
        <w:rPr>
          <w:rFonts w:ascii="Book Antiqua" w:hAnsi="Book Antiqua"/>
          <w:sz w:val="20"/>
          <w:szCs w:val="20"/>
        </w:rPr>
      </w:pPr>
      <w:r>
        <w:rPr>
          <w:rFonts w:ascii="Book Antiqua" w:hAnsi="Book Antiqua"/>
          <w:sz w:val="20"/>
          <w:szCs w:val="20"/>
        </w:rPr>
        <w:t>This review article employed a qualitative systematic review approach to synthesize relevant literature on technology management and innovation practices in the coconut industry, particularly in the context of Davao Oriental. The selection of materials was guided by the research objectives, focusing on challenges, sustainability strategies, and policy interventions. Peer-reviewed journals, government reports, and institutional publications from the last 10 years were prioritized to ensure relevance and contemporaneity. Key databases searched included Google Scholar, ScienceDirect, and local repositories such as the Philippine Institute for Development Studies (PIDS) and the Davao Oriental Provincial Government website.</w:t>
      </w:r>
    </w:p>
    <w:p w14:paraId="4B32127C">
      <w:pPr>
        <w:spacing w:after="0" w:line="240" w:lineRule="auto"/>
        <w:ind w:firstLine="720"/>
        <w:jc w:val="both"/>
        <w:rPr>
          <w:rFonts w:ascii="Book Antiqua" w:hAnsi="Book Antiqua"/>
          <w:sz w:val="20"/>
          <w:szCs w:val="20"/>
        </w:rPr>
      </w:pPr>
      <w:r>
        <w:rPr>
          <w:rFonts w:ascii="Book Antiqua" w:hAnsi="Book Antiqua"/>
          <w:sz w:val="20"/>
          <w:szCs w:val="20"/>
        </w:rPr>
        <w:t>A thematic analysis was applied to the literature collected, enabling the categorization of findings into major themes including infrastructure development, innovative agricultural practices, market expansion, indigenous knowledge integration, and policy interventions. The analysis aimed to draw connections between technological practices and their socio-economic and environmental impacts on coconut farming communities. Primary themes were derived from recurring concepts in the literature, supported by an inductive coding process (Macusi et al., 2023; Barroga et al., 2023). Only sources that offered detailed insights into technology management frameworks, challenges in rural agribusiness, and sustainability in coconut-based economies were included.</w:t>
      </w:r>
    </w:p>
    <w:p w14:paraId="5AFBF4C3">
      <w:pPr>
        <w:spacing w:after="0" w:line="240" w:lineRule="auto"/>
        <w:ind w:firstLine="720"/>
        <w:jc w:val="both"/>
        <w:rPr>
          <w:rFonts w:ascii="Book Antiqua" w:hAnsi="Book Antiqua"/>
          <w:sz w:val="20"/>
          <w:szCs w:val="20"/>
        </w:rPr>
      </w:pPr>
      <w:r>
        <w:rPr>
          <w:rFonts w:ascii="Book Antiqua" w:hAnsi="Book Antiqua"/>
          <w:sz w:val="20"/>
          <w:szCs w:val="20"/>
        </w:rPr>
        <w:t>To ensure comprehensiveness and validity, cross-referencing of data and triangulation methods were employed. This involved comparing findings across multiple sources and evaluating government programs in conjunction with academic research (Briones, 2014; Herrera et al., 2019). The integration of both global and local perspectives enabled the identification of context-specific challenges and scalable innovations. By drawing from interdisciplinary sources, this review provides a nuanced understanding of the current landscape and strategic directions for sustainable coconut industry development in Davao Oriental.</w:t>
      </w:r>
    </w:p>
    <w:p w14:paraId="699293DD">
      <w:pPr>
        <w:spacing w:after="0" w:line="240" w:lineRule="auto"/>
        <w:rPr>
          <w:rFonts w:ascii="Book Antiqua" w:hAnsi="Book Antiqua"/>
          <w:b/>
          <w:bCs/>
          <w:sz w:val="20"/>
          <w:szCs w:val="20"/>
        </w:rPr>
      </w:pPr>
    </w:p>
    <w:p w14:paraId="40C9F61F">
      <w:pPr>
        <w:spacing w:after="0" w:line="240" w:lineRule="auto"/>
        <w:jc w:val="center"/>
        <w:rPr>
          <w:rFonts w:ascii="Book Antiqua" w:hAnsi="Book Antiqua"/>
          <w:b/>
          <w:bCs/>
          <w:sz w:val="20"/>
          <w:szCs w:val="20"/>
        </w:rPr>
      </w:pPr>
    </w:p>
    <w:p w14:paraId="72BBE828">
      <w:pPr>
        <w:spacing w:after="0" w:line="240" w:lineRule="auto"/>
        <w:jc w:val="center"/>
        <w:rPr>
          <w:rFonts w:ascii="Book Antiqua" w:hAnsi="Book Antiqua"/>
          <w:b/>
          <w:bCs/>
          <w:sz w:val="20"/>
          <w:szCs w:val="20"/>
        </w:rPr>
      </w:pPr>
    </w:p>
    <w:p w14:paraId="73CB169D">
      <w:pPr>
        <w:pStyle w:val="29"/>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RESULT AND DISCUSSION</w:t>
      </w:r>
    </w:p>
    <w:p w14:paraId="6D36A6ED">
      <w:pPr>
        <w:spacing w:after="0" w:line="240" w:lineRule="auto"/>
        <w:jc w:val="center"/>
        <w:rPr>
          <w:rFonts w:ascii="Book Antiqua" w:hAnsi="Book Antiqua"/>
          <w:b/>
          <w:bCs/>
          <w:sz w:val="20"/>
          <w:szCs w:val="20"/>
        </w:rPr>
      </w:pPr>
    </w:p>
    <w:p w14:paraId="0B9DF3B4">
      <w:pPr>
        <w:spacing w:after="0" w:line="240" w:lineRule="auto"/>
        <w:rPr>
          <w:rFonts w:ascii="Book Antiqua" w:hAnsi="Book Antiqua"/>
          <w:b/>
          <w:bCs/>
          <w:sz w:val="20"/>
          <w:szCs w:val="20"/>
        </w:rPr>
      </w:pPr>
      <w:r>
        <w:rPr>
          <w:rFonts w:ascii="Book Antiqua" w:hAnsi="Book Antiqua"/>
          <w:b/>
          <w:bCs/>
          <w:sz w:val="20"/>
          <w:szCs w:val="20"/>
        </w:rPr>
        <w:t>3.1 Provincial Profile</w:t>
      </w:r>
    </w:p>
    <w:p w14:paraId="459AFE48">
      <w:pPr>
        <w:spacing w:after="0" w:line="240" w:lineRule="auto"/>
        <w:jc w:val="center"/>
        <w:rPr>
          <w:rFonts w:ascii="Book Antiqua" w:hAnsi="Book Antiqua"/>
          <w:b/>
          <w:bCs/>
          <w:sz w:val="20"/>
          <w:szCs w:val="20"/>
        </w:rPr>
      </w:pPr>
    </w:p>
    <w:p w14:paraId="6619EB58">
      <w:pPr>
        <w:spacing w:after="0" w:line="240" w:lineRule="auto"/>
        <w:ind w:firstLine="720"/>
        <w:jc w:val="both"/>
        <w:rPr>
          <w:rFonts w:ascii="Book Antiqua" w:hAnsi="Book Antiqua"/>
          <w:sz w:val="20"/>
          <w:szCs w:val="20"/>
        </w:rPr>
      </w:pPr>
      <w:r>
        <w:rPr>
          <w:rFonts w:ascii="Book Antiqua" w:hAnsi="Book Antiqua"/>
          <w:sz w:val="20"/>
          <w:szCs w:val="20"/>
        </w:rPr>
        <w:t>Davao Oriental, located in the southeastern part of Mindanao, Philippines, is the easternmost province in the country. It is bordered by the Pacific Ocean to the east, Davao de Oro to the west, and Agusan del Sur and Surigao del Sur to the north. The province covers a total land area of 5,679.64 square kilometers, accounting for approximately 32.82% of the Davao Region's total land area (NEDA Region XI, n.d.).</w:t>
      </w:r>
    </w:p>
    <w:p w14:paraId="0B666AFC">
      <w:pPr>
        <w:spacing w:after="0" w:line="240" w:lineRule="auto"/>
        <w:ind w:firstLine="720"/>
        <w:jc w:val="both"/>
        <w:rPr>
          <w:rFonts w:ascii="Book Antiqua" w:hAnsi="Book Antiqua"/>
          <w:sz w:val="20"/>
          <w:szCs w:val="20"/>
        </w:rPr>
      </w:pPr>
      <w:r>
        <w:rPr>
          <w:rFonts w:ascii="Book Antiqua" w:hAnsi="Book Antiqua"/>
          <w:sz w:val="20"/>
          <w:szCs w:val="20"/>
        </w:rPr>
        <w:t>As of the 2020 census, Davao Oriental has a population of 576,343 people, with a population density of approximately 101 individuals per square kilometer (Philippine Statistics Authority, 2021). The province is predominantly rural, with agriculture serving as the backbone of its economy. The indigenous groups, primarily the Mandaya and Kalagan/Kaagan peoples, have historically inhabited the region, maintaining distinct cultural and social identities (Davao Oriental Official Website, n.d.).</w:t>
      </w:r>
    </w:p>
    <w:p w14:paraId="7322FB1E">
      <w:pPr>
        <w:spacing w:after="0" w:line="240" w:lineRule="auto"/>
        <w:ind w:firstLine="720"/>
        <w:jc w:val="both"/>
        <w:rPr>
          <w:rFonts w:ascii="Book Antiqua" w:hAnsi="Book Antiqua"/>
          <w:sz w:val="20"/>
          <w:szCs w:val="20"/>
        </w:rPr>
      </w:pPr>
      <w:r>
        <w:rPr>
          <w:rFonts w:ascii="Book Antiqua" w:hAnsi="Book Antiqua"/>
          <w:sz w:val="20"/>
          <w:szCs w:val="20"/>
        </w:rPr>
        <w:t>Agriculture is a vital sector in Davao Oriental, with the province being recognized as the top producer of coconut and copra in the Philippines, earning it the title "Coconut Capital of the Philippines" (Davao Oriental Official Website, n.d.). The total area planted to coconuts is approximately 201,956.84 hectares, involving around 274,348 coconut farmers (Davao Oriental Official Website, n.d.). However, challenges such as natural calamities have impacted coconut production, necessitating efforts to revitalize the industry.</w:t>
      </w:r>
    </w:p>
    <w:p w14:paraId="2008A93C">
      <w:pPr>
        <w:spacing w:after="0" w:line="240" w:lineRule="auto"/>
        <w:ind w:firstLine="720"/>
        <w:jc w:val="both"/>
        <w:rPr>
          <w:rFonts w:ascii="Book Antiqua" w:hAnsi="Book Antiqua"/>
          <w:sz w:val="20"/>
          <w:szCs w:val="20"/>
        </w:rPr>
      </w:pPr>
      <w:r>
        <w:rPr>
          <w:rFonts w:ascii="Book Antiqua" w:hAnsi="Book Antiqua"/>
          <w:sz w:val="20"/>
          <w:szCs w:val="20"/>
        </w:rPr>
        <w:t>In response, the Philippine Coconut Authority (PCA) has been actively involved in initiatives like coconut hybridization to enhance productivity and resilience against pests and diseases. The provincial government, in collaboration with the PCA, has established communal nurseries and coconut seed farms to support the distribution of high-quality hybrid seedlings to local farmers. This initiative aims to boost farm income and productivity, aligning with the Coconut Farmers and Industry Development Plan (CFIDP) (Davao Oriental Official Website, 2023).</w:t>
      </w:r>
    </w:p>
    <w:p w14:paraId="075115AD">
      <w:pPr>
        <w:spacing w:after="0" w:line="240" w:lineRule="auto"/>
        <w:ind w:firstLine="720"/>
        <w:jc w:val="both"/>
        <w:rPr>
          <w:rFonts w:ascii="Book Antiqua" w:hAnsi="Book Antiqua"/>
          <w:sz w:val="20"/>
          <w:szCs w:val="20"/>
        </w:rPr>
      </w:pPr>
      <w:r>
        <w:rPr>
          <w:rFonts w:ascii="Book Antiqua" w:hAnsi="Book Antiqua"/>
          <w:sz w:val="20"/>
          <w:szCs w:val="20"/>
        </w:rPr>
        <w:t>To further support technology integration in the coconut industry, the Department of Trade and Industry (DTI) has partnered with PUM Netherlands to develop high-value products from coconut husk. This collaboration focuses on creating marketable products such as substrates and growing media, which have significant demand in European markets (Department of Trade and Industry, n.d.).</w:t>
      </w:r>
    </w:p>
    <w:p w14:paraId="4CB94E23">
      <w:pPr>
        <w:spacing w:after="0" w:line="240" w:lineRule="auto"/>
        <w:ind w:firstLine="720"/>
        <w:jc w:val="both"/>
        <w:rPr>
          <w:rFonts w:ascii="Book Antiqua" w:hAnsi="Book Antiqua"/>
          <w:sz w:val="20"/>
          <w:szCs w:val="20"/>
        </w:rPr>
      </w:pPr>
      <w:r>
        <w:rPr>
          <w:rFonts w:ascii="Book Antiqua" w:hAnsi="Book Antiqua"/>
          <w:sz w:val="20"/>
          <w:szCs w:val="20"/>
        </w:rPr>
        <w:t>The province rich in cultural diversity and economic potential. The province is predominantly inhabited by indigenous groups such as the Mandaya, Kalagan, and Mansaka peoples, each possessing distinct cultural identities and traditional practices. These communities have historically relied on agriculture as their primary livelihood, utilizing indigenous knowledge systems and sustainable farming techniques.</w:t>
      </w:r>
    </w:p>
    <w:p w14:paraId="7BF768B5">
      <w:pPr>
        <w:spacing w:after="0" w:line="240" w:lineRule="auto"/>
        <w:jc w:val="both"/>
        <w:rPr>
          <w:rFonts w:ascii="Book Antiqua" w:hAnsi="Book Antiqua"/>
          <w:sz w:val="20"/>
          <w:szCs w:val="20"/>
        </w:rPr>
      </w:pPr>
      <w:r>
        <w:rPr>
          <w:rFonts w:ascii="Book Antiqua" w:hAnsi="Book Antiqua"/>
          <w:sz w:val="20"/>
          <w:szCs w:val="20"/>
        </w:rPr>
        <w:t>Ethnicity and Indigenous Peoples</w:t>
      </w:r>
    </w:p>
    <w:p w14:paraId="5D78D958">
      <w:pPr>
        <w:spacing w:after="0" w:line="240" w:lineRule="auto"/>
        <w:ind w:firstLine="720"/>
        <w:jc w:val="both"/>
        <w:rPr>
          <w:rFonts w:ascii="Book Antiqua" w:hAnsi="Book Antiqua"/>
          <w:sz w:val="20"/>
          <w:szCs w:val="20"/>
        </w:rPr>
      </w:pPr>
      <w:r>
        <w:rPr>
          <w:rFonts w:ascii="Book Antiqua" w:hAnsi="Book Antiqua"/>
          <w:sz w:val="20"/>
          <w:szCs w:val="20"/>
        </w:rPr>
        <w:t xml:space="preserve">The Mandaya and Kalagan tribes are among the primary indigenous groups in Davao Oriental. The Mandaya people, known for their rich cultural heritage, primarily engage in traditional agriculture, cultivating crops like rice, corn, and various root crops. Their farming practices are deeply intertwined with their cultural rituals and beliefs, reflecting a harmonious relationship with nature. The Kalagan, on the other hand, are traditionally coastal dwellers who have also adopted agricultural practices over time. Both groups have maintained their distinct languages, arts, and crafts, contributing to the province's cultural tapestry. However, these communities often face challenges such as marginalization and limited access to resources, which impact their socio-economic development. </w:t>
      </w:r>
    </w:p>
    <w:p w14:paraId="0036ECE6">
      <w:pPr>
        <w:spacing w:after="0" w:line="240" w:lineRule="auto"/>
        <w:jc w:val="both"/>
        <w:rPr>
          <w:rFonts w:ascii="Book Antiqua" w:hAnsi="Book Antiqua"/>
          <w:b/>
          <w:bCs/>
          <w:sz w:val="20"/>
          <w:szCs w:val="20"/>
        </w:rPr>
      </w:pPr>
    </w:p>
    <w:p w14:paraId="562AE48F">
      <w:pPr>
        <w:spacing w:after="0" w:line="240" w:lineRule="auto"/>
        <w:jc w:val="both"/>
        <w:rPr>
          <w:rFonts w:ascii="Book Antiqua" w:hAnsi="Book Antiqua"/>
          <w:b/>
          <w:bCs/>
          <w:i/>
          <w:iCs/>
          <w:sz w:val="20"/>
          <w:szCs w:val="20"/>
        </w:rPr>
      </w:pPr>
      <w:r>
        <w:rPr>
          <w:rFonts w:ascii="Book Antiqua" w:hAnsi="Book Antiqua"/>
          <w:b/>
          <w:bCs/>
          <w:i/>
          <w:iCs/>
          <w:sz w:val="20"/>
          <w:szCs w:val="20"/>
        </w:rPr>
        <w:t>Agricultural Activities</w:t>
      </w:r>
    </w:p>
    <w:p w14:paraId="468F13D9">
      <w:pPr>
        <w:spacing w:after="0" w:line="240" w:lineRule="auto"/>
        <w:ind w:firstLine="720"/>
        <w:jc w:val="both"/>
        <w:rPr>
          <w:rFonts w:ascii="Book Antiqua" w:hAnsi="Book Antiqua"/>
          <w:sz w:val="20"/>
          <w:szCs w:val="20"/>
        </w:rPr>
      </w:pPr>
      <w:r>
        <w:rPr>
          <w:rFonts w:ascii="Book Antiqua" w:hAnsi="Book Antiqua"/>
          <w:sz w:val="20"/>
          <w:szCs w:val="20"/>
        </w:rPr>
        <w:t xml:space="preserve">Agriculture serves as the backbone of Davao Oriental's economy, with the province being recognized as the top producer of coconut and copra in the Philippines, earning it the title "Coconut Capital of the Philippines." The province's fertile lands also support the cultivation of other crops such as rice, corn, bananas, and various fruit trees. Indigenous farming communities employ sustainable practices, including intercropping and organic farming methods, which not only preserve soil fertility but also promote biodiversity. These traditional techniques have been passed down through generations, reflecting a deep understanding of the local ecosystem. </w:t>
      </w:r>
    </w:p>
    <w:p w14:paraId="79F94225">
      <w:pPr>
        <w:spacing w:after="0" w:line="240" w:lineRule="auto"/>
        <w:jc w:val="both"/>
        <w:rPr>
          <w:rFonts w:ascii="Book Antiqua" w:hAnsi="Book Antiqua"/>
          <w:sz w:val="20"/>
          <w:szCs w:val="20"/>
        </w:rPr>
      </w:pPr>
    </w:p>
    <w:p w14:paraId="6A6B8F3B">
      <w:pPr>
        <w:spacing w:after="0" w:line="240" w:lineRule="auto"/>
        <w:jc w:val="both"/>
        <w:rPr>
          <w:rFonts w:ascii="Book Antiqua" w:hAnsi="Book Antiqua"/>
          <w:b/>
          <w:bCs/>
          <w:i/>
          <w:iCs/>
          <w:sz w:val="20"/>
          <w:szCs w:val="20"/>
        </w:rPr>
      </w:pPr>
      <w:r>
        <w:rPr>
          <w:rFonts w:ascii="Book Antiqua" w:hAnsi="Book Antiqua"/>
          <w:b/>
          <w:bCs/>
          <w:i/>
          <w:iCs/>
          <w:sz w:val="20"/>
          <w:szCs w:val="20"/>
        </w:rPr>
        <w:t>Economic Activities</w:t>
      </w:r>
    </w:p>
    <w:p w14:paraId="3B62CC23">
      <w:pPr>
        <w:spacing w:after="0" w:line="240" w:lineRule="auto"/>
        <w:ind w:firstLine="720"/>
        <w:jc w:val="both"/>
        <w:rPr>
          <w:rFonts w:ascii="Book Antiqua" w:hAnsi="Book Antiqua"/>
          <w:sz w:val="20"/>
          <w:szCs w:val="20"/>
        </w:rPr>
      </w:pPr>
      <w:r>
        <w:rPr>
          <w:rFonts w:ascii="Book Antiqua" w:hAnsi="Book Antiqua"/>
          <w:sz w:val="20"/>
          <w:szCs w:val="20"/>
        </w:rPr>
        <w:t xml:space="preserve">Beyond agriculture, Davao Oriental's economy is bolstered by various industries. The province has seen an expansion of plantation economies, with investments in large-scale agricultural ventures such as palm oil, rubber, and cacao. While these plantations have increased agricultural productivity, they have also encroached upon upland areas traditionally occupied by indigenous communities, leading to socio-economic challenges and environmental concerns. Efforts are being made to balance economic development with the preservation of indigenous lands and sustainable practices. </w:t>
      </w:r>
    </w:p>
    <w:p w14:paraId="583E1E4D">
      <w:pPr>
        <w:spacing w:after="0" w:line="240" w:lineRule="auto"/>
        <w:jc w:val="both"/>
        <w:rPr>
          <w:rFonts w:ascii="Book Antiqua" w:hAnsi="Book Antiqua"/>
          <w:sz w:val="20"/>
          <w:szCs w:val="20"/>
        </w:rPr>
      </w:pPr>
    </w:p>
    <w:p w14:paraId="621D43AA">
      <w:pPr>
        <w:spacing w:after="0" w:line="240" w:lineRule="auto"/>
        <w:jc w:val="both"/>
        <w:rPr>
          <w:rFonts w:ascii="Book Antiqua" w:hAnsi="Book Antiqua"/>
          <w:b/>
          <w:bCs/>
          <w:i/>
          <w:iCs/>
          <w:sz w:val="20"/>
          <w:szCs w:val="20"/>
        </w:rPr>
      </w:pPr>
      <w:r>
        <w:rPr>
          <w:rFonts w:ascii="Book Antiqua" w:hAnsi="Book Antiqua"/>
          <w:b/>
          <w:bCs/>
          <w:i/>
          <w:iCs/>
          <w:sz w:val="20"/>
          <w:szCs w:val="20"/>
        </w:rPr>
        <w:t>Potential Development</w:t>
      </w:r>
    </w:p>
    <w:p w14:paraId="17B9CCD8">
      <w:pPr>
        <w:spacing w:after="0" w:line="240" w:lineRule="auto"/>
        <w:ind w:firstLine="720"/>
        <w:jc w:val="both"/>
        <w:rPr>
          <w:rFonts w:ascii="Book Antiqua" w:hAnsi="Book Antiqua"/>
          <w:sz w:val="20"/>
          <w:szCs w:val="20"/>
        </w:rPr>
      </w:pPr>
      <w:r>
        <w:rPr>
          <w:rFonts w:ascii="Book Antiqua" w:hAnsi="Book Antiqua"/>
          <w:sz w:val="20"/>
          <w:szCs w:val="20"/>
        </w:rPr>
        <w:t xml:space="preserve">Davao Oriental holds significant potential for development, particularly in enhancing its agricultural value chains and promoting eco-tourism. The province's rich biodiversity, exemplified by the Mount Hamiguitan Range Wildlife Sanctuary—a UNESCO World Heritage Site—offers opportunities for sustainable tourism that can provide alternative livelihoods for local communities. Additionally, there is potential to develop high-value products from existing agricultural outputs, such as coconut-based goods, which can tap into both domestic and international markets. </w:t>
      </w:r>
    </w:p>
    <w:p w14:paraId="4DF42627">
      <w:pPr>
        <w:spacing w:after="0" w:line="240" w:lineRule="auto"/>
        <w:jc w:val="both"/>
        <w:rPr>
          <w:rFonts w:ascii="Book Antiqua" w:hAnsi="Book Antiqua"/>
          <w:b/>
          <w:bCs/>
          <w:i/>
          <w:iCs/>
          <w:sz w:val="20"/>
          <w:szCs w:val="20"/>
        </w:rPr>
      </w:pPr>
    </w:p>
    <w:p w14:paraId="2A687C0A">
      <w:pPr>
        <w:spacing w:after="0" w:line="240" w:lineRule="auto"/>
        <w:jc w:val="both"/>
        <w:rPr>
          <w:rFonts w:ascii="Book Antiqua" w:hAnsi="Book Antiqua"/>
          <w:b/>
          <w:bCs/>
          <w:i/>
          <w:iCs/>
          <w:sz w:val="20"/>
          <w:szCs w:val="20"/>
        </w:rPr>
      </w:pPr>
      <w:r>
        <w:rPr>
          <w:rFonts w:ascii="Book Antiqua" w:hAnsi="Book Antiqua"/>
          <w:b/>
          <w:bCs/>
          <w:i/>
          <w:iCs/>
          <w:sz w:val="20"/>
          <w:szCs w:val="20"/>
        </w:rPr>
        <w:t>Government Programs Supporting Technology Integration in the Coconut Industry</w:t>
      </w:r>
    </w:p>
    <w:p w14:paraId="056B4542">
      <w:pPr>
        <w:spacing w:after="0" w:line="240" w:lineRule="auto"/>
        <w:ind w:firstLine="720"/>
        <w:jc w:val="both"/>
        <w:rPr>
          <w:rFonts w:ascii="Book Antiqua" w:hAnsi="Book Antiqua"/>
          <w:sz w:val="20"/>
          <w:szCs w:val="20"/>
        </w:rPr>
      </w:pPr>
      <w:r>
        <w:rPr>
          <w:rFonts w:ascii="Book Antiqua" w:hAnsi="Book Antiqua"/>
          <w:sz w:val="20"/>
          <w:szCs w:val="20"/>
        </w:rPr>
        <w:t xml:space="preserve">Recognizing the importance of the coconut industry, the Philippine government, through the Philippine Coconut Authority (PCA), has implemented programs aimed at revitalizing and modernizing coconut production. Initiatives such as coconut hybridization and the establishment of communal nurseries are designed to enhance productivity and resilience against pests and diseases. These programs provide local farmers with access to high-quality hybrid seedlings and training on advanced agricultural techniques. Furthermore, collaborations with international organizations have been established to develop value-added products from coconut husks, such as substrates and growing media, which have significant demand in global markets. </w:t>
      </w:r>
    </w:p>
    <w:p w14:paraId="7F4C9C3C">
      <w:pPr>
        <w:spacing w:after="0" w:line="240" w:lineRule="auto"/>
        <w:ind w:firstLine="720"/>
        <w:jc w:val="both"/>
        <w:rPr>
          <w:rFonts w:ascii="Book Antiqua" w:hAnsi="Book Antiqua"/>
          <w:sz w:val="20"/>
          <w:szCs w:val="20"/>
        </w:rPr>
      </w:pPr>
      <w:r>
        <w:rPr>
          <w:rFonts w:ascii="Book Antiqua" w:hAnsi="Book Antiqua"/>
          <w:sz w:val="20"/>
          <w:szCs w:val="20"/>
        </w:rPr>
        <w:t>In summary, Davao Oriental's strategic initiatives in agriculture, particularly in the coconut industry, underscore the province's commitment to economic development and technological integration. These efforts aim to enhance the livelihoods of local farmers and capitalize on both domestic and international market opportunities.</w:t>
      </w:r>
    </w:p>
    <w:p w14:paraId="3912B0E5">
      <w:pPr>
        <w:spacing w:after="0" w:line="240" w:lineRule="auto"/>
        <w:ind w:firstLine="720"/>
        <w:jc w:val="both"/>
        <w:rPr>
          <w:rFonts w:ascii="Book Antiqua" w:hAnsi="Book Antiqua"/>
          <w:sz w:val="20"/>
          <w:szCs w:val="20"/>
        </w:rPr>
      </w:pPr>
    </w:p>
    <w:p w14:paraId="1D1907DA">
      <w:pPr>
        <w:spacing w:after="0" w:line="240" w:lineRule="auto"/>
        <w:jc w:val="center"/>
        <w:rPr>
          <w:rFonts w:ascii="Book Antiqua" w:hAnsi="Book Antiqua"/>
          <w:b/>
          <w:bCs/>
          <w:sz w:val="20"/>
          <w:szCs w:val="20"/>
        </w:rPr>
      </w:pPr>
    </w:p>
    <w:p w14:paraId="644EF4AF">
      <w:pPr>
        <w:spacing w:after="0" w:line="240" w:lineRule="auto"/>
        <w:rPr>
          <w:rFonts w:ascii="Book Antiqua" w:hAnsi="Book Antiqua"/>
          <w:b/>
          <w:bCs/>
          <w:sz w:val="20"/>
          <w:szCs w:val="20"/>
        </w:rPr>
      </w:pPr>
      <w:r>
        <w:rPr>
          <w:rFonts w:ascii="Book Antiqua" w:hAnsi="Book Antiqua"/>
          <w:b/>
          <w:bCs/>
          <w:sz w:val="20"/>
          <w:szCs w:val="20"/>
        </w:rPr>
        <w:t>3.2 Technology Management and Infrastructure Development</w:t>
      </w:r>
    </w:p>
    <w:p w14:paraId="440DCA25">
      <w:pPr>
        <w:spacing w:after="0" w:line="240" w:lineRule="auto"/>
        <w:jc w:val="center"/>
        <w:rPr>
          <w:rFonts w:ascii="Book Antiqua" w:hAnsi="Book Antiqua"/>
          <w:sz w:val="20"/>
          <w:szCs w:val="20"/>
        </w:rPr>
      </w:pPr>
    </w:p>
    <w:p w14:paraId="6010CED9">
      <w:pPr>
        <w:spacing w:after="0" w:line="240" w:lineRule="auto"/>
        <w:ind w:firstLine="720"/>
        <w:jc w:val="both"/>
        <w:rPr>
          <w:rFonts w:ascii="Book Antiqua" w:hAnsi="Book Antiqua"/>
          <w:sz w:val="20"/>
          <w:szCs w:val="20"/>
        </w:rPr>
      </w:pPr>
      <w:r>
        <w:rPr>
          <w:rFonts w:ascii="Book Antiqua" w:hAnsi="Book Antiqua"/>
          <w:sz w:val="20"/>
          <w:szCs w:val="20"/>
        </w:rPr>
        <w:t>The lack of adequate infrastructure remains one of the most pressing challenges facing coconut farmers in Davao Oriental. A well-developed infrastructure is essential for enhancing the efficiency of the coconut supply chain, ensuring that farmers can process and transport their products with minimal losses (Briones, 2014). Poor road networks and limited access to modern processing facilities often result in spoilage and reduced market value of coconut products. Addressing these gaps requires strategic investments in transportation networks, storage facilities, and processing centers.</w:t>
      </w:r>
    </w:p>
    <w:p w14:paraId="7FDC39C3">
      <w:pPr>
        <w:spacing w:after="0" w:line="240" w:lineRule="auto"/>
        <w:ind w:firstLine="720"/>
        <w:jc w:val="both"/>
        <w:rPr>
          <w:rFonts w:ascii="Book Antiqua" w:hAnsi="Book Antiqua"/>
          <w:sz w:val="20"/>
          <w:szCs w:val="20"/>
        </w:rPr>
      </w:pPr>
      <w:r>
        <w:rPr>
          <w:rFonts w:ascii="Book Antiqua" w:hAnsi="Book Antiqua"/>
          <w:sz w:val="20"/>
          <w:szCs w:val="20"/>
        </w:rPr>
        <w:t>The construction of modern processing facilities is crucial for improving the quality and value of coconut-based products. Traditional methods of drying copra and extracting coconut oil often lead to contamination and inconsistent product quality (Posso et al., 2018). By integrating advanced post-harvest processing technologies, farmers can extend the shelf life of their products and meet the stringent quality standards demanded by global markets. Additionally, establishing centralized processing hubs can facilitate cost-sharing among small-scale farmers and improve overall efficiency.</w:t>
      </w:r>
    </w:p>
    <w:p w14:paraId="3EA0F35D">
      <w:pPr>
        <w:spacing w:after="0" w:line="240" w:lineRule="auto"/>
        <w:ind w:firstLine="720"/>
        <w:jc w:val="both"/>
        <w:rPr>
          <w:rFonts w:ascii="Book Antiqua" w:hAnsi="Book Antiqua"/>
          <w:sz w:val="20"/>
          <w:szCs w:val="20"/>
        </w:rPr>
      </w:pPr>
      <w:r>
        <w:rPr>
          <w:rFonts w:ascii="Book Antiqua" w:hAnsi="Book Antiqua"/>
          <w:sz w:val="20"/>
          <w:szCs w:val="20"/>
        </w:rPr>
        <w:t>Investments in storage centers can prevent post-harvest losses and maintain product integrity. Inadequate storage facilities expose coconuts to environmental hazards such as excessive moisture and fungal infections, which degrade quality and reduce marketability. The implementation of climate-controlled storage units and mechanized drying techniques can help mitigate these risks, ensuring a steady supply of high-quality coconut products (Briones, 2014).</w:t>
      </w:r>
    </w:p>
    <w:p w14:paraId="3FA504A3">
      <w:pPr>
        <w:spacing w:after="0" w:line="240" w:lineRule="auto"/>
        <w:ind w:firstLine="720"/>
        <w:jc w:val="both"/>
        <w:rPr>
          <w:rFonts w:ascii="Book Antiqua" w:hAnsi="Book Antiqua"/>
          <w:sz w:val="20"/>
          <w:szCs w:val="20"/>
        </w:rPr>
      </w:pPr>
      <w:r>
        <w:rPr>
          <w:rFonts w:ascii="Book Antiqua" w:hAnsi="Book Antiqua"/>
          <w:sz w:val="20"/>
          <w:szCs w:val="20"/>
        </w:rPr>
        <w:t>Efficient transportation networks are equally vital in improving coconut supply chain logistics. Poor road conditions and limited transportation options often increase operational costs for farmers, reducing their profit margins. The development of farm-to-market roads can facilitate the timely movement of coconuts and processed products, enhancing the competitiveness of local farmers in national and international markets (Briones, 2014). Government and private sector collaborations are needed to finance and implement such infrastructure projects.</w:t>
      </w:r>
    </w:p>
    <w:p w14:paraId="38AFB07D">
      <w:pPr>
        <w:spacing w:after="0" w:line="240" w:lineRule="auto"/>
        <w:ind w:firstLine="720"/>
        <w:jc w:val="both"/>
        <w:rPr>
          <w:rFonts w:ascii="Book Antiqua" w:hAnsi="Book Antiqua"/>
          <w:sz w:val="20"/>
          <w:szCs w:val="20"/>
        </w:rPr>
      </w:pPr>
      <w:r>
        <w:rPr>
          <w:rFonts w:ascii="Book Antiqua" w:hAnsi="Book Antiqua"/>
          <w:sz w:val="20"/>
          <w:szCs w:val="20"/>
        </w:rPr>
        <w:t>Technology management in coconut farming also includes the adoption of digital tools for supply chain tracking and inventory management. Mobile applications and blockchain technology can provide farmers with real-time information on market prices, demand trends, and best post-harvest practices (Posso et al., 2018). By leveraging digital platforms, coconut farmers can make informed decisions and optimize their production processes to meet market demands.</w:t>
      </w:r>
    </w:p>
    <w:p w14:paraId="47128BFE">
      <w:pPr>
        <w:spacing w:after="0" w:line="240" w:lineRule="auto"/>
        <w:ind w:firstLine="720"/>
        <w:jc w:val="both"/>
        <w:rPr>
          <w:rFonts w:ascii="Book Antiqua" w:hAnsi="Book Antiqua"/>
          <w:sz w:val="20"/>
          <w:szCs w:val="20"/>
        </w:rPr>
      </w:pPr>
      <w:r>
        <w:rPr>
          <w:rFonts w:ascii="Book Antiqua" w:hAnsi="Book Antiqua"/>
          <w:sz w:val="20"/>
          <w:szCs w:val="20"/>
        </w:rPr>
        <w:t>Further, infrastructure development should include access to reliable electricity and water supply, which are critical for mechanized processing. Many rural coconut farming communities face electricity shortages, hindering their ability to utilize modern processing equipment. Renewable energy sources such as solar-powered dryers and biogas systems can offer sustainable solutions to these challenges (Herrera et al., 2019).</w:t>
      </w:r>
    </w:p>
    <w:p w14:paraId="2D916E49">
      <w:pPr>
        <w:spacing w:after="0" w:line="240" w:lineRule="auto"/>
        <w:ind w:firstLine="720"/>
        <w:jc w:val="both"/>
        <w:rPr>
          <w:rFonts w:ascii="Book Antiqua" w:hAnsi="Book Antiqua"/>
          <w:sz w:val="20"/>
          <w:szCs w:val="20"/>
        </w:rPr>
      </w:pPr>
      <w:r>
        <w:rPr>
          <w:rFonts w:ascii="Book Antiqua" w:hAnsi="Book Antiqua"/>
          <w:sz w:val="20"/>
          <w:szCs w:val="20"/>
        </w:rPr>
        <w:t>Public-private partnerships can play a key role in accelerating infrastructure improvements. Collaboration between government agencies, private investors, and local farming cooperatives can ensure that infrastructure development aligns with the specific needs of coconut farmers (Barroga et al., 2023). Incentives such as tax breaks and low-interest loans can encourage private investment in coconut processing infrastructure, ultimately boosting the industry's competitiveness.</w:t>
      </w:r>
    </w:p>
    <w:p w14:paraId="3F40A649">
      <w:pPr>
        <w:spacing w:after="0" w:line="240" w:lineRule="auto"/>
        <w:ind w:firstLine="720"/>
        <w:jc w:val="both"/>
        <w:rPr>
          <w:rFonts w:ascii="Book Antiqua" w:hAnsi="Book Antiqua"/>
          <w:sz w:val="20"/>
          <w:szCs w:val="20"/>
        </w:rPr>
      </w:pPr>
      <w:r>
        <w:rPr>
          <w:rFonts w:ascii="Book Antiqua" w:hAnsi="Book Antiqua"/>
          <w:sz w:val="20"/>
          <w:szCs w:val="20"/>
        </w:rPr>
        <w:t>Technology management and infrastructure development are fundamental in addressing the challenges faced by coconut farmers. By modernizing processing facilities, improving storage solutions, and investing in transportation networks, farmers can enhance their productivity, increase market access, and improve their economic stability.</w:t>
      </w:r>
    </w:p>
    <w:p w14:paraId="2E38081A">
      <w:pPr>
        <w:spacing w:after="0" w:line="240" w:lineRule="auto"/>
        <w:ind w:firstLine="720"/>
        <w:jc w:val="both"/>
        <w:rPr>
          <w:rFonts w:ascii="Book Antiqua" w:hAnsi="Book Antiqua"/>
          <w:sz w:val="20"/>
          <w:szCs w:val="20"/>
        </w:rPr>
      </w:pPr>
    </w:p>
    <w:p w14:paraId="369B8F29">
      <w:pPr>
        <w:spacing w:after="0" w:line="240" w:lineRule="auto"/>
        <w:jc w:val="center"/>
        <w:rPr>
          <w:rFonts w:ascii="Book Antiqua" w:hAnsi="Book Antiqua"/>
          <w:b/>
          <w:bCs/>
          <w:sz w:val="20"/>
          <w:szCs w:val="20"/>
        </w:rPr>
      </w:pPr>
    </w:p>
    <w:p w14:paraId="08CFD6D7">
      <w:pPr>
        <w:spacing w:after="0" w:line="240" w:lineRule="auto"/>
        <w:rPr>
          <w:rFonts w:ascii="Book Antiqua" w:hAnsi="Book Antiqua"/>
          <w:b/>
          <w:bCs/>
          <w:sz w:val="20"/>
          <w:szCs w:val="20"/>
        </w:rPr>
      </w:pPr>
      <w:r>
        <w:rPr>
          <w:rFonts w:ascii="Book Antiqua" w:hAnsi="Book Antiqua"/>
          <w:b/>
          <w:bCs/>
          <w:sz w:val="20"/>
          <w:szCs w:val="20"/>
        </w:rPr>
        <w:t>3.3 Innovative Agricultural Practices and Sustainability</w:t>
      </w:r>
    </w:p>
    <w:p w14:paraId="28719966">
      <w:pPr>
        <w:spacing w:after="0" w:line="240" w:lineRule="auto"/>
        <w:jc w:val="center"/>
        <w:rPr>
          <w:rFonts w:ascii="Book Antiqua" w:hAnsi="Book Antiqua"/>
          <w:sz w:val="20"/>
          <w:szCs w:val="20"/>
        </w:rPr>
      </w:pPr>
    </w:p>
    <w:p w14:paraId="2916A6BD">
      <w:pPr>
        <w:spacing w:after="0" w:line="240" w:lineRule="auto"/>
        <w:ind w:firstLine="720"/>
        <w:jc w:val="both"/>
        <w:rPr>
          <w:rFonts w:ascii="Book Antiqua" w:hAnsi="Book Antiqua"/>
          <w:sz w:val="20"/>
          <w:szCs w:val="20"/>
        </w:rPr>
      </w:pPr>
      <w:r>
        <w:rPr>
          <w:rFonts w:ascii="Book Antiqua" w:hAnsi="Book Antiqua"/>
          <w:sz w:val="20"/>
          <w:szCs w:val="20"/>
        </w:rPr>
        <w:t>Sustainable agricultural practices are vital for improving the productivity and resilience of coconut farming in Davao Oriental. One such practice is organic coconut farming, which minimizes the use of chemical inputs and enhances soil health (Herrera et al., 2019). Organic farming methods improve coconut yield while ensuring environmental sustainability, making products more appealing to health-conscious consumers in both domestic and international markets.</w:t>
      </w:r>
    </w:p>
    <w:p w14:paraId="65075B7A">
      <w:pPr>
        <w:spacing w:after="0" w:line="240" w:lineRule="auto"/>
        <w:ind w:firstLine="720"/>
        <w:jc w:val="both"/>
        <w:rPr>
          <w:rFonts w:ascii="Book Antiqua" w:hAnsi="Book Antiqua"/>
          <w:sz w:val="20"/>
          <w:szCs w:val="20"/>
        </w:rPr>
      </w:pPr>
      <w:r>
        <w:rPr>
          <w:rFonts w:ascii="Book Antiqua" w:hAnsi="Book Antiqua"/>
          <w:sz w:val="20"/>
          <w:szCs w:val="20"/>
        </w:rPr>
        <w:t>Intercropping is another innovative strategy that can enhance coconut farm productivity. By integrating crops such as cacao, banana, and coffee with coconut trees, farmers can maximize land use and diversify their income sources. Intercropping also improves soil fertility and reduces the risk of pest infestations, as different crops contribute to a balanced ecosystem (Tiongco et al., 2015). This method allows smallholder farmers to become more resilient against market fluctuations and climate-related challenges.</w:t>
      </w:r>
    </w:p>
    <w:p w14:paraId="664D47B6">
      <w:pPr>
        <w:spacing w:after="0" w:line="240" w:lineRule="auto"/>
        <w:ind w:firstLine="720"/>
        <w:jc w:val="both"/>
        <w:rPr>
          <w:rFonts w:ascii="Book Antiqua" w:hAnsi="Book Antiqua"/>
          <w:sz w:val="20"/>
          <w:szCs w:val="20"/>
        </w:rPr>
      </w:pPr>
      <w:r>
        <w:rPr>
          <w:rFonts w:ascii="Book Antiqua" w:hAnsi="Book Antiqua"/>
          <w:sz w:val="20"/>
          <w:szCs w:val="20"/>
        </w:rPr>
        <w:t>Agroforestry, which combines tree cultivation with crop and livestock production, presents a sustainable approach to coconut farming. Coconut trees provide shade and wind protection for other crops, reducing environmental stressors and improving biodiversity. Agroforestry systems also enhance carbon sequestration, mitigating the impact of climate change on coconut plantations (Herrera et al., 2019).</w:t>
      </w:r>
    </w:p>
    <w:p w14:paraId="3DC4FCA4">
      <w:pPr>
        <w:spacing w:after="0" w:line="240" w:lineRule="auto"/>
        <w:ind w:firstLine="720"/>
        <w:jc w:val="both"/>
        <w:rPr>
          <w:rFonts w:ascii="Book Antiqua" w:hAnsi="Book Antiqua"/>
          <w:sz w:val="20"/>
          <w:szCs w:val="20"/>
        </w:rPr>
      </w:pPr>
      <w:r>
        <w:rPr>
          <w:rFonts w:ascii="Book Antiqua" w:hAnsi="Book Antiqua"/>
          <w:sz w:val="20"/>
          <w:szCs w:val="20"/>
        </w:rPr>
        <w:t>Precision agriculture tools can further optimize coconut farming by improving efficiency and reducing resource waste. Soil sensors, automated irrigation systems, and drone technology can help farmers monitor soil health, detect pest infestations, and optimize water usage (Tiongco et al., 2015). These technologies enable data-driven decision-making, ensuring that farming inputs are used efficiently while minimizing environmental impact.</w:t>
      </w:r>
    </w:p>
    <w:p w14:paraId="491CEC28">
      <w:pPr>
        <w:spacing w:after="0" w:line="240" w:lineRule="auto"/>
        <w:ind w:firstLine="720"/>
        <w:jc w:val="both"/>
        <w:rPr>
          <w:rFonts w:ascii="Book Antiqua" w:hAnsi="Book Antiqua"/>
          <w:sz w:val="20"/>
          <w:szCs w:val="20"/>
        </w:rPr>
      </w:pPr>
      <w:r>
        <w:rPr>
          <w:rFonts w:ascii="Book Antiqua" w:hAnsi="Book Antiqua"/>
          <w:sz w:val="20"/>
          <w:szCs w:val="20"/>
        </w:rPr>
        <w:t>Water conservation techniques, such as rainwater harvesting and drip irrigation, are essential for maintaining coconut farm productivity. Coconut trees require consistent moisture levels, and prolonged droughts can significantly impact yield. Implementing sustainable water management practices can help farmers maintain production even during dry seasons (Herrera et al., 2019).</w:t>
      </w:r>
    </w:p>
    <w:p w14:paraId="759C866E">
      <w:pPr>
        <w:spacing w:after="0" w:line="240" w:lineRule="auto"/>
        <w:ind w:firstLine="720"/>
        <w:jc w:val="both"/>
        <w:rPr>
          <w:rFonts w:ascii="Book Antiqua" w:hAnsi="Book Antiqua"/>
          <w:sz w:val="20"/>
          <w:szCs w:val="20"/>
        </w:rPr>
      </w:pPr>
      <w:r>
        <w:rPr>
          <w:rFonts w:ascii="Book Antiqua" w:hAnsi="Book Antiqua"/>
          <w:sz w:val="20"/>
          <w:szCs w:val="20"/>
        </w:rPr>
        <w:t>Biological pest control methods offer an eco-friendly alternative to chemical pesticides. Natural predators such as parasitic wasps and beneficial fungi can help control coconut pests like the rhinoceros beetle and coconut scale insect. By adopting integrated pest management strategies, farmers can protect their crops without harming the surrounding ecosystem (Macusi et al., 2023).</w:t>
      </w:r>
    </w:p>
    <w:p w14:paraId="10DE2A3E">
      <w:pPr>
        <w:spacing w:after="0" w:line="240" w:lineRule="auto"/>
        <w:ind w:firstLine="720"/>
        <w:jc w:val="both"/>
        <w:rPr>
          <w:rFonts w:ascii="Book Antiqua" w:hAnsi="Book Antiqua"/>
          <w:sz w:val="20"/>
          <w:szCs w:val="20"/>
        </w:rPr>
      </w:pPr>
      <w:r>
        <w:rPr>
          <w:rFonts w:ascii="Book Antiqua" w:hAnsi="Book Antiqua"/>
          <w:sz w:val="20"/>
          <w:szCs w:val="20"/>
        </w:rPr>
        <w:t>The use of renewable energy in coconut farming, such as solar-powered dryers and biofuel-based processing units, can reduce reliance on fossil fuels and lower operational costs. These sustainable energy solutions contribute to environmental conservation while enhancing the economic viability of coconut farming enterprises (Eugenio et al., 2023).</w:t>
      </w:r>
    </w:p>
    <w:p w14:paraId="36073ECD">
      <w:pPr>
        <w:spacing w:after="0" w:line="240" w:lineRule="auto"/>
        <w:ind w:firstLine="720"/>
        <w:jc w:val="both"/>
        <w:rPr>
          <w:rFonts w:ascii="Book Antiqua" w:hAnsi="Book Antiqua"/>
          <w:sz w:val="20"/>
          <w:szCs w:val="20"/>
        </w:rPr>
      </w:pPr>
      <w:r>
        <w:rPr>
          <w:rFonts w:ascii="Book Antiqua" w:hAnsi="Book Antiqua"/>
          <w:sz w:val="20"/>
          <w:szCs w:val="20"/>
        </w:rPr>
        <w:t>Educational programs and extension services play a crucial role in promoting innovative and sustainable agricultural practices. Training workshops, farmer field schools, and knowledge-sharing initiatives can help coconut farmers adopt best practices, improve productivity, and contribute to the long-term sustainability of the industry (Felix Jr, Payos &amp; Lelis, n.d.).</w:t>
      </w:r>
    </w:p>
    <w:p w14:paraId="4F0113BE">
      <w:pPr>
        <w:spacing w:after="0" w:line="240" w:lineRule="auto"/>
        <w:ind w:firstLine="720"/>
        <w:jc w:val="both"/>
        <w:rPr>
          <w:rFonts w:ascii="Book Antiqua" w:hAnsi="Book Antiqua"/>
          <w:sz w:val="20"/>
          <w:szCs w:val="20"/>
        </w:rPr>
      </w:pPr>
    </w:p>
    <w:p w14:paraId="775F2E9F">
      <w:pPr>
        <w:spacing w:after="0" w:line="240" w:lineRule="auto"/>
        <w:jc w:val="center"/>
        <w:rPr>
          <w:rFonts w:ascii="Book Antiqua" w:hAnsi="Book Antiqua"/>
          <w:b/>
          <w:bCs/>
          <w:sz w:val="20"/>
          <w:szCs w:val="20"/>
        </w:rPr>
      </w:pPr>
    </w:p>
    <w:p w14:paraId="198C785C">
      <w:pPr>
        <w:spacing w:after="0" w:line="240" w:lineRule="auto"/>
        <w:rPr>
          <w:rFonts w:ascii="Book Antiqua" w:hAnsi="Book Antiqua"/>
          <w:b/>
          <w:bCs/>
          <w:sz w:val="20"/>
          <w:szCs w:val="20"/>
        </w:rPr>
      </w:pPr>
      <w:r>
        <w:rPr>
          <w:rFonts w:ascii="Book Antiqua" w:hAnsi="Book Antiqua"/>
          <w:b/>
          <w:bCs/>
          <w:sz w:val="20"/>
          <w:szCs w:val="20"/>
        </w:rPr>
        <w:t>3.4 Market Expansion and Consumer Preferences</w:t>
      </w:r>
    </w:p>
    <w:p w14:paraId="3CF218CB">
      <w:pPr>
        <w:spacing w:after="0" w:line="240" w:lineRule="auto"/>
        <w:jc w:val="center"/>
        <w:rPr>
          <w:rFonts w:ascii="Book Antiqua" w:hAnsi="Book Antiqua"/>
          <w:b/>
          <w:bCs/>
          <w:sz w:val="20"/>
          <w:szCs w:val="20"/>
        </w:rPr>
      </w:pPr>
    </w:p>
    <w:p w14:paraId="2EAE0681">
      <w:pPr>
        <w:spacing w:after="0" w:line="240" w:lineRule="auto"/>
        <w:ind w:firstLine="720"/>
        <w:jc w:val="both"/>
        <w:rPr>
          <w:rFonts w:ascii="Book Antiqua" w:hAnsi="Book Antiqua"/>
          <w:sz w:val="20"/>
          <w:szCs w:val="20"/>
        </w:rPr>
      </w:pPr>
      <w:r>
        <w:rPr>
          <w:rFonts w:ascii="Book Antiqua" w:hAnsi="Book Antiqua"/>
          <w:sz w:val="20"/>
          <w:szCs w:val="20"/>
        </w:rPr>
        <w:t>Understanding consumer preferences is essential for improving the marketability of coconut-based products. Consumer preferences are driven by various factors, including health consciousness, dietary restrictions, and environmental sustainability (Eugenio et al., 2023). Over the past decade, there has been a significant shift toward plant-based products, leading to increased demand for coconut-derived items such as coconut milk, coconut oil, and coconut-based snacks (Curry et al., 2019). This shift is especially notable in Western markets, where consumers prioritize organic and minimally processed food options (Smith &amp; Allen, 2021).</w:t>
      </w:r>
    </w:p>
    <w:p w14:paraId="653C45C6">
      <w:pPr>
        <w:spacing w:after="0" w:line="240" w:lineRule="auto"/>
        <w:ind w:firstLine="720"/>
        <w:jc w:val="both"/>
        <w:rPr>
          <w:rFonts w:ascii="Book Antiqua" w:hAnsi="Book Antiqua"/>
          <w:sz w:val="20"/>
          <w:szCs w:val="20"/>
        </w:rPr>
      </w:pPr>
      <w:r>
        <w:rPr>
          <w:rFonts w:ascii="Book Antiqua" w:hAnsi="Book Antiqua"/>
          <w:sz w:val="20"/>
          <w:szCs w:val="20"/>
        </w:rPr>
        <w:t>Market research plays a crucial role in identifying consumer behavior and trends. Studies indicate that consumers prefer coconut products with natural, organic, and non-GMO certifications, reinforcing the need for proper labeling and transparent marketing strategies (Gupta &amp; Singh, 2020). Branding and packaging also influence purchasing decisions, as visually appealing and eco-friendly packaging aligns with the sustainability concerns of modern consumers (Dixon et al., 2022). Additionally, effective branding strategies enhance product recognition and market penetration (Williams &amp; Parker, 2018).</w:t>
      </w:r>
    </w:p>
    <w:p w14:paraId="544D9EA3">
      <w:pPr>
        <w:spacing w:after="0" w:line="240" w:lineRule="auto"/>
        <w:ind w:firstLine="720"/>
        <w:jc w:val="both"/>
        <w:rPr>
          <w:rFonts w:ascii="Book Antiqua" w:hAnsi="Book Antiqua"/>
          <w:sz w:val="20"/>
          <w:szCs w:val="20"/>
        </w:rPr>
      </w:pPr>
      <w:r>
        <w:rPr>
          <w:rFonts w:ascii="Book Antiqua" w:hAnsi="Book Antiqua"/>
          <w:sz w:val="20"/>
          <w:szCs w:val="20"/>
        </w:rPr>
        <w:t>Consumer preferences for coconut-based beverages have also increased significantly, particularly in the sports and wellness industry. Coconut water, for example, has gained popularity as a natural hydration source due to its high electrolyte content and low calorie count (Fernandez et al., 2017). Furthermore, coconut-based dairy alternatives, such as coconut yogurt and coconut cheese, cater to lactose-intolerant and vegan consumers, driving product innovation in the dairy-free segment (Jones &amp; Roberts, 2021).</w:t>
      </w:r>
    </w:p>
    <w:p w14:paraId="40CBA7A9">
      <w:pPr>
        <w:spacing w:after="0" w:line="240" w:lineRule="auto"/>
        <w:ind w:firstLine="720"/>
        <w:jc w:val="both"/>
        <w:rPr>
          <w:rFonts w:ascii="Book Antiqua" w:hAnsi="Book Antiqua"/>
          <w:sz w:val="20"/>
          <w:szCs w:val="20"/>
        </w:rPr>
      </w:pPr>
      <w:r>
        <w:rPr>
          <w:rFonts w:ascii="Book Antiqua" w:hAnsi="Book Antiqua"/>
          <w:sz w:val="20"/>
          <w:szCs w:val="20"/>
        </w:rPr>
        <w:t>Another important aspect of market expansion is the role of digital marketing and e-commerce. With the rise of online shopping platforms, coconut-based product manufacturers have expanded their reach through digital marketing campaigns that emphasize health benefits and sustainability (Garcia et al., 2020). Social media platforms serve as effective tools for engaging consumers, allowing brands to create targeted advertisements and share educational content about the benefits of coconut products (Harris &amp; White, 2019).</w:t>
      </w:r>
    </w:p>
    <w:p w14:paraId="5FEBCD11">
      <w:pPr>
        <w:spacing w:after="0" w:line="240" w:lineRule="auto"/>
        <w:ind w:firstLine="720"/>
        <w:jc w:val="both"/>
        <w:rPr>
          <w:rFonts w:ascii="Book Antiqua" w:hAnsi="Book Antiqua"/>
          <w:sz w:val="20"/>
          <w:szCs w:val="20"/>
        </w:rPr>
      </w:pPr>
      <w:r>
        <w:rPr>
          <w:rFonts w:ascii="Book Antiqua" w:hAnsi="Book Antiqua"/>
          <w:sz w:val="20"/>
          <w:szCs w:val="20"/>
        </w:rPr>
        <w:t>Global trade dynamics also influence market expansion. Coconut-producing countries such as the Philippines, Indonesia, and India play a significant role in the global supply chain. However, fluctuations in export policies, tariffs, and international trade agreements affect product availability and pricing (Rodriguez et al., 2021). Strengthening trade relationships and improving logistics infrastructure can further support the growth of coconut-based enterprises (Mendoza, 2018).</w:t>
      </w:r>
    </w:p>
    <w:p w14:paraId="7426FABC">
      <w:pPr>
        <w:spacing w:after="0" w:line="240" w:lineRule="auto"/>
        <w:ind w:firstLine="720"/>
        <w:jc w:val="both"/>
        <w:rPr>
          <w:rFonts w:ascii="Book Antiqua" w:hAnsi="Book Antiqua"/>
          <w:sz w:val="20"/>
          <w:szCs w:val="20"/>
        </w:rPr>
      </w:pPr>
      <w:r>
        <w:rPr>
          <w:rFonts w:ascii="Book Antiqua" w:hAnsi="Book Antiqua"/>
          <w:sz w:val="20"/>
          <w:szCs w:val="20"/>
        </w:rPr>
        <w:t>The incorporation of value-adding technologies is another key driver of market growth. Processing innovations, such as cold-pressed coconut oil extraction and advanced dehydration techniques, enhance product quality and shelf life (Singh &amp; Patel, 2019). These advancements contribute to the diversification of coconut-based products, allowing manufacturers to cater to various consumer segments, including health-conscious individuals and premium product markets.</w:t>
      </w:r>
    </w:p>
    <w:p w14:paraId="166DFE47">
      <w:pPr>
        <w:spacing w:after="0" w:line="240" w:lineRule="auto"/>
        <w:ind w:firstLine="720"/>
        <w:jc w:val="both"/>
        <w:rPr>
          <w:rFonts w:ascii="Book Antiqua" w:hAnsi="Book Antiqua"/>
          <w:sz w:val="20"/>
          <w:szCs w:val="20"/>
        </w:rPr>
      </w:pPr>
      <w:r>
        <w:rPr>
          <w:rFonts w:ascii="Book Antiqua" w:hAnsi="Book Antiqua"/>
          <w:sz w:val="20"/>
          <w:szCs w:val="20"/>
        </w:rPr>
        <w:t>Challenges remain in expanding the coconut market, particularly regarding price fluctuations, competition from synthetic alternatives, and supply chain inefficiencies (Lopez et al., 2020). Addressing these issues requires coordinated efforts from industry stakeholders, including government agencies, private companies, and research institutions, to promote innovation, sustainability, and resilience within the coconut industry.</w:t>
      </w:r>
    </w:p>
    <w:p w14:paraId="14C0A690">
      <w:pPr>
        <w:spacing w:after="0" w:line="240" w:lineRule="auto"/>
        <w:ind w:firstLine="720"/>
        <w:jc w:val="both"/>
        <w:rPr>
          <w:rFonts w:ascii="Book Antiqua" w:hAnsi="Book Antiqua"/>
          <w:sz w:val="20"/>
          <w:szCs w:val="20"/>
        </w:rPr>
      </w:pPr>
      <w:r>
        <w:rPr>
          <w:rFonts w:ascii="Book Antiqua" w:hAnsi="Book Antiqua"/>
          <w:sz w:val="20"/>
          <w:szCs w:val="20"/>
        </w:rPr>
        <w:t>Market expansion in the coconut industry is driven by consumer demand for healthier and sustainable products, effective branding and marketing strategies, technological advancements, and international trade developments. Understanding these factors enables producers to develop competitive products that meet the evolving needs of consumers worldwide.</w:t>
      </w:r>
    </w:p>
    <w:p w14:paraId="3DC2A1B4">
      <w:pPr>
        <w:spacing w:after="0" w:line="240" w:lineRule="auto"/>
        <w:jc w:val="center"/>
        <w:rPr>
          <w:rFonts w:ascii="Book Antiqua" w:hAnsi="Book Antiqua"/>
          <w:b/>
          <w:bCs/>
          <w:sz w:val="20"/>
          <w:szCs w:val="20"/>
        </w:rPr>
      </w:pPr>
    </w:p>
    <w:p w14:paraId="6EC2437D">
      <w:pPr>
        <w:spacing w:after="0" w:line="240" w:lineRule="auto"/>
        <w:jc w:val="center"/>
        <w:rPr>
          <w:rFonts w:ascii="Book Antiqua" w:hAnsi="Book Antiqua"/>
          <w:b/>
          <w:bCs/>
          <w:sz w:val="20"/>
          <w:szCs w:val="20"/>
        </w:rPr>
      </w:pPr>
    </w:p>
    <w:p w14:paraId="2DA40F18">
      <w:pPr>
        <w:spacing w:after="0" w:line="240" w:lineRule="auto"/>
        <w:rPr>
          <w:rFonts w:ascii="Book Antiqua" w:hAnsi="Book Antiqua"/>
          <w:b/>
          <w:bCs/>
          <w:sz w:val="20"/>
          <w:szCs w:val="20"/>
        </w:rPr>
      </w:pPr>
      <w:r>
        <w:rPr>
          <w:rFonts w:ascii="Book Antiqua" w:hAnsi="Book Antiqua"/>
          <w:b/>
          <w:bCs/>
          <w:sz w:val="20"/>
          <w:szCs w:val="20"/>
        </w:rPr>
        <w:t>3.5 Indigenous Knowledge and Traditional Practices</w:t>
      </w:r>
    </w:p>
    <w:p w14:paraId="09E3C8CA">
      <w:pPr>
        <w:spacing w:after="0" w:line="240" w:lineRule="auto"/>
        <w:jc w:val="center"/>
        <w:rPr>
          <w:rFonts w:ascii="Book Antiqua" w:hAnsi="Book Antiqua"/>
          <w:b/>
          <w:bCs/>
          <w:sz w:val="20"/>
          <w:szCs w:val="20"/>
        </w:rPr>
      </w:pPr>
    </w:p>
    <w:p w14:paraId="029AA249">
      <w:pPr>
        <w:spacing w:after="0" w:line="240" w:lineRule="auto"/>
        <w:ind w:firstLine="720"/>
        <w:jc w:val="both"/>
        <w:rPr>
          <w:rFonts w:ascii="Book Antiqua" w:hAnsi="Book Antiqua"/>
          <w:sz w:val="20"/>
          <w:szCs w:val="20"/>
        </w:rPr>
      </w:pPr>
      <w:r>
        <w:rPr>
          <w:rFonts w:ascii="Book Antiqua" w:hAnsi="Book Antiqua"/>
          <w:sz w:val="20"/>
          <w:szCs w:val="20"/>
        </w:rPr>
        <w:t>Indigenous knowledge and traditional practices play a crucial role in sustainable coconut farming. Many local farmers have developed specialized techniques that enhance soil fertility, improve yield, and promote environmental conservation (Macusi et al., 2023). These practices, passed down through generations, are essential for maintaining ecological balance and ensuring long-term agricultural sustainability (Dacudao, 2018).</w:t>
      </w:r>
    </w:p>
    <w:p w14:paraId="01508724">
      <w:pPr>
        <w:spacing w:after="0" w:line="240" w:lineRule="auto"/>
        <w:ind w:firstLine="720"/>
        <w:jc w:val="both"/>
        <w:rPr>
          <w:rFonts w:ascii="Book Antiqua" w:hAnsi="Book Antiqua"/>
          <w:sz w:val="20"/>
          <w:szCs w:val="20"/>
        </w:rPr>
      </w:pPr>
      <w:r>
        <w:rPr>
          <w:rFonts w:ascii="Book Antiqua" w:hAnsi="Book Antiqua"/>
          <w:sz w:val="20"/>
          <w:szCs w:val="20"/>
        </w:rPr>
        <w:t>One key traditional practice is intercropping, where coconut trees are planted alongside other crops such as banana, cacao, and coffee. This method maximizes land use efficiency and provides farmers with multiple sources of income (Santos &amp; Reyes, 2020). Intercropping also improves soil structure, enhances biodiversity, and reduces the risk of pest infestations compared to monoculture plantations (Torres &amp; Guzman, 2019).</w:t>
      </w:r>
    </w:p>
    <w:p w14:paraId="095D2189">
      <w:pPr>
        <w:spacing w:after="0" w:line="240" w:lineRule="auto"/>
        <w:ind w:firstLine="720"/>
        <w:jc w:val="both"/>
        <w:rPr>
          <w:rFonts w:ascii="Book Antiqua" w:hAnsi="Book Antiqua"/>
          <w:sz w:val="20"/>
          <w:szCs w:val="20"/>
        </w:rPr>
      </w:pPr>
      <w:r>
        <w:rPr>
          <w:rFonts w:ascii="Book Antiqua" w:hAnsi="Book Antiqua"/>
          <w:sz w:val="20"/>
          <w:szCs w:val="20"/>
        </w:rPr>
        <w:t>Another valuable indigenous practice is the use of organic fertilizers derived from coconut husks, leaves, and other biodegradable farm waste. Traditional composting methods enrich the soil with essential nutrients and reduce dependency on synthetic fertilizers, which can degrade soil quality over time (Fernandez et al., 2021). The integration of organic farming techniques with modern scientific advancements has been shown to enhance productivity while preserving the environment (Delgado &amp; Perez, 2017).</w:t>
      </w:r>
    </w:p>
    <w:p w14:paraId="54DC4ABF">
      <w:pPr>
        <w:spacing w:after="0" w:line="240" w:lineRule="auto"/>
        <w:ind w:firstLine="720"/>
        <w:jc w:val="both"/>
        <w:rPr>
          <w:rFonts w:ascii="Book Antiqua" w:hAnsi="Book Antiqua"/>
          <w:sz w:val="20"/>
          <w:szCs w:val="20"/>
        </w:rPr>
      </w:pPr>
      <w:r>
        <w:rPr>
          <w:rFonts w:ascii="Book Antiqua" w:hAnsi="Book Antiqua"/>
          <w:sz w:val="20"/>
          <w:szCs w:val="20"/>
        </w:rPr>
        <w:t>Traditional pest management strategies also contribute to sustainable coconut farming. Indigenous farmers often use natural repellents derived from neem leaves, garlic, and chili peppers to deter pests without harming beneficial organisms (Garcia et al., 2018). This approach aligns with modern integrated pest management (IPM) strategies that emphasize minimal chemical intervention and ecological balance (Rodriguez &amp; Silva, 2020).</w:t>
      </w:r>
    </w:p>
    <w:p w14:paraId="222C6121">
      <w:pPr>
        <w:spacing w:after="0" w:line="240" w:lineRule="auto"/>
        <w:ind w:firstLine="720"/>
        <w:jc w:val="both"/>
        <w:rPr>
          <w:rFonts w:ascii="Book Antiqua" w:hAnsi="Book Antiqua"/>
          <w:sz w:val="20"/>
          <w:szCs w:val="20"/>
        </w:rPr>
      </w:pPr>
      <w:r>
        <w:rPr>
          <w:rFonts w:ascii="Book Antiqua" w:hAnsi="Book Antiqua"/>
          <w:sz w:val="20"/>
          <w:szCs w:val="20"/>
        </w:rPr>
        <w:t>Water conservation techniques, such as mulching with coconut husks and leaves, help retain soil moisture and reduce the need for irrigation, particularly in drought-prone areas (Diaz &amp; Morales, 2022). These methods, developed through indigenous knowledge, are particularly relevant in the face of climate change, as they enhance the resilience of coconut farms against erratic weather patterns (Lopez et al., 2021).</w:t>
      </w:r>
    </w:p>
    <w:p w14:paraId="1B96EF94">
      <w:pPr>
        <w:spacing w:after="0" w:line="240" w:lineRule="auto"/>
        <w:ind w:firstLine="720"/>
        <w:jc w:val="both"/>
        <w:rPr>
          <w:rFonts w:ascii="Book Antiqua" w:hAnsi="Book Antiqua"/>
          <w:sz w:val="20"/>
          <w:szCs w:val="20"/>
        </w:rPr>
      </w:pPr>
      <w:r>
        <w:rPr>
          <w:rFonts w:ascii="Book Antiqua" w:hAnsi="Book Antiqua"/>
          <w:sz w:val="20"/>
          <w:szCs w:val="20"/>
        </w:rPr>
        <w:t>The role of indigenous knowledge in seed selection and propagation is also noteworthy. Traditional farmers have developed techniques to identify and cultivate high-yield coconut varieties based on experience and observational skills (Ramirez &amp; Cruz, 2019). By preserving heirloom coconut varieties, indigenous communities contribute to genetic diversity, which is vital for disease resistance and long-term sustainability (Mendoza &amp; Aquino, 2018).</w:t>
      </w:r>
    </w:p>
    <w:p w14:paraId="0871CA46">
      <w:pPr>
        <w:spacing w:after="0" w:line="240" w:lineRule="auto"/>
        <w:ind w:firstLine="720"/>
        <w:jc w:val="both"/>
        <w:rPr>
          <w:rFonts w:ascii="Book Antiqua" w:hAnsi="Book Antiqua"/>
          <w:sz w:val="20"/>
          <w:szCs w:val="20"/>
        </w:rPr>
      </w:pPr>
      <w:r>
        <w:rPr>
          <w:rFonts w:ascii="Book Antiqua" w:hAnsi="Book Antiqua"/>
          <w:sz w:val="20"/>
          <w:szCs w:val="20"/>
        </w:rPr>
        <w:t>Despite the proven benefits of indigenous practices, many traditional farming methods are at risk of being lost due to modernization and the increasing adoption of industrialized agricultural techniques (Santos et al., 2021). Efforts should be made to document and integrate these practices into formal agricultural extension programs to ensure their preservation and wider application (Gonzales &amp; Rivera, 2020).</w:t>
      </w:r>
    </w:p>
    <w:p w14:paraId="10699A2D">
      <w:pPr>
        <w:spacing w:after="0" w:line="240" w:lineRule="auto"/>
        <w:ind w:firstLine="720"/>
        <w:jc w:val="both"/>
        <w:rPr>
          <w:rFonts w:ascii="Book Antiqua" w:hAnsi="Book Antiqua"/>
          <w:sz w:val="20"/>
          <w:szCs w:val="20"/>
        </w:rPr>
      </w:pPr>
      <w:r>
        <w:rPr>
          <w:rFonts w:ascii="Book Antiqua" w:hAnsi="Book Antiqua"/>
          <w:sz w:val="20"/>
          <w:szCs w:val="20"/>
        </w:rPr>
        <w:t>Indigenous knowledge and traditional practices play a vital role in sustainable coconut farming by promoting biodiversity, soil health, pest management, and climate resilience. Combining these time-tested methods with modern agricultural innovations can lead to a more sustainable and productive coconut industry.</w:t>
      </w:r>
    </w:p>
    <w:p w14:paraId="3E4C7369">
      <w:pPr>
        <w:spacing w:after="0" w:line="240" w:lineRule="auto"/>
        <w:ind w:firstLine="720"/>
        <w:jc w:val="both"/>
        <w:rPr>
          <w:rFonts w:ascii="Book Antiqua" w:hAnsi="Book Antiqua"/>
          <w:sz w:val="20"/>
          <w:szCs w:val="20"/>
        </w:rPr>
      </w:pPr>
    </w:p>
    <w:p w14:paraId="15F44C6D">
      <w:pPr>
        <w:spacing w:after="0" w:line="240" w:lineRule="auto"/>
        <w:jc w:val="center"/>
        <w:rPr>
          <w:rFonts w:ascii="Book Antiqua" w:hAnsi="Book Antiqua"/>
          <w:b/>
          <w:bCs/>
          <w:sz w:val="20"/>
          <w:szCs w:val="20"/>
        </w:rPr>
      </w:pPr>
    </w:p>
    <w:p w14:paraId="5824BDCC">
      <w:pPr>
        <w:spacing w:after="0" w:line="240" w:lineRule="auto"/>
        <w:rPr>
          <w:rFonts w:ascii="Book Antiqua" w:hAnsi="Book Antiqua"/>
          <w:b/>
          <w:bCs/>
          <w:sz w:val="20"/>
          <w:szCs w:val="20"/>
        </w:rPr>
      </w:pPr>
      <w:r>
        <w:rPr>
          <w:rFonts w:ascii="Book Antiqua" w:hAnsi="Book Antiqua"/>
          <w:b/>
          <w:bCs/>
          <w:sz w:val="20"/>
          <w:szCs w:val="20"/>
        </w:rPr>
        <w:t>3.6 Government Policies and Support Programs in the Coconut Industry</w:t>
      </w:r>
    </w:p>
    <w:p w14:paraId="149230E6">
      <w:pPr>
        <w:spacing w:after="0" w:line="240" w:lineRule="auto"/>
        <w:jc w:val="center"/>
        <w:rPr>
          <w:rFonts w:ascii="Book Antiqua" w:hAnsi="Book Antiqua"/>
          <w:b/>
          <w:bCs/>
          <w:sz w:val="20"/>
          <w:szCs w:val="20"/>
        </w:rPr>
      </w:pPr>
    </w:p>
    <w:p w14:paraId="476AAFB6">
      <w:pPr>
        <w:spacing w:after="0" w:line="240" w:lineRule="auto"/>
        <w:ind w:firstLine="720"/>
        <w:jc w:val="both"/>
        <w:rPr>
          <w:rFonts w:ascii="Book Antiqua" w:hAnsi="Book Antiqua"/>
          <w:sz w:val="20"/>
          <w:szCs w:val="20"/>
        </w:rPr>
      </w:pPr>
      <w:r>
        <w:rPr>
          <w:rFonts w:ascii="Book Antiqua" w:hAnsi="Book Antiqua"/>
          <w:sz w:val="20"/>
          <w:szCs w:val="20"/>
        </w:rPr>
        <w:t>Government policies and support programs play a critical role in promoting sustainable agricultural development, particularly in the coconut industry. Policies that provide financial support, training, and technological innovations enable farmers to modernize their practices, improve productivity, and increase competitiveness in both domestic and international markets (Felix Jr., Payos, &amp; Lelis, n.d.). Government interventions are necessary to address key challenges faced by coconut farmers, such as outdated farming techniques, price fluctuations, and climate-related vulnerabilities (Barroga et al., 2023). By implementing well-structured policies and support mechanisms, governments can create an enabling environment that fosters growth and sustainability in the coconut sector.</w:t>
      </w:r>
    </w:p>
    <w:p w14:paraId="62E3AFE2">
      <w:pPr>
        <w:spacing w:after="0" w:line="240" w:lineRule="auto"/>
        <w:ind w:firstLine="720"/>
        <w:jc w:val="both"/>
        <w:rPr>
          <w:rFonts w:ascii="Book Antiqua" w:hAnsi="Book Antiqua"/>
          <w:sz w:val="20"/>
          <w:szCs w:val="20"/>
        </w:rPr>
      </w:pPr>
      <w:r>
        <w:rPr>
          <w:rFonts w:ascii="Book Antiqua" w:hAnsi="Book Antiqua"/>
          <w:sz w:val="20"/>
          <w:szCs w:val="20"/>
        </w:rPr>
        <w:t>One of the most significant government support programs for coconut farmers is financial assistance. Various forms of funding, such as subsidies, grants, and low-interest loans, help farmers access essential resources such as high-quality seedlings, fertilizers, and irrigation systems (Mendoza &amp; Ramos, 2020). The Philippine Coconut Authority (PCA) and similar agencies in other coconut-producing countries have implemented financial aid programs to support farmers in rehabilitating old coconut farms and expanding coconut-based enterprises (Santos &amp; Garcia, 2021). Access to funding allows small-scale farmers to adopt modern agricultural technologies and improve farm productivity, leading to higher income and increased profitability.</w:t>
      </w:r>
    </w:p>
    <w:p w14:paraId="53DF57FA">
      <w:pPr>
        <w:spacing w:after="0" w:line="240" w:lineRule="auto"/>
        <w:ind w:firstLine="720"/>
        <w:jc w:val="both"/>
        <w:rPr>
          <w:rFonts w:ascii="Book Antiqua" w:hAnsi="Book Antiqua"/>
          <w:sz w:val="20"/>
          <w:szCs w:val="20"/>
        </w:rPr>
      </w:pPr>
      <w:r>
        <w:rPr>
          <w:rFonts w:ascii="Book Antiqua" w:hAnsi="Book Antiqua"/>
          <w:sz w:val="20"/>
          <w:szCs w:val="20"/>
        </w:rPr>
        <w:t>Another essential aspect of government intervention is capacity-building and training programs. Coconut farmers often face challenges in adopting new agricultural technologies due to a lack of technical knowledge and skills (Rodriguez &amp; Cruz, 2019). Training programs organized by government agencies, research institutions, and universities help farmers learn modern farming techniques, pest and disease management, and post-harvest processing methods (Guzman &amp; Torres, 2022). These initiatives improve farmers' efficiency and equip them with the necessary knowledge to transition from traditional farming methods to more innovative and sustainable practices.</w:t>
      </w:r>
    </w:p>
    <w:p w14:paraId="3A3EFAB8">
      <w:pPr>
        <w:spacing w:after="0" w:line="240" w:lineRule="auto"/>
        <w:ind w:firstLine="720"/>
        <w:jc w:val="both"/>
        <w:rPr>
          <w:rFonts w:ascii="Book Antiqua" w:hAnsi="Book Antiqua"/>
          <w:sz w:val="20"/>
          <w:szCs w:val="20"/>
        </w:rPr>
      </w:pPr>
      <w:r>
        <w:rPr>
          <w:rFonts w:ascii="Book Antiqua" w:hAnsi="Book Antiqua"/>
          <w:sz w:val="20"/>
          <w:szCs w:val="20"/>
        </w:rPr>
        <w:t>Technology adoption in coconut farming is crucial for improving productivity and addressing climate change challenges. Governments play a key role in promoting the use of modern technologies such as precision farming, mechanized harvesting, and automated coconut processing (Fernandez &amp; Lopez, 2018). For instance, the adoption of drone technology for farm monitoring and pest control has significantly reduced labor costs and improved farm management efficiency (Delgado &amp; Santos, 2020). Additionally, biotechnology advancements, such as the development of high-yield and disease-resistant coconut varieties, contribute to increased farm productivity and sustainability (Garcia &amp; Reyes, 2019).</w:t>
      </w:r>
    </w:p>
    <w:p w14:paraId="1D254A13">
      <w:pPr>
        <w:spacing w:after="0" w:line="240" w:lineRule="auto"/>
        <w:ind w:firstLine="720"/>
        <w:jc w:val="both"/>
        <w:rPr>
          <w:rFonts w:ascii="Book Antiqua" w:hAnsi="Book Antiqua"/>
          <w:sz w:val="20"/>
          <w:szCs w:val="20"/>
        </w:rPr>
      </w:pPr>
      <w:r>
        <w:rPr>
          <w:rFonts w:ascii="Book Antiqua" w:hAnsi="Book Antiqua"/>
          <w:sz w:val="20"/>
          <w:szCs w:val="20"/>
        </w:rPr>
        <w:t>Market linkages and cooperative development are also key areas of government support. Strengthening linkages between farmers and markets through cooperative initiatives can enhance the profitability of coconut-based enterprises (Barroga et al., 2023). Cooperatives allow farmers to pool resources, access bulk purchasing discounts, and negotiate better prices with buyers (Ramirez &amp; Aquino, 2017). Government policies that promote the establishment of farmer cooperatives help create more efficient supply chains, reducing transaction costs and improving the bargaining power of smallholder farmers.</w:t>
      </w:r>
    </w:p>
    <w:p w14:paraId="3A977D97">
      <w:pPr>
        <w:spacing w:after="0" w:line="240" w:lineRule="auto"/>
        <w:ind w:firstLine="720"/>
        <w:jc w:val="both"/>
        <w:rPr>
          <w:rFonts w:ascii="Book Antiqua" w:hAnsi="Book Antiqua"/>
          <w:sz w:val="20"/>
          <w:szCs w:val="20"/>
        </w:rPr>
      </w:pPr>
      <w:r>
        <w:rPr>
          <w:rFonts w:ascii="Book Antiqua" w:hAnsi="Book Antiqua"/>
          <w:sz w:val="20"/>
          <w:szCs w:val="20"/>
        </w:rPr>
        <w:t>Trade policies and export regulations also significantly impact the coconut industry. Governments establish policies that facilitate international trade, ensuring that coconut products meet global quality and safety standards (Dela Cruz et al., 2021). In the Philippines, for example, the Coconut Farmers and Industry Trust Fund (CFITF) was established to enhance the competitiveness of the coconut sector by providing financial support for research, development, and marketing initiatives (Mendoza &amp; Ramos, 2020). By implementing trade-friendly policies and reducing bureaucratic barriers, governments can help coconut farmers and processors access global markets and increase export revenues.</w:t>
      </w:r>
    </w:p>
    <w:p w14:paraId="60B9D6A8">
      <w:pPr>
        <w:spacing w:after="0" w:line="240" w:lineRule="auto"/>
        <w:ind w:firstLine="720"/>
        <w:jc w:val="both"/>
        <w:rPr>
          <w:rFonts w:ascii="Book Antiqua" w:hAnsi="Book Antiqua"/>
          <w:sz w:val="20"/>
          <w:szCs w:val="20"/>
        </w:rPr>
      </w:pPr>
      <w:r>
        <w:rPr>
          <w:rFonts w:ascii="Book Antiqua" w:hAnsi="Book Antiqua"/>
          <w:sz w:val="20"/>
          <w:szCs w:val="20"/>
        </w:rPr>
        <w:t>Climate resilience programs are another crucial area of government intervention. Climate change poses a significant threat to coconut farming, leading to extreme weather conditions such as typhoons, droughts, and rising temperatures (Santos &amp; Morales, 2019). Government programs that focus on climate adaptation strategies, such as the promotion of drought-resistant coconut varieties, improved irrigation systems, and agroforestry practices, help farmers mitigate climate risks and ensure long-term sustainability (Rodriguez &amp; Cruz, 2019). Investing in research and development on climate-smart agricultural practices also enhances the resilience of the coconut industry against environmental challenges.</w:t>
      </w:r>
    </w:p>
    <w:p w14:paraId="546CCBD6">
      <w:pPr>
        <w:spacing w:after="0" w:line="240" w:lineRule="auto"/>
        <w:ind w:firstLine="720"/>
        <w:jc w:val="both"/>
        <w:rPr>
          <w:rFonts w:ascii="Book Antiqua" w:hAnsi="Book Antiqua"/>
          <w:sz w:val="20"/>
          <w:szCs w:val="20"/>
        </w:rPr>
      </w:pPr>
      <w:r>
        <w:rPr>
          <w:rFonts w:ascii="Book Antiqua" w:hAnsi="Book Antiqua"/>
          <w:sz w:val="20"/>
          <w:szCs w:val="20"/>
        </w:rPr>
        <w:t>Despite the numerous government support programs, challenges remain in the implementation and effectiveness of these initiatives. Issues such as bureaucratic inefficiencies, lack of transparency in fund distribution, and insufficient farmer awareness limit the impact of government interventions (Delgado &amp; Santos, 2020). Strengthening policy implementation, improving coordination among government agencies, and involving farmers in decision-making processes can enhance the effectiveness of support programs (Garcia &amp; Reyes, 2019). Moreover, fostering public-private partnerships in the coconut sector can complement government efforts and provide additional resources for innovation and development.</w:t>
      </w:r>
    </w:p>
    <w:p w14:paraId="6CD4C4A7">
      <w:pPr>
        <w:spacing w:after="0" w:line="240" w:lineRule="auto"/>
        <w:ind w:firstLine="720"/>
        <w:jc w:val="both"/>
        <w:rPr>
          <w:rFonts w:ascii="Book Antiqua" w:hAnsi="Book Antiqua"/>
          <w:sz w:val="20"/>
          <w:szCs w:val="20"/>
        </w:rPr>
      </w:pPr>
      <w:r>
        <w:rPr>
          <w:rFonts w:ascii="Book Antiqua" w:hAnsi="Book Antiqua"/>
          <w:sz w:val="20"/>
          <w:szCs w:val="20"/>
        </w:rPr>
        <w:t>Government policies and support programs are vital in ensuring the growth and sustainability of the coconut industry. Through financial assistance, training programs, technology promotion, market linkages, trade policies, and climate resilience initiatives, governments can empower coconut farmers and enhance their productivity and profitability. However, to maximize the impact of these programs, there is a need for improved implementation strategies, transparency, and collaboration among stakeholders. By addressing these challenges, governments can help build a more competitive and resilient coconut sector that benefits farmers, consumers, and the economy as a whole.</w:t>
      </w:r>
    </w:p>
    <w:p w14:paraId="39893ACC">
      <w:pPr>
        <w:spacing w:after="0" w:line="240" w:lineRule="auto"/>
        <w:ind w:firstLine="720"/>
        <w:jc w:val="center"/>
        <w:rPr>
          <w:rFonts w:ascii="Book Antiqua" w:hAnsi="Book Antiqua"/>
          <w:b/>
          <w:bCs/>
          <w:sz w:val="20"/>
          <w:szCs w:val="20"/>
        </w:rPr>
      </w:pPr>
    </w:p>
    <w:p w14:paraId="282A67C7">
      <w:pPr>
        <w:spacing w:after="0" w:line="240" w:lineRule="auto"/>
        <w:ind w:firstLine="720"/>
        <w:jc w:val="center"/>
        <w:rPr>
          <w:rFonts w:ascii="Book Antiqua" w:hAnsi="Book Antiqua"/>
          <w:b/>
          <w:bCs/>
          <w:sz w:val="20"/>
          <w:szCs w:val="20"/>
        </w:rPr>
      </w:pPr>
    </w:p>
    <w:p w14:paraId="7A2C21AD">
      <w:pPr>
        <w:spacing w:after="0" w:line="240" w:lineRule="auto"/>
        <w:ind w:firstLine="720"/>
        <w:jc w:val="center"/>
        <w:rPr>
          <w:rFonts w:ascii="Book Antiqua" w:hAnsi="Book Antiqua"/>
          <w:b/>
          <w:bCs/>
          <w:sz w:val="20"/>
          <w:szCs w:val="20"/>
        </w:rPr>
      </w:pPr>
    </w:p>
    <w:p w14:paraId="0BA149B1">
      <w:pPr>
        <w:pStyle w:val="29"/>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FINDINGS</w:t>
      </w:r>
    </w:p>
    <w:p w14:paraId="473A39C1">
      <w:pPr>
        <w:pStyle w:val="29"/>
        <w:spacing w:after="0" w:line="240" w:lineRule="auto"/>
        <w:rPr>
          <w:rFonts w:ascii="Book Antiqua" w:hAnsi="Book Antiqua"/>
          <w:b/>
          <w:bCs/>
          <w:sz w:val="20"/>
          <w:szCs w:val="20"/>
        </w:rPr>
      </w:pPr>
    </w:p>
    <w:p w14:paraId="3CC5FE05">
      <w:pPr>
        <w:spacing w:after="0" w:line="240" w:lineRule="auto"/>
        <w:ind w:firstLine="720"/>
        <w:jc w:val="both"/>
        <w:rPr>
          <w:rFonts w:ascii="Book Antiqua" w:hAnsi="Book Antiqua"/>
          <w:sz w:val="20"/>
          <w:szCs w:val="20"/>
        </w:rPr>
      </w:pPr>
      <w:r>
        <w:rPr>
          <w:rFonts w:ascii="Book Antiqua" w:hAnsi="Book Antiqua"/>
          <w:sz w:val="20"/>
          <w:szCs w:val="20"/>
        </w:rPr>
        <w:t>The review highlights that technology management in Davao Oriental’s coconut industry remains hindered by infrastructure limitations, outdated processing systems, and insufficient access to post-harvest technologies. Rural farmers struggle with poor farm-to-market roads and lack of modern facilities, resulting in high post-harvest losses and reduced product quality (Briones, 2014; Posso et al., 2018). Addressing these issues through public-private infrastructure investments and mechanization support is essential to boost the industry’s competitiveness in both domestic and global markets (Herrera et al., 2019). Notably, digital tools for farm management and mobile market access remain underutilized despite their proven benefits in similar rural economies.</w:t>
      </w:r>
    </w:p>
    <w:p w14:paraId="12AED3D2">
      <w:pPr>
        <w:spacing w:after="0" w:line="240" w:lineRule="auto"/>
        <w:ind w:firstLine="720"/>
        <w:jc w:val="both"/>
        <w:rPr>
          <w:rFonts w:ascii="Book Antiqua" w:hAnsi="Book Antiqua"/>
          <w:sz w:val="20"/>
          <w:szCs w:val="20"/>
        </w:rPr>
      </w:pPr>
      <w:r>
        <w:rPr>
          <w:rFonts w:ascii="Book Antiqua" w:hAnsi="Book Antiqua"/>
          <w:sz w:val="20"/>
          <w:szCs w:val="20"/>
        </w:rPr>
        <w:t>Sustainable farming practices and innovation adoption emerged as crucial factors for increasing productivity and resilience. Techniques such as intercropping, organic farming, precision agriculture, and agroforestry are being recognized for their ecological benefits and income diversification potential (Tiongco et al., 2015; Herrera et al., 2019). Moreover, indigenous knowledge systems, including traditional pest control and organic fertilization methods, are vital in promoting environmental sustainability while preserving cultural identity (Macusi et al., 2023). Integrating these traditional practices with modern technology not only boosts productivity but also builds climate resilience, especially in regions vulnerable to extreme weather events.</w:t>
      </w:r>
    </w:p>
    <w:p w14:paraId="5800D623">
      <w:pPr>
        <w:spacing w:after="0" w:line="240" w:lineRule="auto"/>
        <w:ind w:firstLine="720"/>
        <w:jc w:val="both"/>
        <w:rPr>
          <w:rFonts w:ascii="Book Antiqua" w:hAnsi="Book Antiqua"/>
          <w:sz w:val="20"/>
          <w:szCs w:val="20"/>
        </w:rPr>
      </w:pPr>
      <w:r>
        <w:rPr>
          <w:rFonts w:ascii="Book Antiqua" w:hAnsi="Book Antiqua"/>
          <w:sz w:val="20"/>
          <w:szCs w:val="20"/>
        </w:rPr>
        <w:t>The review also finds that government policies and cooperative development play a significant role in strengthening market access and technology adoption. Programs led by the Philippine Coconut Authority, such as coconut hybridization and training for value-added production, have shown promise but face challenges in implementation due to bureaucracy and limited grassroots participation (Felix Jr., Payos, &amp; Lelis, n.d.; Barroga et al., 2023). Enhancing support for farmer organizations, improving supply chains, and fostering inclusive governance are necessary to sustain growth. Furthermore, tapping into global markets through value-added coconut products like sap-based beverages and coir substrates offers a strategic opportunity for economic upliftment (Alzate, 2018; Eugenio, Santos, &amp; Rivera, 2023).</w:t>
      </w:r>
    </w:p>
    <w:p w14:paraId="1CF1AE1B">
      <w:pPr>
        <w:spacing w:after="0" w:line="240" w:lineRule="auto"/>
        <w:rPr>
          <w:rFonts w:ascii="Book Antiqua" w:hAnsi="Book Antiqua"/>
          <w:b/>
          <w:bCs/>
          <w:sz w:val="20"/>
          <w:szCs w:val="20"/>
        </w:rPr>
      </w:pPr>
    </w:p>
    <w:p w14:paraId="5BC6301C">
      <w:pPr>
        <w:spacing w:after="0" w:line="240" w:lineRule="auto"/>
        <w:rPr>
          <w:rFonts w:ascii="Book Antiqua" w:hAnsi="Book Antiqua"/>
          <w:b/>
          <w:bCs/>
          <w:sz w:val="20"/>
          <w:szCs w:val="20"/>
        </w:rPr>
      </w:pPr>
    </w:p>
    <w:p w14:paraId="2C707E75">
      <w:pPr>
        <w:spacing w:after="0" w:line="240" w:lineRule="auto"/>
        <w:rPr>
          <w:rFonts w:ascii="Book Antiqua" w:hAnsi="Book Antiqua"/>
          <w:b/>
          <w:bCs/>
          <w:sz w:val="20"/>
          <w:szCs w:val="20"/>
        </w:rPr>
      </w:pPr>
    </w:p>
    <w:p w14:paraId="6670DE88">
      <w:pPr>
        <w:spacing w:after="0" w:line="240" w:lineRule="auto"/>
        <w:rPr>
          <w:rFonts w:ascii="Book Antiqua" w:hAnsi="Book Antiqua"/>
          <w:b/>
          <w:bCs/>
          <w:sz w:val="20"/>
          <w:szCs w:val="20"/>
        </w:rPr>
      </w:pPr>
    </w:p>
    <w:p w14:paraId="0F2385B5">
      <w:pPr>
        <w:spacing w:after="0" w:line="240" w:lineRule="auto"/>
        <w:jc w:val="center"/>
        <w:rPr>
          <w:rFonts w:ascii="Book Antiqua" w:hAnsi="Book Antiqua"/>
          <w:b/>
          <w:bCs/>
          <w:sz w:val="20"/>
          <w:szCs w:val="20"/>
        </w:rPr>
      </w:pPr>
      <w:r>
        <w:rPr>
          <w:rFonts w:ascii="Book Antiqua" w:hAnsi="Book Antiqua"/>
          <w:b/>
          <w:bCs/>
          <w:sz w:val="20"/>
          <w:szCs w:val="20"/>
        </w:rPr>
        <w:t>Summary Table: Key Themes in Technology Management for the Coconut Industry in Davao Oriental</w:t>
      </w:r>
    </w:p>
    <w:p w14:paraId="50EAB115">
      <w:pPr>
        <w:spacing w:after="0" w:line="240" w:lineRule="auto"/>
        <w:jc w:val="center"/>
        <w:rPr>
          <w:rFonts w:ascii="Book Antiqua" w:hAnsi="Book Antiqua"/>
          <w:b/>
          <w:bCs/>
          <w:sz w:val="20"/>
          <w:szCs w:val="20"/>
        </w:rPr>
      </w:pPr>
    </w:p>
    <w:tbl>
      <w:tblPr>
        <w:tblStyle w:val="12"/>
        <w:tblW w:w="0" w:type="auto"/>
        <w:tblCellSpacing w:w="15" w:type="dxa"/>
        <w:tblInd w:w="0" w:type="dxa"/>
        <w:tblLayout w:type="autofit"/>
        <w:tblCellMar>
          <w:top w:w="15" w:type="dxa"/>
          <w:left w:w="15" w:type="dxa"/>
          <w:bottom w:w="15" w:type="dxa"/>
          <w:right w:w="15" w:type="dxa"/>
        </w:tblCellMar>
      </w:tblPr>
      <w:tblGrid>
        <w:gridCol w:w="2213"/>
        <w:gridCol w:w="2692"/>
        <w:gridCol w:w="2524"/>
        <w:gridCol w:w="2021"/>
      </w:tblGrid>
      <w:tr w14:paraId="4143B6D8">
        <w:tblPrEx>
          <w:tblCellMar>
            <w:top w:w="15" w:type="dxa"/>
            <w:left w:w="15" w:type="dxa"/>
            <w:bottom w:w="15" w:type="dxa"/>
            <w:right w:w="15" w:type="dxa"/>
          </w:tblCellMar>
        </w:tblPrEx>
        <w:trPr>
          <w:tblHeader/>
          <w:tblCellSpacing w:w="15" w:type="dxa"/>
        </w:trPr>
        <w:tc>
          <w:tcPr>
            <w:tcW w:w="0" w:type="auto"/>
            <w:vAlign w:val="center"/>
          </w:tcPr>
          <w:p w14:paraId="50708818">
            <w:pPr>
              <w:spacing w:after="0" w:line="240" w:lineRule="auto"/>
              <w:ind w:firstLine="720"/>
              <w:rPr>
                <w:rFonts w:ascii="Book Antiqua" w:hAnsi="Book Antiqua"/>
                <w:b/>
                <w:bCs/>
                <w:sz w:val="20"/>
                <w:szCs w:val="20"/>
              </w:rPr>
            </w:pPr>
            <w:r>
              <w:rPr>
                <w:rFonts w:ascii="Book Antiqua" w:hAnsi="Book Antiqua"/>
                <w:b/>
                <w:bCs/>
                <w:sz w:val="20"/>
                <w:szCs w:val="20"/>
              </w:rPr>
              <w:t>Thematic Area</w:t>
            </w:r>
          </w:p>
        </w:tc>
        <w:tc>
          <w:tcPr>
            <w:tcW w:w="0" w:type="auto"/>
            <w:vAlign w:val="center"/>
          </w:tcPr>
          <w:p w14:paraId="0821F1A4">
            <w:pPr>
              <w:spacing w:after="0" w:line="240" w:lineRule="auto"/>
              <w:ind w:firstLine="720"/>
              <w:jc w:val="center"/>
              <w:rPr>
                <w:rFonts w:ascii="Book Antiqua" w:hAnsi="Book Antiqua"/>
                <w:b/>
                <w:bCs/>
                <w:sz w:val="20"/>
                <w:szCs w:val="20"/>
              </w:rPr>
            </w:pPr>
            <w:r>
              <w:rPr>
                <w:rFonts w:ascii="Book Antiqua" w:hAnsi="Book Antiqua"/>
                <w:b/>
                <w:bCs/>
                <w:sz w:val="20"/>
                <w:szCs w:val="20"/>
              </w:rPr>
              <w:t>Key Issues</w:t>
            </w:r>
          </w:p>
        </w:tc>
        <w:tc>
          <w:tcPr>
            <w:tcW w:w="0" w:type="auto"/>
            <w:vAlign w:val="center"/>
          </w:tcPr>
          <w:p w14:paraId="193FC9CB">
            <w:pPr>
              <w:spacing w:after="0" w:line="240" w:lineRule="auto"/>
              <w:ind w:firstLine="720"/>
              <w:jc w:val="center"/>
              <w:rPr>
                <w:rFonts w:ascii="Book Antiqua" w:hAnsi="Book Antiqua"/>
                <w:b/>
                <w:bCs/>
                <w:sz w:val="20"/>
                <w:szCs w:val="20"/>
              </w:rPr>
            </w:pPr>
            <w:r>
              <w:rPr>
                <w:rFonts w:ascii="Book Antiqua" w:hAnsi="Book Antiqua"/>
                <w:b/>
                <w:bCs/>
                <w:sz w:val="20"/>
                <w:szCs w:val="20"/>
              </w:rPr>
              <w:t>Opportunities / Innovations</w:t>
            </w:r>
          </w:p>
        </w:tc>
        <w:tc>
          <w:tcPr>
            <w:tcW w:w="0" w:type="auto"/>
            <w:vAlign w:val="center"/>
          </w:tcPr>
          <w:p w14:paraId="3F2D207A">
            <w:pPr>
              <w:spacing w:after="0" w:line="240" w:lineRule="auto"/>
              <w:ind w:firstLine="720"/>
              <w:jc w:val="center"/>
              <w:rPr>
                <w:rFonts w:ascii="Book Antiqua" w:hAnsi="Book Antiqua"/>
                <w:b/>
                <w:bCs/>
                <w:sz w:val="20"/>
                <w:szCs w:val="20"/>
              </w:rPr>
            </w:pPr>
            <w:r>
              <w:rPr>
                <w:rFonts w:ascii="Book Antiqua" w:hAnsi="Book Antiqua"/>
                <w:b/>
                <w:bCs/>
                <w:sz w:val="20"/>
                <w:szCs w:val="20"/>
              </w:rPr>
              <w:t>Supporting References</w:t>
            </w:r>
          </w:p>
        </w:tc>
      </w:tr>
      <w:tr w14:paraId="38395A17">
        <w:tblPrEx>
          <w:tblCellMar>
            <w:top w:w="15" w:type="dxa"/>
            <w:left w:w="15" w:type="dxa"/>
            <w:bottom w:w="15" w:type="dxa"/>
            <w:right w:w="15" w:type="dxa"/>
          </w:tblCellMar>
        </w:tblPrEx>
        <w:trPr>
          <w:tblCellSpacing w:w="15" w:type="dxa"/>
        </w:trPr>
        <w:tc>
          <w:tcPr>
            <w:tcW w:w="0" w:type="auto"/>
            <w:vAlign w:val="center"/>
          </w:tcPr>
          <w:p w14:paraId="5DCA6418">
            <w:pPr>
              <w:spacing w:after="0" w:line="240" w:lineRule="auto"/>
              <w:ind w:firstLine="720"/>
              <w:jc w:val="center"/>
              <w:rPr>
                <w:rFonts w:ascii="Book Antiqua" w:hAnsi="Book Antiqua"/>
                <w:b/>
                <w:bCs/>
                <w:sz w:val="20"/>
                <w:szCs w:val="20"/>
              </w:rPr>
            </w:pPr>
            <w:r>
              <w:rPr>
                <w:rFonts w:ascii="Book Antiqua" w:hAnsi="Book Antiqua"/>
                <w:b/>
                <w:bCs/>
                <w:sz w:val="20"/>
                <w:szCs w:val="20"/>
              </w:rPr>
              <w:t>Infrastructure Development</w:t>
            </w:r>
          </w:p>
        </w:tc>
        <w:tc>
          <w:tcPr>
            <w:tcW w:w="0" w:type="auto"/>
            <w:vAlign w:val="center"/>
          </w:tcPr>
          <w:p w14:paraId="386ECE93">
            <w:pPr>
              <w:spacing w:after="0" w:line="240" w:lineRule="auto"/>
              <w:ind w:firstLine="720"/>
              <w:jc w:val="center"/>
              <w:rPr>
                <w:rFonts w:ascii="Book Antiqua" w:hAnsi="Book Antiqua"/>
                <w:sz w:val="20"/>
                <w:szCs w:val="20"/>
              </w:rPr>
            </w:pPr>
            <w:r>
              <w:rPr>
                <w:rFonts w:ascii="Book Antiqua" w:hAnsi="Book Antiqua"/>
                <w:sz w:val="20"/>
                <w:szCs w:val="20"/>
              </w:rPr>
              <w:t>Inadequate roads, outdated processing equipment, poor storage facilities</w:t>
            </w:r>
          </w:p>
        </w:tc>
        <w:tc>
          <w:tcPr>
            <w:tcW w:w="0" w:type="auto"/>
            <w:vAlign w:val="center"/>
          </w:tcPr>
          <w:p w14:paraId="0DF7BFC9">
            <w:pPr>
              <w:spacing w:after="0" w:line="240" w:lineRule="auto"/>
              <w:ind w:firstLine="720"/>
              <w:jc w:val="center"/>
              <w:rPr>
                <w:rFonts w:ascii="Book Antiqua" w:hAnsi="Book Antiqua"/>
                <w:sz w:val="20"/>
                <w:szCs w:val="20"/>
              </w:rPr>
            </w:pPr>
            <w:r>
              <w:rPr>
                <w:rFonts w:ascii="Book Antiqua" w:hAnsi="Book Antiqua"/>
                <w:sz w:val="20"/>
                <w:szCs w:val="20"/>
              </w:rPr>
              <w:t>Public-private partnerships, centralized processing hubs, renewable energy-based equipment</w:t>
            </w:r>
          </w:p>
        </w:tc>
        <w:tc>
          <w:tcPr>
            <w:tcW w:w="0" w:type="auto"/>
            <w:vAlign w:val="center"/>
          </w:tcPr>
          <w:p w14:paraId="74854873">
            <w:pPr>
              <w:spacing w:after="0" w:line="240" w:lineRule="auto"/>
              <w:ind w:firstLine="720"/>
              <w:jc w:val="center"/>
              <w:rPr>
                <w:rFonts w:ascii="Book Antiqua" w:hAnsi="Book Antiqua"/>
                <w:sz w:val="20"/>
                <w:szCs w:val="20"/>
              </w:rPr>
            </w:pPr>
            <w:r>
              <w:rPr>
                <w:rFonts w:ascii="Book Antiqua" w:hAnsi="Book Antiqua"/>
                <w:sz w:val="20"/>
                <w:szCs w:val="20"/>
              </w:rPr>
              <w:t>Briones (2014); Posso et al. (2018)</w:t>
            </w:r>
          </w:p>
        </w:tc>
      </w:tr>
      <w:tr w14:paraId="716D0FF6">
        <w:tblPrEx>
          <w:tblCellMar>
            <w:top w:w="15" w:type="dxa"/>
            <w:left w:w="15" w:type="dxa"/>
            <w:bottom w:w="15" w:type="dxa"/>
            <w:right w:w="15" w:type="dxa"/>
          </w:tblCellMar>
        </w:tblPrEx>
        <w:trPr>
          <w:tblCellSpacing w:w="15" w:type="dxa"/>
        </w:trPr>
        <w:tc>
          <w:tcPr>
            <w:tcW w:w="0" w:type="auto"/>
            <w:vAlign w:val="center"/>
          </w:tcPr>
          <w:p w14:paraId="0B41F701">
            <w:pPr>
              <w:spacing w:after="0" w:line="240" w:lineRule="auto"/>
              <w:ind w:firstLine="720"/>
              <w:jc w:val="center"/>
              <w:rPr>
                <w:rFonts w:ascii="Book Antiqua" w:hAnsi="Book Antiqua"/>
                <w:b/>
                <w:bCs/>
                <w:sz w:val="20"/>
                <w:szCs w:val="20"/>
              </w:rPr>
            </w:pPr>
            <w:r>
              <w:rPr>
                <w:rFonts w:ascii="Book Antiqua" w:hAnsi="Book Antiqua"/>
                <w:b/>
                <w:bCs/>
                <w:sz w:val="20"/>
                <w:szCs w:val="20"/>
              </w:rPr>
              <w:t>Sustainable Farming Practices</w:t>
            </w:r>
          </w:p>
        </w:tc>
        <w:tc>
          <w:tcPr>
            <w:tcW w:w="0" w:type="auto"/>
            <w:vAlign w:val="center"/>
          </w:tcPr>
          <w:p w14:paraId="7CADA23F">
            <w:pPr>
              <w:spacing w:after="0" w:line="240" w:lineRule="auto"/>
              <w:ind w:firstLine="720"/>
              <w:jc w:val="center"/>
              <w:rPr>
                <w:rFonts w:ascii="Book Antiqua" w:hAnsi="Book Antiqua"/>
                <w:sz w:val="20"/>
                <w:szCs w:val="20"/>
              </w:rPr>
            </w:pPr>
            <w:r>
              <w:rPr>
                <w:rFonts w:ascii="Book Antiqua" w:hAnsi="Book Antiqua"/>
                <w:sz w:val="20"/>
                <w:szCs w:val="20"/>
              </w:rPr>
              <w:t>Overdependence on traditional mono-cropping systems, low resilience to climate stress</w:t>
            </w:r>
          </w:p>
        </w:tc>
        <w:tc>
          <w:tcPr>
            <w:tcW w:w="0" w:type="auto"/>
            <w:vAlign w:val="center"/>
          </w:tcPr>
          <w:p w14:paraId="2C3656A1">
            <w:pPr>
              <w:spacing w:after="0" w:line="240" w:lineRule="auto"/>
              <w:ind w:firstLine="720"/>
              <w:jc w:val="center"/>
              <w:rPr>
                <w:rFonts w:ascii="Book Antiqua" w:hAnsi="Book Antiqua"/>
                <w:sz w:val="20"/>
                <w:szCs w:val="20"/>
              </w:rPr>
            </w:pPr>
            <w:r>
              <w:rPr>
                <w:rFonts w:ascii="Book Antiqua" w:hAnsi="Book Antiqua"/>
                <w:sz w:val="20"/>
                <w:szCs w:val="20"/>
              </w:rPr>
              <w:t>Intercropping, organic farming, agroforestry, precision agriculture</w:t>
            </w:r>
          </w:p>
        </w:tc>
        <w:tc>
          <w:tcPr>
            <w:tcW w:w="0" w:type="auto"/>
            <w:vAlign w:val="center"/>
          </w:tcPr>
          <w:p w14:paraId="3BA62F30">
            <w:pPr>
              <w:spacing w:after="0" w:line="240" w:lineRule="auto"/>
              <w:ind w:firstLine="720"/>
              <w:jc w:val="center"/>
              <w:rPr>
                <w:rFonts w:ascii="Book Antiqua" w:hAnsi="Book Antiqua"/>
                <w:sz w:val="20"/>
                <w:szCs w:val="20"/>
              </w:rPr>
            </w:pPr>
            <w:r>
              <w:rPr>
                <w:rFonts w:ascii="Book Antiqua" w:hAnsi="Book Antiqua"/>
                <w:sz w:val="20"/>
                <w:szCs w:val="20"/>
              </w:rPr>
              <w:t>Tiongco et al. (2015); Herrera et al. (2019)</w:t>
            </w:r>
          </w:p>
        </w:tc>
      </w:tr>
      <w:tr w14:paraId="1DEAAE46">
        <w:tblPrEx>
          <w:tblCellMar>
            <w:top w:w="15" w:type="dxa"/>
            <w:left w:w="15" w:type="dxa"/>
            <w:bottom w:w="15" w:type="dxa"/>
            <w:right w:w="15" w:type="dxa"/>
          </w:tblCellMar>
        </w:tblPrEx>
        <w:trPr>
          <w:tblCellSpacing w:w="15" w:type="dxa"/>
        </w:trPr>
        <w:tc>
          <w:tcPr>
            <w:tcW w:w="0" w:type="auto"/>
            <w:vAlign w:val="center"/>
          </w:tcPr>
          <w:p w14:paraId="000A542C">
            <w:pPr>
              <w:spacing w:after="0" w:line="240" w:lineRule="auto"/>
              <w:ind w:firstLine="720"/>
              <w:jc w:val="center"/>
              <w:rPr>
                <w:rFonts w:ascii="Book Antiqua" w:hAnsi="Book Antiqua"/>
                <w:b/>
                <w:bCs/>
                <w:sz w:val="20"/>
                <w:szCs w:val="20"/>
              </w:rPr>
            </w:pPr>
            <w:r>
              <w:rPr>
                <w:rFonts w:ascii="Book Antiqua" w:hAnsi="Book Antiqua"/>
                <w:b/>
                <w:bCs/>
                <w:sz w:val="20"/>
                <w:szCs w:val="20"/>
              </w:rPr>
              <w:t>Technology Adoption and Digital Tools</w:t>
            </w:r>
          </w:p>
        </w:tc>
        <w:tc>
          <w:tcPr>
            <w:tcW w:w="0" w:type="auto"/>
            <w:vAlign w:val="center"/>
          </w:tcPr>
          <w:p w14:paraId="274BBC94">
            <w:pPr>
              <w:spacing w:after="0" w:line="240" w:lineRule="auto"/>
              <w:ind w:firstLine="720"/>
              <w:jc w:val="center"/>
              <w:rPr>
                <w:rFonts w:ascii="Book Antiqua" w:hAnsi="Book Antiqua"/>
                <w:sz w:val="20"/>
                <w:szCs w:val="20"/>
              </w:rPr>
            </w:pPr>
            <w:r>
              <w:rPr>
                <w:rFonts w:ascii="Book Antiqua" w:hAnsi="Book Antiqua"/>
                <w:sz w:val="20"/>
                <w:szCs w:val="20"/>
              </w:rPr>
              <w:t>Lack of awareness and access to modern tools</w:t>
            </w:r>
          </w:p>
        </w:tc>
        <w:tc>
          <w:tcPr>
            <w:tcW w:w="0" w:type="auto"/>
            <w:vAlign w:val="center"/>
          </w:tcPr>
          <w:p w14:paraId="1F8E5422">
            <w:pPr>
              <w:spacing w:after="0" w:line="240" w:lineRule="auto"/>
              <w:ind w:firstLine="720"/>
              <w:jc w:val="center"/>
              <w:rPr>
                <w:rFonts w:ascii="Book Antiqua" w:hAnsi="Book Antiqua"/>
                <w:sz w:val="20"/>
                <w:szCs w:val="20"/>
              </w:rPr>
            </w:pPr>
            <w:r>
              <w:rPr>
                <w:rFonts w:ascii="Book Antiqua" w:hAnsi="Book Antiqua"/>
                <w:sz w:val="20"/>
                <w:szCs w:val="20"/>
              </w:rPr>
              <w:t>Mobile apps, market-tracking platforms, digital inventory tools</w:t>
            </w:r>
          </w:p>
        </w:tc>
        <w:tc>
          <w:tcPr>
            <w:tcW w:w="0" w:type="auto"/>
            <w:vAlign w:val="center"/>
          </w:tcPr>
          <w:p w14:paraId="323E5FB7">
            <w:pPr>
              <w:spacing w:after="0" w:line="240" w:lineRule="auto"/>
              <w:ind w:firstLine="720"/>
              <w:jc w:val="center"/>
              <w:rPr>
                <w:rFonts w:ascii="Book Antiqua" w:hAnsi="Book Antiqua"/>
                <w:sz w:val="20"/>
                <w:szCs w:val="20"/>
              </w:rPr>
            </w:pPr>
            <w:r>
              <w:rPr>
                <w:rFonts w:ascii="Book Antiqua" w:hAnsi="Book Antiqua"/>
                <w:sz w:val="20"/>
                <w:szCs w:val="20"/>
              </w:rPr>
              <w:t>Barroga et al. (2023); Eugenio et al. (2023)</w:t>
            </w:r>
          </w:p>
        </w:tc>
      </w:tr>
      <w:tr w14:paraId="0B1B14A5">
        <w:tblPrEx>
          <w:tblCellMar>
            <w:top w:w="15" w:type="dxa"/>
            <w:left w:w="15" w:type="dxa"/>
            <w:bottom w:w="15" w:type="dxa"/>
            <w:right w:w="15" w:type="dxa"/>
          </w:tblCellMar>
        </w:tblPrEx>
        <w:trPr>
          <w:tblCellSpacing w:w="15" w:type="dxa"/>
        </w:trPr>
        <w:tc>
          <w:tcPr>
            <w:tcW w:w="0" w:type="auto"/>
            <w:vAlign w:val="center"/>
          </w:tcPr>
          <w:p w14:paraId="4F2C6F26">
            <w:pPr>
              <w:spacing w:after="0" w:line="240" w:lineRule="auto"/>
              <w:ind w:firstLine="720"/>
              <w:jc w:val="center"/>
              <w:rPr>
                <w:rFonts w:ascii="Book Antiqua" w:hAnsi="Book Antiqua"/>
                <w:b/>
                <w:bCs/>
                <w:sz w:val="20"/>
                <w:szCs w:val="20"/>
              </w:rPr>
            </w:pPr>
            <w:r>
              <w:rPr>
                <w:rFonts w:ascii="Book Antiqua" w:hAnsi="Book Antiqua"/>
                <w:b/>
                <w:bCs/>
                <w:sz w:val="20"/>
                <w:szCs w:val="20"/>
              </w:rPr>
              <w:t>Indigenous Knowledge Integration</w:t>
            </w:r>
          </w:p>
        </w:tc>
        <w:tc>
          <w:tcPr>
            <w:tcW w:w="0" w:type="auto"/>
            <w:vAlign w:val="center"/>
          </w:tcPr>
          <w:p w14:paraId="76B0D5B9">
            <w:pPr>
              <w:spacing w:after="0" w:line="240" w:lineRule="auto"/>
              <w:ind w:firstLine="720"/>
              <w:jc w:val="center"/>
              <w:rPr>
                <w:rFonts w:ascii="Book Antiqua" w:hAnsi="Book Antiqua"/>
                <w:sz w:val="20"/>
                <w:szCs w:val="20"/>
              </w:rPr>
            </w:pPr>
            <w:r>
              <w:rPr>
                <w:rFonts w:ascii="Book Antiqua" w:hAnsi="Book Antiqua"/>
                <w:sz w:val="20"/>
                <w:szCs w:val="20"/>
              </w:rPr>
              <w:t>Declining practice due to modernization and marginalization</w:t>
            </w:r>
          </w:p>
        </w:tc>
        <w:tc>
          <w:tcPr>
            <w:tcW w:w="0" w:type="auto"/>
            <w:vAlign w:val="center"/>
          </w:tcPr>
          <w:p w14:paraId="79042100">
            <w:pPr>
              <w:spacing w:after="0" w:line="240" w:lineRule="auto"/>
              <w:ind w:firstLine="720"/>
              <w:jc w:val="center"/>
              <w:rPr>
                <w:rFonts w:ascii="Book Antiqua" w:hAnsi="Book Antiqua"/>
                <w:sz w:val="20"/>
                <w:szCs w:val="20"/>
              </w:rPr>
            </w:pPr>
            <w:r>
              <w:rPr>
                <w:rFonts w:ascii="Book Antiqua" w:hAnsi="Book Antiqua"/>
                <w:sz w:val="20"/>
                <w:szCs w:val="20"/>
              </w:rPr>
              <w:t>Integration of IK in formal training, organic fertilization, natural pest control</w:t>
            </w:r>
          </w:p>
        </w:tc>
        <w:tc>
          <w:tcPr>
            <w:tcW w:w="0" w:type="auto"/>
            <w:vAlign w:val="center"/>
          </w:tcPr>
          <w:p w14:paraId="2E72F483">
            <w:pPr>
              <w:spacing w:after="0" w:line="240" w:lineRule="auto"/>
              <w:ind w:firstLine="720"/>
              <w:jc w:val="center"/>
              <w:rPr>
                <w:rFonts w:ascii="Book Antiqua" w:hAnsi="Book Antiqua"/>
                <w:sz w:val="20"/>
                <w:szCs w:val="20"/>
              </w:rPr>
            </w:pPr>
            <w:r>
              <w:rPr>
                <w:rFonts w:ascii="Book Antiqua" w:hAnsi="Book Antiqua"/>
                <w:sz w:val="20"/>
                <w:szCs w:val="20"/>
              </w:rPr>
              <w:t>Macusi et al. (2023); Delgado &amp; Perez (2017)</w:t>
            </w:r>
          </w:p>
        </w:tc>
      </w:tr>
      <w:tr w14:paraId="21CB3364">
        <w:tblPrEx>
          <w:tblCellMar>
            <w:top w:w="15" w:type="dxa"/>
            <w:left w:w="15" w:type="dxa"/>
            <w:bottom w:w="15" w:type="dxa"/>
            <w:right w:w="15" w:type="dxa"/>
          </w:tblCellMar>
        </w:tblPrEx>
        <w:trPr>
          <w:tblCellSpacing w:w="15" w:type="dxa"/>
        </w:trPr>
        <w:tc>
          <w:tcPr>
            <w:tcW w:w="0" w:type="auto"/>
            <w:vAlign w:val="center"/>
          </w:tcPr>
          <w:p w14:paraId="28F3A342">
            <w:pPr>
              <w:spacing w:after="0" w:line="240" w:lineRule="auto"/>
              <w:ind w:firstLine="720"/>
              <w:jc w:val="center"/>
              <w:rPr>
                <w:rFonts w:ascii="Book Antiqua" w:hAnsi="Book Antiqua"/>
                <w:b/>
                <w:bCs/>
                <w:sz w:val="20"/>
                <w:szCs w:val="20"/>
              </w:rPr>
            </w:pPr>
            <w:r>
              <w:rPr>
                <w:rFonts w:ascii="Book Antiqua" w:hAnsi="Book Antiqua"/>
                <w:b/>
                <w:bCs/>
                <w:sz w:val="20"/>
                <w:szCs w:val="20"/>
              </w:rPr>
              <w:t>Policy and Institutional Support</w:t>
            </w:r>
          </w:p>
        </w:tc>
        <w:tc>
          <w:tcPr>
            <w:tcW w:w="0" w:type="auto"/>
            <w:vAlign w:val="center"/>
          </w:tcPr>
          <w:p w14:paraId="25CADFFD">
            <w:pPr>
              <w:spacing w:after="0" w:line="240" w:lineRule="auto"/>
              <w:ind w:firstLine="720"/>
              <w:jc w:val="center"/>
              <w:rPr>
                <w:rFonts w:ascii="Book Antiqua" w:hAnsi="Book Antiqua"/>
                <w:sz w:val="20"/>
                <w:szCs w:val="20"/>
              </w:rPr>
            </w:pPr>
            <w:r>
              <w:rPr>
                <w:rFonts w:ascii="Book Antiqua" w:hAnsi="Book Antiqua"/>
                <w:sz w:val="20"/>
                <w:szCs w:val="20"/>
              </w:rPr>
              <w:t>Bureaucratic delays, limited local implementation capacity</w:t>
            </w:r>
          </w:p>
        </w:tc>
        <w:tc>
          <w:tcPr>
            <w:tcW w:w="0" w:type="auto"/>
            <w:vAlign w:val="center"/>
          </w:tcPr>
          <w:p w14:paraId="72FFAB8C">
            <w:pPr>
              <w:spacing w:after="0" w:line="240" w:lineRule="auto"/>
              <w:ind w:firstLine="720"/>
              <w:jc w:val="center"/>
              <w:rPr>
                <w:rFonts w:ascii="Book Antiqua" w:hAnsi="Book Antiqua"/>
                <w:sz w:val="20"/>
                <w:szCs w:val="20"/>
              </w:rPr>
            </w:pPr>
            <w:r>
              <w:rPr>
                <w:rFonts w:ascii="Book Antiqua" w:hAnsi="Book Antiqua"/>
                <w:sz w:val="20"/>
                <w:szCs w:val="20"/>
              </w:rPr>
              <w:t>PCA hybrid seedling programs, value-adding initiatives, training support</w:t>
            </w:r>
          </w:p>
        </w:tc>
        <w:tc>
          <w:tcPr>
            <w:tcW w:w="0" w:type="auto"/>
            <w:vAlign w:val="center"/>
          </w:tcPr>
          <w:p w14:paraId="5565145E">
            <w:pPr>
              <w:spacing w:after="0" w:line="240" w:lineRule="auto"/>
              <w:ind w:firstLine="720"/>
              <w:jc w:val="center"/>
              <w:rPr>
                <w:rFonts w:ascii="Book Antiqua" w:hAnsi="Book Antiqua"/>
                <w:sz w:val="20"/>
                <w:szCs w:val="20"/>
              </w:rPr>
            </w:pPr>
            <w:r>
              <w:rPr>
                <w:rFonts w:ascii="Book Antiqua" w:hAnsi="Book Antiqua"/>
                <w:sz w:val="20"/>
                <w:szCs w:val="20"/>
              </w:rPr>
              <w:t>Felix Jr. et al. (n.d.); Herrera et al. (2019)</w:t>
            </w:r>
          </w:p>
        </w:tc>
      </w:tr>
      <w:tr w14:paraId="306CCAFA">
        <w:tblPrEx>
          <w:tblCellMar>
            <w:top w:w="15" w:type="dxa"/>
            <w:left w:w="15" w:type="dxa"/>
            <w:bottom w:w="15" w:type="dxa"/>
            <w:right w:w="15" w:type="dxa"/>
          </w:tblCellMar>
        </w:tblPrEx>
        <w:trPr>
          <w:tblCellSpacing w:w="15" w:type="dxa"/>
        </w:trPr>
        <w:tc>
          <w:tcPr>
            <w:tcW w:w="0" w:type="auto"/>
            <w:vAlign w:val="center"/>
          </w:tcPr>
          <w:p w14:paraId="0B7F439F">
            <w:pPr>
              <w:spacing w:after="0" w:line="240" w:lineRule="auto"/>
              <w:ind w:firstLine="720"/>
              <w:jc w:val="center"/>
              <w:rPr>
                <w:rFonts w:ascii="Book Antiqua" w:hAnsi="Book Antiqua"/>
                <w:b/>
                <w:bCs/>
                <w:sz w:val="20"/>
                <w:szCs w:val="20"/>
              </w:rPr>
            </w:pPr>
            <w:r>
              <w:rPr>
                <w:rFonts w:ascii="Book Antiqua" w:hAnsi="Book Antiqua"/>
                <w:b/>
                <w:bCs/>
                <w:sz w:val="20"/>
                <w:szCs w:val="20"/>
              </w:rPr>
              <w:t>Market Access and Consumer Demand</w:t>
            </w:r>
          </w:p>
        </w:tc>
        <w:tc>
          <w:tcPr>
            <w:tcW w:w="0" w:type="auto"/>
            <w:vAlign w:val="center"/>
          </w:tcPr>
          <w:p w14:paraId="2C51D865">
            <w:pPr>
              <w:spacing w:after="0" w:line="240" w:lineRule="auto"/>
              <w:ind w:firstLine="720"/>
              <w:jc w:val="center"/>
              <w:rPr>
                <w:rFonts w:ascii="Book Antiqua" w:hAnsi="Book Antiqua"/>
                <w:sz w:val="20"/>
                <w:szCs w:val="20"/>
              </w:rPr>
            </w:pPr>
            <w:r>
              <w:rPr>
                <w:rFonts w:ascii="Book Antiqua" w:hAnsi="Book Antiqua"/>
                <w:sz w:val="20"/>
                <w:szCs w:val="20"/>
              </w:rPr>
              <w:t>Volatile prices, weak supply chains, lack of branding</w:t>
            </w:r>
          </w:p>
        </w:tc>
        <w:tc>
          <w:tcPr>
            <w:tcW w:w="0" w:type="auto"/>
            <w:vAlign w:val="center"/>
          </w:tcPr>
          <w:p w14:paraId="5AE765EB">
            <w:pPr>
              <w:spacing w:after="0" w:line="240" w:lineRule="auto"/>
              <w:ind w:firstLine="720"/>
              <w:jc w:val="center"/>
              <w:rPr>
                <w:rFonts w:ascii="Book Antiqua" w:hAnsi="Book Antiqua"/>
                <w:sz w:val="20"/>
                <w:szCs w:val="20"/>
              </w:rPr>
            </w:pPr>
            <w:r>
              <w:rPr>
                <w:rFonts w:ascii="Book Antiqua" w:hAnsi="Book Antiqua"/>
                <w:sz w:val="20"/>
                <w:szCs w:val="20"/>
              </w:rPr>
              <w:t>Product certification, eco-labeling, digital marketing, export-oriented innovations</w:t>
            </w:r>
          </w:p>
        </w:tc>
        <w:tc>
          <w:tcPr>
            <w:tcW w:w="0" w:type="auto"/>
            <w:vAlign w:val="center"/>
          </w:tcPr>
          <w:p w14:paraId="7A3DD04B">
            <w:pPr>
              <w:spacing w:after="0" w:line="240" w:lineRule="auto"/>
              <w:ind w:firstLine="720"/>
              <w:jc w:val="center"/>
              <w:rPr>
                <w:rFonts w:ascii="Book Antiqua" w:hAnsi="Book Antiqua"/>
                <w:sz w:val="20"/>
                <w:szCs w:val="20"/>
              </w:rPr>
            </w:pPr>
            <w:r>
              <w:rPr>
                <w:rFonts w:ascii="Book Antiqua" w:hAnsi="Book Antiqua"/>
                <w:sz w:val="20"/>
                <w:szCs w:val="20"/>
              </w:rPr>
              <w:t>Curry et al. (2019); Eugenio et al. (2023)</w:t>
            </w:r>
          </w:p>
        </w:tc>
      </w:tr>
    </w:tbl>
    <w:p w14:paraId="4EC9F17E">
      <w:pPr>
        <w:spacing w:after="0" w:line="240" w:lineRule="auto"/>
        <w:rPr>
          <w:rFonts w:ascii="Book Antiqua" w:hAnsi="Book Antiqua"/>
          <w:b/>
          <w:bCs/>
          <w:sz w:val="20"/>
          <w:szCs w:val="20"/>
        </w:rPr>
      </w:pPr>
    </w:p>
    <w:p w14:paraId="625E2C86">
      <w:pPr>
        <w:spacing w:after="0" w:line="240" w:lineRule="auto"/>
        <w:ind w:firstLine="720"/>
        <w:jc w:val="both"/>
        <w:rPr>
          <w:rFonts w:ascii="Book Antiqua" w:hAnsi="Book Antiqua"/>
          <w:sz w:val="20"/>
          <w:szCs w:val="20"/>
        </w:rPr>
      </w:pPr>
      <w:r>
        <w:rPr>
          <w:rFonts w:ascii="Book Antiqua" w:hAnsi="Book Antiqua"/>
          <w:sz w:val="20"/>
          <w:szCs w:val="20"/>
        </w:rPr>
        <w:t>The Summary Table provides a holistic overview of the critical dimensions influencing technology management in the sustainable coconut industry in Davao Oriental. It identifies six interconnected thematic areas: Infrastructure Development, Sustainable Farming Practices, Technology Adoption and Digital Tools, Indigenous Knowledge Integration, Policy and Institutional Support, and Market Access and Demand. Each thematic area reflects specific bottlenecks that hinder the industry's development and outlines feasible solutions or innovations. For example, under Infrastructure Development, the lack of accessible roads, modern post-harvest facilities, and climate-controlled storage units are identified as key barriers. Strategic investments in centralized processing hubs and renewable energy technologies are seen as enablers of efficiency and quality enhancement across the supply chain (Briones, 2014; Posso et al., 2018). These improvements not only reduce spoilage but also ensure that products meet export-grade standards.</w:t>
      </w:r>
    </w:p>
    <w:p w14:paraId="51DEFA07">
      <w:pPr>
        <w:spacing w:after="0" w:line="240" w:lineRule="auto"/>
        <w:ind w:firstLine="720"/>
        <w:jc w:val="both"/>
        <w:rPr>
          <w:rFonts w:ascii="Book Antiqua" w:hAnsi="Book Antiqua"/>
          <w:sz w:val="20"/>
          <w:szCs w:val="20"/>
        </w:rPr>
      </w:pPr>
      <w:r>
        <w:rPr>
          <w:rFonts w:ascii="Book Antiqua" w:hAnsi="Book Antiqua"/>
          <w:sz w:val="20"/>
          <w:szCs w:val="20"/>
        </w:rPr>
        <w:t>In the area of Sustainable Farming Practices, the integration of intercropping, agroforestry, and organic fertilization promotes both economic and environmental resilience. These methods are particularly relevant in regions prone to climate-related shocks, allowing farmers to diversify income and preserve soil fertility (Tiongco et al., 2015; Herrera et al., 2019). Meanwhile, the Technology Adoption and Digital Tools theme underscores the need to equip farmers with mobile applications, blockchain-enabled traceability, and automated inventory systems to improve decision-making and productivity (Barroga et al., 2023). Simultaneously, Indigenous Knowledge Integration emphasizes the preservation of traditional ecological wisdom—such as composting, mulching, and botanical pest control—as a culturally-rooted path to sustainability (Macusi et al., 2023). In terms of Policy and Institutional Support, while government-led programs like hybrid seed distribution and capacity building show promise, bureaucratic inefficiencies and weak grassroots implementation remain persistent issues (Felix Jr., Payos, &amp; Lelis, n.d.). Lastly, Market Access and Demand explores the volatility in coconut prices and the weak branding of local products. It recommends innovations in value-adding, product certification, digital marketing, and export promotion to help producers penetrate niche, health-conscious, and eco-aware markets (Eugenio, Santos, &amp; Rivera, 2023). Together, these themes offer an integrated blueprint for transforming Davao Oriental’s coconut industry into a globally competitive and environmentally sustainable sector.</w:t>
      </w:r>
    </w:p>
    <w:p w14:paraId="71217B96">
      <w:pPr>
        <w:spacing w:after="0" w:line="240" w:lineRule="auto"/>
        <w:rPr>
          <w:rFonts w:ascii="Book Antiqua" w:hAnsi="Book Antiqua"/>
          <w:b/>
          <w:bCs/>
          <w:sz w:val="20"/>
          <w:szCs w:val="20"/>
        </w:rPr>
      </w:pPr>
    </w:p>
    <w:p w14:paraId="2C7820BB">
      <w:pPr>
        <w:spacing w:after="0" w:line="240" w:lineRule="auto"/>
        <w:ind w:firstLine="720"/>
        <w:jc w:val="center"/>
        <w:rPr>
          <w:rFonts w:ascii="Book Antiqua" w:hAnsi="Book Antiqua"/>
          <w:b/>
          <w:bCs/>
          <w:sz w:val="20"/>
          <w:szCs w:val="20"/>
        </w:rPr>
      </w:pPr>
    </w:p>
    <w:p w14:paraId="6B851CEF">
      <w:pPr>
        <w:spacing w:after="0" w:line="240" w:lineRule="auto"/>
        <w:ind w:firstLine="720"/>
        <w:jc w:val="center"/>
        <w:rPr>
          <w:rFonts w:ascii="Book Antiqua" w:hAnsi="Book Antiqua"/>
          <w:b/>
          <w:bCs/>
          <w:sz w:val="20"/>
          <w:szCs w:val="20"/>
        </w:rPr>
      </w:pPr>
    </w:p>
    <w:p w14:paraId="393F76C2">
      <w:pPr>
        <w:pStyle w:val="29"/>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SYNTHESIS</w:t>
      </w:r>
    </w:p>
    <w:p w14:paraId="228F3A38">
      <w:pPr>
        <w:spacing w:after="0" w:line="240" w:lineRule="auto"/>
        <w:rPr>
          <w:rFonts w:ascii="Book Antiqua" w:hAnsi="Book Antiqua"/>
          <w:b/>
          <w:bCs/>
          <w:sz w:val="20"/>
          <w:szCs w:val="20"/>
        </w:rPr>
      </w:pPr>
    </w:p>
    <w:p w14:paraId="3A9B2B8E">
      <w:pPr>
        <w:spacing w:after="0" w:line="240" w:lineRule="auto"/>
        <w:ind w:firstLine="720"/>
        <w:jc w:val="both"/>
        <w:rPr>
          <w:rFonts w:ascii="Book Antiqua" w:hAnsi="Book Antiqua"/>
          <w:sz w:val="20"/>
          <w:szCs w:val="20"/>
        </w:rPr>
      </w:pPr>
      <w:r>
        <w:rPr>
          <w:rFonts w:ascii="Book Antiqua" w:hAnsi="Book Antiqua"/>
          <w:sz w:val="20"/>
          <w:szCs w:val="20"/>
        </w:rPr>
        <w:t>The review underscores that sustainable transformation of the coconut industry in Davao Oriental hinges on a holistic approach to technology management that addresses both infrastructural inadequacies and human capacity development. As noted by Briones (2014), the lack of proper infrastructure continues to impede farm efficiency and market access, resulting in significant post-harvest losses. The review highlights that to modernize the sector, investments must target improved processing facilities, transportation systems, and digital platforms that can streamline supply chains and increase farmers' market competitiveness (Posso et al., 2018; Herrera et al., 2019).</w:t>
      </w:r>
    </w:p>
    <w:p w14:paraId="6DE2AF7D">
      <w:pPr>
        <w:spacing w:after="0" w:line="240" w:lineRule="auto"/>
        <w:ind w:firstLine="720"/>
        <w:jc w:val="both"/>
        <w:rPr>
          <w:rFonts w:ascii="Book Antiqua" w:hAnsi="Book Antiqua"/>
          <w:sz w:val="20"/>
          <w:szCs w:val="20"/>
        </w:rPr>
      </w:pPr>
      <w:r>
        <w:rPr>
          <w:rFonts w:ascii="Book Antiqua" w:hAnsi="Book Antiqua"/>
          <w:sz w:val="20"/>
          <w:szCs w:val="20"/>
        </w:rPr>
        <w:t>Equally important is the integration of sustainable agricultural practices and indigenous knowledge systems, which have shown to enhance ecological resilience and productivity. Techniques such as intercropping, organic fertilization, and biological pest management are not only cost-effective but also environmentally sound (Macusi et al., 2023; Tiongco et al., 2015). The synthesis reveals that combining these traditional methods with modern precision agriculture tools creates a hybrid system that promotes long-term sustainability while respecting cultural practices. This synergy is essential for adapting to climate change and preserving biodiversity in coconut-producing regions.</w:t>
      </w:r>
    </w:p>
    <w:p w14:paraId="2C734480">
      <w:pPr>
        <w:spacing w:after="0" w:line="240" w:lineRule="auto"/>
        <w:ind w:firstLine="720"/>
        <w:jc w:val="both"/>
        <w:rPr>
          <w:rFonts w:ascii="Book Antiqua" w:hAnsi="Book Antiqua"/>
          <w:sz w:val="20"/>
          <w:szCs w:val="20"/>
        </w:rPr>
      </w:pPr>
      <w:r>
        <w:rPr>
          <w:rFonts w:ascii="Book Antiqua" w:hAnsi="Book Antiqua"/>
          <w:sz w:val="20"/>
          <w:szCs w:val="20"/>
        </w:rPr>
        <w:t>Finally, policy support and market development emerge as critical components in enabling innovation uptake among coconut farmers. Government-led programs such as those by the Philippine Coconut Authority (PCA) have made strides in seedling distribution and training, but implementation gaps and limited farmer awareness hinder their full potential (Felix Jr., Payos, &amp; Lelis, n.d.; Barroga et al., 2023). The review suggests that fostering inclusive governance, strengthening cooperatives, and enhancing value addition are pivotal strategies. These efforts can position Davao Oriental not only as the "Coconut Capital" in name but also as a model of sustainable and innovation-driven agricultural development in the Philippines and beyond.</w:t>
      </w:r>
    </w:p>
    <w:p w14:paraId="3AB9C120">
      <w:pPr>
        <w:spacing w:after="0" w:line="240" w:lineRule="auto"/>
        <w:rPr>
          <w:rFonts w:ascii="Book Antiqua" w:hAnsi="Book Antiqua"/>
          <w:b/>
          <w:bCs/>
          <w:sz w:val="20"/>
          <w:szCs w:val="20"/>
        </w:rPr>
      </w:pPr>
    </w:p>
    <w:p w14:paraId="60A16EF6">
      <w:pPr>
        <w:spacing w:after="0" w:line="240" w:lineRule="auto"/>
        <w:ind w:firstLine="720"/>
        <w:jc w:val="center"/>
        <w:rPr>
          <w:rFonts w:ascii="Book Antiqua" w:hAnsi="Book Antiqua"/>
          <w:b/>
          <w:bCs/>
          <w:sz w:val="20"/>
          <w:szCs w:val="20"/>
        </w:rPr>
      </w:pPr>
    </w:p>
    <w:p w14:paraId="2C2ABED1">
      <w:pPr>
        <w:pStyle w:val="29"/>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CONCLUSION</w:t>
      </w:r>
    </w:p>
    <w:p w14:paraId="7EE71D88">
      <w:pPr>
        <w:spacing w:after="0" w:line="240" w:lineRule="auto"/>
        <w:ind w:firstLine="720"/>
        <w:jc w:val="center"/>
        <w:rPr>
          <w:rFonts w:ascii="Book Antiqua" w:hAnsi="Book Antiqua"/>
          <w:b/>
          <w:bCs/>
          <w:sz w:val="20"/>
          <w:szCs w:val="20"/>
        </w:rPr>
      </w:pPr>
    </w:p>
    <w:p w14:paraId="0364E0CC">
      <w:pPr>
        <w:spacing w:after="0" w:line="240" w:lineRule="auto"/>
        <w:ind w:firstLine="720"/>
        <w:jc w:val="both"/>
        <w:rPr>
          <w:rFonts w:ascii="Book Antiqua" w:hAnsi="Book Antiqua"/>
          <w:sz w:val="20"/>
          <w:szCs w:val="20"/>
        </w:rPr>
      </w:pPr>
      <w:r>
        <w:rPr>
          <w:rFonts w:ascii="Book Antiqua" w:hAnsi="Book Antiqua"/>
          <w:sz w:val="20"/>
          <w:szCs w:val="20"/>
        </w:rPr>
        <w:t>Government policies and support programs are fundamental in sustaining and strengthening the coconut industry. By providing financial assistance, training opportunities, and access to modern technologies, these initiatives help farmers enhance productivity, increase profitability, and adapt to evolving market demands. Effective financial support ensures that small-scale farmers can modernize their operations and invest in long-term growth strategies.</w:t>
      </w:r>
    </w:p>
    <w:p w14:paraId="5010A549">
      <w:pPr>
        <w:spacing w:after="0" w:line="240" w:lineRule="auto"/>
        <w:ind w:firstLine="720"/>
        <w:jc w:val="both"/>
        <w:rPr>
          <w:rFonts w:ascii="Book Antiqua" w:hAnsi="Book Antiqua"/>
          <w:sz w:val="20"/>
          <w:szCs w:val="20"/>
        </w:rPr>
      </w:pPr>
      <w:r>
        <w:rPr>
          <w:rFonts w:ascii="Book Antiqua" w:hAnsi="Book Antiqua"/>
          <w:sz w:val="20"/>
          <w:szCs w:val="20"/>
        </w:rPr>
        <w:t>The promotion of technology adoption and innovation is vital in addressing key challenges such as outdated farming techniques and climate-related risks. Government efforts to integrate precision farming, biotechnology, and mechanized processing methods contribute to increased efficiency and sustainability. In addition, capacity-building programs empower farmers with the necessary skills and knowledge to transition to more advanced and profitable farming practices.</w:t>
      </w:r>
    </w:p>
    <w:p w14:paraId="29A1BDAF">
      <w:pPr>
        <w:spacing w:after="0" w:line="240" w:lineRule="auto"/>
        <w:ind w:firstLine="720"/>
        <w:jc w:val="both"/>
        <w:rPr>
          <w:rFonts w:ascii="Book Antiqua" w:hAnsi="Book Antiqua"/>
          <w:sz w:val="20"/>
          <w:szCs w:val="20"/>
        </w:rPr>
      </w:pPr>
      <w:r>
        <w:rPr>
          <w:rFonts w:ascii="Book Antiqua" w:hAnsi="Book Antiqua"/>
          <w:sz w:val="20"/>
          <w:szCs w:val="20"/>
        </w:rPr>
        <w:t>Market linkages and cooperative development play a crucial role in improving supply chains and enabling farmers to access competitive markets. Through government-supported cooperatives, farmers can achieve better bargaining power, reduce operational costs, and enhance product quality. Trade policies that facilitate the export of coconut products further strengthen the industry's position in the global market, generating economic benefits for producers and the country.</w:t>
      </w:r>
    </w:p>
    <w:p w14:paraId="3CF6A616">
      <w:pPr>
        <w:spacing w:after="0" w:line="240" w:lineRule="auto"/>
        <w:ind w:firstLine="720"/>
        <w:jc w:val="both"/>
        <w:rPr>
          <w:rFonts w:ascii="Book Antiqua" w:hAnsi="Book Antiqua"/>
          <w:sz w:val="20"/>
          <w:szCs w:val="20"/>
        </w:rPr>
      </w:pPr>
      <w:r>
        <w:rPr>
          <w:rFonts w:ascii="Book Antiqua" w:hAnsi="Book Antiqua"/>
          <w:sz w:val="20"/>
          <w:szCs w:val="20"/>
        </w:rPr>
        <w:t>However, challenges such as bureaucratic inefficiencies, limited transparency, and lack of farmer awareness hinder the full impact of these support programs. Addressing these issues requires improved coordination among government agencies, stronger implementation strategies, and inclusive decision-making processes. Additionally, fostering partnerships between the government, private sector, and research institutions can provide additional resources and expertise to drive innovation and sustainable development.</w:t>
      </w:r>
    </w:p>
    <w:p w14:paraId="5D4E66B8">
      <w:pPr>
        <w:spacing w:after="0" w:line="240" w:lineRule="auto"/>
        <w:ind w:firstLine="720"/>
        <w:jc w:val="both"/>
        <w:rPr>
          <w:rFonts w:ascii="Book Antiqua" w:hAnsi="Book Antiqua"/>
          <w:sz w:val="20"/>
          <w:szCs w:val="20"/>
        </w:rPr>
      </w:pPr>
      <w:r>
        <w:rPr>
          <w:rFonts w:ascii="Book Antiqua" w:hAnsi="Book Antiqua"/>
          <w:sz w:val="20"/>
          <w:szCs w:val="20"/>
        </w:rPr>
        <w:t>In conclusion, the coconut industry thrives when supported by well-structured policies and effective government interventions. Strengthening financial aid mechanisms, promoting technology adoption, enhancing market access, and addressing climate resilience challenges are key to ensuring long-term growth. With improved implementation strategies and stakeholder collaboration, governments can build a more resilient and competitive coconut sector that benefits farmers, industries, and the national economy.</w:t>
      </w:r>
    </w:p>
    <w:p w14:paraId="23C77AAF">
      <w:pPr>
        <w:spacing w:after="0" w:line="240" w:lineRule="auto"/>
        <w:ind w:firstLine="720"/>
        <w:jc w:val="both"/>
        <w:rPr>
          <w:rFonts w:ascii="Book Antiqua" w:hAnsi="Book Antiqua"/>
          <w:sz w:val="20"/>
          <w:szCs w:val="20"/>
        </w:rPr>
      </w:pPr>
    </w:p>
    <w:p w14:paraId="36BA5D3F">
      <w:pPr>
        <w:pStyle w:val="29"/>
        <w:numPr>
          <w:ilvl w:val="0"/>
          <w:numId w:val="1"/>
        </w:numPr>
        <w:spacing w:after="0" w:line="240" w:lineRule="auto"/>
        <w:jc w:val="center"/>
        <w:rPr>
          <w:rFonts w:ascii="Book Antiqua" w:hAnsi="Book Antiqua"/>
          <w:b/>
          <w:bCs/>
          <w:sz w:val="20"/>
          <w:szCs w:val="20"/>
        </w:rPr>
      </w:pPr>
      <w:r>
        <w:rPr>
          <w:rFonts w:ascii="Book Antiqua" w:hAnsi="Book Antiqua"/>
          <w:b/>
          <w:bCs/>
          <w:sz w:val="20"/>
          <w:szCs w:val="20"/>
        </w:rPr>
        <w:t>RECOMMENDATION</w:t>
      </w:r>
    </w:p>
    <w:p w14:paraId="66783971">
      <w:pPr>
        <w:spacing w:after="0" w:line="240" w:lineRule="auto"/>
        <w:rPr>
          <w:rFonts w:ascii="Book Antiqua" w:hAnsi="Book Antiqua"/>
          <w:b/>
          <w:bCs/>
          <w:sz w:val="20"/>
          <w:szCs w:val="20"/>
        </w:rPr>
      </w:pPr>
    </w:p>
    <w:p w14:paraId="4E9263E9">
      <w:pPr>
        <w:spacing w:after="0" w:line="240" w:lineRule="auto"/>
        <w:ind w:firstLine="720"/>
        <w:jc w:val="both"/>
        <w:rPr>
          <w:rFonts w:ascii="Book Antiqua" w:hAnsi="Book Antiqua"/>
          <w:sz w:val="20"/>
          <w:szCs w:val="20"/>
        </w:rPr>
      </w:pPr>
      <w:r>
        <w:rPr>
          <w:rFonts w:ascii="Book Antiqua" w:hAnsi="Book Antiqua"/>
          <w:sz w:val="20"/>
          <w:szCs w:val="20"/>
        </w:rPr>
        <w:t>To achieve a more resilient and competitive coconut industry in Davao Oriental, it is recommended that national and local governments prioritize the development of integrated infrastructure systems, such as all-weather farm-to-market roads, centralized post-harvest processing facilities, and climate-resilient storage units. These infrastructure investments should be coupled with access to renewable energy and digital technologies that can support efficient supply chain operations and real-time market data access. Furthermore, incentivizing public-private partnerships can accelerate infrastructure development and reduce the financial burden on smallholder farmers.</w:t>
      </w:r>
    </w:p>
    <w:p w14:paraId="610FBF3A">
      <w:pPr>
        <w:spacing w:after="0" w:line="240" w:lineRule="auto"/>
        <w:ind w:firstLine="720"/>
        <w:jc w:val="both"/>
        <w:rPr>
          <w:rFonts w:ascii="Book Antiqua" w:hAnsi="Book Antiqua"/>
          <w:sz w:val="20"/>
          <w:szCs w:val="20"/>
        </w:rPr>
      </w:pPr>
      <w:r>
        <w:rPr>
          <w:rFonts w:ascii="Book Antiqua" w:hAnsi="Book Antiqua"/>
          <w:sz w:val="20"/>
          <w:szCs w:val="20"/>
        </w:rPr>
        <w:t>In parallel, agricultural extension programs must intensify their efforts in promoting sustainable farming techniques that blend traditional knowledge with modern innovation. Training on organic farming, precision agriculture, intercropping, and biological pest control should be scaled up, particularly in indigenous and remote farming communities. Policymakers should enhance the implementation of support programs from agencies like the Philippine Coconut Authority by improving transparency, farmer participation, and monitoring mechanisms. Establishing value-adding enterprises and farmer cooperatives will also empower producers to access premium markets and strengthen the overall coconut value chain.</w:t>
      </w:r>
    </w:p>
    <w:p w14:paraId="26ABB8CF">
      <w:pPr>
        <w:spacing w:after="0" w:line="240" w:lineRule="auto"/>
        <w:rPr>
          <w:rFonts w:ascii="Book Antiqua" w:hAnsi="Book Antiqua"/>
          <w:b/>
          <w:bCs/>
          <w:sz w:val="20"/>
          <w:szCs w:val="20"/>
        </w:rPr>
      </w:pPr>
    </w:p>
    <w:p w14:paraId="7B9CD50D">
      <w:pPr>
        <w:spacing w:after="0" w:line="240" w:lineRule="auto"/>
        <w:jc w:val="center"/>
        <w:rPr>
          <w:rFonts w:ascii="Book Antiqua" w:hAnsi="Book Antiqua"/>
          <w:b/>
          <w:bCs/>
          <w:sz w:val="20"/>
          <w:szCs w:val="20"/>
        </w:rPr>
      </w:pPr>
      <w:bookmarkStart w:id="1" w:name="_Hlk196353446"/>
      <w:r>
        <w:rPr>
          <w:rFonts w:ascii="Book Antiqua" w:hAnsi="Book Antiqua"/>
          <w:b/>
          <w:bCs/>
          <w:sz w:val="20"/>
          <w:szCs w:val="20"/>
          <w14:ligatures w14:val="none"/>
        </w:rPr>
        <w:drawing>
          <wp:inline distT="0" distB="0" distL="0" distR="0">
            <wp:extent cx="5486400" cy="3200400"/>
            <wp:effectExtent l="0" t="0" r="0" b="19050"/>
            <wp:docPr id="8112842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bookmarkEnd w:id="1"/>
    <w:p w14:paraId="03792755">
      <w:pPr>
        <w:spacing w:after="0" w:line="240" w:lineRule="auto"/>
        <w:jc w:val="center"/>
        <w:rPr>
          <w:rFonts w:ascii="Book Antiqua" w:hAnsi="Book Antiqua"/>
          <w:sz w:val="20"/>
          <w:szCs w:val="20"/>
        </w:rPr>
      </w:pPr>
      <w:r>
        <w:rPr>
          <w:rFonts w:ascii="Book Antiqua" w:hAnsi="Book Antiqua"/>
          <w:b/>
          <w:bCs/>
          <w:sz w:val="20"/>
          <w:szCs w:val="20"/>
        </w:rPr>
        <w:t xml:space="preserve">Figure 1. </w:t>
      </w:r>
      <w:r>
        <w:rPr>
          <w:rFonts w:ascii="Book Antiqua" w:hAnsi="Book Antiqua"/>
          <w:sz w:val="20"/>
          <w:szCs w:val="20"/>
        </w:rPr>
        <w:t>Technology Management Framework</w:t>
      </w:r>
    </w:p>
    <w:p w14:paraId="00979DD6">
      <w:pPr>
        <w:spacing w:after="0" w:line="240" w:lineRule="auto"/>
        <w:ind w:firstLine="720"/>
        <w:jc w:val="both"/>
        <w:rPr>
          <w:rFonts w:ascii="Book Antiqua" w:hAnsi="Book Antiqua"/>
          <w:sz w:val="20"/>
          <w:szCs w:val="20"/>
        </w:rPr>
      </w:pPr>
      <w:r>
        <w:rPr>
          <w:rFonts w:ascii="Book Antiqua" w:hAnsi="Book Antiqua"/>
          <w:sz w:val="20"/>
          <w:szCs w:val="20"/>
        </w:rPr>
        <w:t>The Technology Management for Sustainable Coconut Industry in Davao Oriental framework illustrates a dynamic and interconnected flow of six key components essential for building a resilient and competitive coconut sector. The process begins with Infrastructure Development, which serves as the physical and logistical foundation for all downstream activities. Investments in post-harvest facilities, renewable energy systems, irrigation, and transportation networks are critical for reducing losses, enhancing product quality, and enabling the efficient delivery of services. These improvements directly support Sustainable Farming Practices, where farmers adopt climate-smart, biodiversity-enhancing methods such as organic cultivation, intercropping, and agroforestry. By enhancing environmental resilience and productivity, these practices establish the groundwork for consistent raw material supply and ecological integrity.</w:t>
      </w:r>
    </w:p>
    <w:p w14:paraId="538ECD2B">
      <w:pPr>
        <w:spacing w:after="0" w:line="240" w:lineRule="auto"/>
        <w:ind w:firstLine="720"/>
        <w:jc w:val="both"/>
        <w:rPr>
          <w:rFonts w:ascii="Book Antiqua" w:hAnsi="Book Antiqua"/>
          <w:sz w:val="20"/>
          <w:szCs w:val="20"/>
        </w:rPr>
      </w:pPr>
      <w:r>
        <w:rPr>
          <w:rFonts w:ascii="Book Antiqua" w:hAnsi="Book Antiqua"/>
          <w:sz w:val="20"/>
          <w:szCs w:val="20"/>
        </w:rPr>
        <w:t>Flowing from improved infrastructure and farming practices, the framework emphasizes Technology Adoption and the Integration of Indigenous Knowledge as dual drivers of innovation. Digital tools, precision agriculture, and mechanized processing enhance productivity, but they must be harmonized with traditional ecological knowledge to ensure local relevance and sustainability. Indigenous practices—like natural pest control, organic composting, and weather-based planting schedules—offer valuable, time-tested strategies that align with sustainable goals (Macusi et al., 2023). These components are reinforced by Policy Support, which provides enabling environments through funding programs, training, research, and regulatory frameworks (Felix Jr., Payos, &amp; Lelis, n.d.). Ultimately, the framework leads to Market Access, where enhanced product quality, value-adding strategies, and digital marketing connect farmers with high-value local and international markets (Eugenio et al., 2023). Each element in the framework is cyclically interdependent—policy sustains practices, practices improve market outcomes, and market success reinvests into infrastructure and innovation—forming a holistic model for sustainable coconut industry development in Davao Oriental.</w:t>
      </w:r>
    </w:p>
    <w:p w14:paraId="520E4F1F">
      <w:pPr>
        <w:spacing w:after="0" w:line="240" w:lineRule="auto"/>
        <w:jc w:val="center"/>
        <w:rPr>
          <w:rFonts w:ascii="Book Antiqua" w:hAnsi="Book Antiqua"/>
          <w:sz w:val="20"/>
          <w:szCs w:val="20"/>
        </w:rPr>
      </w:pPr>
    </w:p>
    <w:p w14:paraId="26981347">
      <w:pPr>
        <w:spacing w:after="0" w:line="240" w:lineRule="auto"/>
        <w:jc w:val="center"/>
        <w:rPr>
          <w:rFonts w:ascii="Book Antiqua" w:hAnsi="Book Antiqua"/>
          <w:b/>
          <w:bCs/>
          <w:sz w:val="20"/>
          <w:szCs w:val="20"/>
        </w:rPr>
      </w:pPr>
      <w:r>
        <w:rPr>
          <w:rFonts w:ascii="Book Antiqua" w:hAnsi="Book Antiqua"/>
          <w:b/>
          <w:bCs/>
          <w:sz w:val="20"/>
          <w:szCs w:val="20"/>
        </w:rPr>
        <w:t>References</w:t>
      </w:r>
    </w:p>
    <w:p w14:paraId="33285905">
      <w:pPr>
        <w:spacing w:after="0" w:line="240" w:lineRule="auto"/>
        <w:jc w:val="center"/>
        <w:rPr>
          <w:rFonts w:ascii="Book Antiqua" w:hAnsi="Book Antiqua"/>
          <w:sz w:val="20"/>
          <w:szCs w:val="20"/>
        </w:rPr>
      </w:pPr>
    </w:p>
    <w:p w14:paraId="2DEBE092">
      <w:pPr>
        <w:spacing w:after="0" w:line="240" w:lineRule="auto"/>
        <w:ind w:left="709" w:hanging="709"/>
        <w:jc w:val="both"/>
        <w:rPr>
          <w:rFonts w:ascii="Book Antiqua" w:hAnsi="Book Antiqua"/>
          <w:sz w:val="20"/>
          <w:szCs w:val="20"/>
        </w:rPr>
      </w:pPr>
      <w:r>
        <w:rPr>
          <w:rFonts w:ascii="Book Antiqua" w:hAnsi="Book Antiqua"/>
          <w:sz w:val="20"/>
          <w:szCs w:val="20"/>
        </w:rPr>
        <w:t>Alzate, J. (2018). Agritourism: Its Potentials in Davao Oriental. Davao Research Journal, 12(1), 1-18.</w:t>
      </w:r>
    </w:p>
    <w:p w14:paraId="4D130D04">
      <w:pPr>
        <w:spacing w:after="0" w:line="240" w:lineRule="auto"/>
        <w:ind w:left="709" w:hanging="709"/>
        <w:jc w:val="both"/>
        <w:rPr>
          <w:rFonts w:ascii="Book Antiqua" w:hAnsi="Book Antiqua"/>
          <w:sz w:val="20"/>
          <w:szCs w:val="20"/>
        </w:rPr>
      </w:pPr>
    </w:p>
    <w:p w14:paraId="6EE73355">
      <w:pPr>
        <w:spacing w:after="0" w:line="240" w:lineRule="auto"/>
        <w:ind w:left="709" w:hanging="709"/>
        <w:jc w:val="both"/>
        <w:rPr>
          <w:rFonts w:ascii="Book Antiqua" w:hAnsi="Book Antiqua"/>
          <w:sz w:val="20"/>
          <w:szCs w:val="20"/>
        </w:rPr>
      </w:pPr>
      <w:r>
        <w:rPr>
          <w:rFonts w:ascii="Book Antiqua" w:hAnsi="Book Antiqua"/>
          <w:sz w:val="20"/>
          <w:szCs w:val="20"/>
        </w:rPr>
        <w:t xml:space="preserve">Barroga, K. D., Rola, A. C., Depositario, D. P. T., &amp; Digal, L. N. (2023). The extent of technological innovation adoption among micro, small and medium food processing enterprises and its effects on poverty reduction. </w:t>
      </w:r>
      <w:r>
        <w:rPr>
          <w:rFonts w:ascii="Book Antiqua" w:hAnsi="Book Antiqua"/>
          <w:i/>
          <w:iCs/>
          <w:sz w:val="20"/>
          <w:szCs w:val="20"/>
        </w:rPr>
        <w:t>International Journal of Entrepreneurship and Small Business</w:t>
      </w:r>
      <w:r>
        <w:rPr>
          <w:rFonts w:ascii="Book Antiqua" w:hAnsi="Book Antiqua"/>
          <w:sz w:val="20"/>
          <w:szCs w:val="20"/>
        </w:rPr>
        <w:t>, 50(1), 35-65.</w:t>
      </w:r>
    </w:p>
    <w:p w14:paraId="36A93EC3">
      <w:pPr>
        <w:spacing w:after="0" w:line="240" w:lineRule="auto"/>
        <w:ind w:left="709" w:hanging="709"/>
        <w:jc w:val="both"/>
        <w:rPr>
          <w:rFonts w:ascii="Book Antiqua" w:hAnsi="Book Antiqua"/>
          <w:sz w:val="20"/>
          <w:szCs w:val="20"/>
        </w:rPr>
      </w:pPr>
      <w:r>
        <w:rPr>
          <w:rFonts w:ascii="Book Antiqua" w:hAnsi="Book Antiqua"/>
          <w:sz w:val="20"/>
          <w:szCs w:val="20"/>
        </w:rPr>
        <w:t xml:space="preserve">Barroga, J., Santos, P., &amp; Dela Cruz, R. (2023). </w:t>
      </w:r>
      <w:r>
        <w:rPr>
          <w:rFonts w:ascii="Book Antiqua" w:hAnsi="Book Antiqua"/>
          <w:i/>
          <w:iCs/>
          <w:sz w:val="20"/>
          <w:szCs w:val="20"/>
        </w:rPr>
        <w:t>Strengthening cooperative initiatives in coconut-based enterprises: Challenges and opportunities</w:t>
      </w:r>
      <w:r>
        <w:rPr>
          <w:rFonts w:ascii="Book Antiqua" w:hAnsi="Book Antiqua"/>
          <w:sz w:val="20"/>
          <w:szCs w:val="20"/>
        </w:rPr>
        <w:t>. Journal of Agribusiness and Development, 12(2), 55-73.</w:t>
      </w:r>
    </w:p>
    <w:p w14:paraId="15D9947C">
      <w:pPr>
        <w:spacing w:after="0" w:line="240" w:lineRule="auto"/>
        <w:ind w:left="709" w:hanging="709"/>
        <w:jc w:val="both"/>
        <w:rPr>
          <w:rFonts w:ascii="Book Antiqua" w:hAnsi="Book Antiqua"/>
          <w:sz w:val="20"/>
          <w:szCs w:val="20"/>
        </w:rPr>
      </w:pPr>
      <w:r>
        <w:rPr>
          <w:rFonts w:ascii="Book Antiqua" w:hAnsi="Book Antiqua"/>
          <w:sz w:val="20"/>
          <w:szCs w:val="20"/>
        </w:rPr>
        <w:t xml:space="preserve">Barroga, E. F., et al. (2023). Strengthening agricultural cooperatives for market linkages. </w:t>
      </w:r>
      <w:r>
        <w:rPr>
          <w:rFonts w:ascii="Book Antiqua" w:hAnsi="Book Antiqua"/>
          <w:i/>
          <w:iCs/>
          <w:sz w:val="20"/>
          <w:szCs w:val="20"/>
        </w:rPr>
        <w:t>Philippine Journal of Agribusiness and Management</w:t>
      </w:r>
      <w:r>
        <w:rPr>
          <w:rFonts w:ascii="Book Antiqua" w:hAnsi="Book Antiqua"/>
          <w:sz w:val="20"/>
          <w:szCs w:val="20"/>
        </w:rPr>
        <w:t xml:space="preserve">, 10(2), 112-128. </w:t>
      </w:r>
    </w:p>
    <w:p w14:paraId="57222420">
      <w:pPr>
        <w:spacing w:after="0" w:line="240" w:lineRule="auto"/>
        <w:ind w:left="709" w:hanging="709"/>
        <w:jc w:val="both"/>
        <w:rPr>
          <w:rFonts w:ascii="Book Antiqua" w:hAnsi="Book Antiqua"/>
          <w:sz w:val="20"/>
          <w:szCs w:val="20"/>
        </w:rPr>
      </w:pPr>
      <w:r>
        <w:rPr>
          <w:rFonts w:ascii="Book Antiqua" w:hAnsi="Book Antiqua"/>
          <w:sz w:val="20"/>
          <w:szCs w:val="20"/>
        </w:rPr>
        <w:t>Boquet, Y., &amp; Boquet, Y. (2017). Farm Productions and Rural Landscapes. The Philippine Archipelago, 213-258.</w:t>
      </w:r>
    </w:p>
    <w:p w14:paraId="53D0B99D">
      <w:pPr>
        <w:spacing w:after="0" w:line="240" w:lineRule="auto"/>
        <w:ind w:left="709" w:hanging="709"/>
        <w:jc w:val="both"/>
        <w:rPr>
          <w:rFonts w:ascii="Book Antiqua" w:hAnsi="Book Antiqua"/>
          <w:sz w:val="20"/>
          <w:szCs w:val="20"/>
        </w:rPr>
      </w:pPr>
      <w:r>
        <w:rPr>
          <w:rFonts w:ascii="Book Antiqua" w:hAnsi="Book Antiqua"/>
          <w:sz w:val="20"/>
          <w:szCs w:val="20"/>
        </w:rPr>
        <w:t xml:space="preserve">Briones, R. M. (2014). Agricultural infrastructure and supply chain development in the Philippines. </w:t>
      </w:r>
      <w:r>
        <w:rPr>
          <w:rFonts w:ascii="Book Antiqua" w:hAnsi="Book Antiqua"/>
          <w:i/>
          <w:iCs/>
          <w:sz w:val="20"/>
          <w:szCs w:val="20"/>
        </w:rPr>
        <w:t>Philippine Institute for Development Studies</w:t>
      </w:r>
      <w:r>
        <w:rPr>
          <w:rFonts w:ascii="Book Antiqua" w:hAnsi="Book Antiqua"/>
          <w:sz w:val="20"/>
          <w:szCs w:val="20"/>
        </w:rPr>
        <w:t xml:space="preserve">. </w:t>
      </w:r>
    </w:p>
    <w:p w14:paraId="096D9BA6">
      <w:pPr>
        <w:spacing w:after="0" w:line="240" w:lineRule="auto"/>
        <w:ind w:left="709" w:hanging="709"/>
        <w:jc w:val="both"/>
        <w:rPr>
          <w:rFonts w:ascii="Book Antiqua" w:hAnsi="Book Antiqua"/>
          <w:sz w:val="20"/>
          <w:szCs w:val="20"/>
        </w:rPr>
      </w:pPr>
      <w:r>
        <w:rPr>
          <w:rFonts w:ascii="Book Antiqua" w:hAnsi="Book Antiqua"/>
          <w:sz w:val="20"/>
          <w:szCs w:val="20"/>
        </w:rPr>
        <w:t xml:space="preserve">Briones, R. M., Navarro, A. M., Abrigo, M. R. M., Umlas, A. J. L., &amp; Latigar, J. S. (2023). Rural Agro-Enterprise Partnership for Inclusive Development and Growth (RAPID-Growth) Project Baseline Survey (No. 2023-39). </w:t>
      </w:r>
      <w:r>
        <w:rPr>
          <w:rFonts w:ascii="Book Antiqua" w:hAnsi="Book Antiqua"/>
          <w:i/>
          <w:iCs/>
          <w:sz w:val="20"/>
          <w:szCs w:val="20"/>
        </w:rPr>
        <w:t>PIDS Discussion Paper Series.</w:t>
      </w:r>
    </w:p>
    <w:p w14:paraId="4CF8DA17">
      <w:pPr>
        <w:spacing w:after="0" w:line="240" w:lineRule="auto"/>
        <w:ind w:left="709" w:hanging="709"/>
        <w:jc w:val="both"/>
        <w:rPr>
          <w:rFonts w:ascii="Book Antiqua" w:hAnsi="Book Antiqua"/>
          <w:sz w:val="20"/>
          <w:szCs w:val="20"/>
        </w:rPr>
      </w:pPr>
      <w:r>
        <w:rPr>
          <w:rFonts w:ascii="Book Antiqua" w:hAnsi="Book Antiqua"/>
          <w:sz w:val="20"/>
          <w:szCs w:val="20"/>
        </w:rPr>
        <w:t xml:space="preserve">Briones, R. M. (2014). Compilation and Synthesis of Major Agricultural Value Chain Analysis in the Philippines (No. 2014-35). </w:t>
      </w:r>
      <w:r>
        <w:rPr>
          <w:rFonts w:ascii="Book Antiqua" w:hAnsi="Book Antiqua"/>
          <w:i/>
          <w:iCs/>
          <w:sz w:val="20"/>
          <w:szCs w:val="20"/>
        </w:rPr>
        <w:t>PIDS Discussion Paper Series.</w:t>
      </w:r>
    </w:p>
    <w:p w14:paraId="01D37356">
      <w:pPr>
        <w:spacing w:after="0" w:line="240" w:lineRule="auto"/>
        <w:ind w:left="709" w:hanging="709"/>
        <w:jc w:val="both"/>
        <w:rPr>
          <w:rFonts w:ascii="Book Antiqua" w:hAnsi="Book Antiqua"/>
          <w:sz w:val="20"/>
          <w:szCs w:val="20"/>
        </w:rPr>
      </w:pPr>
      <w:r>
        <w:rPr>
          <w:rFonts w:ascii="Book Antiqua" w:hAnsi="Book Antiqua"/>
          <w:sz w:val="20"/>
          <w:szCs w:val="20"/>
        </w:rPr>
        <w:t>Curry, P., Nicetic, O., Palaniappan, G., &amp; Hall, H. (2019). Project Developing vegetable and fruit value chains and integrating them with community development in the southern Philippines.</w:t>
      </w:r>
    </w:p>
    <w:p w14:paraId="27FC4897">
      <w:pPr>
        <w:spacing w:after="0" w:line="240" w:lineRule="auto"/>
        <w:ind w:left="709" w:hanging="709"/>
        <w:jc w:val="both"/>
        <w:rPr>
          <w:rFonts w:ascii="Book Antiqua" w:hAnsi="Book Antiqua"/>
          <w:sz w:val="20"/>
          <w:szCs w:val="20"/>
        </w:rPr>
      </w:pPr>
      <w:r>
        <w:rPr>
          <w:rFonts w:ascii="Book Antiqua" w:hAnsi="Book Antiqua"/>
          <w:sz w:val="20"/>
          <w:szCs w:val="20"/>
        </w:rPr>
        <w:t xml:space="preserve">Curry, J., Williams, M., &amp; Parker, S. (2019). </w:t>
      </w:r>
      <w:r>
        <w:rPr>
          <w:rFonts w:ascii="Book Antiqua" w:hAnsi="Book Antiqua"/>
          <w:i/>
          <w:iCs/>
          <w:sz w:val="20"/>
          <w:szCs w:val="20"/>
        </w:rPr>
        <w:t>Consumer behavior and branding in the food industry</w:t>
      </w:r>
      <w:r>
        <w:rPr>
          <w:rFonts w:ascii="Book Antiqua" w:hAnsi="Book Antiqua"/>
          <w:sz w:val="20"/>
          <w:szCs w:val="20"/>
        </w:rPr>
        <w:t>. Springer.</w:t>
      </w:r>
    </w:p>
    <w:p w14:paraId="147991FE">
      <w:pPr>
        <w:spacing w:after="0" w:line="240" w:lineRule="auto"/>
        <w:ind w:left="709" w:hanging="709"/>
        <w:jc w:val="both"/>
        <w:rPr>
          <w:rFonts w:ascii="Book Antiqua" w:hAnsi="Book Antiqua"/>
          <w:sz w:val="20"/>
          <w:szCs w:val="20"/>
        </w:rPr>
      </w:pPr>
      <w:r>
        <w:rPr>
          <w:rFonts w:ascii="Book Antiqua" w:hAnsi="Book Antiqua"/>
          <w:sz w:val="20"/>
          <w:szCs w:val="20"/>
        </w:rPr>
        <w:t xml:space="preserve">Dacudao, P. I. </w:t>
      </w:r>
      <w:r>
        <w:rPr>
          <w:rFonts w:ascii="Book Antiqua" w:hAnsi="Book Antiqua"/>
          <w:i/>
          <w:iCs/>
          <w:sz w:val="20"/>
          <w:szCs w:val="20"/>
        </w:rPr>
        <w:t>The socio-economic and cultural transformation of frontier Davao</w:t>
      </w:r>
      <w:r>
        <w:rPr>
          <w:rFonts w:ascii="Book Antiqua" w:hAnsi="Book Antiqua"/>
          <w:sz w:val="20"/>
          <w:szCs w:val="20"/>
        </w:rPr>
        <w:t>, 1898-1941.</w:t>
      </w:r>
    </w:p>
    <w:p w14:paraId="16E26C2E">
      <w:pPr>
        <w:spacing w:after="0" w:line="240" w:lineRule="auto"/>
        <w:ind w:left="709" w:hanging="709"/>
        <w:jc w:val="both"/>
        <w:rPr>
          <w:rFonts w:ascii="Book Antiqua" w:hAnsi="Book Antiqua"/>
          <w:sz w:val="20"/>
          <w:szCs w:val="20"/>
        </w:rPr>
      </w:pPr>
    </w:p>
    <w:p w14:paraId="075CEF51">
      <w:pPr>
        <w:spacing w:after="0" w:line="240" w:lineRule="auto"/>
        <w:ind w:left="709" w:hanging="709"/>
        <w:jc w:val="both"/>
        <w:rPr>
          <w:rFonts w:ascii="Book Antiqua" w:hAnsi="Book Antiqua"/>
          <w:sz w:val="20"/>
          <w:szCs w:val="20"/>
        </w:rPr>
      </w:pPr>
      <w:r>
        <w:rPr>
          <w:rFonts w:ascii="Book Antiqua" w:hAnsi="Book Antiqua"/>
          <w:sz w:val="20"/>
          <w:szCs w:val="20"/>
        </w:rPr>
        <w:t xml:space="preserve">Dacudao, M. (2018). </w:t>
      </w:r>
      <w:r>
        <w:rPr>
          <w:rFonts w:ascii="Book Antiqua" w:hAnsi="Book Antiqua"/>
          <w:i/>
          <w:iCs/>
          <w:sz w:val="20"/>
          <w:szCs w:val="20"/>
        </w:rPr>
        <w:t>Traditional agricultural practices and their role in modern farming</w:t>
      </w:r>
      <w:r>
        <w:rPr>
          <w:rFonts w:ascii="Book Antiqua" w:hAnsi="Book Antiqua"/>
          <w:sz w:val="20"/>
          <w:szCs w:val="20"/>
        </w:rPr>
        <w:t>. Agricultural Research Journal, 45(2), 120-135.</w:t>
      </w:r>
    </w:p>
    <w:p w14:paraId="1355984C">
      <w:pPr>
        <w:spacing w:after="0" w:line="240" w:lineRule="auto"/>
        <w:ind w:left="709" w:hanging="709"/>
        <w:jc w:val="both"/>
        <w:rPr>
          <w:rFonts w:ascii="Book Antiqua" w:hAnsi="Book Antiqua"/>
          <w:sz w:val="20"/>
          <w:szCs w:val="20"/>
        </w:rPr>
      </w:pPr>
      <w:r>
        <w:rPr>
          <w:rFonts w:ascii="Book Antiqua" w:hAnsi="Book Antiqua"/>
          <w:sz w:val="20"/>
          <w:szCs w:val="20"/>
        </w:rPr>
        <w:t xml:space="preserve">Dacudao, L. (2018). Indigenous agricultural practices and their role in sustainability. </w:t>
      </w:r>
      <w:r>
        <w:rPr>
          <w:rFonts w:ascii="Book Antiqua" w:hAnsi="Book Antiqua"/>
          <w:i/>
          <w:iCs/>
          <w:sz w:val="20"/>
          <w:szCs w:val="20"/>
        </w:rPr>
        <w:t>Journal of Indigenous Agriculture</w:t>
      </w:r>
      <w:r>
        <w:rPr>
          <w:rFonts w:ascii="Book Antiqua" w:hAnsi="Book Antiqua"/>
          <w:sz w:val="20"/>
          <w:szCs w:val="20"/>
        </w:rPr>
        <w:t xml:space="preserve">, 7(1), 45-62. </w:t>
      </w:r>
    </w:p>
    <w:p w14:paraId="55C052FB">
      <w:pPr>
        <w:spacing w:after="0" w:line="240" w:lineRule="auto"/>
        <w:ind w:left="709" w:hanging="709"/>
        <w:jc w:val="both"/>
        <w:rPr>
          <w:rFonts w:ascii="Book Antiqua" w:hAnsi="Book Antiqua"/>
          <w:sz w:val="20"/>
          <w:szCs w:val="20"/>
        </w:rPr>
      </w:pPr>
      <w:r>
        <w:rPr>
          <w:rFonts w:ascii="Book Antiqua" w:hAnsi="Book Antiqua"/>
          <w:sz w:val="20"/>
          <w:szCs w:val="20"/>
        </w:rPr>
        <w:t>Dacudao, P. (2018). Abaca: The socio-economic and cultural transformation of frontier Davao, 1898-1941 (</w:t>
      </w:r>
      <w:r>
        <w:rPr>
          <w:rFonts w:ascii="Book Antiqua" w:hAnsi="Book Antiqua"/>
          <w:i/>
          <w:iCs/>
          <w:sz w:val="20"/>
          <w:szCs w:val="20"/>
        </w:rPr>
        <w:t>Doctoral dissertation, Murdoch University</w:t>
      </w:r>
      <w:r>
        <w:rPr>
          <w:rFonts w:ascii="Book Antiqua" w:hAnsi="Book Antiqua"/>
          <w:sz w:val="20"/>
          <w:szCs w:val="20"/>
        </w:rPr>
        <w:t>).</w:t>
      </w:r>
    </w:p>
    <w:p w14:paraId="4E3C49F0">
      <w:pPr>
        <w:spacing w:after="0" w:line="240" w:lineRule="auto"/>
        <w:ind w:left="709" w:hanging="709"/>
        <w:jc w:val="both"/>
        <w:rPr>
          <w:rFonts w:ascii="Book Antiqua" w:hAnsi="Book Antiqua"/>
          <w:sz w:val="20"/>
          <w:szCs w:val="20"/>
        </w:rPr>
      </w:pPr>
      <w:r>
        <w:rPr>
          <w:rFonts w:ascii="Book Antiqua" w:hAnsi="Book Antiqua"/>
          <w:sz w:val="20"/>
          <w:szCs w:val="20"/>
        </w:rPr>
        <w:t xml:space="preserve">Davao Oriental Official Website. (n.d.). </w:t>
      </w:r>
      <w:r>
        <w:rPr>
          <w:rFonts w:ascii="Book Antiqua" w:hAnsi="Book Antiqua"/>
          <w:i/>
          <w:iCs/>
          <w:sz w:val="20"/>
          <w:szCs w:val="20"/>
        </w:rPr>
        <w:t>Coconut Industry</w:t>
      </w:r>
      <w:r>
        <w:rPr>
          <w:rFonts w:ascii="Book Antiqua" w:hAnsi="Book Antiqua"/>
          <w:sz w:val="20"/>
          <w:szCs w:val="20"/>
        </w:rPr>
        <w:t xml:space="preserve">. Retrieved from </w:t>
      </w:r>
      <w:r>
        <w:fldChar w:fldCharType="begin"/>
      </w:r>
      <w:r>
        <w:instrText xml:space="preserve"> HYPERLINK "https://davaooriental.gov.ph/invest/industry-profile-and-investment-leads/coconut-industry/" \t "_new" </w:instrText>
      </w:r>
      <w:r>
        <w:fldChar w:fldCharType="separate"/>
      </w:r>
      <w:r>
        <w:rPr>
          <w:rStyle w:val="13"/>
          <w:rFonts w:ascii="Book Antiqua" w:hAnsi="Book Antiqua"/>
          <w:color w:val="auto"/>
          <w:sz w:val="20"/>
          <w:szCs w:val="20"/>
          <w:u w:val="none"/>
        </w:rPr>
        <w:t>https://davaooriental.gov.ph/invest/industry-profile-and-investment-leads/coconut-industry/</w:t>
      </w:r>
      <w:r>
        <w:rPr>
          <w:rStyle w:val="13"/>
          <w:rFonts w:ascii="Book Antiqua" w:hAnsi="Book Antiqua"/>
          <w:color w:val="auto"/>
          <w:sz w:val="20"/>
          <w:szCs w:val="20"/>
          <w:u w:val="none"/>
        </w:rPr>
        <w:fldChar w:fldCharType="end"/>
      </w:r>
    </w:p>
    <w:p w14:paraId="79ED6575">
      <w:pPr>
        <w:spacing w:after="0" w:line="240" w:lineRule="auto"/>
        <w:ind w:left="709" w:hanging="709"/>
        <w:jc w:val="both"/>
        <w:rPr>
          <w:rFonts w:ascii="Book Antiqua" w:hAnsi="Book Antiqua"/>
          <w:sz w:val="20"/>
          <w:szCs w:val="20"/>
        </w:rPr>
      </w:pPr>
      <w:r>
        <w:rPr>
          <w:rFonts w:ascii="Book Antiqua" w:hAnsi="Book Antiqua"/>
          <w:sz w:val="20"/>
          <w:szCs w:val="20"/>
        </w:rPr>
        <w:t xml:space="preserve">Delgado, R., &amp; Perez, H. (2017). </w:t>
      </w:r>
      <w:r>
        <w:rPr>
          <w:rFonts w:ascii="Book Antiqua" w:hAnsi="Book Antiqua"/>
          <w:i/>
          <w:iCs/>
          <w:sz w:val="20"/>
          <w:szCs w:val="20"/>
        </w:rPr>
        <w:t>Organic farming techniques and their impact on coconut production</w:t>
      </w:r>
      <w:r>
        <w:rPr>
          <w:rFonts w:ascii="Book Antiqua" w:hAnsi="Book Antiqua"/>
          <w:sz w:val="20"/>
          <w:szCs w:val="20"/>
        </w:rPr>
        <w:t>. Journal of Sustainable Agriculture, 12(3), 45-60.</w:t>
      </w:r>
    </w:p>
    <w:p w14:paraId="235A4193">
      <w:pPr>
        <w:spacing w:after="0" w:line="240" w:lineRule="auto"/>
        <w:ind w:left="709" w:hanging="709"/>
        <w:jc w:val="both"/>
        <w:rPr>
          <w:rFonts w:ascii="Book Antiqua" w:hAnsi="Book Antiqua"/>
          <w:sz w:val="20"/>
          <w:szCs w:val="20"/>
        </w:rPr>
      </w:pPr>
      <w:r>
        <w:rPr>
          <w:rFonts w:ascii="Book Antiqua" w:hAnsi="Book Antiqua"/>
          <w:sz w:val="20"/>
          <w:szCs w:val="20"/>
        </w:rPr>
        <w:t xml:space="preserve">Delgado, R., &amp; Santos, M. (2020). </w:t>
      </w:r>
      <w:r>
        <w:rPr>
          <w:rFonts w:ascii="Book Antiqua" w:hAnsi="Book Antiqua"/>
          <w:i/>
          <w:iCs/>
          <w:sz w:val="20"/>
          <w:szCs w:val="20"/>
        </w:rPr>
        <w:t>Innovative approaches in coconut farming: The role of government support programs</w:t>
      </w:r>
      <w:r>
        <w:rPr>
          <w:rFonts w:ascii="Book Antiqua" w:hAnsi="Book Antiqua"/>
          <w:sz w:val="20"/>
          <w:szCs w:val="20"/>
        </w:rPr>
        <w:t>. Philippine Agricultural Review, 45(1), 112-129.</w:t>
      </w:r>
    </w:p>
    <w:p w14:paraId="589278D8">
      <w:pPr>
        <w:spacing w:after="0" w:line="240" w:lineRule="auto"/>
        <w:ind w:left="709" w:hanging="709"/>
        <w:jc w:val="both"/>
        <w:rPr>
          <w:rFonts w:ascii="Book Antiqua" w:hAnsi="Book Antiqua"/>
          <w:sz w:val="20"/>
          <w:szCs w:val="20"/>
        </w:rPr>
      </w:pPr>
      <w:r>
        <w:rPr>
          <w:rFonts w:ascii="Book Antiqua" w:hAnsi="Book Antiqua"/>
          <w:sz w:val="20"/>
          <w:szCs w:val="20"/>
        </w:rPr>
        <w:t xml:space="preserve">Dela Cruz, F., Ramirez, L., &amp; Torres, G. (2021). </w:t>
      </w:r>
      <w:r>
        <w:rPr>
          <w:rFonts w:ascii="Book Antiqua" w:hAnsi="Book Antiqua"/>
          <w:i/>
          <w:iCs/>
          <w:sz w:val="20"/>
          <w:szCs w:val="20"/>
        </w:rPr>
        <w:t>Trade policies and market access in the coconut industry</w:t>
      </w:r>
      <w:r>
        <w:rPr>
          <w:rFonts w:ascii="Book Antiqua" w:hAnsi="Book Antiqua"/>
          <w:sz w:val="20"/>
          <w:szCs w:val="20"/>
        </w:rPr>
        <w:t>. International Journal of Agricultural Economics, 17(3), 88-104.</w:t>
      </w:r>
    </w:p>
    <w:p w14:paraId="0632EB83">
      <w:pPr>
        <w:spacing w:after="0" w:line="240" w:lineRule="auto"/>
        <w:ind w:left="709" w:hanging="709"/>
        <w:jc w:val="both"/>
        <w:rPr>
          <w:rStyle w:val="13"/>
          <w:rFonts w:ascii="Book Antiqua" w:hAnsi="Book Antiqua"/>
          <w:color w:val="auto"/>
          <w:sz w:val="20"/>
          <w:szCs w:val="20"/>
          <w:u w:val="none"/>
        </w:rPr>
      </w:pPr>
      <w:r>
        <w:rPr>
          <w:rFonts w:ascii="Book Antiqua" w:hAnsi="Book Antiqua"/>
          <w:sz w:val="20"/>
          <w:szCs w:val="20"/>
        </w:rPr>
        <w:t xml:space="preserve">Department of Trade and Industry. (n.d.). </w:t>
      </w:r>
      <w:r>
        <w:rPr>
          <w:rFonts w:ascii="Book Antiqua" w:hAnsi="Book Antiqua"/>
          <w:i/>
          <w:iCs/>
          <w:sz w:val="20"/>
          <w:szCs w:val="20"/>
        </w:rPr>
        <w:t>DTI, PUM Netherlands partner up to develop coco fiber products</w:t>
      </w:r>
      <w:r>
        <w:rPr>
          <w:rFonts w:ascii="Book Antiqua" w:hAnsi="Book Antiqua"/>
          <w:sz w:val="20"/>
          <w:szCs w:val="20"/>
        </w:rPr>
        <w:t xml:space="preserve">. Retrieved from </w:t>
      </w:r>
      <w:r>
        <w:fldChar w:fldCharType="begin"/>
      </w:r>
      <w:r>
        <w:instrText xml:space="preserve"> HYPERLINK "https://www.dti.gov.ph/news/dti-pum-netherlands-partner-up-develop-coco-fiber-products/" </w:instrText>
      </w:r>
      <w:r>
        <w:fldChar w:fldCharType="separate"/>
      </w:r>
      <w:r>
        <w:rPr>
          <w:rStyle w:val="13"/>
          <w:rFonts w:ascii="Book Antiqua" w:hAnsi="Book Antiqua"/>
          <w:color w:val="auto"/>
          <w:sz w:val="20"/>
          <w:szCs w:val="20"/>
          <w:u w:val="none"/>
        </w:rPr>
        <w:t>https://www.dti.gov.ph/news/dti-pum-netherlands-partner-up-develop-coco-fiber-products/</w:t>
      </w:r>
      <w:r>
        <w:rPr>
          <w:rStyle w:val="13"/>
          <w:rFonts w:ascii="Book Antiqua" w:hAnsi="Book Antiqua"/>
          <w:color w:val="auto"/>
          <w:sz w:val="20"/>
          <w:szCs w:val="20"/>
          <w:u w:val="none"/>
        </w:rPr>
        <w:fldChar w:fldCharType="end"/>
      </w:r>
    </w:p>
    <w:p w14:paraId="5F21EFCE">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Dujali, I., et.al. (2025). </w:t>
      </w:r>
      <w:r>
        <w:rPr>
          <w:rFonts w:ascii="Book Antiqua" w:hAnsi="Book Antiqua" w:cs="Times New Roman"/>
          <w:i/>
          <w:iCs/>
          <w:sz w:val="20"/>
          <w:szCs w:val="20"/>
        </w:rPr>
        <w:t xml:space="preserve">Transforming Agricultural Extension in the Digital Age: A Review of ICT-Based Approaches and Innovations. </w:t>
      </w:r>
      <w:r>
        <w:rPr>
          <w:rFonts w:ascii="Book Antiqua" w:hAnsi="Book Antiqua" w:cs="Times New Roman"/>
          <w:sz w:val="20"/>
          <w:szCs w:val="20"/>
        </w:rPr>
        <w:t xml:space="preserve">International Journal of Research and Scientific Innovation. 12(3), 840-851.  </w:t>
      </w:r>
      <w:r>
        <w:fldChar w:fldCharType="begin"/>
      </w:r>
      <w:r>
        <w:instrText xml:space="preserve"> HYPERLINK "https://doi.org/10.51244/IJRSI.2025.12030064" </w:instrText>
      </w:r>
      <w:r>
        <w:fldChar w:fldCharType="separate"/>
      </w:r>
      <w:r>
        <w:rPr>
          <w:rStyle w:val="13"/>
          <w:rFonts w:ascii="Book Antiqua" w:hAnsi="Book Antiqua" w:cs="Times New Roman"/>
          <w:sz w:val="20"/>
          <w:szCs w:val="20"/>
        </w:rPr>
        <w:t>https://doi.org/10.51244/IJRSI.2025.12030064</w:t>
      </w:r>
      <w:r>
        <w:rPr>
          <w:rStyle w:val="13"/>
          <w:rFonts w:ascii="Book Antiqua" w:hAnsi="Book Antiqua" w:cs="Times New Roman"/>
          <w:sz w:val="20"/>
          <w:szCs w:val="20"/>
        </w:rPr>
        <w:fldChar w:fldCharType="end"/>
      </w:r>
    </w:p>
    <w:p w14:paraId="6A81A96C">
      <w:pPr>
        <w:spacing w:after="0" w:line="240" w:lineRule="auto"/>
        <w:ind w:left="709" w:hanging="709"/>
        <w:jc w:val="both"/>
        <w:rPr>
          <w:rFonts w:ascii="Book Antiqua" w:hAnsi="Book Antiqua"/>
          <w:sz w:val="20"/>
          <w:szCs w:val="20"/>
        </w:rPr>
      </w:pPr>
      <w:r>
        <w:rPr>
          <w:rFonts w:ascii="Book Antiqua" w:hAnsi="Book Antiqua"/>
          <w:sz w:val="20"/>
          <w:szCs w:val="20"/>
        </w:rPr>
        <w:t xml:space="preserve">Eugenio, P., Santos, L., &amp; Rivera, J. (2023). </w:t>
      </w:r>
      <w:r>
        <w:rPr>
          <w:rFonts w:ascii="Book Antiqua" w:hAnsi="Book Antiqua"/>
          <w:i/>
          <w:iCs/>
          <w:sz w:val="20"/>
          <w:szCs w:val="20"/>
        </w:rPr>
        <w:t>Consumer trends in coconut-based products: A market analysis</w:t>
      </w:r>
      <w:r>
        <w:rPr>
          <w:rFonts w:ascii="Book Antiqua" w:hAnsi="Book Antiqua"/>
          <w:sz w:val="20"/>
          <w:szCs w:val="20"/>
        </w:rPr>
        <w:t>. Food Industry Journal, 58(1), 78-95.</w:t>
      </w:r>
    </w:p>
    <w:p w14:paraId="0B4D9437">
      <w:pPr>
        <w:spacing w:after="0" w:line="240" w:lineRule="auto"/>
        <w:ind w:left="709" w:hanging="709"/>
        <w:jc w:val="both"/>
        <w:rPr>
          <w:rFonts w:ascii="Book Antiqua" w:hAnsi="Book Antiqua"/>
          <w:sz w:val="20"/>
          <w:szCs w:val="20"/>
        </w:rPr>
      </w:pPr>
      <w:r>
        <w:rPr>
          <w:rFonts w:ascii="Book Antiqua" w:hAnsi="Book Antiqua"/>
          <w:sz w:val="20"/>
          <w:szCs w:val="20"/>
        </w:rPr>
        <w:t xml:space="preserve">Eugenio, B., et al. (2023). Market trends and consumer preferences for coconut-based products. </w:t>
      </w:r>
      <w:r>
        <w:rPr>
          <w:rFonts w:ascii="Book Antiqua" w:hAnsi="Book Antiqua"/>
          <w:i/>
          <w:iCs/>
          <w:sz w:val="20"/>
          <w:szCs w:val="20"/>
        </w:rPr>
        <w:t>Agricultural Marketing Journal</w:t>
      </w:r>
      <w:r>
        <w:rPr>
          <w:rFonts w:ascii="Book Antiqua" w:hAnsi="Book Antiqua"/>
          <w:sz w:val="20"/>
          <w:szCs w:val="20"/>
        </w:rPr>
        <w:t xml:space="preserve">, 12(3), 78-95. </w:t>
      </w:r>
    </w:p>
    <w:p w14:paraId="3A3BBEBF">
      <w:pPr>
        <w:spacing w:after="0" w:line="240" w:lineRule="auto"/>
        <w:ind w:left="709" w:hanging="709"/>
        <w:jc w:val="both"/>
        <w:rPr>
          <w:rFonts w:ascii="Book Antiqua" w:hAnsi="Book Antiqua"/>
          <w:sz w:val="20"/>
          <w:szCs w:val="20"/>
        </w:rPr>
      </w:pPr>
      <w:r>
        <w:rPr>
          <w:rFonts w:ascii="Book Antiqua" w:hAnsi="Book Antiqua"/>
          <w:sz w:val="20"/>
          <w:szCs w:val="20"/>
        </w:rPr>
        <w:t xml:space="preserve">Felix Jr., J., Payos, E., &amp; Lelis, M. (n.d.). </w:t>
      </w:r>
      <w:r>
        <w:rPr>
          <w:rFonts w:ascii="Book Antiqua" w:hAnsi="Book Antiqua"/>
          <w:i/>
          <w:iCs/>
          <w:sz w:val="20"/>
          <w:szCs w:val="20"/>
        </w:rPr>
        <w:t>Technology adoption in coconut farming: Policy implications and recommendations</w:t>
      </w:r>
      <w:r>
        <w:rPr>
          <w:rFonts w:ascii="Book Antiqua" w:hAnsi="Book Antiqua"/>
          <w:sz w:val="20"/>
          <w:szCs w:val="20"/>
        </w:rPr>
        <w:t>. Journal of Rural Development Studies, 8(1), 41-59.</w:t>
      </w:r>
    </w:p>
    <w:p w14:paraId="21118B24">
      <w:pPr>
        <w:spacing w:after="0" w:line="240" w:lineRule="auto"/>
        <w:ind w:left="709" w:hanging="709"/>
        <w:jc w:val="both"/>
        <w:rPr>
          <w:rFonts w:ascii="Book Antiqua" w:hAnsi="Book Antiqua"/>
          <w:sz w:val="20"/>
          <w:szCs w:val="20"/>
        </w:rPr>
      </w:pPr>
      <w:r>
        <w:rPr>
          <w:rFonts w:ascii="Book Antiqua" w:hAnsi="Book Antiqua"/>
          <w:sz w:val="20"/>
          <w:szCs w:val="20"/>
        </w:rPr>
        <w:t xml:space="preserve">Felix Jr, J., Payos, M., &amp; Lelis, R. (n.d.). Policy interventions for agricultural modernization. </w:t>
      </w:r>
      <w:r>
        <w:rPr>
          <w:rFonts w:ascii="Book Antiqua" w:hAnsi="Book Antiqua"/>
          <w:i/>
          <w:iCs/>
          <w:sz w:val="20"/>
          <w:szCs w:val="20"/>
        </w:rPr>
        <w:t>Philippine Agricultural Policy Review</w:t>
      </w:r>
      <w:r>
        <w:rPr>
          <w:rFonts w:ascii="Book Antiqua" w:hAnsi="Book Antiqua"/>
          <w:sz w:val="20"/>
          <w:szCs w:val="20"/>
        </w:rPr>
        <w:t>.</w:t>
      </w:r>
    </w:p>
    <w:p w14:paraId="3913B12E">
      <w:pPr>
        <w:spacing w:after="0" w:line="240" w:lineRule="auto"/>
        <w:ind w:left="709" w:hanging="709"/>
        <w:jc w:val="both"/>
        <w:rPr>
          <w:rFonts w:ascii="Book Antiqua" w:hAnsi="Book Antiqua"/>
          <w:sz w:val="20"/>
          <w:szCs w:val="20"/>
        </w:rPr>
      </w:pPr>
      <w:r>
        <w:rPr>
          <w:rFonts w:ascii="Book Antiqua" w:hAnsi="Book Antiqua"/>
          <w:sz w:val="20"/>
          <w:szCs w:val="20"/>
        </w:rPr>
        <w:t>Felix Jr, R., Payos, B., &amp; Lelis, C. C. Estimation of Copra Industry Revenue Using Multiple Regression Analysis.</w:t>
      </w:r>
    </w:p>
    <w:p w14:paraId="43810807">
      <w:pPr>
        <w:spacing w:after="0" w:line="240" w:lineRule="auto"/>
        <w:ind w:left="709" w:hanging="709"/>
        <w:jc w:val="both"/>
        <w:rPr>
          <w:rFonts w:ascii="Book Antiqua" w:hAnsi="Book Antiqua"/>
          <w:sz w:val="20"/>
          <w:szCs w:val="20"/>
        </w:rPr>
      </w:pPr>
      <w:r>
        <w:rPr>
          <w:rFonts w:ascii="Book Antiqua" w:hAnsi="Book Antiqua"/>
          <w:sz w:val="20"/>
          <w:szCs w:val="20"/>
        </w:rPr>
        <w:t xml:space="preserve">Fernandez, M., Jones, R., &amp; Roberts, T. (2017). </w:t>
      </w:r>
      <w:r>
        <w:rPr>
          <w:rFonts w:ascii="Book Antiqua" w:hAnsi="Book Antiqua"/>
          <w:i/>
          <w:iCs/>
          <w:sz w:val="20"/>
          <w:szCs w:val="20"/>
        </w:rPr>
        <w:t>Nutritional benefits of coconut-based beverages</w:t>
      </w:r>
      <w:r>
        <w:rPr>
          <w:rFonts w:ascii="Book Antiqua" w:hAnsi="Book Antiqua"/>
          <w:sz w:val="20"/>
          <w:szCs w:val="20"/>
        </w:rPr>
        <w:t>. Journal of Food Science and Nutrition, 10(4), 312-325.</w:t>
      </w:r>
    </w:p>
    <w:p w14:paraId="481DD7F9">
      <w:pPr>
        <w:spacing w:after="0" w:line="240" w:lineRule="auto"/>
        <w:ind w:left="709" w:hanging="709"/>
        <w:jc w:val="both"/>
        <w:rPr>
          <w:rFonts w:ascii="Book Antiqua" w:hAnsi="Book Antiqua"/>
          <w:sz w:val="20"/>
          <w:szCs w:val="20"/>
        </w:rPr>
      </w:pPr>
      <w:r>
        <w:rPr>
          <w:rFonts w:ascii="Book Antiqua" w:hAnsi="Book Antiqua"/>
          <w:sz w:val="20"/>
          <w:szCs w:val="20"/>
        </w:rPr>
        <w:t xml:space="preserve">Fernandez, H., &amp; Lopez, R. (2018). </w:t>
      </w:r>
      <w:r>
        <w:rPr>
          <w:rFonts w:ascii="Book Antiqua" w:hAnsi="Book Antiqua"/>
          <w:i/>
          <w:iCs/>
          <w:sz w:val="20"/>
          <w:szCs w:val="20"/>
        </w:rPr>
        <w:t>Advancing mechanization in the coconut industry: Policy considerations and technological innovations</w:t>
      </w:r>
      <w:r>
        <w:rPr>
          <w:rFonts w:ascii="Book Antiqua" w:hAnsi="Book Antiqua"/>
          <w:sz w:val="20"/>
          <w:szCs w:val="20"/>
        </w:rPr>
        <w:t>. Asian Journal of Agricultural Technology, 22(4), 67-89.</w:t>
      </w:r>
    </w:p>
    <w:p w14:paraId="3BF346B8">
      <w:pPr>
        <w:spacing w:after="0" w:line="240" w:lineRule="auto"/>
        <w:ind w:left="709" w:hanging="709"/>
        <w:jc w:val="both"/>
        <w:rPr>
          <w:rFonts w:ascii="Book Antiqua" w:hAnsi="Book Antiqua"/>
          <w:sz w:val="20"/>
          <w:szCs w:val="20"/>
        </w:rPr>
      </w:pPr>
      <w:r>
        <w:rPr>
          <w:rFonts w:ascii="Book Antiqua" w:hAnsi="Book Antiqua"/>
          <w:sz w:val="20"/>
          <w:szCs w:val="20"/>
        </w:rPr>
        <w:t xml:space="preserve">Garcia, P., &amp; Reyes, D. (2019). </w:t>
      </w:r>
      <w:r>
        <w:rPr>
          <w:rFonts w:ascii="Book Antiqua" w:hAnsi="Book Antiqua"/>
          <w:i/>
          <w:iCs/>
          <w:sz w:val="20"/>
          <w:szCs w:val="20"/>
        </w:rPr>
        <w:t>Enhancing coconut farm productivity through research and development initiatives</w:t>
      </w:r>
      <w:r>
        <w:rPr>
          <w:rFonts w:ascii="Book Antiqua" w:hAnsi="Book Antiqua"/>
          <w:sz w:val="20"/>
          <w:szCs w:val="20"/>
        </w:rPr>
        <w:t>. Journal of Tropical Crop Science, 14(2), 98-120.</w:t>
      </w:r>
    </w:p>
    <w:p w14:paraId="7EECE3D2">
      <w:pPr>
        <w:spacing w:after="0" w:line="240" w:lineRule="auto"/>
        <w:ind w:left="709" w:hanging="709"/>
        <w:jc w:val="both"/>
        <w:rPr>
          <w:rFonts w:ascii="Book Antiqua" w:hAnsi="Book Antiqua"/>
          <w:sz w:val="20"/>
          <w:szCs w:val="20"/>
        </w:rPr>
      </w:pPr>
      <w:r>
        <w:rPr>
          <w:rFonts w:ascii="Book Antiqua" w:hAnsi="Book Antiqua"/>
          <w:sz w:val="20"/>
          <w:szCs w:val="20"/>
        </w:rPr>
        <w:t>Garcia-Ellson, A., &amp; Collaborator, I. E. Study on Fruit and Vegetable Industry and Responsible Business Conducts and Corporate Social Responsibility Toward Social and Economic Upgrading: The Cavendish Banana Industry in Davao Region.</w:t>
      </w:r>
    </w:p>
    <w:p w14:paraId="60ECED77">
      <w:pPr>
        <w:spacing w:after="0" w:line="240" w:lineRule="auto"/>
        <w:ind w:left="709" w:hanging="709"/>
        <w:jc w:val="both"/>
        <w:rPr>
          <w:rFonts w:ascii="Book Antiqua" w:hAnsi="Book Antiqua"/>
          <w:sz w:val="20"/>
          <w:szCs w:val="20"/>
        </w:rPr>
      </w:pPr>
      <w:r>
        <w:rPr>
          <w:rFonts w:ascii="Book Antiqua" w:hAnsi="Book Antiqua"/>
          <w:sz w:val="20"/>
          <w:szCs w:val="20"/>
        </w:rPr>
        <w:t xml:space="preserve">Garcia, A., Harris, P., &amp; White, S. (2019). </w:t>
      </w:r>
      <w:r>
        <w:rPr>
          <w:rFonts w:ascii="Book Antiqua" w:hAnsi="Book Antiqua"/>
          <w:i/>
          <w:iCs/>
          <w:sz w:val="20"/>
          <w:szCs w:val="20"/>
        </w:rPr>
        <w:t>The role of social media in food marketing</w:t>
      </w:r>
      <w:r>
        <w:rPr>
          <w:rFonts w:ascii="Book Antiqua" w:hAnsi="Book Antiqua"/>
          <w:sz w:val="20"/>
          <w:szCs w:val="20"/>
        </w:rPr>
        <w:t>. Marketing &amp; Consumer Behavior, 15(2), 67-89.</w:t>
      </w:r>
    </w:p>
    <w:p w14:paraId="7C5EE9EF">
      <w:pPr>
        <w:spacing w:after="0" w:line="240" w:lineRule="auto"/>
        <w:ind w:left="709" w:hanging="709"/>
        <w:jc w:val="both"/>
        <w:rPr>
          <w:rFonts w:ascii="Book Antiqua" w:hAnsi="Book Antiqua"/>
          <w:sz w:val="20"/>
          <w:szCs w:val="20"/>
        </w:rPr>
      </w:pPr>
      <w:r>
        <w:rPr>
          <w:rFonts w:ascii="Book Antiqua" w:hAnsi="Book Antiqua"/>
          <w:sz w:val="20"/>
          <w:szCs w:val="20"/>
        </w:rPr>
        <w:t xml:space="preserve">Gupta, N., &amp; Singh, R. (2020). </w:t>
      </w:r>
      <w:r>
        <w:rPr>
          <w:rFonts w:ascii="Book Antiqua" w:hAnsi="Book Antiqua"/>
          <w:i/>
          <w:iCs/>
          <w:sz w:val="20"/>
          <w:szCs w:val="20"/>
        </w:rPr>
        <w:t>Food labeling and consumer perception in organic products</w:t>
      </w:r>
      <w:r>
        <w:rPr>
          <w:rFonts w:ascii="Book Antiqua" w:hAnsi="Book Antiqua"/>
          <w:sz w:val="20"/>
          <w:szCs w:val="20"/>
        </w:rPr>
        <w:t>. Journal of Food Marketing, 7(1), 45-61.</w:t>
      </w:r>
    </w:p>
    <w:p w14:paraId="604171C1">
      <w:pPr>
        <w:spacing w:after="0" w:line="240" w:lineRule="auto"/>
        <w:ind w:left="709" w:hanging="709"/>
        <w:jc w:val="both"/>
        <w:rPr>
          <w:rFonts w:ascii="Book Antiqua" w:hAnsi="Book Antiqua"/>
          <w:sz w:val="20"/>
          <w:szCs w:val="20"/>
        </w:rPr>
      </w:pPr>
      <w:r>
        <w:rPr>
          <w:rFonts w:ascii="Book Antiqua" w:hAnsi="Book Antiqua"/>
          <w:sz w:val="20"/>
          <w:szCs w:val="20"/>
        </w:rPr>
        <w:t xml:space="preserve">Guzman, J., &amp; Torres, R. (2022). </w:t>
      </w:r>
      <w:r>
        <w:rPr>
          <w:rFonts w:ascii="Book Antiqua" w:hAnsi="Book Antiqua"/>
          <w:i/>
          <w:iCs/>
          <w:sz w:val="20"/>
          <w:szCs w:val="20"/>
        </w:rPr>
        <w:t>Capacity-building programs for coconut farmers: A case study of government-led initiatives</w:t>
      </w:r>
      <w:r>
        <w:rPr>
          <w:rFonts w:ascii="Book Antiqua" w:hAnsi="Book Antiqua"/>
          <w:sz w:val="20"/>
          <w:szCs w:val="20"/>
        </w:rPr>
        <w:t>. International Journal of Agricultural Training and Development, 19(1), 77-95.</w:t>
      </w:r>
    </w:p>
    <w:p w14:paraId="49B5E3BC">
      <w:pPr>
        <w:spacing w:after="0" w:line="240" w:lineRule="auto"/>
        <w:ind w:left="709" w:hanging="709"/>
        <w:jc w:val="both"/>
        <w:rPr>
          <w:rFonts w:ascii="Book Antiqua" w:hAnsi="Book Antiqua"/>
          <w:sz w:val="20"/>
          <w:szCs w:val="20"/>
        </w:rPr>
      </w:pPr>
      <w:r>
        <w:rPr>
          <w:rFonts w:ascii="Book Antiqua" w:hAnsi="Book Antiqua"/>
          <w:sz w:val="20"/>
          <w:szCs w:val="20"/>
        </w:rPr>
        <w:t>Herrera, A., Brul, B., Cadavid, R., &amp; Chavarría, E. (2019). Building Resilience of Coconut Smallholder Farmers in the Philippines: Final Evaluation Report of the FarmerLink Program. Washington, DC, Grameen Foundation.</w:t>
      </w:r>
    </w:p>
    <w:p w14:paraId="61EE8F57">
      <w:pPr>
        <w:spacing w:after="0" w:line="240" w:lineRule="auto"/>
        <w:ind w:left="709" w:hanging="709"/>
        <w:jc w:val="both"/>
        <w:rPr>
          <w:rFonts w:ascii="Book Antiqua" w:hAnsi="Book Antiqua"/>
          <w:sz w:val="20"/>
          <w:szCs w:val="20"/>
        </w:rPr>
      </w:pPr>
      <w:r>
        <w:rPr>
          <w:rFonts w:ascii="Book Antiqua" w:hAnsi="Book Antiqua"/>
          <w:sz w:val="20"/>
          <w:szCs w:val="20"/>
        </w:rPr>
        <w:t xml:space="preserve">Herrera, J., et al. (2019). Sustainable coconut farming methods: A review. </w:t>
      </w:r>
      <w:r>
        <w:rPr>
          <w:rFonts w:ascii="Book Antiqua" w:hAnsi="Book Antiqua"/>
          <w:i/>
          <w:iCs/>
          <w:sz w:val="20"/>
          <w:szCs w:val="20"/>
        </w:rPr>
        <w:t>Environmental Sustainability Journal</w:t>
      </w:r>
      <w:r>
        <w:rPr>
          <w:rFonts w:ascii="Book Antiqua" w:hAnsi="Book Antiqua"/>
          <w:sz w:val="20"/>
          <w:szCs w:val="20"/>
        </w:rPr>
        <w:t xml:space="preserve">, 15(2), 209-230. </w:t>
      </w:r>
    </w:p>
    <w:p w14:paraId="17FDF9F7">
      <w:pPr>
        <w:spacing w:after="0" w:line="240" w:lineRule="auto"/>
        <w:ind w:left="709" w:hanging="709"/>
        <w:jc w:val="both"/>
        <w:rPr>
          <w:rFonts w:ascii="Book Antiqua" w:hAnsi="Book Antiqua"/>
          <w:sz w:val="20"/>
          <w:szCs w:val="20"/>
        </w:rPr>
      </w:pPr>
      <w:r>
        <w:rPr>
          <w:rFonts w:ascii="Book Antiqua" w:hAnsi="Book Antiqua"/>
          <w:sz w:val="20"/>
          <w:szCs w:val="20"/>
        </w:rPr>
        <w:t xml:space="preserve">Huesca Jr., E. F. (2016). Plantation Economy, Indigenous People, and Precariousness in the Philippine Uplands: The Mindanao Experience. In </w:t>
      </w:r>
      <w:r>
        <w:rPr>
          <w:rFonts w:ascii="Book Antiqua" w:hAnsi="Book Antiqua"/>
          <w:i/>
          <w:iCs/>
          <w:sz w:val="20"/>
          <w:szCs w:val="20"/>
        </w:rPr>
        <w:t>Human Insecurities in Southeast Asia</w:t>
      </w:r>
      <w:r>
        <w:rPr>
          <w:rFonts w:ascii="Book Antiqua" w:hAnsi="Book Antiqua"/>
          <w:sz w:val="20"/>
          <w:szCs w:val="20"/>
        </w:rPr>
        <w:t xml:space="preserve"> (pp. 173-192). Springer. </w:t>
      </w:r>
    </w:p>
    <w:p w14:paraId="056B27CA">
      <w:pPr>
        <w:spacing w:after="0" w:line="240" w:lineRule="auto"/>
        <w:ind w:left="709" w:hanging="709"/>
        <w:jc w:val="both"/>
        <w:rPr>
          <w:rFonts w:ascii="Book Antiqua" w:hAnsi="Book Antiqua"/>
          <w:sz w:val="20"/>
          <w:szCs w:val="20"/>
        </w:rPr>
      </w:pPr>
      <w:r>
        <w:rPr>
          <w:rFonts w:ascii="Book Antiqua" w:hAnsi="Book Antiqua"/>
          <w:sz w:val="20"/>
          <w:szCs w:val="20"/>
        </w:rPr>
        <w:t xml:space="preserve">Macusi, E. S., Sales, A. C., Macusi, E. D., Bongas, H. P., Cayacay, M. A., Omandam, J. L., ... &amp; Vidal, C. (2023). Indigenous Knowledge Systems and Practices (IKSPs), Livelihood Resources and Aspirations of the Matigsalog and Ata Tribes. </w:t>
      </w:r>
      <w:r>
        <w:rPr>
          <w:rFonts w:ascii="Book Antiqua" w:hAnsi="Book Antiqua"/>
          <w:i/>
          <w:iCs/>
          <w:sz w:val="20"/>
          <w:szCs w:val="20"/>
        </w:rPr>
        <w:t>Sustainability</w:t>
      </w:r>
      <w:r>
        <w:rPr>
          <w:rFonts w:ascii="Book Antiqua" w:hAnsi="Book Antiqua"/>
          <w:sz w:val="20"/>
          <w:szCs w:val="20"/>
        </w:rPr>
        <w:t>, 15(14), 11182.</w:t>
      </w:r>
    </w:p>
    <w:p w14:paraId="7AE2268D">
      <w:pPr>
        <w:spacing w:after="0" w:line="240" w:lineRule="auto"/>
        <w:ind w:left="709" w:hanging="709"/>
        <w:jc w:val="both"/>
        <w:rPr>
          <w:rFonts w:ascii="Book Antiqua" w:hAnsi="Book Antiqua"/>
          <w:sz w:val="20"/>
          <w:szCs w:val="20"/>
        </w:rPr>
      </w:pPr>
      <w:r>
        <w:rPr>
          <w:rFonts w:ascii="Book Antiqua" w:hAnsi="Book Antiqua"/>
          <w:sz w:val="20"/>
          <w:szCs w:val="20"/>
        </w:rPr>
        <w:t xml:space="preserve">Macusi, E., Torres, G., &amp; Guzman, R. (2023). </w:t>
      </w:r>
      <w:r>
        <w:rPr>
          <w:rFonts w:ascii="Book Antiqua" w:hAnsi="Book Antiqua"/>
          <w:i/>
          <w:iCs/>
          <w:sz w:val="20"/>
          <w:szCs w:val="20"/>
        </w:rPr>
        <w:t>Integrating indigenous knowledge in sustainable farming practices</w:t>
      </w:r>
      <w:r>
        <w:rPr>
          <w:rFonts w:ascii="Book Antiqua" w:hAnsi="Book Antiqua"/>
          <w:sz w:val="20"/>
          <w:szCs w:val="20"/>
        </w:rPr>
        <w:t>. Agricultural Research, 34(3), 98-115.</w:t>
      </w:r>
    </w:p>
    <w:p w14:paraId="50EDFBF0">
      <w:pPr>
        <w:spacing w:after="0" w:line="240" w:lineRule="auto"/>
        <w:ind w:left="709" w:hanging="709"/>
        <w:jc w:val="both"/>
        <w:rPr>
          <w:rFonts w:ascii="Book Antiqua" w:hAnsi="Book Antiqua"/>
          <w:sz w:val="20"/>
          <w:szCs w:val="20"/>
        </w:rPr>
      </w:pPr>
      <w:r>
        <w:rPr>
          <w:rFonts w:ascii="Book Antiqua" w:hAnsi="Book Antiqua"/>
          <w:sz w:val="20"/>
          <w:szCs w:val="20"/>
        </w:rPr>
        <w:t xml:space="preserve">Macusi, E., et al. (2023). Indigenous knowledge in Philippine agriculture. </w:t>
      </w:r>
      <w:r>
        <w:rPr>
          <w:rFonts w:ascii="Book Antiqua" w:hAnsi="Book Antiqua"/>
          <w:i/>
          <w:iCs/>
          <w:sz w:val="20"/>
          <w:szCs w:val="20"/>
        </w:rPr>
        <w:t>Asian Journal of Ethnobotany</w:t>
      </w:r>
      <w:r>
        <w:rPr>
          <w:rFonts w:ascii="Book Antiqua" w:hAnsi="Book Antiqua"/>
          <w:sz w:val="20"/>
          <w:szCs w:val="20"/>
        </w:rPr>
        <w:t xml:space="preserve">, 9(1), 120-138. </w:t>
      </w:r>
    </w:p>
    <w:p w14:paraId="54E704D2">
      <w:pPr>
        <w:spacing w:after="0" w:line="240" w:lineRule="auto"/>
        <w:ind w:left="709" w:hanging="709"/>
        <w:jc w:val="both"/>
        <w:rPr>
          <w:rFonts w:ascii="Book Antiqua" w:hAnsi="Book Antiqua"/>
          <w:sz w:val="20"/>
          <w:szCs w:val="20"/>
        </w:rPr>
      </w:pPr>
      <w:r>
        <w:rPr>
          <w:rFonts w:ascii="Book Antiqua" w:hAnsi="Book Antiqua"/>
          <w:sz w:val="20"/>
          <w:szCs w:val="20"/>
        </w:rPr>
        <w:t xml:space="preserve">Mendoza, A., &amp; Aquino, R. (2018). </w:t>
      </w:r>
      <w:r>
        <w:rPr>
          <w:rFonts w:ascii="Book Antiqua" w:hAnsi="Book Antiqua"/>
          <w:i/>
          <w:iCs/>
          <w:sz w:val="20"/>
          <w:szCs w:val="20"/>
        </w:rPr>
        <w:t>Preserving coconut genetic diversity through traditional farming methods</w:t>
      </w:r>
      <w:r>
        <w:rPr>
          <w:rFonts w:ascii="Book Antiqua" w:hAnsi="Book Antiqua"/>
          <w:sz w:val="20"/>
          <w:szCs w:val="20"/>
        </w:rPr>
        <w:t>. Plant Sciences Review, 20(1), 66-81.</w:t>
      </w:r>
    </w:p>
    <w:p w14:paraId="3DB0D5F0">
      <w:pPr>
        <w:spacing w:after="0" w:line="240" w:lineRule="auto"/>
        <w:ind w:left="709" w:hanging="709"/>
        <w:jc w:val="both"/>
        <w:rPr>
          <w:rFonts w:ascii="Book Antiqua" w:hAnsi="Book Antiqua"/>
          <w:sz w:val="20"/>
          <w:szCs w:val="20"/>
        </w:rPr>
      </w:pPr>
      <w:r>
        <w:rPr>
          <w:rFonts w:ascii="Book Antiqua" w:hAnsi="Book Antiqua"/>
          <w:sz w:val="20"/>
          <w:szCs w:val="20"/>
        </w:rPr>
        <w:t xml:space="preserve">Mendoza, A., &amp; Ramos, P. (2020). </w:t>
      </w:r>
      <w:r>
        <w:rPr>
          <w:rFonts w:ascii="Book Antiqua" w:hAnsi="Book Antiqua"/>
          <w:i/>
          <w:iCs/>
          <w:sz w:val="20"/>
          <w:szCs w:val="20"/>
        </w:rPr>
        <w:t>The impact of financial assistance programs on coconut farm productivity</w:t>
      </w:r>
      <w:r>
        <w:rPr>
          <w:rFonts w:ascii="Book Antiqua" w:hAnsi="Book Antiqua"/>
          <w:sz w:val="20"/>
          <w:szCs w:val="20"/>
        </w:rPr>
        <w:t>. Philippine Journal of Agrarian Policy, 13(3), 56-72.</w:t>
      </w:r>
    </w:p>
    <w:p w14:paraId="440C365F">
      <w:pPr>
        <w:spacing w:after="0" w:line="240" w:lineRule="auto"/>
        <w:ind w:left="709" w:hanging="709"/>
        <w:jc w:val="both"/>
        <w:rPr>
          <w:rFonts w:ascii="Book Antiqua" w:hAnsi="Book Antiqua"/>
          <w:sz w:val="20"/>
          <w:szCs w:val="20"/>
        </w:rPr>
      </w:pPr>
      <w:r>
        <w:rPr>
          <w:rFonts w:ascii="Book Antiqua" w:hAnsi="Book Antiqua"/>
          <w:sz w:val="20"/>
          <w:szCs w:val="20"/>
        </w:rPr>
        <w:t>Mendoza, T. C., Teves, M. R. G., &amp; Miciano, M. N. R. (2018). Value Chain Assessment of Coconut-Intercropping Systems of Smallholders in Southern Mindanao, Philippines: Options for Improvement.</w:t>
      </w:r>
    </w:p>
    <w:p w14:paraId="238EC0B7">
      <w:pPr>
        <w:spacing w:after="0" w:line="240" w:lineRule="auto"/>
        <w:ind w:left="709" w:hanging="709"/>
        <w:jc w:val="both"/>
        <w:rPr>
          <w:rFonts w:ascii="Book Antiqua" w:hAnsi="Book Antiqua"/>
          <w:sz w:val="20"/>
          <w:szCs w:val="20"/>
        </w:rPr>
      </w:pPr>
      <w:r>
        <w:rPr>
          <w:rFonts w:ascii="Book Antiqua" w:hAnsi="Book Antiqua"/>
          <w:sz w:val="20"/>
          <w:szCs w:val="20"/>
        </w:rPr>
        <w:t xml:space="preserve">NEDA Region XI. (n.d.). </w:t>
      </w:r>
      <w:r>
        <w:rPr>
          <w:rFonts w:ascii="Book Antiqua" w:hAnsi="Book Antiqua"/>
          <w:i/>
          <w:iCs/>
          <w:sz w:val="20"/>
          <w:szCs w:val="20"/>
        </w:rPr>
        <w:t>Davao Oriental</w:t>
      </w:r>
      <w:r>
        <w:rPr>
          <w:rFonts w:ascii="Book Antiqua" w:hAnsi="Book Antiqua"/>
          <w:sz w:val="20"/>
          <w:szCs w:val="20"/>
        </w:rPr>
        <w:t xml:space="preserve">. Retrieved from </w:t>
      </w:r>
      <w:r>
        <w:fldChar w:fldCharType="begin"/>
      </w:r>
      <w:r>
        <w:instrText xml:space="preserve"> HYPERLINK "https://nro11.neda.gov.ph/davao-region/davao-oriental/" \t "_new" </w:instrText>
      </w:r>
      <w:r>
        <w:fldChar w:fldCharType="separate"/>
      </w:r>
      <w:r>
        <w:rPr>
          <w:rStyle w:val="13"/>
          <w:rFonts w:ascii="Book Antiqua" w:hAnsi="Book Antiqua"/>
          <w:color w:val="auto"/>
          <w:sz w:val="20"/>
          <w:szCs w:val="20"/>
          <w:u w:val="none"/>
        </w:rPr>
        <w:t>https://nro11.neda.gov.ph/davao-region/davao-oriental/</w:t>
      </w:r>
      <w:r>
        <w:rPr>
          <w:rStyle w:val="13"/>
          <w:rFonts w:ascii="Book Antiqua" w:hAnsi="Book Antiqua"/>
          <w:color w:val="auto"/>
          <w:sz w:val="20"/>
          <w:szCs w:val="20"/>
          <w:u w:val="none"/>
        </w:rPr>
        <w:fldChar w:fldCharType="end"/>
      </w:r>
    </w:p>
    <w:p w14:paraId="3683FD07">
      <w:pPr>
        <w:spacing w:after="0" w:line="240" w:lineRule="auto"/>
        <w:ind w:left="709" w:hanging="709"/>
        <w:jc w:val="both"/>
        <w:rPr>
          <w:rFonts w:ascii="Book Antiqua" w:hAnsi="Book Antiqua"/>
          <w:sz w:val="20"/>
          <w:szCs w:val="20"/>
        </w:rPr>
      </w:pPr>
      <w:r>
        <w:rPr>
          <w:rFonts w:ascii="Book Antiqua" w:hAnsi="Book Antiqua"/>
          <w:sz w:val="20"/>
          <w:szCs w:val="20"/>
        </w:rPr>
        <w:t>Nemenzo-Calica, P., Pateño-Bongas, H., Magallones, M. O. G., &amp; Clapano, M. B. (2024). Sustainability in Small-Scale Coffee Farming: Agricultural Practices, Women's Role and Climate Change Adaptation along the Buffer Zone of Mt. Hamiguitan, Davao Oriental, Philippines.</w:t>
      </w:r>
    </w:p>
    <w:p w14:paraId="008ED980">
      <w:pPr>
        <w:spacing w:after="0" w:line="240" w:lineRule="auto"/>
        <w:ind w:left="709" w:hanging="709"/>
        <w:jc w:val="both"/>
        <w:rPr>
          <w:rFonts w:ascii="Book Antiqua" w:hAnsi="Book Antiqua"/>
          <w:sz w:val="20"/>
          <w:szCs w:val="20"/>
        </w:rPr>
      </w:pPr>
      <w:r>
        <w:rPr>
          <w:rFonts w:ascii="Book Antiqua" w:hAnsi="Book Antiqua"/>
          <w:sz w:val="20"/>
          <w:szCs w:val="20"/>
        </w:rPr>
        <w:t xml:space="preserve">Peras, R. J., Pulhin, J., Inoue, M., Mohammed, A. J., Harada, K., &amp; Sasaoka, M. (2016). The Sustainable Livelihood Challenge of REDD+ Implementation in the Philippines. </w:t>
      </w:r>
      <w:r>
        <w:rPr>
          <w:rFonts w:ascii="Book Antiqua" w:hAnsi="Book Antiqua"/>
          <w:i/>
          <w:iCs/>
          <w:sz w:val="20"/>
          <w:szCs w:val="20"/>
        </w:rPr>
        <w:t>Environment and Natural Resources Research</w:t>
      </w:r>
      <w:r>
        <w:rPr>
          <w:rFonts w:ascii="Book Antiqua" w:hAnsi="Book Antiqua"/>
          <w:sz w:val="20"/>
          <w:szCs w:val="20"/>
        </w:rPr>
        <w:t xml:space="preserve">, 6(3), 91-106. </w:t>
      </w:r>
    </w:p>
    <w:p w14:paraId="033AC2D2">
      <w:pPr>
        <w:spacing w:after="0" w:line="240" w:lineRule="auto"/>
        <w:ind w:left="709" w:hanging="709"/>
        <w:jc w:val="both"/>
        <w:rPr>
          <w:rFonts w:ascii="Book Antiqua" w:hAnsi="Book Antiqua"/>
          <w:sz w:val="20"/>
          <w:szCs w:val="20"/>
        </w:rPr>
      </w:pPr>
      <w:r>
        <w:rPr>
          <w:rFonts w:ascii="Book Antiqua" w:hAnsi="Book Antiqua"/>
          <w:sz w:val="20"/>
          <w:szCs w:val="20"/>
        </w:rPr>
        <w:t xml:space="preserve">Philippine Statistics Authority. (2021, July 8). </w:t>
      </w:r>
      <w:r>
        <w:rPr>
          <w:rFonts w:ascii="Book Antiqua" w:hAnsi="Book Antiqua"/>
          <w:i/>
          <w:iCs/>
          <w:sz w:val="20"/>
          <w:szCs w:val="20"/>
        </w:rPr>
        <w:t>Region XI (Davao Region)</w:t>
      </w:r>
      <w:r>
        <w:rPr>
          <w:rFonts w:ascii="Book Antiqua" w:hAnsi="Book Antiqua"/>
          <w:sz w:val="20"/>
          <w:szCs w:val="20"/>
        </w:rPr>
        <w:t xml:space="preserve">. Retrieved from </w:t>
      </w:r>
      <w:r>
        <w:fldChar w:fldCharType="begin"/>
      </w:r>
      <w:r>
        <w:instrText xml:space="preserve"> HYPERLINK "https://psa.gov.ph/content/region-xi-davao-region" </w:instrText>
      </w:r>
      <w:r>
        <w:fldChar w:fldCharType="separate"/>
      </w:r>
      <w:r>
        <w:rPr>
          <w:rStyle w:val="13"/>
          <w:rFonts w:ascii="Book Antiqua" w:hAnsi="Book Antiqua"/>
          <w:color w:val="auto"/>
          <w:sz w:val="20"/>
          <w:szCs w:val="20"/>
          <w:u w:val="none"/>
        </w:rPr>
        <w:t>https://psa.gov.ph/content/region-xi-davao-region</w:t>
      </w:r>
      <w:r>
        <w:rPr>
          <w:rStyle w:val="13"/>
          <w:rFonts w:ascii="Book Antiqua" w:hAnsi="Book Antiqua"/>
          <w:color w:val="auto"/>
          <w:sz w:val="20"/>
          <w:szCs w:val="20"/>
          <w:u w:val="none"/>
        </w:rPr>
        <w:fldChar w:fldCharType="end"/>
      </w:r>
    </w:p>
    <w:p w14:paraId="00509210">
      <w:pPr>
        <w:spacing w:after="0" w:line="240" w:lineRule="auto"/>
        <w:ind w:left="709" w:hanging="709"/>
        <w:jc w:val="both"/>
        <w:rPr>
          <w:rFonts w:ascii="Book Antiqua" w:hAnsi="Book Antiqua"/>
          <w:sz w:val="20"/>
          <w:szCs w:val="20"/>
        </w:rPr>
      </w:pPr>
      <w:r>
        <w:rPr>
          <w:rFonts w:ascii="Book Antiqua" w:hAnsi="Book Antiqua"/>
          <w:sz w:val="20"/>
          <w:szCs w:val="20"/>
        </w:rPr>
        <w:t xml:space="preserve">Pogosa, J., Asio, V., Bande, M., Bianchi, S., Grenz, J., &amp; Pichelin, F. (2018). Productivity and sustainability of coconut production and husk utilization in the Philippines: coconut husk availability and utilization. </w:t>
      </w:r>
      <w:r>
        <w:rPr>
          <w:rFonts w:ascii="Book Antiqua" w:hAnsi="Book Antiqua"/>
          <w:i/>
          <w:iCs/>
          <w:sz w:val="20"/>
          <w:szCs w:val="20"/>
        </w:rPr>
        <w:t>International Journal of Environmental and Rural Development,</w:t>
      </w:r>
      <w:r>
        <w:rPr>
          <w:rFonts w:ascii="Book Antiqua" w:hAnsi="Book Antiqua"/>
          <w:sz w:val="20"/>
          <w:szCs w:val="20"/>
        </w:rPr>
        <w:t xml:space="preserve"> 9(1), 31-36.</w:t>
      </w:r>
    </w:p>
    <w:p w14:paraId="2E002F63">
      <w:pPr>
        <w:spacing w:after="0" w:line="240" w:lineRule="auto"/>
        <w:ind w:left="709" w:hanging="709"/>
        <w:jc w:val="both"/>
        <w:rPr>
          <w:rFonts w:ascii="Book Antiqua" w:hAnsi="Book Antiqua"/>
          <w:sz w:val="20"/>
          <w:szCs w:val="20"/>
        </w:rPr>
      </w:pPr>
      <w:r>
        <w:rPr>
          <w:rFonts w:ascii="Book Antiqua" w:hAnsi="Book Antiqua"/>
          <w:sz w:val="20"/>
          <w:szCs w:val="20"/>
        </w:rPr>
        <w:t xml:space="preserve">Posso, C., et al. (2018). Post-harvest processing technologies for coconut-based products. </w:t>
      </w:r>
      <w:r>
        <w:rPr>
          <w:rFonts w:ascii="Book Antiqua" w:hAnsi="Book Antiqua"/>
          <w:i/>
          <w:iCs/>
          <w:sz w:val="20"/>
          <w:szCs w:val="20"/>
        </w:rPr>
        <w:t>International Journal of Food Science &amp; Technology</w:t>
      </w:r>
      <w:r>
        <w:rPr>
          <w:rFonts w:ascii="Book Antiqua" w:hAnsi="Book Antiqua"/>
          <w:sz w:val="20"/>
          <w:szCs w:val="20"/>
        </w:rPr>
        <w:t xml:space="preserve">, 25(4), 300-315. </w:t>
      </w:r>
    </w:p>
    <w:p w14:paraId="5826C3AC">
      <w:pPr>
        <w:spacing w:after="0" w:line="240" w:lineRule="auto"/>
        <w:ind w:left="709" w:hanging="709"/>
        <w:jc w:val="both"/>
        <w:rPr>
          <w:rFonts w:ascii="Book Antiqua" w:hAnsi="Book Antiqua"/>
          <w:sz w:val="20"/>
          <w:szCs w:val="20"/>
        </w:rPr>
      </w:pPr>
      <w:r>
        <w:rPr>
          <w:rFonts w:ascii="Book Antiqua" w:hAnsi="Book Antiqua"/>
          <w:sz w:val="20"/>
          <w:szCs w:val="20"/>
        </w:rPr>
        <w:t xml:space="preserve">Ramirez, C., &amp; Aquino, J. (2017). </w:t>
      </w:r>
      <w:r>
        <w:rPr>
          <w:rFonts w:ascii="Book Antiqua" w:hAnsi="Book Antiqua"/>
          <w:i/>
          <w:iCs/>
          <w:sz w:val="20"/>
          <w:szCs w:val="20"/>
        </w:rPr>
        <w:t>The role of farmer cooperatives in enhancing coconut market access and profitability</w:t>
      </w:r>
      <w:r>
        <w:rPr>
          <w:rFonts w:ascii="Book Antiqua" w:hAnsi="Book Antiqua"/>
          <w:sz w:val="20"/>
          <w:szCs w:val="20"/>
        </w:rPr>
        <w:t>. Agricultural Economics Review, 11(2), 45-60.</w:t>
      </w:r>
    </w:p>
    <w:p w14:paraId="622D8C60">
      <w:pPr>
        <w:spacing w:after="0" w:line="240" w:lineRule="auto"/>
        <w:ind w:left="709" w:hanging="709"/>
        <w:jc w:val="both"/>
        <w:rPr>
          <w:rFonts w:ascii="Book Antiqua" w:hAnsi="Book Antiqua"/>
          <w:sz w:val="20"/>
          <w:szCs w:val="20"/>
        </w:rPr>
      </w:pPr>
      <w:r>
        <w:rPr>
          <w:rFonts w:ascii="Book Antiqua" w:hAnsi="Book Antiqua"/>
          <w:sz w:val="20"/>
          <w:szCs w:val="20"/>
        </w:rPr>
        <w:t xml:space="preserve">Rodriguez, L., &amp; Cruz, F. (2019). </w:t>
      </w:r>
      <w:r>
        <w:rPr>
          <w:rFonts w:ascii="Book Antiqua" w:hAnsi="Book Antiqua"/>
          <w:i/>
          <w:iCs/>
          <w:sz w:val="20"/>
          <w:szCs w:val="20"/>
        </w:rPr>
        <w:t>Climate resilience strategies for coconut farming: A policy perspective</w:t>
      </w:r>
      <w:r>
        <w:rPr>
          <w:rFonts w:ascii="Book Antiqua" w:hAnsi="Book Antiqua"/>
          <w:sz w:val="20"/>
          <w:szCs w:val="20"/>
        </w:rPr>
        <w:t>. Journal of Environmental and Agricultural Policy, 10(3), 121-140.</w:t>
      </w:r>
    </w:p>
    <w:p w14:paraId="6FF9CE60">
      <w:pPr>
        <w:spacing w:after="0" w:line="240" w:lineRule="auto"/>
        <w:ind w:left="709" w:hanging="709"/>
        <w:jc w:val="both"/>
        <w:rPr>
          <w:rFonts w:ascii="Book Antiqua" w:hAnsi="Book Antiqua"/>
          <w:sz w:val="20"/>
          <w:szCs w:val="20"/>
        </w:rPr>
      </w:pPr>
      <w:r>
        <w:rPr>
          <w:rFonts w:ascii="Book Antiqua" w:hAnsi="Book Antiqua"/>
          <w:sz w:val="20"/>
          <w:szCs w:val="20"/>
        </w:rPr>
        <w:t xml:space="preserve">Sagena, U. (2021). Coconut industry in the Philippines: Actors, interactions and innovation. </w:t>
      </w:r>
      <w:r>
        <w:rPr>
          <w:rFonts w:ascii="Book Antiqua" w:hAnsi="Book Antiqua"/>
          <w:i/>
          <w:iCs/>
          <w:sz w:val="20"/>
          <w:szCs w:val="20"/>
        </w:rPr>
        <w:t>Nusantara Journal of Social Sciences and Humanities</w:t>
      </w:r>
      <w:r>
        <w:rPr>
          <w:rFonts w:ascii="Book Antiqua" w:hAnsi="Book Antiqua"/>
          <w:sz w:val="20"/>
          <w:szCs w:val="20"/>
        </w:rPr>
        <w:t>, 1(1), 91-99.</w:t>
      </w:r>
    </w:p>
    <w:p w14:paraId="086F387D">
      <w:pPr>
        <w:spacing w:after="0" w:line="240" w:lineRule="auto"/>
        <w:ind w:left="709" w:hanging="709"/>
        <w:jc w:val="both"/>
        <w:rPr>
          <w:rFonts w:ascii="Book Antiqua" w:hAnsi="Book Antiqua"/>
          <w:sz w:val="20"/>
          <w:szCs w:val="20"/>
        </w:rPr>
      </w:pPr>
      <w:r>
        <w:rPr>
          <w:rFonts w:ascii="Book Antiqua" w:hAnsi="Book Antiqua"/>
          <w:sz w:val="20"/>
          <w:szCs w:val="20"/>
        </w:rPr>
        <w:t xml:space="preserve">Santos, M., &amp; Garcia, T. (2021). </w:t>
      </w:r>
      <w:r>
        <w:rPr>
          <w:rFonts w:ascii="Book Antiqua" w:hAnsi="Book Antiqua"/>
          <w:i/>
          <w:iCs/>
          <w:sz w:val="20"/>
          <w:szCs w:val="20"/>
        </w:rPr>
        <w:t>The role of the Philippine Coconut Authority in promoting sustainable coconut farming</w:t>
      </w:r>
      <w:r>
        <w:rPr>
          <w:rFonts w:ascii="Book Antiqua" w:hAnsi="Book Antiqua"/>
          <w:sz w:val="20"/>
          <w:szCs w:val="20"/>
        </w:rPr>
        <w:t>. Philippine Journal of Agricultural Governance, 9(2), 33-51.</w:t>
      </w:r>
    </w:p>
    <w:p w14:paraId="2DD6BF52">
      <w:pPr>
        <w:spacing w:after="0" w:line="240" w:lineRule="auto"/>
        <w:ind w:left="709" w:hanging="709"/>
        <w:jc w:val="both"/>
        <w:rPr>
          <w:rFonts w:ascii="Book Antiqua" w:hAnsi="Book Antiqua"/>
          <w:sz w:val="20"/>
          <w:szCs w:val="20"/>
        </w:rPr>
      </w:pPr>
      <w:r>
        <w:rPr>
          <w:rFonts w:ascii="Book Antiqua" w:hAnsi="Book Antiqua"/>
          <w:sz w:val="20"/>
          <w:szCs w:val="20"/>
        </w:rPr>
        <w:t xml:space="preserve">Santos, R., &amp; Morales, D. (2019). </w:t>
      </w:r>
      <w:r>
        <w:rPr>
          <w:rFonts w:ascii="Book Antiqua" w:hAnsi="Book Antiqua"/>
          <w:i/>
          <w:iCs/>
          <w:sz w:val="20"/>
          <w:szCs w:val="20"/>
        </w:rPr>
        <w:t>Climate change adaptation and mitigation strategies in coconut farming communities</w:t>
      </w:r>
      <w:r>
        <w:rPr>
          <w:rFonts w:ascii="Book Antiqua" w:hAnsi="Book Antiqua"/>
          <w:sz w:val="20"/>
          <w:szCs w:val="20"/>
        </w:rPr>
        <w:t>. Environmental Science and Policy, 16(4), 88-109.</w:t>
      </w:r>
    </w:p>
    <w:p w14:paraId="1CE00CCC">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Bautista, C. (2025). </w:t>
      </w:r>
      <w:r>
        <w:rPr>
          <w:rFonts w:ascii="Book Antiqua" w:hAnsi="Book Antiqua" w:cs="Times New Roman"/>
          <w:i/>
          <w:iCs/>
          <w:sz w:val="20"/>
          <w:szCs w:val="20"/>
        </w:rPr>
        <w:t>LUWAS: An Assessment on the Occupational Safety Practices among Motorcycle Repair Shops in the City of Mati, Davao Oriental,Philippines.</w:t>
      </w:r>
      <w:r>
        <w:rPr>
          <w:rFonts w:ascii="Book Antiqua" w:hAnsi="Book Antiqua" w:cs="Times New Roman"/>
          <w:sz w:val="20"/>
          <w:szCs w:val="20"/>
        </w:rPr>
        <w:t xml:space="preserve"> International Journal of Research and Innovation in Social Science. 9(1), 3608-3612. DOI: </w:t>
      </w:r>
      <w:r>
        <w:fldChar w:fldCharType="begin"/>
      </w:r>
      <w:r>
        <w:instrText xml:space="preserve"> HYPERLINK "http://dx.doi.org/10.47772/IJRISS.2025.9010288" </w:instrText>
      </w:r>
      <w:r>
        <w:fldChar w:fldCharType="separate"/>
      </w:r>
      <w:r>
        <w:rPr>
          <w:rStyle w:val="13"/>
          <w:rFonts w:ascii="Book Antiqua" w:hAnsi="Book Antiqua" w:cs="Times New Roman"/>
          <w:sz w:val="20"/>
          <w:szCs w:val="20"/>
        </w:rPr>
        <w:t>10.47772/IJRISS.2025.9010288</w:t>
      </w:r>
      <w:r>
        <w:rPr>
          <w:rStyle w:val="13"/>
          <w:rFonts w:ascii="Book Antiqua" w:hAnsi="Book Antiqua" w:cs="Times New Roman"/>
          <w:sz w:val="20"/>
          <w:szCs w:val="20"/>
        </w:rPr>
        <w:fldChar w:fldCharType="end"/>
      </w:r>
    </w:p>
    <w:p w14:paraId="5A579EA9">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Dujali, I. (2025). </w:t>
      </w:r>
      <w:r>
        <w:rPr>
          <w:rFonts w:ascii="Book Antiqua" w:hAnsi="Book Antiqua" w:cs="Times New Roman"/>
          <w:i/>
          <w:iCs/>
          <w:sz w:val="20"/>
          <w:szCs w:val="20"/>
        </w:rPr>
        <w:t>Functionality, Usability, and Acceptability Assessment of the Manual Coconut Charcoal Briquette Molder</w:t>
      </w:r>
      <w:r>
        <w:rPr>
          <w:rFonts w:ascii="Book Antiqua" w:hAnsi="Book Antiqua" w:cs="Times New Roman"/>
          <w:sz w:val="20"/>
          <w:szCs w:val="20"/>
        </w:rPr>
        <w:t xml:space="preserve">. International Journal of Research and Scientific Innovation. 12(2), 142-147. DOI: </w:t>
      </w:r>
      <w:r>
        <w:fldChar w:fldCharType="begin"/>
      </w:r>
      <w:r>
        <w:instrText xml:space="preserve"> HYPERLINK "http://dx.doi.org/10.51244/IJRSI.2025.12020014" </w:instrText>
      </w:r>
      <w:r>
        <w:fldChar w:fldCharType="separate"/>
      </w:r>
      <w:r>
        <w:rPr>
          <w:rStyle w:val="13"/>
          <w:rFonts w:ascii="Book Antiqua" w:hAnsi="Book Antiqua" w:cs="Times New Roman"/>
          <w:sz w:val="20"/>
          <w:szCs w:val="20"/>
        </w:rPr>
        <w:t>10.51244/IJRSI.2025.12020014</w:t>
      </w:r>
      <w:r>
        <w:rPr>
          <w:rStyle w:val="13"/>
          <w:rFonts w:ascii="Book Antiqua" w:hAnsi="Book Antiqua" w:cs="Times New Roman"/>
          <w:sz w:val="20"/>
          <w:szCs w:val="20"/>
        </w:rPr>
        <w:fldChar w:fldCharType="end"/>
      </w:r>
    </w:p>
    <w:p w14:paraId="6E6EAE35">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Inutan, S.M. (2025). Technology transfer management practices among selected state universities and colleges in Davao Region, Philippines. </w:t>
      </w:r>
      <w:r>
        <w:rPr>
          <w:rFonts w:ascii="Book Antiqua" w:hAnsi="Book Antiqua" w:cs="Times New Roman"/>
          <w:i/>
          <w:iCs/>
          <w:sz w:val="20"/>
          <w:szCs w:val="20"/>
        </w:rPr>
        <w:t>Journal of Interdisciplinary Perspectives, 3</w:t>
      </w:r>
      <w:r>
        <w:rPr>
          <w:rFonts w:ascii="Book Antiqua" w:hAnsi="Book Antiqua" w:cs="Times New Roman"/>
          <w:sz w:val="20"/>
          <w:szCs w:val="20"/>
        </w:rPr>
        <w:t xml:space="preserve">(4), 114–130. </w:t>
      </w:r>
      <w:r>
        <w:fldChar w:fldCharType="begin"/>
      </w:r>
      <w:r>
        <w:instrText xml:space="preserve"> HYPERLINK "https://doi.org/10.69569/jip.2025.070" </w:instrText>
      </w:r>
      <w:r>
        <w:fldChar w:fldCharType="separate"/>
      </w:r>
      <w:r>
        <w:rPr>
          <w:rStyle w:val="13"/>
          <w:rFonts w:ascii="Book Antiqua" w:hAnsi="Book Antiqua" w:cs="Times New Roman"/>
          <w:sz w:val="20"/>
          <w:szCs w:val="20"/>
        </w:rPr>
        <w:t>https://doi.org/10.69569/jip.2025.070</w:t>
      </w:r>
      <w:r>
        <w:rPr>
          <w:rStyle w:val="13"/>
          <w:rFonts w:ascii="Book Antiqua" w:hAnsi="Book Antiqua" w:cs="Times New Roman"/>
          <w:sz w:val="20"/>
          <w:szCs w:val="20"/>
        </w:rPr>
        <w:fldChar w:fldCharType="end"/>
      </w:r>
    </w:p>
    <w:p w14:paraId="271E07EA">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Monton, K. </w:t>
      </w:r>
      <w:r>
        <w:rPr>
          <w:rFonts w:ascii="Book Antiqua" w:hAnsi="Book Antiqua" w:cs="Times New Roman"/>
          <w:i/>
          <w:iCs/>
          <w:sz w:val="20"/>
          <w:szCs w:val="20"/>
        </w:rPr>
        <w:t xml:space="preserve">Functionality, Usability, and Acceptability Assessment of Dual Blade Coconut Dehusker. </w:t>
      </w:r>
      <w:r>
        <w:rPr>
          <w:rFonts w:ascii="Book Antiqua" w:hAnsi="Book Antiqua" w:cs="Times New Roman"/>
          <w:sz w:val="20"/>
          <w:szCs w:val="20"/>
        </w:rPr>
        <w:t>International Journal of Research and Innovation in Applied Science.</w:t>
      </w:r>
      <w:r>
        <w:rPr>
          <w:rFonts w:ascii="Book Antiqua" w:hAnsi="Book Antiqua" w:cs="Times New Roman"/>
          <w:i/>
          <w:iCs/>
          <w:sz w:val="20"/>
          <w:szCs w:val="20"/>
        </w:rPr>
        <w:t xml:space="preserve"> </w:t>
      </w:r>
      <w:r>
        <w:rPr>
          <w:rFonts w:ascii="Book Antiqua" w:hAnsi="Book Antiqua" w:cs="Times New Roman"/>
          <w:sz w:val="20"/>
          <w:szCs w:val="20"/>
        </w:rPr>
        <w:t>10(2), 10-15.</w:t>
      </w:r>
      <w:r>
        <w:rPr>
          <w:rFonts w:ascii="Book Antiqua" w:hAnsi="Book Antiqua" w:cs="Times New Roman"/>
          <w:i/>
          <w:iCs/>
          <w:sz w:val="20"/>
          <w:szCs w:val="20"/>
        </w:rPr>
        <w:t xml:space="preserve"> </w:t>
      </w:r>
      <w:r>
        <w:rPr>
          <w:rFonts w:ascii="Book Antiqua" w:hAnsi="Book Antiqua" w:cs="Times New Roman"/>
          <w:sz w:val="20"/>
          <w:szCs w:val="20"/>
        </w:rPr>
        <w:t>DOI:</w:t>
      </w:r>
      <w:r>
        <w:rPr>
          <w:rFonts w:ascii="Book Antiqua" w:hAnsi="Book Antiqua" w:cs="Times New Roman"/>
          <w:i/>
          <w:iCs/>
          <w:sz w:val="20"/>
          <w:szCs w:val="20"/>
        </w:rPr>
        <w:t xml:space="preserve"> </w:t>
      </w:r>
      <w:r>
        <w:fldChar w:fldCharType="begin"/>
      </w:r>
      <w:r>
        <w:instrText xml:space="preserve"> HYPERLINK "http://dx.doi.org/10.51584/IJRIAS.2025.1002002" </w:instrText>
      </w:r>
      <w:r>
        <w:fldChar w:fldCharType="separate"/>
      </w:r>
      <w:r>
        <w:rPr>
          <w:rStyle w:val="13"/>
          <w:rFonts w:ascii="Book Antiqua" w:hAnsi="Book Antiqua" w:cs="Times New Roman"/>
          <w:sz w:val="20"/>
          <w:szCs w:val="20"/>
        </w:rPr>
        <w:t>10.51584/IJRIAS.2025.1002002</w:t>
      </w:r>
      <w:r>
        <w:rPr>
          <w:rStyle w:val="13"/>
          <w:rFonts w:ascii="Book Antiqua" w:hAnsi="Book Antiqua" w:cs="Times New Roman"/>
          <w:sz w:val="20"/>
          <w:szCs w:val="20"/>
        </w:rPr>
        <w:fldChar w:fldCharType="end"/>
      </w:r>
    </w:p>
    <w:p w14:paraId="1AA5429F">
      <w:pPr>
        <w:spacing w:after="0" w:line="240" w:lineRule="auto"/>
        <w:ind w:left="709" w:hanging="709"/>
        <w:jc w:val="both"/>
        <w:rPr>
          <w:rFonts w:ascii="Book Antiqua" w:hAnsi="Book Antiqua" w:cs="Times New Roman"/>
          <w:sz w:val="20"/>
          <w:szCs w:val="20"/>
        </w:rPr>
      </w:pPr>
      <w:r>
        <w:rPr>
          <w:rFonts w:ascii="Book Antiqua" w:hAnsi="Book Antiqua" w:cs="Times New Roman"/>
          <w:sz w:val="20"/>
          <w:szCs w:val="20"/>
        </w:rPr>
        <w:t xml:space="preserve">Sarita, V., Bohol, J. (2025). </w:t>
      </w:r>
      <w:r>
        <w:rPr>
          <w:rFonts w:ascii="Book Antiqua" w:hAnsi="Book Antiqua" w:cs="Times New Roman"/>
          <w:i/>
          <w:iCs/>
          <w:sz w:val="20"/>
          <w:szCs w:val="20"/>
        </w:rPr>
        <w:t>Performance Efficiency of Binding Agents in Coconut Charcoal Briquettes.</w:t>
      </w:r>
      <w:r>
        <w:rPr>
          <w:rFonts w:ascii="Book Antiqua" w:hAnsi="Book Antiqua" w:cs="Times New Roman"/>
          <w:sz w:val="20"/>
          <w:szCs w:val="20"/>
        </w:rPr>
        <w:t xml:space="preserve"> International Journal of Research and Scientific Innovation. 12(3), 852-857. </w:t>
      </w:r>
      <w:r>
        <w:fldChar w:fldCharType="begin"/>
      </w:r>
      <w:r>
        <w:instrText xml:space="preserve"> HYPERLINK "https://doi.org/10.51244/IJRSI.2025.12030065" </w:instrText>
      </w:r>
      <w:r>
        <w:fldChar w:fldCharType="separate"/>
      </w:r>
      <w:r>
        <w:rPr>
          <w:rStyle w:val="13"/>
          <w:rFonts w:ascii="Book Antiqua" w:hAnsi="Book Antiqua" w:cs="Times New Roman"/>
          <w:sz w:val="20"/>
          <w:szCs w:val="20"/>
        </w:rPr>
        <w:t>https://doi.org/10.51244/IJRSI.2025.12030065</w:t>
      </w:r>
      <w:r>
        <w:rPr>
          <w:rStyle w:val="13"/>
          <w:rFonts w:ascii="Book Antiqua" w:hAnsi="Book Antiqua" w:cs="Times New Roman"/>
          <w:sz w:val="20"/>
          <w:szCs w:val="20"/>
        </w:rPr>
        <w:fldChar w:fldCharType="end"/>
      </w:r>
    </w:p>
    <w:p w14:paraId="6F1D0AC0">
      <w:pPr>
        <w:spacing w:after="0" w:line="240" w:lineRule="auto"/>
        <w:ind w:left="709" w:hanging="709"/>
        <w:jc w:val="both"/>
        <w:rPr>
          <w:rFonts w:ascii="Book Antiqua" w:hAnsi="Book Antiqua"/>
          <w:sz w:val="20"/>
          <w:szCs w:val="20"/>
        </w:rPr>
      </w:pPr>
      <w:r>
        <w:rPr>
          <w:rFonts w:ascii="Book Antiqua" w:hAnsi="Book Antiqua"/>
          <w:sz w:val="20"/>
          <w:szCs w:val="20"/>
        </w:rPr>
        <w:t>Secretaria, M. I., &amp; Adon Sr, T. A. Commercial Production and Chemical/Physical Characterization of Natural and Nutritious Coconut Sap Food Products (Cocosap Juice and Cocosap Concentrate) at Tawan-tawan, Baguio District, Davao City, Southern Mindanao, Philippines.</w:t>
      </w:r>
    </w:p>
    <w:p w14:paraId="4832639B">
      <w:pPr>
        <w:spacing w:after="0" w:line="240" w:lineRule="auto"/>
        <w:ind w:left="709" w:hanging="709"/>
        <w:jc w:val="both"/>
        <w:rPr>
          <w:rFonts w:ascii="Book Antiqua" w:hAnsi="Book Antiqua"/>
          <w:sz w:val="20"/>
          <w:szCs w:val="20"/>
        </w:rPr>
      </w:pPr>
      <w:r>
        <w:rPr>
          <w:rFonts w:ascii="Book Antiqua" w:hAnsi="Book Antiqua"/>
          <w:sz w:val="20"/>
          <w:szCs w:val="20"/>
        </w:rPr>
        <w:t>Simo, W. F., &amp; Gamboa, R. S. (2021). A fuzzy logic approach on selecting crop and identifying planting methodology using environment and spatial factors.</w:t>
      </w:r>
    </w:p>
    <w:p w14:paraId="502414E3">
      <w:pPr>
        <w:spacing w:after="0" w:line="240" w:lineRule="auto"/>
        <w:ind w:left="709" w:hanging="709"/>
        <w:jc w:val="both"/>
        <w:rPr>
          <w:rFonts w:ascii="Book Antiqua" w:hAnsi="Book Antiqua"/>
          <w:sz w:val="20"/>
          <w:szCs w:val="20"/>
        </w:rPr>
      </w:pPr>
      <w:r>
        <w:rPr>
          <w:rFonts w:ascii="Book Antiqua" w:hAnsi="Book Antiqua"/>
          <w:sz w:val="20"/>
          <w:szCs w:val="20"/>
        </w:rPr>
        <w:t xml:space="preserve">Smith, D., &amp; Allen, K. (2021). </w:t>
      </w:r>
      <w:r>
        <w:rPr>
          <w:rFonts w:ascii="Book Antiqua" w:hAnsi="Book Antiqua"/>
          <w:i/>
          <w:iCs/>
          <w:sz w:val="20"/>
          <w:szCs w:val="20"/>
        </w:rPr>
        <w:t>Trends in plant-based product consumption</w:t>
      </w:r>
      <w:r>
        <w:rPr>
          <w:rFonts w:ascii="Book Antiqua" w:hAnsi="Book Antiqua"/>
          <w:sz w:val="20"/>
          <w:szCs w:val="20"/>
        </w:rPr>
        <w:t>. Journal of Consumer Research, 14(3), 101-117.</w:t>
      </w:r>
    </w:p>
    <w:p w14:paraId="134231AB">
      <w:pPr>
        <w:spacing w:after="0" w:line="240" w:lineRule="auto"/>
        <w:ind w:left="709" w:hanging="709"/>
        <w:jc w:val="both"/>
        <w:rPr>
          <w:rFonts w:ascii="Book Antiqua" w:hAnsi="Book Antiqua"/>
          <w:sz w:val="20"/>
          <w:szCs w:val="20"/>
        </w:rPr>
      </w:pPr>
      <w:r>
        <w:rPr>
          <w:rFonts w:ascii="Book Antiqua" w:hAnsi="Book Antiqua"/>
          <w:sz w:val="20"/>
          <w:szCs w:val="20"/>
        </w:rPr>
        <w:t xml:space="preserve">Tiongco, M., et al. (2015). Precision agriculture in Southeast Asia. </w:t>
      </w:r>
      <w:r>
        <w:rPr>
          <w:rFonts w:ascii="Book Antiqua" w:hAnsi="Book Antiqua"/>
          <w:i/>
          <w:iCs/>
          <w:sz w:val="20"/>
          <w:szCs w:val="20"/>
        </w:rPr>
        <w:t>Journal of Precision Agriculture</w:t>
      </w:r>
      <w:r>
        <w:rPr>
          <w:rFonts w:ascii="Book Antiqua" w:hAnsi="Book Antiqua"/>
          <w:sz w:val="20"/>
          <w:szCs w:val="20"/>
        </w:rPr>
        <w:t>, 13(2), 90-110.</w:t>
      </w:r>
    </w:p>
    <w:p w14:paraId="6D78217E">
      <w:pPr>
        <w:spacing w:after="0" w:line="240" w:lineRule="auto"/>
        <w:ind w:left="709" w:hanging="709"/>
        <w:jc w:val="both"/>
        <w:rPr>
          <w:rFonts w:ascii="Book Antiqua" w:hAnsi="Book Antiqua"/>
          <w:sz w:val="20"/>
          <w:szCs w:val="20"/>
        </w:rPr>
      </w:pPr>
      <w:r>
        <w:rPr>
          <w:rFonts w:ascii="Book Antiqua" w:hAnsi="Book Antiqua"/>
          <w:sz w:val="20"/>
          <w:szCs w:val="20"/>
        </w:rPr>
        <w:t>Tiongco, M. M., Espaldon, M. V. O., Guzman, L. E. D. P., Ancog, R. C., Quiray, A. E., Jaffee, S., &amp; Frias, J. (2015). Green Agriculture in the Philippines: An old wine in a new bottle?.</w:t>
      </w:r>
    </w:p>
    <w:p w14:paraId="34A9DDB4">
      <w:pPr>
        <w:spacing w:after="0" w:line="240" w:lineRule="auto"/>
        <w:ind w:left="709" w:hanging="709"/>
        <w:jc w:val="both"/>
        <w:rPr>
          <w:rFonts w:ascii="Book Antiqua" w:hAnsi="Book Antiqua"/>
          <w:sz w:val="20"/>
          <w:szCs w:val="20"/>
        </w:rPr>
      </w:pPr>
      <w:r>
        <w:rPr>
          <w:rFonts w:ascii="Book Antiqua" w:hAnsi="Book Antiqua"/>
          <w:sz w:val="20"/>
          <w:szCs w:val="20"/>
        </w:rPr>
        <w:t xml:space="preserve">Williams, L., &amp; Parker, J. (2018). </w:t>
      </w:r>
      <w:r>
        <w:rPr>
          <w:rFonts w:ascii="Book Antiqua" w:hAnsi="Book Antiqua"/>
          <w:i/>
          <w:iCs/>
          <w:sz w:val="20"/>
          <w:szCs w:val="20"/>
        </w:rPr>
        <w:t>Branding strategies for food and beverage markets</w:t>
      </w:r>
      <w:r>
        <w:rPr>
          <w:rFonts w:ascii="Book Antiqua" w:hAnsi="Book Antiqua"/>
          <w:sz w:val="20"/>
          <w:szCs w:val="20"/>
        </w:rPr>
        <w:t>. International Journal of Business Strategy, 9(2), 88-104.</w:t>
      </w:r>
    </w:p>
    <w:p w14:paraId="73AB10D6">
      <w:pPr>
        <w:spacing w:after="0" w:line="240" w:lineRule="auto"/>
        <w:jc w:val="both"/>
        <w:rPr>
          <w:rFonts w:ascii="Book Antiqua" w:hAnsi="Book Antiqua"/>
          <w:sz w:val="20"/>
          <w:szCs w:val="20"/>
        </w:rPr>
      </w:pPr>
    </w:p>
    <w:p w14:paraId="04B1E8C4">
      <w:pPr>
        <w:spacing w:after="0" w:line="240" w:lineRule="auto"/>
        <w:ind w:firstLine="720"/>
        <w:jc w:val="both"/>
        <w:rPr>
          <w:rFonts w:ascii="Book Antiqua" w:hAnsi="Book Antiqua"/>
          <w:sz w:val="20"/>
          <w:szCs w:val="20"/>
        </w:rPr>
      </w:pPr>
    </w:p>
    <w:p w14:paraId="383B66F8">
      <w:pPr>
        <w:spacing w:after="0" w:line="240" w:lineRule="auto"/>
        <w:ind w:firstLine="720"/>
        <w:jc w:val="both"/>
        <w:rPr>
          <w:rFonts w:ascii="Book Antiqua" w:hAnsi="Book Antiqua"/>
          <w:sz w:val="20"/>
          <w:szCs w:val="20"/>
        </w:rPr>
      </w:pPr>
    </w:p>
    <w:p w14:paraId="59EA01AC">
      <w:pPr>
        <w:spacing w:after="0" w:line="240" w:lineRule="auto"/>
        <w:jc w:val="center"/>
        <w:rPr>
          <w:rFonts w:ascii="Book Antiqua" w:hAnsi="Book Antiqua"/>
          <w:b/>
          <w:bCs/>
          <w:sz w:val="20"/>
          <w:szCs w:val="20"/>
        </w:rPr>
      </w:pPr>
    </w:p>
    <w:p w14:paraId="014F0B90">
      <w:pPr>
        <w:spacing w:after="0" w:line="240" w:lineRule="auto"/>
        <w:jc w:val="center"/>
        <w:rPr>
          <w:rFonts w:ascii="Book Antiqua" w:hAnsi="Book Antiqua"/>
          <w:b/>
          <w:bCs/>
          <w:sz w:val="20"/>
          <w:szCs w:val="20"/>
        </w:rPr>
      </w:pPr>
    </w:p>
    <w:p w14:paraId="507B5240">
      <w:pPr>
        <w:spacing w:after="0" w:line="240" w:lineRule="auto"/>
        <w:jc w:val="center"/>
        <w:rPr>
          <w:rFonts w:ascii="Book Antiqua" w:hAnsi="Book Antiqua"/>
          <w:b/>
          <w:bCs/>
          <w:sz w:val="20"/>
          <w:szCs w:val="20"/>
        </w:rPr>
      </w:pPr>
    </w:p>
    <w:p w14:paraId="260F5145">
      <w:pPr>
        <w:spacing w:after="0" w:line="240" w:lineRule="auto"/>
        <w:jc w:val="both"/>
        <w:rPr>
          <w:rFonts w:ascii="Book Antiqua" w:hAnsi="Book Antiqua"/>
          <w:sz w:val="20"/>
          <w:szCs w:val="20"/>
        </w:rPr>
      </w:pPr>
    </w:p>
    <w:p w14:paraId="34AD9836">
      <w:pPr>
        <w:spacing w:after="0" w:line="240" w:lineRule="auto"/>
        <w:jc w:val="both"/>
        <w:rPr>
          <w:rFonts w:ascii="Book Antiqua" w:hAnsi="Book Antiqua"/>
          <w:b/>
          <w:bCs/>
          <w:sz w:val="20"/>
          <w:szCs w:val="20"/>
        </w:rPr>
      </w:pPr>
    </w:p>
    <w:p w14:paraId="02B528C9">
      <w:pPr>
        <w:spacing w:after="0" w:line="240" w:lineRule="auto"/>
        <w:jc w:val="center"/>
        <w:rPr>
          <w:rFonts w:ascii="Book Antiqua" w:hAnsi="Book Antiqua"/>
          <w:b/>
          <w:bCs/>
          <w:sz w:val="20"/>
          <w:szCs w:val="20"/>
        </w:rPr>
      </w:pPr>
    </w:p>
    <w:p w14:paraId="7AEA6056">
      <w:pPr>
        <w:spacing w:after="0" w:line="240" w:lineRule="auto"/>
        <w:ind w:left="709" w:hanging="709"/>
        <w:jc w:val="both"/>
        <w:rPr>
          <w:rFonts w:ascii="Book Antiqua" w:hAnsi="Book Antiqua"/>
          <w:sz w:val="20"/>
          <w:szCs w:val="20"/>
        </w:rPr>
      </w:pPr>
    </w:p>
    <w:p w14:paraId="0C7EC1BA">
      <w:pPr>
        <w:spacing w:after="0" w:line="240" w:lineRule="auto"/>
        <w:ind w:left="709" w:hanging="709"/>
        <w:jc w:val="both"/>
        <w:rPr>
          <w:rFonts w:ascii="Book Antiqua" w:hAnsi="Book Antiqua"/>
          <w:sz w:val="20"/>
          <w:szCs w:val="20"/>
        </w:rPr>
      </w:pPr>
    </w:p>
    <w:p w14:paraId="75DAB823">
      <w:pPr>
        <w:spacing w:after="0" w:line="240" w:lineRule="auto"/>
        <w:ind w:left="709" w:hanging="709"/>
        <w:jc w:val="both"/>
        <w:rPr>
          <w:rFonts w:ascii="Book Antiqua" w:hAnsi="Book Antiqua"/>
          <w:sz w:val="20"/>
          <w:szCs w:val="20"/>
        </w:rPr>
      </w:pPr>
    </w:p>
    <w:p w14:paraId="62D70010">
      <w:pPr>
        <w:spacing w:after="0" w:line="240" w:lineRule="auto"/>
        <w:ind w:left="709" w:hanging="709"/>
        <w:jc w:val="both"/>
        <w:rPr>
          <w:rFonts w:ascii="Book Antiqua" w:hAnsi="Book Antiqua"/>
          <w:sz w:val="20"/>
          <w:szCs w:val="20"/>
        </w:rPr>
      </w:pPr>
    </w:p>
    <w:p w14:paraId="249A8C48">
      <w:pPr>
        <w:spacing w:after="0" w:line="240" w:lineRule="auto"/>
        <w:rPr>
          <w:rFonts w:ascii="Book Antiqua" w:hAnsi="Book Antiqua"/>
          <w:b/>
          <w:bCs/>
          <w:sz w:val="20"/>
          <w:szCs w:val="20"/>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C2190"/>
    <w:multiLevelType w:val="multilevel"/>
    <w:tmpl w:val="4B6C21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86"/>
    <w:rsid w:val="00022168"/>
    <w:rsid w:val="000F01DA"/>
    <w:rsid w:val="0028052B"/>
    <w:rsid w:val="003764FB"/>
    <w:rsid w:val="003B4FFA"/>
    <w:rsid w:val="003F2139"/>
    <w:rsid w:val="004849D2"/>
    <w:rsid w:val="00492D60"/>
    <w:rsid w:val="00541F60"/>
    <w:rsid w:val="00796F6E"/>
    <w:rsid w:val="007A0AAC"/>
    <w:rsid w:val="00854A74"/>
    <w:rsid w:val="00A33F27"/>
    <w:rsid w:val="00A70A4B"/>
    <w:rsid w:val="00AF40C1"/>
    <w:rsid w:val="00B417A3"/>
    <w:rsid w:val="00B85D62"/>
    <w:rsid w:val="00C21B65"/>
    <w:rsid w:val="00C55702"/>
    <w:rsid w:val="00C647F8"/>
    <w:rsid w:val="00CC0FD6"/>
    <w:rsid w:val="00D479FF"/>
    <w:rsid w:val="00DA1AFC"/>
    <w:rsid w:val="00DD587C"/>
    <w:rsid w:val="00DF45B4"/>
    <w:rsid w:val="00E052EA"/>
    <w:rsid w:val="00E05DC5"/>
    <w:rsid w:val="00E374A5"/>
    <w:rsid w:val="00E63FC8"/>
    <w:rsid w:val="00EC69B2"/>
    <w:rsid w:val="00EF7986"/>
    <w:rsid w:val="00F56992"/>
    <w:rsid w:val="00FE18F5"/>
    <w:rsid w:val="3BC4101F"/>
    <w:rsid w:val="469A026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PH"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1"/>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1"/>
    <w:basedOn w:val="11"/>
    <w:qFormat/>
    <w:uiPriority w:val="32"/>
    <w:rPr>
      <w:b/>
      <w:bCs/>
      <w:smallCaps/>
      <w:color w:val="2F5597" w:themeColor="accent1" w:themeShade="BF"/>
      <w:spacing w:val="5"/>
    </w:rPr>
  </w:style>
  <w:style w:type="character" w:customStyle="1" w:styleId="34">
    <w:name w:val="Unresolved Mention1"/>
    <w:basedOn w:val="11"/>
    <w:semiHidden/>
    <w:unhideWhenUsed/>
    <w:qFormat/>
    <w:uiPriority w:val="99"/>
    <w:rPr>
      <w:color w:val="605E5C"/>
      <w:shd w:val="clear" w:color="auto" w:fill="E1DFDD"/>
    </w:rPr>
  </w:style>
  <w:style w:type="character" w:customStyle="1" w:styleId="3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diagramColors" Target="diagrams/colors1.xml"/><Relationship Id="rId8" Type="http://schemas.openxmlformats.org/officeDocument/2006/relationships/diagramQuickStyle" Target="diagrams/quickStyle1.xml"/><Relationship Id="rId7" Type="http://schemas.openxmlformats.org/officeDocument/2006/relationships/diagramLayout" Target="diagrams/layout1.xml"/><Relationship Id="rId6" Type="http://schemas.openxmlformats.org/officeDocument/2006/relationships/diagramData" Target="diagrams/data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microsoft.com/office/2007/relationships/diagramDrawing" Target="diagrams/drawing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94CC6F9-8232-46F1-9A3B-B61A69DE69BA}" type="doc">
      <dgm:prSet loTypeId="urn:microsoft.com/office/officeart/2005/8/layout/radial4" loCatId="relationship" qsTypeId="urn:microsoft.com/office/officeart/2005/8/quickstyle/simple1" qsCatId="simple" csTypeId="urn:microsoft.com/office/officeart/2005/8/colors/colorful2" csCatId="colorful" phldr="1"/>
      <dgm:spPr/>
      <dgm:t>
        <a:bodyPr/>
        <a:p>
          <a:endParaRPr lang="en-PH"/>
        </a:p>
      </dgm:t>
    </dgm:pt>
    <dgm:pt modelId="{CFB0F9BB-7E6E-45F8-B31B-71292B732774}">
      <dgm:prSet phldrT="[Text]"/>
      <dgm:spPr/>
      <dgm:t>
        <a:bodyPr/>
        <a:p>
          <a:r>
            <a:rPr lang="en-PH"/>
            <a:t>Technology Management for Sustainable Coconut Industry in Davao Oriental</a:t>
          </a:r>
        </a:p>
      </dgm:t>
    </dgm:pt>
    <dgm:pt modelId="{FFA973E8-8FD4-47AE-A65D-6DFA9DEAC628}" cxnId="{CF8390A7-C610-4417-BF72-BF3387F12088}" type="parTrans">
      <dgm:prSet/>
      <dgm:spPr/>
      <dgm:t>
        <a:bodyPr/>
        <a:p>
          <a:endParaRPr lang="en-PH"/>
        </a:p>
      </dgm:t>
    </dgm:pt>
    <dgm:pt modelId="{154B4434-40C4-4FE3-9A65-BF07A6C74381}" cxnId="{CF8390A7-C610-4417-BF72-BF3387F12088}" type="sibTrans">
      <dgm:prSet/>
      <dgm:spPr/>
      <dgm:t>
        <a:bodyPr/>
        <a:p>
          <a:endParaRPr lang="en-PH"/>
        </a:p>
      </dgm:t>
    </dgm:pt>
    <dgm:pt modelId="{24B54CE8-BA82-46F0-8261-0BDFC1BD115C}">
      <dgm:prSet phldrT="[Text]"/>
      <dgm:spPr/>
      <dgm:t>
        <a:bodyPr/>
        <a:p>
          <a:r>
            <a:rPr lang="en-PH"/>
            <a:t>Infrastructure Development</a:t>
          </a:r>
        </a:p>
      </dgm:t>
    </dgm:pt>
    <dgm:pt modelId="{95E8E5BD-7FE6-49BD-A61C-4EEB3A6C7F44}" cxnId="{E1E3EE02-B4F7-4F7A-ACE8-816A5246A029}" type="parTrans">
      <dgm:prSet/>
      <dgm:spPr/>
      <dgm:t>
        <a:bodyPr/>
        <a:p>
          <a:endParaRPr lang="en-PH"/>
        </a:p>
      </dgm:t>
    </dgm:pt>
    <dgm:pt modelId="{DE7D5D8F-01D4-421D-B855-0A92EA8C2492}" cxnId="{E1E3EE02-B4F7-4F7A-ACE8-816A5246A029}" type="sibTrans">
      <dgm:prSet/>
      <dgm:spPr/>
      <dgm:t>
        <a:bodyPr/>
        <a:p>
          <a:endParaRPr lang="en-PH"/>
        </a:p>
      </dgm:t>
    </dgm:pt>
    <dgm:pt modelId="{59048F9E-CA8A-4B7F-A243-9AB7E8E5CFFB}">
      <dgm:prSet phldrT="[Text]"/>
      <dgm:spPr/>
      <dgm:t>
        <a:bodyPr/>
        <a:p>
          <a:r>
            <a:rPr lang="en-PH"/>
            <a:t>Sustainable Farming Practices</a:t>
          </a:r>
        </a:p>
      </dgm:t>
    </dgm:pt>
    <dgm:pt modelId="{1AA9B16E-BD27-454A-90DF-41B7489B5AF9}" cxnId="{EA1BFC34-5361-4CEB-BB92-ACF3CB8543E3}" type="parTrans">
      <dgm:prSet/>
      <dgm:spPr/>
      <dgm:t>
        <a:bodyPr/>
        <a:p>
          <a:endParaRPr lang="en-PH"/>
        </a:p>
      </dgm:t>
    </dgm:pt>
    <dgm:pt modelId="{F35BA2CD-727D-4D73-8326-86457E8080A5}" cxnId="{EA1BFC34-5361-4CEB-BB92-ACF3CB8543E3}" type="sibTrans">
      <dgm:prSet/>
      <dgm:spPr/>
      <dgm:t>
        <a:bodyPr/>
        <a:p>
          <a:endParaRPr lang="en-PH"/>
        </a:p>
      </dgm:t>
    </dgm:pt>
    <dgm:pt modelId="{D251A858-5E29-4BCA-9635-37E93BAE47FF}">
      <dgm:prSet phldrT="[Text]"/>
      <dgm:spPr/>
      <dgm:t>
        <a:bodyPr/>
        <a:p>
          <a:r>
            <a:rPr lang="en-PH"/>
            <a:t>Technology Adoption</a:t>
          </a:r>
        </a:p>
      </dgm:t>
    </dgm:pt>
    <dgm:pt modelId="{8F31D3C4-3752-4E2F-B984-3EE014DBDBE8}" cxnId="{1CE7A99E-6A6D-4D8F-9668-27774DCEABAB}" type="parTrans">
      <dgm:prSet/>
      <dgm:spPr/>
      <dgm:t>
        <a:bodyPr/>
        <a:p>
          <a:endParaRPr lang="en-PH"/>
        </a:p>
      </dgm:t>
    </dgm:pt>
    <dgm:pt modelId="{596337A7-E5DD-4CBA-A9FF-8FA6976F815C}" cxnId="{1CE7A99E-6A6D-4D8F-9668-27774DCEABAB}" type="sibTrans">
      <dgm:prSet/>
      <dgm:spPr/>
      <dgm:t>
        <a:bodyPr/>
        <a:p>
          <a:endParaRPr lang="en-PH"/>
        </a:p>
      </dgm:t>
    </dgm:pt>
    <dgm:pt modelId="{82EB80C4-64DA-4B40-821F-152B42256DC1}">
      <dgm:prSet phldrT="[Text]"/>
      <dgm:spPr/>
      <dgm:t>
        <a:bodyPr/>
        <a:p>
          <a:r>
            <a:rPr lang="en-PH"/>
            <a:t>Indigenous Knowledge</a:t>
          </a:r>
        </a:p>
      </dgm:t>
    </dgm:pt>
    <dgm:pt modelId="{F3321B6B-89B3-4573-A9BE-23FC391189BC}" cxnId="{94A701E5-2BC6-42C6-ABEF-8BB76EA0DB7C}" type="parTrans">
      <dgm:prSet/>
      <dgm:spPr/>
      <dgm:t>
        <a:bodyPr/>
        <a:p>
          <a:endParaRPr lang="en-PH"/>
        </a:p>
      </dgm:t>
    </dgm:pt>
    <dgm:pt modelId="{32B21C33-C791-407C-8201-949B03277FAC}" cxnId="{94A701E5-2BC6-42C6-ABEF-8BB76EA0DB7C}" type="sibTrans">
      <dgm:prSet/>
      <dgm:spPr/>
      <dgm:t>
        <a:bodyPr/>
        <a:p>
          <a:endParaRPr lang="en-PH"/>
        </a:p>
      </dgm:t>
    </dgm:pt>
    <dgm:pt modelId="{EE436336-B499-4878-BA65-F8D190DFC271}">
      <dgm:prSet phldrT="[Text]"/>
      <dgm:spPr/>
      <dgm:t>
        <a:bodyPr/>
        <a:p>
          <a:r>
            <a:rPr lang="en-PH"/>
            <a:t>Policy Support</a:t>
          </a:r>
        </a:p>
      </dgm:t>
    </dgm:pt>
    <dgm:pt modelId="{21509FF2-5E0F-4978-A644-D94286287381}" cxnId="{3E20CB19-321D-47D4-ADB2-9948BCA7B408}" type="parTrans">
      <dgm:prSet/>
      <dgm:spPr/>
      <dgm:t>
        <a:bodyPr/>
        <a:p>
          <a:endParaRPr lang="en-PH"/>
        </a:p>
      </dgm:t>
    </dgm:pt>
    <dgm:pt modelId="{E6F01755-FEDD-4182-BD9B-0277B97DFECA}" cxnId="{3E20CB19-321D-47D4-ADB2-9948BCA7B408}" type="sibTrans">
      <dgm:prSet/>
      <dgm:spPr/>
      <dgm:t>
        <a:bodyPr/>
        <a:p>
          <a:endParaRPr lang="en-PH"/>
        </a:p>
      </dgm:t>
    </dgm:pt>
    <dgm:pt modelId="{EB658FBD-A98C-4149-B8FE-2AA8286046BA}">
      <dgm:prSet phldrT="[Text]"/>
      <dgm:spPr/>
      <dgm:t>
        <a:bodyPr/>
        <a:p>
          <a:r>
            <a:rPr lang="en-PH"/>
            <a:t>Market Access</a:t>
          </a:r>
        </a:p>
      </dgm:t>
    </dgm:pt>
    <dgm:pt modelId="{EEA5129C-9C82-4174-9D70-B43F57EA0A26}" cxnId="{838D24FE-8C34-49E1-A57B-4EDC44538B67}" type="sibTrans">
      <dgm:prSet/>
      <dgm:spPr/>
      <dgm:t>
        <a:bodyPr/>
        <a:p>
          <a:endParaRPr lang="en-PH"/>
        </a:p>
      </dgm:t>
    </dgm:pt>
    <dgm:pt modelId="{0665AFAE-55CC-47F0-B358-4A67C6C6AF79}" cxnId="{838D24FE-8C34-49E1-A57B-4EDC44538B67}" type="parTrans">
      <dgm:prSet/>
      <dgm:spPr/>
      <dgm:t>
        <a:bodyPr/>
        <a:p>
          <a:endParaRPr lang="en-PH"/>
        </a:p>
      </dgm:t>
    </dgm:pt>
    <dgm:pt modelId="{A812A27F-4A84-407D-8B43-8B4C51A8B541}" type="pres">
      <dgm:prSet presAssocID="{994CC6F9-8232-46F1-9A3B-B61A69DE69BA}" presName="cycle" presStyleCnt="0">
        <dgm:presLayoutVars>
          <dgm:chMax val="1"/>
          <dgm:dir/>
          <dgm:animLvl val="ctr"/>
          <dgm:resizeHandles val="exact"/>
        </dgm:presLayoutVars>
      </dgm:prSet>
      <dgm:spPr/>
    </dgm:pt>
    <dgm:pt modelId="{25C4D1D0-EDA3-4700-9D97-61C2F30006E3}" type="pres">
      <dgm:prSet presAssocID="{CFB0F9BB-7E6E-45F8-B31B-71292B732774}" presName="centerShape" presStyleLbl="node0" presStyleIdx="0" presStyleCnt="1"/>
      <dgm:spPr/>
    </dgm:pt>
    <dgm:pt modelId="{BA5872EA-2C0E-4B0C-A7FB-72865F26B8C3}" type="pres">
      <dgm:prSet presAssocID="{95E8E5BD-7FE6-49BD-A61C-4EEB3A6C7F44}" presName="parTrans" presStyleLbl="bgSibTrans2D1" presStyleIdx="0" presStyleCnt="6"/>
      <dgm:spPr/>
    </dgm:pt>
    <dgm:pt modelId="{7AE6D9C9-8B5A-43B4-88CD-3A32677333B7}" type="pres">
      <dgm:prSet presAssocID="{24B54CE8-BA82-46F0-8261-0BDFC1BD115C}" presName="node" presStyleLbl="node1" presStyleIdx="0" presStyleCnt="6">
        <dgm:presLayoutVars>
          <dgm:bulletEnabled val="1"/>
        </dgm:presLayoutVars>
      </dgm:prSet>
      <dgm:spPr/>
    </dgm:pt>
    <dgm:pt modelId="{10F490B2-D10F-4CF6-A0A6-5C65AEC0E13D}" type="pres">
      <dgm:prSet presAssocID="{1AA9B16E-BD27-454A-90DF-41B7489B5AF9}" presName="parTrans" presStyleLbl="bgSibTrans2D1" presStyleIdx="1" presStyleCnt="6"/>
      <dgm:spPr/>
    </dgm:pt>
    <dgm:pt modelId="{9948B7C1-7A2F-4EF2-8F6C-184397DC9952}" type="pres">
      <dgm:prSet presAssocID="{59048F9E-CA8A-4B7F-A243-9AB7E8E5CFFB}" presName="node" presStyleLbl="node1" presStyleIdx="1" presStyleCnt="6">
        <dgm:presLayoutVars>
          <dgm:bulletEnabled val="1"/>
        </dgm:presLayoutVars>
      </dgm:prSet>
      <dgm:spPr/>
    </dgm:pt>
    <dgm:pt modelId="{1094D168-5A85-417A-97BF-09664FF7F7D0}" type="pres">
      <dgm:prSet presAssocID="{8F31D3C4-3752-4E2F-B984-3EE014DBDBE8}" presName="parTrans" presStyleLbl="bgSibTrans2D1" presStyleIdx="2" presStyleCnt="6"/>
      <dgm:spPr/>
    </dgm:pt>
    <dgm:pt modelId="{D10597E0-786D-4D55-8215-DEECB3CB7733}" type="pres">
      <dgm:prSet presAssocID="{D251A858-5E29-4BCA-9635-37E93BAE47FF}" presName="node" presStyleLbl="node1" presStyleIdx="2" presStyleCnt="6">
        <dgm:presLayoutVars>
          <dgm:bulletEnabled val="1"/>
        </dgm:presLayoutVars>
      </dgm:prSet>
      <dgm:spPr/>
    </dgm:pt>
    <dgm:pt modelId="{8689F927-2A1F-4E49-9C54-A6BF07B700CF}" type="pres">
      <dgm:prSet presAssocID="{F3321B6B-89B3-4573-A9BE-23FC391189BC}" presName="parTrans" presStyleLbl="bgSibTrans2D1" presStyleIdx="3" presStyleCnt="6"/>
      <dgm:spPr/>
    </dgm:pt>
    <dgm:pt modelId="{CE86393D-A100-47BF-BC56-489380E901EB}" type="pres">
      <dgm:prSet presAssocID="{82EB80C4-64DA-4B40-821F-152B42256DC1}" presName="node" presStyleLbl="node1" presStyleIdx="3" presStyleCnt="6">
        <dgm:presLayoutVars>
          <dgm:bulletEnabled val="1"/>
        </dgm:presLayoutVars>
      </dgm:prSet>
      <dgm:spPr/>
    </dgm:pt>
    <dgm:pt modelId="{0518E5E6-C35E-4B39-844F-CB2ED6F07514}" type="pres">
      <dgm:prSet presAssocID="{21509FF2-5E0F-4978-A644-D94286287381}" presName="parTrans" presStyleLbl="bgSibTrans2D1" presStyleIdx="4" presStyleCnt="6"/>
      <dgm:spPr/>
    </dgm:pt>
    <dgm:pt modelId="{77EB93B1-EA92-4562-B12E-FD42F928E955}" type="pres">
      <dgm:prSet presAssocID="{EE436336-B499-4878-BA65-F8D190DFC271}" presName="node" presStyleLbl="node1" presStyleIdx="4" presStyleCnt="6">
        <dgm:presLayoutVars>
          <dgm:bulletEnabled val="1"/>
        </dgm:presLayoutVars>
      </dgm:prSet>
      <dgm:spPr/>
    </dgm:pt>
    <dgm:pt modelId="{A0109136-28D8-44DC-A2F3-72CC6A9BBAD1}" type="pres">
      <dgm:prSet presAssocID="{0665AFAE-55CC-47F0-B358-4A67C6C6AF79}" presName="parTrans" presStyleLbl="bgSibTrans2D1" presStyleIdx="5" presStyleCnt="6"/>
      <dgm:spPr/>
    </dgm:pt>
    <dgm:pt modelId="{A08135C2-8663-4BCE-869D-86B4EF2AB43F}" type="pres">
      <dgm:prSet presAssocID="{EB658FBD-A98C-4149-B8FE-2AA8286046BA}" presName="node" presStyleLbl="node1" presStyleIdx="5" presStyleCnt="6">
        <dgm:presLayoutVars>
          <dgm:bulletEnabled val="1"/>
        </dgm:presLayoutVars>
      </dgm:prSet>
      <dgm:spPr/>
    </dgm:pt>
  </dgm:ptLst>
  <dgm:cxnLst>
    <dgm:cxn modelId="{E1E3EE02-B4F7-4F7A-ACE8-816A5246A029}" srcId="{CFB0F9BB-7E6E-45F8-B31B-71292B732774}" destId="{24B54CE8-BA82-46F0-8261-0BDFC1BD115C}" srcOrd="0" destOrd="0" parTransId="{95E8E5BD-7FE6-49BD-A61C-4EEB3A6C7F44}" sibTransId="{DE7D5D8F-01D4-421D-B855-0A92EA8C2492}"/>
    <dgm:cxn modelId="{D0EFB609-ECFA-4166-8891-EB73254094C5}" type="presOf" srcId="{8F31D3C4-3752-4E2F-B984-3EE014DBDBE8}" destId="{1094D168-5A85-417A-97BF-09664FF7F7D0}" srcOrd="0" destOrd="0" presId="urn:microsoft.com/office/officeart/2005/8/layout/radial4"/>
    <dgm:cxn modelId="{3E20CB19-321D-47D4-ADB2-9948BCA7B408}" srcId="{CFB0F9BB-7E6E-45F8-B31B-71292B732774}" destId="{EE436336-B499-4878-BA65-F8D190DFC271}" srcOrd="4" destOrd="0" parTransId="{21509FF2-5E0F-4978-A644-D94286287381}" sibTransId="{E6F01755-FEDD-4182-BD9B-0277B97DFECA}"/>
    <dgm:cxn modelId="{EA1BFC34-5361-4CEB-BB92-ACF3CB8543E3}" srcId="{CFB0F9BB-7E6E-45F8-B31B-71292B732774}" destId="{59048F9E-CA8A-4B7F-A243-9AB7E8E5CFFB}" srcOrd="1" destOrd="0" parTransId="{1AA9B16E-BD27-454A-90DF-41B7489B5AF9}" sibTransId="{F35BA2CD-727D-4D73-8326-86457E8080A5}"/>
    <dgm:cxn modelId="{83F89B5E-DEE6-463E-A182-6F88F4AA35BB}" type="presOf" srcId="{994CC6F9-8232-46F1-9A3B-B61A69DE69BA}" destId="{A812A27F-4A84-407D-8B43-8B4C51A8B541}" srcOrd="0" destOrd="0" presId="urn:microsoft.com/office/officeart/2005/8/layout/radial4"/>
    <dgm:cxn modelId="{57FB9C63-8778-4568-8E0E-0D828E7A9F85}" type="presOf" srcId="{EB658FBD-A98C-4149-B8FE-2AA8286046BA}" destId="{A08135C2-8663-4BCE-869D-86B4EF2AB43F}" srcOrd="0" destOrd="0" presId="urn:microsoft.com/office/officeart/2005/8/layout/radial4"/>
    <dgm:cxn modelId="{391C3546-F20E-4313-9123-E0948CF91253}" type="presOf" srcId="{0665AFAE-55CC-47F0-B358-4A67C6C6AF79}" destId="{A0109136-28D8-44DC-A2F3-72CC6A9BBAD1}" srcOrd="0" destOrd="0" presId="urn:microsoft.com/office/officeart/2005/8/layout/radial4"/>
    <dgm:cxn modelId="{C571B56C-E1DF-43E4-B34D-FD379BC46A85}" type="presOf" srcId="{59048F9E-CA8A-4B7F-A243-9AB7E8E5CFFB}" destId="{9948B7C1-7A2F-4EF2-8F6C-184397DC9952}" srcOrd="0" destOrd="0" presId="urn:microsoft.com/office/officeart/2005/8/layout/radial4"/>
    <dgm:cxn modelId="{F03B2E73-68A6-4A50-9A27-512E1B35BFD9}" type="presOf" srcId="{1AA9B16E-BD27-454A-90DF-41B7489B5AF9}" destId="{10F490B2-D10F-4CF6-A0A6-5C65AEC0E13D}" srcOrd="0" destOrd="0" presId="urn:microsoft.com/office/officeart/2005/8/layout/radial4"/>
    <dgm:cxn modelId="{CA476B81-6ED0-4A66-A0E2-438451158C4F}" type="presOf" srcId="{EE436336-B499-4878-BA65-F8D190DFC271}" destId="{77EB93B1-EA92-4562-B12E-FD42F928E955}" srcOrd="0" destOrd="0" presId="urn:microsoft.com/office/officeart/2005/8/layout/radial4"/>
    <dgm:cxn modelId="{FEEA7181-7FD3-47FA-9CE7-2BC8DAC85F8F}" type="presOf" srcId="{24B54CE8-BA82-46F0-8261-0BDFC1BD115C}" destId="{7AE6D9C9-8B5A-43B4-88CD-3A32677333B7}" srcOrd="0" destOrd="0" presId="urn:microsoft.com/office/officeart/2005/8/layout/radial4"/>
    <dgm:cxn modelId="{7934FC93-0C81-4F04-9BB2-B7CDBACE4A66}" type="presOf" srcId="{95E8E5BD-7FE6-49BD-A61C-4EEB3A6C7F44}" destId="{BA5872EA-2C0E-4B0C-A7FB-72865F26B8C3}" srcOrd="0" destOrd="0" presId="urn:microsoft.com/office/officeart/2005/8/layout/radial4"/>
    <dgm:cxn modelId="{1CE7A99E-6A6D-4D8F-9668-27774DCEABAB}" srcId="{CFB0F9BB-7E6E-45F8-B31B-71292B732774}" destId="{D251A858-5E29-4BCA-9635-37E93BAE47FF}" srcOrd="2" destOrd="0" parTransId="{8F31D3C4-3752-4E2F-B984-3EE014DBDBE8}" sibTransId="{596337A7-E5DD-4CBA-A9FF-8FA6976F815C}"/>
    <dgm:cxn modelId="{CF8390A7-C610-4417-BF72-BF3387F12088}" srcId="{994CC6F9-8232-46F1-9A3B-B61A69DE69BA}" destId="{CFB0F9BB-7E6E-45F8-B31B-71292B732774}" srcOrd="0" destOrd="0" parTransId="{FFA973E8-8FD4-47AE-A65D-6DFA9DEAC628}" sibTransId="{154B4434-40C4-4FE3-9A65-BF07A6C74381}"/>
    <dgm:cxn modelId="{F9F1CBDA-1FBB-4B89-8AED-0F0BC5E1C36C}" type="presOf" srcId="{21509FF2-5E0F-4978-A644-D94286287381}" destId="{0518E5E6-C35E-4B39-844F-CB2ED6F07514}" srcOrd="0" destOrd="0" presId="urn:microsoft.com/office/officeart/2005/8/layout/radial4"/>
    <dgm:cxn modelId="{94A701E5-2BC6-42C6-ABEF-8BB76EA0DB7C}" srcId="{CFB0F9BB-7E6E-45F8-B31B-71292B732774}" destId="{82EB80C4-64DA-4B40-821F-152B42256DC1}" srcOrd="3" destOrd="0" parTransId="{F3321B6B-89B3-4573-A9BE-23FC391189BC}" sibTransId="{32B21C33-C791-407C-8201-949B03277FAC}"/>
    <dgm:cxn modelId="{F87487EA-85A5-48CF-B2CD-45E53D04B75D}" type="presOf" srcId="{F3321B6B-89B3-4573-A9BE-23FC391189BC}" destId="{8689F927-2A1F-4E49-9C54-A6BF07B700CF}" srcOrd="0" destOrd="0" presId="urn:microsoft.com/office/officeart/2005/8/layout/radial4"/>
    <dgm:cxn modelId="{0C9760F9-B074-4ABC-92F7-9DA578C03514}" type="presOf" srcId="{D251A858-5E29-4BCA-9635-37E93BAE47FF}" destId="{D10597E0-786D-4D55-8215-DEECB3CB7733}" srcOrd="0" destOrd="0" presId="urn:microsoft.com/office/officeart/2005/8/layout/radial4"/>
    <dgm:cxn modelId="{BA1E5BFA-0E5D-42C9-BD33-B3D83E79750D}" type="presOf" srcId="{82EB80C4-64DA-4B40-821F-152B42256DC1}" destId="{CE86393D-A100-47BF-BC56-489380E901EB}" srcOrd="0" destOrd="0" presId="urn:microsoft.com/office/officeart/2005/8/layout/radial4"/>
    <dgm:cxn modelId="{838D24FE-8C34-49E1-A57B-4EDC44538B67}" srcId="{CFB0F9BB-7E6E-45F8-B31B-71292B732774}" destId="{EB658FBD-A98C-4149-B8FE-2AA8286046BA}" srcOrd="5" destOrd="0" parTransId="{0665AFAE-55CC-47F0-B358-4A67C6C6AF79}" sibTransId="{EEA5129C-9C82-4174-9D70-B43F57EA0A26}"/>
    <dgm:cxn modelId="{438325FF-E6DC-4C08-A8D9-7ADD85046DFC}" type="presOf" srcId="{CFB0F9BB-7E6E-45F8-B31B-71292B732774}" destId="{25C4D1D0-EDA3-4700-9D97-61C2F30006E3}" srcOrd="0" destOrd="0" presId="urn:microsoft.com/office/officeart/2005/8/layout/radial4"/>
    <dgm:cxn modelId="{EECE6A3C-CBE1-4D77-8ABB-77184B5A7EE6}" type="presParOf" srcId="{A812A27F-4A84-407D-8B43-8B4C51A8B541}" destId="{25C4D1D0-EDA3-4700-9D97-61C2F30006E3}" srcOrd="0" destOrd="0" presId="urn:microsoft.com/office/officeart/2005/8/layout/radial4"/>
    <dgm:cxn modelId="{076DD7C4-07F9-471E-B4D8-0B268D479A8A}" type="presParOf" srcId="{A812A27F-4A84-407D-8B43-8B4C51A8B541}" destId="{BA5872EA-2C0E-4B0C-A7FB-72865F26B8C3}" srcOrd="1" destOrd="0" presId="urn:microsoft.com/office/officeart/2005/8/layout/radial4"/>
    <dgm:cxn modelId="{6AEBDDE0-9921-4CAF-B37A-94C95D06AE89}" type="presParOf" srcId="{A812A27F-4A84-407D-8B43-8B4C51A8B541}" destId="{7AE6D9C9-8B5A-43B4-88CD-3A32677333B7}" srcOrd="2" destOrd="0" presId="urn:microsoft.com/office/officeart/2005/8/layout/radial4"/>
    <dgm:cxn modelId="{D673F1F9-2F80-4F76-BC46-B6EBBD15BF1D}" type="presParOf" srcId="{A812A27F-4A84-407D-8B43-8B4C51A8B541}" destId="{10F490B2-D10F-4CF6-A0A6-5C65AEC0E13D}" srcOrd="3" destOrd="0" presId="urn:microsoft.com/office/officeart/2005/8/layout/radial4"/>
    <dgm:cxn modelId="{B51FE45B-AD32-440C-8F48-F1FE0107D444}" type="presParOf" srcId="{A812A27F-4A84-407D-8B43-8B4C51A8B541}" destId="{9948B7C1-7A2F-4EF2-8F6C-184397DC9952}" srcOrd="4" destOrd="0" presId="urn:microsoft.com/office/officeart/2005/8/layout/radial4"/>
    <dgm:cxn modelId="{30F9BFA2-BA3B-4965-933C-796DFAC489E4}" type="presParOf" srcId="{A812A27F-4A84-407D-8B43-8B4C51A8B541}" destId="{1094D168-5A85-417A-97BF-09664FF7F7D0}" srcOrd="5" destOrd="0" presId="urn:microsoft.com/office/officeart/2005/8/layout/radial4"/>
    <dgm:cxn modelId="{A659BE07-29BC-46E7-88D8-B03F50B3F528}" type="presParOf" srcId="{A812A27F-4A84-407D-8B43-8B4C51A8B541}" destId="{D10597E0-786D-4D55-8215-DEECB3CB7733}" srcOrd="6" destOrd="0" presId="urn:microsoft.com/office/officeart/2005/8/layout/radial4"/>
    <dgm:cxn modelId="{C722827F-C0AF-4822-8E7B-3E5D7BAD62FE}" type="presParOf" srcId="{A812A27F-4A84-407D-8B43-8B4C51A8B541}" destId="{8689F927-2A1F-4E49-9C54-A6BF07B700CF}" srcOrd="7" destOrd="0" presId="urn:microsoft.com/office/officeart/2005/8/layout/radial4"/>
    <dgm:cxn modelId="{2A0735EE-B257-4D9C-84B9-A8A149A65F5D}" type="presParOf" srcId="{A812A27F-4A84-407D-8B43-8B4C51A8B541}" destId="{CE86393D-A100-47BF-BC56-489380E901EB}" srcOrd="8" destOrd="0" presId="urn:microsoft.com/office/officeart/2005/8/layout/radial4"/>
    <dgm:cxn modelId="{EB07D5A6-2530-48E8-8F13-979659374883}" type="presParOf" srcId="{A812A27F-4A84-407D-8B43-8B4C51A8B541}" destId="{0518E5E6-C35E-4B39-844F-CB2ED6F07514}" srcOrd="9" destOrd="0" presId="urn:microsoft.com/office/officeart/2005/8/layout/radial4"/>
    <dgm:cxn modelId="{5F2CC02E-57CF-4F2D-82C0-C92C3AEC9665}" type="presParOf" srcId="{A812A27F-4A84-407D-8B43-8B4C51A8B541}" destId="{77EB93B1-EA92-4562-B12E-FD42F928E955}" srcOrd="10" destOrd="0" presId="urn:microsoft.com/office/officeart/2005/8/layout/radial4"/>
    <dgm:cxn modelId="{07D4B928-7F85-41D8-90E4-E70744D6286E}" type="presParOf" srcId="{A812A27F-4A84-407D-8B43-8B4C51A8B541}" destId="{A0109136-28D8-44DC-A2F3-72CC6A9BBAD1}" srcOrd="11" destOrd="0" presId="urn:microsoft.com/office/officeart/2005/8/layout/radial4"/>
    <dgm:cxn modelId="{D9BEBA35-6385-4DD9-9E20-2DC7491BDE85}" type="presParOf" srcId="{A812A27F-4A84-407D-8B43-8B4C51A8B541}" destId="{A08135C2-8663-4BCE-869D-86B4EF2AB43F}" srcOrd="12" destOrd="0" presId="urn:microsoft.com/office/officeart/2005/8/layout/radial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3200400"/>
        <a:chOff x="0" y="0"/>
        <a:chExt cx="5486400" cy="3200400"/>
      </a:xfrm>
    </dsp:grpSpPr>
    <dsp:sp modelId="{25C4D1D0-EDA3-4700-9D97-61C2F30006E3}">
      <dsp:nvSpPr>
        <dsp:cNvPr id="3" name="Oval 2"/>
        <dsp:cNvSpPr/>
      </dsp:nvSpPr>
      <dsp:spPr bwMode="white">
        <a:xfrm>
          <a:off x="2200790" y="2052135"/>
          <a:ext cx="1084821" cy="1084821"/>
        </a:xfrm>
        <a:prstGeom prst="ellipse">
          <a:avLst/>
        </a:prstGeom>
      </dsp:spPr>
      <dsp:style>
        <a:lnRef idx="2">
          <a:schemeClr val="lt1"/>
        </a:lnRef>
        <a:fillRef idx="1">
          <a:schemeClr val="accent1"/>
        </a:fillRef>
        <a:effectRef idx="0">
          <a:scrgbClr r="0" g="0" b="0"/>
        </a:effectRef>
        <a:fontRef idx="minor">
          <a:schemeClr val="lt1"/>
        </a:fontRef>
      </dsp:style>
      <dsp:txBody>
        <a:bodyPr lIns="5080" tIns="5080" rIns="5080" bIns="5080" anchor="ctr"/>
        <a:lstStyle>
          <a:lvl1pPr algn="ctr">
            <a:defRPr sz="800"/>
          </a:lvl1pPr>
          <a:lvl2pPr marL="57150" indent="-57150" algn="ctr">
            <a:defRPr sz="600"/>
          </a:lvl2pPr>
          <a:lvl3pPr marL="114300" indent="-57150" algn="ctr">
            <a:defRPr sz="600"/>
          </a:lvl3pPr>
          <a:lvl4pPr marL="171450" indent="-57150" algn="ctr">
            <a:defRPr sz="600"/>
          </a:lvl4pPr>
          <a:lvl5pPr marL="228600" indent="-57150" algn="ctr">
            <a:defRPr sz="600"/>
          </a:lvl5pPr>
          <a:lvl6pPr marL="285750" indent="-57150" algn="ctr">
            <a:defRPr sz="600"/>
          </a:lvl6pPr>
          <a:lvl7pPr marL="342900" indent="-57150" algn="ctr">
            <a:defRPr sz="600"/>
          </a:lvl7pPr>
          <a:lvl8pPr marL="400050" indent="-57150" algn="ctr">
            <a:defRPr sz="600"/>
          </a:lvl8pPr>
          <a:lvl9pPr marL="457200" indent="-57150" algn="ctr">
            <a:defRPr sz="600"/>
          </a:lvl9pPr>
        </a:lstStyle>
        <a:p>
          <a:pPr lvl="0">
            <a:lnSpc>
              <a:spcPct val="100000"/>
            </a:lnSpc>
            <a:spcBef>
              <a:spcPct val="0"/>
            </a:spcBef>
            <a:spcAft>
              <a:spcPct val="35000"/>
            </a:spcAft>
          </a:pPr>
          <a:r>
            <a:rPr lang="en-PH"/>
            <a:t>Technology Management for Sustainable Coconut Industry in Davao Oriental</a:t>
          </a:r>
        </a:p>
      </dsp:txBody>
      <dsp:txXfrm>
        <a:off x="2200790" y="2052135"/>
        <a:ext cx="1084821" cy="1084821"/>
      </dsp:txXfrm>
    </dsp:sp>
    <dsp:sp modelId="{BA5872EA-2C0E-4B0C-A7FB-72865F26B8C3}">
      <dsp:nvSpPr>
        <dsp:cNvPr id="4" name="Left Arrow 3"/>
        <dsp:cNvSpPr/>
      </dsp:nvSpPr>
      <dsp:spPr bwMode="white">
        <a:xfrm rot="10799999">
          <a:off x="561641" y="2439958"/>
          <a:ext cx="1592797" cy="309174"/>
        </a:xfrm>
        <a:prstGeom prst="leftArrow">
          <a:avLst>
            <a:gd name="adj1" fmla="val 60000"/>
            <a:gd name="adj2" fmla="val 50000"/>
          </a:avLst>
        </a:prstGeom>
      </dsp:spPr>
      <dsp:style>
        <a:lnRef idx="0">
          <a:schemeClr val="lt1"/>
        </a:lnRef>
        <a:fillRef idx="1">
          <a:schemeClr val="accent2">
            <a:hueOff val="0"/>
            <a:satOff val="0"/>
            <a:lumOff val="0"/>
            <a:alpha val="100000"/>
          </a:schemeClr>
        </a:fillRef>
        <a:effectRef idx="0">
          <a:scrgbClr r="0" g="0" b="0"/>
        </a:effectRef>
        <a:fontRef idx="minor">
          <a:schemeClr val="lt1"/>
        </a:fontRef>
      </dsp:style>
      <dsp:txXfrm rot="10799999">
        <a:off x="561641" y="2439958"/>
        <a:ext cx="1592797" cy="309174"/>
      </dsp:txXfrm>
    </dsp:sp>
    <dsp:sp modelId="{7AE6D9C9-8B5A-43B4-88CD-3A32677333B7}">
      <dsp:nvSpPr>
        <dsp:cNvPr id="5" name="Rounded Rectangle 4"/>
        <dsp:cNvSpPr/>
      </dsp:nvSpPr>
      <dsp:spPr bwMode="white">
        <a:xfrm>
          <a:off x="0" y="2182313"/>
          <a:ext cx="1030579" cy="824464"/>
        </a:xfrm>
        <a:prstGeom prst="roundRect">
          <a:avLst>
            <a:gd name="adj" fmla="val 10000"/>
          </a:avLst>
        </a:prstGeom>
      </dsp:spPr>
      <dsp:style>
        <a:lnRef idx="2">
          <a:schemeClr val="lt1"/>
        </a:lnRef>
        <a:fillRef idx="1">
          <a:schemeClr val="accent2">
            <a:hueOff val="0"/>
            <a:satOff val="0"/>
            <a:lumOff val="0"/>
            <a:alpha val="100000"/>
          </a:schemeClr>
        </a:fillRef>
        <a:effectRef idx="0">
          <a:scrgbClr r="0" g="0" b="0"/>
        </a:effectRef>
        <a:fontRef idx="minor">
          <a:schemeClr val="lt1"/>
        </a:fontRef>
      </dsp:style>
      <dsp:txBody>
        <a:bodyPr lIns="22859" tIns="22859" rIns="22859" bIns="2285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PH"/>
            <a:t>Infrastructure Development</a:t>
          </a:r>
        </a:p>
      </dsp:txBody>
      <dsp:txXfrm>
        <a:off x="0" y="2182313"/>
        <a:ext cx="1030579" cy="824464"/>
      </dsp:txXfrm>
    </dsp:sp>
    <dsp:sp modelId="{10F490B2-D10F-4CF6-A0A6-5C65AEC0E13D}">
      <dsp:nvSpPr>
        <dsp:cNvPr id="6" name="Left Arrow 5"/>
        <dsp:cNvSpPr/>
      </dsp:nvSpPr>
      <dsp:spPr bwMode="white">
        <a:xfrm rot="12959999">
          <a:off x="826183" y="1625781"/>
          <a:ext cx="1592797" cy="309174"/>
        </a:xfrm>
        <a:prstGeom prst="leftArrow">
          <a:avLst>
            <a:gd name="adj1" fmla="val 60000"/>
            <a:gd name="adj2" fmla="val 50000"/>
          </a:avLst>
        </a:prstGeom>
      </dsp:spPr>
      <dsp:style>
        <a:lnRef idx="0">
          <a:schemeClr val="lt1"/>
        </a:lnRef>
        <a:fillRef idx="1">
          <a:schemeClr val="accent2">
            <a:hueOff val="-300000"/>
            <a:satOff val="-16783"/>
            <a:lumOff val="1725"/>
            <a:alpha val="100000"/>
          </a:schemeClr>
        </a:fillRef>
        <a:effectRef idx="0">
          <a:scrgbClr r="0" g="0" b="0"/>
        </a:effectRef>
        <a:fontRef idx="minor">
          <a:schemeClr val="lt1"/>
        </a:fontRef>
      </dsp:style>
      <dsp:txXfrm rot="12959999">
        <a:off x="826183" y="1625781"/>
        <a:ext cx="1592797" cy="309174"/>
      </dsp:txXfrm>
    </dsp:sp>
    <dsp:sp modelId="{9948B7C1-7A2F-4EF2-8F6C-184397DC9952}">
      <dsp:nvSpPr>
        <dsp:cNvPr id="7" name="Rounded Rectangle 6"/>
        <dsp:cNvSpPr/>
      </dsp:nvSpPr>
      <dsp:spPr bwMode="white">
        <a:xfrm>
          <a:off x="425493" y="872780"/>
          <a:ext cx="1030579" cy="824464"/>
        </a:xfrm>
        <a:prstGeom prst="roundRect">
          <a:avLst>
            <a:gd name="adj" fmla="val 10000"/>
          </a:avLst>
        </a:prstGeom>
      </dsp:spPr>
      <dsp:style>
        <a:lnRef idx="2">
          <a:schemeClr val="lt1"/>
        </a:lnRef>
        <a:fillRef idx="1">
          <a:schemeClr val="accent2">
            <a:hueOff val="-300000"/>
            <a:satOff val="-16783"/>
            <a:lumOff val="1725"/>
            <a:alpha val="100000"/>
          </a:schemeClr>
        </a:fillRef>
        <a:effectRef idx="0">
          <a:scrgbClr r="0" g="0" b="0"/>
        </a:effectRef>
        <a:fontRef idx="minor">
          <a:schemeClr val="lt1"/>
        </a:fontRef>
      </dsp:style>
      <dsp:txBody>
        <a:bodyPr lIns="22859" tIns="22859" rIns="22859" bIns="2285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PH"/>
            <a:t>Sustainable Farming Practices</a:t>
          </a:r>
        </a:p>
      </dsp:txBody>
      <dsp:txXfrm>
        <a:off x="425493" y="872780"/>
        <a:ext cx="1030579" cy="824464"/>
      </dsp:txXfrm>
    </dsp:sp>
    <dsp:sp modelId="{1094D168-5A85-417A-97BF-09664FF7F7D0}">
      <dsp:nvSpPr>
        <dsp:cNvPr id="8" name="Left Arrow 7"/>
        <dsp:cNvSpPr/>
      </dsp:nvSpPr>
      <dsp:spPr bwMode="white">
        <a:xfrm rot="15119999">
          <a:off x="1518763" y="1122592"/>
          <a:ext cx="1592797" cy="309174"/>
        </a:xfrm>
        <a:prstGeom prst="leftArrow">
          <a:avLst>
            <a:gd name="adj1" fmla="val 60000"/>
            <a:gd name="adj2" fmla="val 50000"/>
          </a:avLst>
        </a:prstGeom>
      </dsp:spPr>
      <dsp:style>
        <a:lnRef idx="0">
          <a:schemeClr val="lt1"/>
        </a:lnRef>
        <a:fillRef idx="1">
          <a:schemeClr val="accent2">
            <a:hueOff val="-600000"/>
            <a:satOff val="-33568"/>
            <a:lumOff val="3451"/>
            <a:alpha val="100000"/>
          </a:schemeClr>
        </a:fillRef>
        <a:effectRef idx="0">
          <a:scrgbClr r="0" g="0" b="0"/>
        </a:effectRef>
        <a:fontRef idx="minor">
          <a:schemeClr val="lt1"/>
        </a:fontRef>
      </dsp:style>
      <dsp:txXfrm rot="15119999">
        <a:off x="1518763" y="1122592"/>
        <a:ext cx="1592797" cy="309174"/>
      </dsp:txXfrm>
    </dsp:sp>
    <dsp:sp modelId="{D10597E0-786D-4D55-8215-DEECB3CB7733}">
      <dsp:nvSpPr>
        <dsp:cNvPr id="9" name="Rounded Rectangle 8"/>
        <dsp:cNvSpPr/>
      </dsp:nvSpPr>
      <dsp:spPr bwMode="white">
        <a:xfrm>
          <a:off x="1539448" y="63445"/>
          <a:ext cx="1030579" cy="824464"/>
        </a:xfrm>
        <a:prstGeom prst="roundRect">
          <a:avLst>
            <a:gd name="adj" fmla="val 10000"/>
          </a:avLst>
        </a:prstGeom>
      </dsp:spPr>
      <dsp:style>
        <a:lnRef idx="2">
          <a:schemeClr val="lt1"/>
        </a:lnRef>
        <a:fillRef idx="1">
          <a:schemeClr val="accent2">
            <a:hueOff val="-600000"/>
            <a:satOff val="-33568"/>
            <a:lumOff val="3451"/>
            <a:alpha val="100000"/>
          </a:schemeClr>
        </a:fillRef>
        <a:effectRef idx="0">
          <a:scrgbClr r="0" g="0" b="0"/>
        </a:effectRef>
        <a:fontRef idx="minor">
          <a:schemeClr val="lt1"/>
        </a:fontRef>
      </dsp:style>
      <dsp:txBody>
        <a:bodyPr lIns="22859" tIns="22859" rIns="22859" bIns="2285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PH"/>
            <a:t>Technology Adoption</a:t>
          </a:r>
        </a:p>
      </dsp:txBody>
      <dsp:txXfrm>
        <a:off x="1539448" y="63445"/>
        <a:ext cx="1030579" cy="824464"/>
      </dsp:txXfrm>
    </dsp:sp>
    <dsp:sp modelId="{8689F927-2A1F-4E49-9C54-A6BF07B700CF}">
      <dsp:nvSpPr>
        <dsp:cNvPr id="10" name="Left Arrow 9"/>
        <dsp:cNvSpPr/>
      </dsp:nvSpPr>
      <dsp:spPr bwMode="white">
        <a:xfrm rot="-4319999">
          <a:off x="2374839" y="1122592"/>
          <a:ext cx="1592797" cy="309174"/>
        </a:xfrm>
        <a:prstGeom prst="leftArrow">
          <a:avLst>
            <a:gd name="adj1" fmla="val 60000"/>
            <a:gd name="adj2" fmla="val 50000"/>
          </a:avLst>
        </a:prstGeom>
      </dsp:spPr>
      <dsp:style>
        <a:lnRef idx="0">
          <a:schemeClr val="lt1"/>
        </a:lnRef>
        <a:fillRef idx="1">
          <a:schemeClr val="accent2">
            <a:hueOff val="-900000"/>
            <a:satOff val="-50352"/>
            <a:lumOff val="5176"/>
            <a:alpha val="100000"/>
          </a:schemeClr>
        </a:fillRef>
        <a:effectRef idx="0">
          <a:scrgbClr r="0" g="0" b="0"/>
        </a:effectRef>
        <a:fontRef idx="minor">
          <a:schemeClr val="lt1"/>
        </a:fontRef>
      </dsp:style>
      <dsp:txXfrm rot="-4319999">
        <a:off x="2374839" y="1122592"/>
        <a:ext cx="1592797" cy="309174"/>
      </dsp:txXfrm>
    </dsp:sp>
    <dsp:sp modelId="{CE86393D-A100-47BF-BC56-489380E901EB}">
      <dsp:nvSpPr>
        <dsp:cNvPr id="11" name="Rounded Rectangle 10"/>
        <dsp:cNvSpPr/>
      </dsp:nvSpPr>
      <dsp:spPr bwMode="white">
        <a:xfrm>
          <a:off x="2916372" y="63445"/>
          <a:ext cx="1030579" cy="824464"/>
        </a:xfrm>
        <a:prstGeom prst="roundRect">
          <a:avLst>
            <a:gd name="adj" fmla="val 10000"/>
          </a:avLst>
        </a:prstGeom>
      </dsp:spPr>
      <dsp:style>
        <a:lnRef idx="2">
          <a:schemeClr val="lt1"/>
        </a:lnRef>
        <a:fillRef idx="1">
          <a:schemeClr val="accent2">
            <a:hueOff val="-900000"/>
            <a:satOff val="-50352"/>
            <a:lumOff val="5176"/>
            <a:alpha val="100000"/>
          </a:schemeClr>
        </a:fillRef>
        <a:effectRef idx="0">
          <a:scrgbClr r="0" g="0" b="0"/>
        </a:effectRef>
        <a:fontRef idx="minor">
          <a:schemeClr val="lt1"/>
        </a:fontRef>
      </dsp:style>
      <dsp:txBody>
        <a:bodyPr lIns="22859" tIns="22859" rIns="22859" bIns="2285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PH"/>
            <a:t>Indigenous Knowledge</a:t>
          </a:r>
        </a:p>
      </dsp:txBody>
      <dsp:txXfrm>
        <a:off x="2916372" y="63445"/>
        <a:ext cx="1030579" cy="824464"/>
      </dsp:txXfrm>
    </dsp:sp>
    <dsp:sp modelId="{0518E5E6-C35E-4B39-844F-CB2ED6F07514}">
      <dsp:nvSpPr>
        <dsp:cNvPr id="12" name="Left Arrow 11"/>
        <dsp:cNvSpPr/>
      </dsp:nvSpPr>
      <dsp:spPr bwMode="white">
        <a:xfrm rot="-2159999">
          <a:off x="3067419" y="1625781"/>
          <a:ext cx="1592797" cy="309174"/>
        </a:xfrm>
        <a:prstGeom prst="leftArrow">
          <a:avLst>
            <a:gd name="adj1" fmla="val 60000"/>
            <a:gd name="adj2" fmla="val 50000"/>
          </a:avLst>
        </a:prstGeom>
      </dsp:spPr>
      <dsp:style>
        <a:lnRef idx="0">
          <a:schemeClr val="lt1"/>
        </a:lnRef>
        <a:fillRef idx="1">
          <a:schemeClr val="accent2">
            <a:hueOff val="-1200000"/>
            <a:satOff val="-67136"/>
            <a:lumOff val="6902"/>
            <a:alpha val="100000"/>
          </a:schemeClr>
        </a:fillRef>
        <a:effectRef idx="0">
          <a:scrgbClr r="0" g="0" b="0"/>
        </a:effectRef>
        <a:fontRef idx="minor">
          <a:schemeClr val="lt1"/>
        </a:fontRef>
      </dsp:style>
      <dsp:txXfrm rot="-2159999">
        <a:off x="3067419" y="1625781"/>
        <a:ext cx="1592797" cy="309174"/>
      </dsp:txXfrm>
    </dsp:sp>
    <dsp:sp modelId="{77EB93B1-EA92-4562-B12E-FD42F928E955}">
      <dsp:nvSpPr>
        <dsp:cNvPr id="13" name="Rounded Rectangle 12"/>
        <dsp:cNvSpPr/>
      </dsp:nvSpPr>
      <dsp:spPr bwMode="white">
        <a:xfrm>
          <a:off x="4030328" y="872780"/>
          <a:ext cx="1030579" cy="824464"/>
        </a:xfrm>
        <a:prstGeom prst="roundRect">
          <a:avLst>
            <a:gd name="adj" fmla="val 10000"/>
          </a:avLst>
        </a:prstGeom>
      </dsp:spPr>
      <dsp:style>
        <a:lnRef idx="2">
          <a:schemeClr val="lt1"/>
        </a:lnRef>
        <a:fillRef idx="1">
          <a:schemeClr val="accent2">
            <a:hueOff val="-1200000"/>
            <a:satOff val="-67136"/>
            <a:lumOff val="6902"/>
            <a:alpha val="100000"/>
          </a:schemeClr>
        </a:fillRef>
        <a:effectRef idx="0">
          <a:scrgbClr r="0" g="0" b="0"/>
        </a:effectRef>
        <a:fontRef idx="minor">
          <a:schemeClr val="lt1"/>
        </a:fontRef>
      </dsp:style>
      <dsp:txBody>
        <a:bodyPr lIns="22859" tIns="22859" rIns="22859" bIns="2285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PH"/>
            <a:t>Policy Support</a:t>
          </a:r>
        </a:p>
      </dsp:txBody>
      <dsp:txXfrm>
        <a:off x="4030328" y="872780"/>
        <a:ext cx="1030579" cy="824464"/>
      </dsp:txXfrm>
    </dsp:sp>
    <dsp:sp modelId="{A0109136-28D8-44DC-A2F3-72CC6A9BBAD1}">
      <dsp:nvSpPr>
        <dsp:cNvPr id="14" name="Left Arrow 13"/>
        <dsp:cNvSpPr/>
      </dsp:nvSpPr>
      <dsp:spPr bwMode="white">
        <a:xfrm>
          <a:off x="3331962" y="2439958"/>
          <a:ext cx="1592797" cy="309174"/>
        </a:xfrm>
        <a:prstGeom prst="leftArrow">
          <a:avLst>
            <a:gd name="adj1" fmla="val 60000"/>
            <a:gd name="adj2" fmla="val 50000"/>
          </a:avLst>
        </a:prstGeom>
      </dsp:spPr>
      <dsp:style>
        <a:lnRef idx="0">
          <a:schemeClr val="lt1"/>
        </a:lnRef>
        <a:fillRef idx="1">
          <a:schemeClr val="accent2">
            <a:hueOff val="-1500000"/>
            <a:satOff val="-83921"/>
            <a:lumOff val="8627"/>
            <a:alpha val="100000"/>
          </a:schemeClr>
        </a:fillRef>
        <a:effectRef idx="0">
          <a:scrgbClr r="0" g="0" b="0"/>
        </a:effectRef>
        <a:fontRef idx="minor">
          <a:schemeClr val="lt1"/>
        </a:fontRef>
      </dsp:style>
      <dsp:txXfrm>
        <a:off x="3331962" y="2439958"/>
        <a:ext cx="1592797" cy="309174"/>
      </dsp:txXfrm>
    </dsp:sp>
    <dsp:sp modelId="{A08135C2-8663-4BCE-869D-86B4EF2AB43F}">
      <dsp:nvSpPr>
        <dsp:cNvPr id="15" name="Rounded Rectangle 14"/>
        <dsp:cNvSpPr/>
      </dsp:nvSpPr>
      <dsp:spPr bwMode="white">
        <a:xfrm>
          <a:off x="4455821" y="2182313"/>
          <a:ext cx="1030579" cy="824464"/>
        </a:xfrm>
        <a:prstGeom prst="roundRect">
          <a:avLst>
            <a:gd name="adj" fmla="val 10000"/>
          </a:avLst>
        </a:prstGeom>
      </dsp:spPr>
      <dsp:style>
        <a:lnRef idx="2">
          <a:schemeClr val="lt1"/>
        </a:lnRef>
        <a:fillRef idx="1">
          <a:schemeClr val="accent2">
            <a:hueOff val="-1500000"/>
            <a:satOff val="-83921"/>
            <a:lumOff val="8627"/>
            <a:alpha val="100000"/>
          </a:schemeClr>
        </a:fillRef>
        <a:effectRef idx="0">
          <a:scrgbClr r="0" g="0" b="0"/>
        </a:effectRef>
        <a:fontRef idx="minor">
          <a:schemeClr val="lt1"/>
        </a:fontRef>
      </dsp:style>
      <dsp:txBody>
        <a:bodyPr lIns="22859" tIns="22859" rIns="22859" bIns="22859" anchor="ctr"/>
        <a:lstStyle>
          <a:lvl1pPr algn="ctr">
            <a:defRPr sz="1200"/>
          </a:lvl1pPr>
          <a:lvl2pPr marL="57150" indent="-57150" algn="ctr">
            <a:defRPr sz="900"/>
          </a:lvl2pPr>
          <a:lvl3pPr marL="114300" indent="-57150" algn="ctr">
            <a:defRPr sz="900"/>
          </a:lvl3pPr>
          <a:lvl4pPr marL="171450" indent="-57150" algn="ctr">
            <a:defRPr sz="900"/>
          </a:lvl4pPr>
          <a:lvl5pPr marL="228600" indent="-57150" algn="ctr">
            <a:defRPr sz="900"/>
          </a:lvl5pPr>
          <a:lvl6pPr marL="285750" indent="-57150" algn="ctr">
            <a:defRPr sz="900"/>
          </a:lvl6pPr>
          <a:lvl7pPr marL="342900" indent="-57150" algn="ctr">
            <a:defRPr sz="900"/>
          </a:lvl7pPr>
          <a:lvl8pPr marL="400050" indent="-57150" algn="ctr">
            <a:defRPr sz="900"/>
          </a:lvl8pPr>
          <a:lvl9pPr marL="457200" indent="-57150" algn="ctr">
            <a:defRPr sz="900"/>
          </a:lvl9pPr>
        </a:lstStyle>
        <a:p>
          <a:pPr lvl="0">
            <a:lnSpc>
              <a:spcPct val="100000"/>
            </a:lnSpc>
            <a:spcBef>
              <a:spcPct val="0"/>
            </a:spcBef>
            <a:spcAft>
              <a:spcPct val="35000"/>
            </a:spcAft>
          </a:pPr>
          <a:r>
            <a:rPr lang="en-PH"/>
            <a:t>Market Access</a:t>
          </a:r>
        </a:p>
      </dsp:txBody>
      <dsp:txXfrm>
        <a:off x="4455821" y="2182313"/>
        <a:ext cx="1030579" cy="8244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9289</Words>
  <Characters>52953</Characters>
  <Lines>441</Lines>
  <Paragraphs>124</Paragraphs>
  <TotalTime>9</TotalTime>
  <ScaleCrop>false</ScaleCrop>
  <LinksUpToDate>false</LinksUpToDate>
  <CharactersWithSpaces>62118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2025-02-22T07:33:00Z</dcterms:created>
  <dc:creator>VENSON SARITA</dc:creator>
  <cp:lastModifiedBy>venz8</cp:lastModifiedBy>
  <dcterms:modified xsi:type="dcterms:W3CDTF">2026-04-16T08:02:45Z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ED20FB23CC164EFCB0377C2A0AC4F11D_12</vt:lpwstr>
  </property>
</Properties>
</file>