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2131" w14:textId="77777777" w:rsidR="00F46E0D" w:rsidRPr="00F46E0D" w:rsidRDefault="00F46E0D" w:rsidP="00F46E0D">
      <w:pPr>
        <w:jc w:val="both"/>
        <w:rPr>
          <w:rFonts w:ascii="Times New Roman" w:hAnsi="Times New Roman" w:cs="Times New Roman"/>
          <w:b/>
          <w:bCs/>
          <w:szCs w:val="24"/>
        </w:rPr>
      </w:pPr>
      <w:r w:rsidRPr="00F46E0D">
        <w:rPr>
          <w:rFonts w:ascii="Times New Roman" w:hAnsi="Times New Roman" w:cs="Times New Roman"/>
          <w:b/>
          <w:bCs/>
          <w:szCs w:val="24"/>
        </w:rPr>
        <w:t>Abstract</w:t>
      </w:r>
    </w:p>
    <w:p w14:paraId="7092426B" w14:textId="77777777" w:rsidR="00F46E0D" w:rsidRPr="00F46E0D" w:rsidRDefault="00F46E0D" w:rsidP="00F46E0D">
      <w:pPr>
        <w:jc w:val="both"/>
        <w:rPr>
          <w:rFonts w:ascii="Times New Roman" w:hAnsi="Times New Roman" w:cs="Times New Roman"/>
          <w:szCs w:val="24"/>
        </w:rPr>
      </w:pPr>
      <w:r w:rsidRPr="00F46E0D">
        <w:rPr>
          <w:rFonts w:ascii="Times New Roman" w:hAnsi="Times New Roman" w:cs="Times New Roman"/>
          <w:szCs w:val="24"/>
        </w:rPr>
        <w:t>India, a major player in global agricultural trade, faces significant challenges in accessing the European Union (EU) market due to stringent Non-Tariff Measures (NTMs), particularly Sanitary and Phytosanitary (SPS) measures and Technical Barriers to Trade (TBT). These regulatory barriers, aimed at ensuring food safety and compliance with EU standards, often result in trade disputes, hindering India's agricultural export potential. This paper investigates the role of NTMs in shaping India-EU agricultural trade, with a focus on the impact of SPS and TBT measures on export volumes and the occurrence of trade disputes. Using a mixed-methods approach, the study combines quantitative econometric analysis, including panel data regression models, with qualitative case studies of specific agricultural sectors such as spices, marine products, and fruits. The findings reveal that stringent SPS measures significantly reduce the export volume of agricultural goods from India to the EU, and that the likelihood of trade disputes increases when products fail to meet EU regulations. Furthermore, economic policy uncertainty (EPU) and geopolitical risks exacerbate the challenges posed by NTMs, leading to further market instability. The paper concludes with policy recommendations aimed at improving regulatory compliance, enhancing infrastructure for testing and certification, and fostering greater coordination between Indian exporters and government agencies to mitigate trade disputes and improve market access. This research contributes to the understanding of the complexities in India-EU agricultural trade relations and offers practical solutions for overcoming existing barriers.</w:t>
      </w:r>
    </w:p>
    <w:p w14:paraId="571B10B2" w14:textId="77777777" w:rsidR="00F46E0D" w:rsidRPr="00A61CE4" w:rsidRDefault="00F46E0D" w:rsidP="00F046B7">
      <w:pPr>
        <w:jc w:val="both"/>
        <w:rPr>
          <w:rFonts w:ascii="Times New Roman" w:hAnsi="Times New Roman" w:cs="Times New Roman"/>
          <w:b/>
          <w:bCs/>
          <w:szCs w:val="24"/>
        </w:rPr>
      </w:pPr>
    </w:p>
    <w:p w14:paraId="1BED9B1F" w14:textId="10D50485" w:rsidR="00F046B7" w:rsidRPr="00F046B7" w:rsidRDefault="00F046B7" w:rsidP="00F046B7">
      <w:pPr>
        <w:jc w:val="both"/>
        <w:rPr>
          <w:rFonts w:ascii="Times New Roman" w:hAnsi="Times New Roman" w:cs="Times New Roman"/>
          <w:szCs w:val="24"/>
        </w:rPr>
      </w:pPr>
      <w:r w:rsidRPr="00F046B7">
        <w:rPr>
          <w:rFonts w:ascii="Times New Roman" w:hAnsi="Times New Roman" w:cs="Times New Roman"/>
          <w:b/>
          <w:bCs/>
          <w:szCs w:val="24"/>
        </w:rPr>
        <w:t>Introduction</w:t>
      </w:r>
    </w:p>
    <w:p w14:paraId="0564AE56" w14:textId="77777777" w:rsidR="00F046B7" w:rsidRPr="00F046B7" w:rsidRDefault="00F046B7" w:rsidP="00F046B7">
      <w:pPr>
        <w:jc w:val="both"/>
        <w:rPr>
          <w:rFonts w:ascii="Times New Roman" w:hAnsi="Times New Roman" w:cs="Times New Roman"/>
          <w:szCs w:val="24"/>
        </w:rPr>
      </w:pPr>
      <w:r w:rsidRPr="00F046B7">
        <w:rPr>
          <w:rFonts w:ascii="Times New Roman" w:hAnsi="Times New Roman" w:cs="Times New Roman"/>
          <w:szCs w:val="24"/>
        </w:rPr>
        <w:t xml:space="preserve">India, one of the largest agricultural producers globally, has long been a key player in international agricultural trade. Among its most important trade partners is the European Union (EU), a high-value market with substantial demand for Indian agricultural goods such as spices, fruits, vegetables, and marine products. Despite India’s comparative advantage in many agricultural sectors, its exports to the EU face significant challenges, largely due to the imposition of Non-Tariff Measures (NTMs). These NTMs, particularly Sanitary and Phytosanitary (SPS) measures and Technical Barriers to Trade (TBT), have become central to the ongoing trade disputes between India and the EU. SPS measures, which include stringent regulations on pesticide residues, food safety, and traceability standards, often lead to the rejection of Indian agricultural products at EU borders. TBT, which involves complex certification and </w:t>
      </w:r>
      <w:proofErr w:type="spellStart"/>
      <w:r w:rsidRPr="00F046B7">
        <w:rPr>
          <w:rFonts w:ascii="Times New Roman" w:hAnsi="Times New Roman" w:cs="Times New Roman"/>
          <w:szCs w:val="24"/>
        </w:rPr>
        <w:t>labeling</w:t>
      </w:r>
      <w:proofErr w:type="spellEnd"/>
      <w:r w:rsidRPr="00F046B7">
        <w:rPr>
          <w:rFonts w:ascii="Times New Roman" w:hAnsi="Times New Roman" w:cs="Times New Roman"/>
          <w:szCs w:val="24"/>
        </w:rPr>
        <w:t xml:space="preserve"> requirements, further exacerbates these challenges, making it difficult for Indian exporters to gain access to the EU market. The persistence of these trade barriers has not only affected the volume of exports but also strained trade relations, resulting in disputes that hinder the potential growth of India's agricultural sector in the European market.</w:t>
      </w:r>
    </w:p>
    <w:p w14:paraId="0280C3F5" w14:textId="77777777" w:rsidR="00F046B7" w:rsidRPr="00F046B7" w:rsidRDefault="00F046B7" w:rsidP="00F046B7">
      <w:pPr>
        <w:jc w:val="both"/>
        <w:rPr>
          <w:rFonts w:ascii="Times New Roman" w:hAnsi="Times New Roman" w:cs="Times New Roman"/>
          <w:szCs w:val="24"/>
        </w:rPr>
      </w:pPr>
      <w:r w:rsidRPr="00F046B7">
        <w:rPr>
          <w:rFonts w:ascii="Times New Roman" w:hAnsi="Times New Roman" w:cs="Times New Roman"/>
          <w:szCs w:val="24"/>
        </w:rPr>
        <w:t xml:space="preserve">This paper aims to investigate the underlying causes and consequences of these trade disputes, focusing on the role of NTMs in shaping India’s agricultural export performance to the EU. By </w:t>
      </w:r>
      <w:proofErr w:type="spellStart"/>
      <w:r w:rsidRPr="00F046B7">
        <w:rPr>
          <w:rFonts w:ascii="Times New Roman" w:hAnsi="Times New Roman" w:cs="Times New Roman"/>
          <w:szCs w:val="24"/>
        </w:rPr>
        <w:t>analyzing</w:t>
      </w:r>
      <w:proofErr w:type="spellEnd"/>
      <w:r w:rsidRPr="00F046B7">
        <w:rPr>
          <w:rFonts w:ascii="Times New Roman" w:hAnsi="Times New Roman" w:cs="Times New Roman"/>
          <w:szCs w:val="24"/>
        </w:rPr>
        <w:t xml:space="preserve"> the interplay between regulatory measures, compliance challenges, and the disputes that arise from them, this study seeks to provide a comprehensive understanding of the barriers to trade and their implications for India’s agricultural exporters. Furthermore, the research will </w:t>
      </w:r>
      <w:r w:rsidRPr="00F046B7">
        <w:rPr>
          <w:rFonts w:ascii="Times New Roman" w:hAnsi="Times New Roman" w:cs="Times New Roman"/>
          <w:szCs w:val="24"/>
        </w:rPr>
        <w:lastRenderedPageBreak/>
        <w:t>explore potential policy recommendations to mitigate these challenges, offering strategies to align India’s export practices with EU regulations and improve market access. Through this exploration, the paper contributes to the broader discourse on trade policy, regulatory harmonization, and the resolution of trade disputes in international agricultural markets.</w:t>
      </w:r>
    </w:p>
    <w:p w14:paraId="203F3D68" w14:textId="77777777" w:rsidR="00F046B7" w:rsidRPr="00F046B7" w:rsidRDefault="00F046B7" w:rsidP="00F046B7">
      <w:pPr>
        <w:jc w:val="both"/>
        <w:rPr>
          <w:rFonts w:ascii="Times New Roman" w:hAnsi="Times New Roman" w:cs="Times New Roman"/>
          <w:b/>
          <w:bCs/>
          <w:szCs w:val="24"/>
        </w:rPr>
      </w:pPr>
      <w:r w:rsidRPr="00F046B7">
        <w:rPr>
          <w:rFonts w:ascii="Times New Roman" w:hAnsi="Times New Roman" w:cs="Times New Roman"/>
          <w:b/>
          <w:bCs/>
          <w:szCs w:val="24"/>
        </w:rPr>
        <w:t>Literature Review</w:t>
      </w:r>
    </w:p>
    <w:p w14:paraId="35238391" w14:textId="77777777" w:rsidR="00F046B7" w:rsidRPr="00F046B7" w:rsidRDefault="00F046B7" w:rsidP="00F046B7">
      <w:pPr>
        <w:jc w:val="both"/>
        <w:rPr>
          <w:rFonts w:ascii="Times New Roman" w:hAnsi="Times New Roman" w:cs="Times New Roman"/>
          <w:szCs w:val="24"/>
        </w:rPr>
      </w:pPr>
      <w:r w:rsidRPr="00F046B7">
        <w:rPr>
          <w:rFonts w:ascii="Times New Roman" w:hAnsi="Times New Roman" w:cs="Times New Roman"/>
          <w:szCs w:val="24"/>
        </w:rPr>
        <w:t xml:space="preserve">The literature on trade disputes between India and the European Union (EU) in the context of agricultural exports primarily focuses on Non-Tariff Measures (NTMs) such as Sanitary and Phytosanitary (SPS) measures and Technical Barriers to Trade (TBT), alongside the resulting trade disputes. The imposition of NTMs by the EU has significantly impacted India’s agricultural export performance, leading to multiple challenges for Indian exporters, particularly in meeting the stringent regulatory requirements for food safety, pesticide residues, and product </w:t>
      </w:r>
      <w:proofErr w:type="spellStart"/>
      <w:r w:rsidRPr="00F046B7">
        <w:rPr>
          <w:rFonts w:ascii="Times New Roman" w:hAnsi="Times New Roman" w:cs="Times New Roman"/>
          <w:szCs w:val="24"/>
        </w:rPr>
        <w:t>labeling</w:t>
      </w:r>
      <w:proofErr w:type="spellEnd"/>
      <w:r w:rsidRPr="00F046B7">
        <w:rPr>
          <w:rFonts w:ascii="Times New Roman" w:hAnsi="Times New Roman" w:cs="Times New Roman"/>
          <w:szCs w:val="24"/>
        </w:rPr>
        <w:t>.</w:t>
      </w:r>
    </w:p>
    <w:p w14:paraId="2E7B21C7" w14:textId="77777777" w:rsidR="00F046B7" w:rsidRPr="00F046B7" w:rsidRDefault="00F046B7" w:rsidP="00F046B7">
      <w:pPr>
        <w:jc w:val="both"/>
        <w:rPr>
          <w:rFonts w:ascii="Times New Roman" w:hAnsi="Times New Roman" w:cs="Times New Roman"/>
          <w:szCs w:val="24"/>
        </w:rPr>
      </w:pPr>
      <w:r w:rsidRPr="00F046B7">
        <w:rPr>
          <w:rFonts w:ascii="Times New Roman" w:hAnsi="Times New Roman" w:cs="Times New Roman"/>
          <w:szCs w:val="24"/>
        </w:rPr>
        <w:t>Sanitary and Phytosanitary (SPS) Barriers</w:t>
      </w:r>
    </w:p>
    <w:p w14:paraId="44CB8970" w14:textId="77777777" w:rsidR="00F046B7" w:rsidRPr="00F046B7" w:rsidRDefault="00F046B7" w:rsidP="00F046B7">
      <w:pPr>
        <w:jc w:val="both"/>
        <w:rPr>
          <w:rFonts w:ascii="Times New Roman" w:hAnsi="Times New Roman" w:cs="Times New Roman"/>
          <w:szCs w:val="24"/>
        </w:rPr>
      </w:pPr>
      <w:r w:rsidRPr="00F046B7">
        <w:rPr>
          <w:rFonts w:ascii="Times New Roman" w:hAnsi="Times New Roman" w:cs="Times New Roman"/>
          <w:szCs w:val="24"/>
        </w:rPr>
        <w:t>SPS measures are one of the primary concerns for India’s agricultural exports to the EU. These measures, aimed at protecting human, animal, and plant life, have become a significant non-tariff barrier, especially for products like fruits, vegetables, and spices. Studies indicate that pesticide residue standards and food safety regulations are among the most prominent SPS-related barriers faced by Indian exporters. The EU imposes strict Maximum Residue Limits (MRLs) for pesticides, which frequently leads to the rejection of Indian agricultural products (Jaffee &amp; Henson, 2004). Indian spices, such as turmeric, pepper, and cardamom, are particularly vulnerable to these rejections due to the use of banned pesticides and inadequate quality control mechanisms in India’s supply chains (ICRIER, 2022).</w:t>
      </w:r>
    </w:p>
    <w:p w14:paraId="4F6465BA" w14:textId="77777777" w:rsidR="00F046B7" w:rsidRPr="00F046B7" w:rsidRDefault="00F046B7" w:rsidP="00F046B7">
      <w:pPr>
        <w:jc w:val="both"/>
        <w:rPr>
          <w:rFonts w:ascii="Times New Roman" w:hAnsi="Times New Roman" w:cs="Times New Roman"/>
          <w:szCs w:val="24"/>
        </w:rPr>
      </w:pPr>
      <w:r w:rsidRPr="00F046B7">
        <w:rPr>
          <w:rFonts w:ascii="Times New Roman" w:hAnsi="Times New Roman" w:cs="Times New Roman"/>
          <w:szCs w:val="24"/>
        </w:rPr>
        <w:t>Gulati et al. (2022) highlight that the lack of advanced testing infrastructure and cold chain facilities in India often prevents the compliance with EU’s stringent traceability and safety standards, leading to trade disruptions. Additionally, Narayanan (2020) notes that India’s agricultural export potential is constrained by a lack of coordination between government agencies, which results in inconsistent adherence to SPS measures, ultimately causing significant export losses. These gaps in infrastructure and regulatory compliance highlight the need for capacity-building and investment in testing facilities to meet international standards.</w:t>
      </w:r>
    </w:p>
    <w:p w14:paraId="599F7AD1" w14:textId="77777777" w:rsidR="00F046B7" w:rsidRPr="00F046B7" w:rsidRDefault="00F046B7" w:rsidP="00F046B7">
      <w:pPr>
        <w:jc w:val="both"/>
        <w:rPr>
          <w:rFonts w:ascii="Times New Roman" w:hAnsi="Times New Roman" w:cs="Times New Roman"/>
          <w:szCs w:val="24"/>
        </w:rPr>
      </w:pPr>
      <w:r w:rsidRPr="00F046B7">
        <w:rPr>
          <w:rFonts w:ascii="Times New Roman" w:hAnsi="Times New Roman" w:cs="Times New Roman"/>
          <w:szCs w:val="24"/>
        </w:rPr>
        <w:t>Technical Barriers to Trade (TBT)</w:t>
      </w:r>
    </w:p>
    <w:p w14:paraId="5637937E" w14:textId="77777777" w:rsidR="00F046B7" w:rsidRPr="00F046B7" w:rsidRDefault="00F046B7" w:rsidP="00F046B7">
      <w:pPr>
        <w:jc w:val="both"/>
        <w:rPr>
          <w:rFonts w:ascii="Times New Roman" w:hAnsi="Times New Roman" w:cs="Times New Roman"/>
          <w:szCs w:val="24"/>
        </w:rPr>
      </w:pPr>
      <w:r w:rsidRPr="00F046B7">
        <w:rPr>
          <w:rFonts w:ascii="Times New Roman" w:hAnsi="Times New Roman" w:cs="Times New Roman"/>
          <w:szCs w:val="24"/>
        </w:rPr>
        <w:t xml:space="preserve">TBT measures in the EU also present significant hurdles for Indian agricultural exports. These barriers encompass technical regulations, certification requirements, and product </w:t>
      </w:r>
      <w:proofErr w:type="spellStart"/>
      <w:r w:rsidRPr="00F046B7">
        <w:rPr>
          <w:rFonts w:ascii="Times New Roman" w:hAnsi="Times New Roman" w:cs="Times New Roman"/>
          <w:szCs w:val="24"/>
        </w:rPr>
        <w:t>labeling</w:t>
      </w:r>
      <w:proofErr w:type="spellEnd"/>
      <w:r w:rsidRPr="00F046B7">
        <w:rPr>
          <w:rFonts w:ascii="Times New Roman" w:hAnsi="Times New Roman" w:cs="Times New Roman"/>
          <w:szCs w:val="24"/>
        </w:rPr>
        <w:t xml:space="preserve">. The complexity of organic certification and the need for traceability and food </w:t>
      </w:r>
      <w:proofErr w:type="spellStart"/>
      <w:r w:rsidRPr="00F046B7">
        <w:rPr>
          <w:rFonts w:ascii="Times New Roman" w:hAnsi="Times New Roman" w:cs="Times New Roman"/>
          <w:szCs w:val="24"/>
        </w:rPr>
        <w:t>labeling</w:t>
      </w:r>
      <w:proofErr w:type="spellEnd"/>
      <w:r w:rsidRPr="00F046B7">
        <w:rPr>
          <w:rFonts w:ascii="Times New Roman" w:hAnsi="Times New Roman" w:cs="Times New Roman"/>
          <w:szCs w:val="24"/>
        </w:rPr>
        <w:t xml:space="preserve"> pose challenges for Indian exporters, particularly in the organic food sector (Mehta &amp; Kumar, 2023). India’s organic certification system does not always align with EU standards, which creates difficulties in gaining market access for products like organic spices and herbal goods.</w:t>
      </w:r>
    </w:p>
    <w:p w14:paraId="2D22345F" w14:textId="77777777" w:rsidR="00F046B7" w:rsidRPr="00F046B7" w:rsidRDefault="00F046B7" w:rsidP="00F046B7">
      <w:pPr>
        <w:jc w:val="both"/>
        <w:rPr>
          <w:rFonts w:ascii="Times New Roman" w:hAnsi="Times New Roman" w:cs="Times New Roman"/>
          <w:szCs w:val="24"/>
        </w:rPr>
      </w:pPr>
      <w:r w:rsidRPr="00F046B7">
        <w:rPr>
          <w:rFonts w:ascii="Times New Roman" w:hAnsi="Times New Roman" w:cs="Times New Roman"/>
          <w:szCs w:val="24"/>
        </w:rPr>
        <w:t xml:space="preserve">Batra and Khan (2005) discuss the impact of such technical regulations on India’s agricultural exports, arguing that discrepancies between domestic standards and EU requirements create barriers for exporters, increasing the cost and complexity of compliance. Moreover, </w:t>
      </w:r>
      <w:proofErr w:type="spellStart"/>
      <w:r w:rsidRPr="00F046B7">
        <w:rPr>
          <w:rFonts w:ascii="Times New Roman" w:hAnsi="Times New Roman" w:cs="Times New Roman"/>
          <w:szCs w:val="24"/>
        </w:rPr>
        <w:t>Faniband</w:t>
      </w:r>
      <w:proofErr w:type="spellEnd"/>
      <w:r w:rsidRPr="00F046B7">
        <w:rPr>
          <w:rFonts w:ascii="Times New Roman" w:hAnsi="Times New Roman" w:cs="Times New Roman"/>
          <w:szCs w:val="24"/>
        </w:rPr>
        <w:t xml:space="preserve"> </w:t>
      </w:r>
      <w:r w:rsidRPr="00F046B7">
        <w:rPr>
          <w:rFonts w:ascii="Times New Roman" w:hAnsi="Times New Roman" w:cs="Times New Roman"/>
          <w:szCs w:val="24"/>
        </w:rPr>
        <w:lastRenderedPageBreak/>
        <w:t xml:space="preserve">and </w:t>
      </w:r>
      <w:proofErr w:type="spellStart"/>
      <w:r w:rsidRPr="00F046B7">
        <w:rPr>
          <w:rFonts w:ascii="Times New Roman" w:hAnsi="Times New Roman" w:cs="Times New Roman"/>
          <w:szCs w:val="24"/>
        </w:rPr>
        <w:t>Marulkar</w:t>
      </w:r>
      <w:proofErr w:type="spellEnd"/>
      <w:r w:rsidRPr="00F046B7">
        <w:rPr>
          <w:rFonts w:ascii="Times New Roman" w:hAnsi="Times New Roman" w:cs="Times New Roman"/>
          <w:szCs w:val="24"/>
        </w:rPr>
        <w:t xml:space="preserve"> (2019) emphasize that packaging and </w:t>
      </w:r>
      <w:proofErr w:type="spellStart"/>
      <w:r w:rsidRPr="00F046B7">
        <w:rPr>
          <w:rFonts w:ascii="Times New Roman" w:hAnsi="Times New Roman" w:cs="Times New Roman"/>
          <w:szCs w:val="24"/>
        </w:rPr>
        <w:t>labeling</w:t>
      </w:r>
      <w:proofErr w:type="spellEnd"/>
      <w:r w:rsidRPr="00F046B7">
        <w:rPr>
          <w:rFonts w:ascii="Times New Roman" w:hAnsi="Times New Roman" w:cs="Times New Roman"/>
          <w:szCs w:val="24"/>
        </w:rPr>
        <w:t xml:space="preserve"> standards, particularly in the processed food sector, often require Indian exporters to invest in redesigning packaging, which adds to the cost burden and complicates market access in the EU. These barriers are exacerbated by the lack of awareness among Indian exporters regarding EU-specific certification requirements (Sharma &amp; Saini, 2016).</w:t>
      </w:r>
    </w:p>
    <w:p w14:paraId="143FF40F" w14:textId="77777777" w:rsidR="00F046B7" w:rsidRPr="00F046B7" w:rsidRDefault="00F046B7" w:rsidP="00F046B7">
      <w:pPr>
        <w:jc w:val="both"/>
        <w:rPr>
          <w:rFonts w:ascii="Times New Roman" w:hAnsi="Times New Roman" w:cs="Times New Roman"/>
          <w:szCs w:val="24"/>
        </w:rPr>
      </w:pPr>
      <w:r w:rsidRPr="00F046B7">
        <w:rPr>
          <w:rFonts w:ascii="Times New Roman" w:hAnsi="Times New Roman" w:cs="Times New Roman"/>
          <w:szCs w:val="24"/>
        </w:rPr>
        <w:t>Economic Policy Uncertainty (EPU) and Trade Disputes</w:t>
      </w:r>
    </w:p>
    <w:p w14:paraId="7482AB3A" w14:textId="77777777" w:rsidR="00F046B7" w:rsidRPr="00F046B7" w:rsidRDefault="00F046B7" w:rsidP="00F046B7">
      <w:pPr>
        <w:jc w:val="both"/>
        <w:rPr>
          <w:rFonts w:ascii="Times New Roman" w:hAnsi="Times New Roman" w:cs="Times New Roman"/>
          <w:szCs w:val="24"/>
        </w:rPr>
      </w:pPr>
      <w:r w:rsidRPr="00F046B7">
        <w:rPr>
          <w:rFonts w:ascii="Times New Roman" w:hAnsi="Times New Roman" w:cs="Times New Roman"/>
          <w:szCs w:val="24"/>
        </w:rPr>
        <w:t>Economic policy uncertainty (EPU) has been identified as another critical factor influencing trade disputes and agricultural export performance. EPU in India has led to a volatile policy environment, creating unpredictability for exporters who must navigate sudden changes in export regulations, export bans, and price support policies. The uncertain regulatory environment makes it difficult for Indian exporters to plan long-term trade relationships, especially with the EU, where market access is contingent on meeting strict regulatory standards (Baker et al., 2016).</w:t>
      </w:r>
    </w:p>
    <w:p w14:paraId="53EFD0B9" w14:textId="77777777" w:rsidR="00F046B7" w:rsidRPr="00F046B7" w:rsidRDefault="00F046B7" w:rsidP="00F046B7">
      <w:pPr>
        <w:jc w:val="both"/>
        <w:rPr>
          <w:rFonts w:ascii="Times New Roman" w:hAnsi="Times New Roman" w:cs="Times New Roman"/>
          <w:szCs w:val="24"/>
        </w:rPr>
      </w:pPr>
      <w:r w:rsidRPr="00F046B7">
        <w:rPr>
          <w:rFonts w:ascii="Times New Roman" w:hAnsi="Times New Roman" w:cs="Times New Roman"/>
          <w:szCs w:val="24"/>
        </w:rPr>
        <w:t xml:space="preserve">Aggarwal and </w:t>
      </w:r>
      <w:proofErr w:type="spellStart"/>
      <w:r w:rsidRPr="00F046B7">
        <w:rPr>
          <w:rFonts w:ascii="Times New Roman" w:hAnsi="Times New Roman" w:cs="Times New Roman"/>
          <w:szCs w:val="24"/>
        </w:rPr>
        <w:t>Saradhi</w:t>
      </w:r>
      <w:proofErr w:type="spellEnd"/>
      <w:r w:rsidRPr="00F046B7">
        <w:rPr>
          <w:rFonts w:ascii="Times New Roman" w:hAnsi="Times New Roman" w:cs="Times New Roman"/>
          <w:szCs w:val="24"/>
        </w:rPr>
        <w:t xml:space="preserve"> (2023) explore the long-term effects of EPU on India’s agricultural exports, indicating that heightened uncertainty reduces investor confidence and disrupts trade flows, particularly during periods of policy transitions. The authors suggest that policy stability and regulatory predictability are crucial for fostering better trade relations with the EU. EPU, therefore, not only affects the trade volume but also increases the cost of compliance, which indirectly contributes to trade disputes due to non-compliance with EU regulations.</w:t>
      </w:r>
    </w:p>
    <w:p w14:paraId="32271E67" w14:textId="77777777" w:rsidR="00F046B7" w:rsidRPr="00F046B7" w:rsidRDefault="00F046B7" w:rsidP="00F046B7">
      <w:pPr>
        <w:jc w:val="both"/>
        <w:rPr>
          <w:rFonts w:ascii="Times New Roman" w:hAnsi="Times New Roman" w:cs="Times New Roman"/>
          <w:szCs w:val="24"/>
        </w:rPr>
      </w:pPr>
      <w:r w:rsidRPr="00F046B7">
        <w:rPr>
          <w:rFonts w:ascii="Times New Roman" w:hAnsi="Times New Roman" w:cs="Times New Roman"/>
          <w:szCs w:val="24"/>
        </w:rPr>
        <w:t>Geopolitical Risks and Trade Volatility</w:t>
      </w:r>
    </w:p>
    <w:p w14:paraId="21C61D0D" w14:textId="77777777" w:rsidR="00F046B7" w:rsidRPr="00F046B7" w:rsidRDefault="00F046B7" w:rsidP="00F046B7">
      <w:pPr>
        <w:jc w:val="both"/>
        <w:rPr>
          <w:rFonts w:ascii="Times New Roman" w:hAnsi="Times New Roman" w:cs="Times New Roman"/>
          <w:szCs w:val="24"/>
        </w:rPr>
      </w:pPr>
      <w:r w:rsidRPr="00F046B7">
        <w:rPr>
          <w:rFonts w:ascii="Times New Roman" w:hAnsi="Times New Roman" w:cs="Times New Roman"/>
          <w:szCs w:val="24"/>
        </w:rPr>
        <w:t>Geopolitical risks, including global political tensions and conflicts, have been shown to exacerbate trade disputes and affect India’s agricultural exports to the EU. Geopolitical Risk (GPR) can result in market volatility, affecting demand for agricultural products from India, especially when global instability causes shifts in trade flows and supply chain disruptions (</w:t>
      </w:r>
      <w:proofErr w:type="spellStart"/>
      <w:r w:rsidRPr="00F046B7">
        <w:rPr>
          <w:rFonts w:ascii="Times New Roman" w:hAnsi="Times New Roman" w:cs="Times New Roman"/>
          <w:szCs w:val="24"/>
        </w:rPr>
        <w:t>Faniband</w:t>
      </w:r>
      <w:proofErr w:type="spellEnd"/>
      <w:r w:rsidRPr="00F046B7">
        <w:rPr>
          <w:rFonts w:ascii="Times New Roman" w:hAnsi="Times New Roman" w:cs="Times New Roman"/>
          <w:szCs w:val="24"/>
        </w:rPr>
        <w:t xml:space="preserve">, 2021). During geopolitical conflicts such as the Russia-Ukraine war, the EU’s agricultural import patterns are disrupted, which indirectly affects India's agricultural exports, as supply chains become less reliable (Caldara &amp; </w:t>
      </w:r>
      <w:proofErr w:type="spellStart"/>
      <w:r w:rsidRPr="00F046B7">
        <w:rPr>
          <w:rFonts w:ascii="Times New Roman" w:hAnsi="Times New Roman" w:cs="Times New Roman"/>
          <w:szCs w:val="24"/>
        </w:rPr>
        <w:t>Iacoviell</w:t>
      </w:r>
      <w:proofErr w:type="spellEnd"/>
      <w:r w:rsidRPr="00F046B7">
        <w:rPr>
          <w:rFonts w:ascii="Times New Roman" w:hAnsi="Times New Roman" w:cs="Times New Roman"/>
          <w:szCs w:val="24"/>
        </w:rPr>
        <w:t>, 2022).</w:t>
      </w:r>
    </w:p>
    <w:p w14:paraId="48554813" w14:textId="77777777" w:rsidR="00F046B7" w:rsidRPr="00F046B7" w:rsidRDefault="00F046B7" w:rsidP="00F046B7">
      <w:pPr>
        <w:jc w:val="both"/>
        <w:rPr>
          <w:rFonts w:ascii="Times New Roman" w:hAnsi="Times New Roman" w:cs="Times New Roman"/>
          <w:szCs w:val="24"/>
        </w:rPr>
      </w:pPr>
      <w:proofErr w:type="spellStart"/>
      <w:r w:rsidRPr="00F046B7">
        <w:rPr>
          <w:rFonts w:ascii="Times New Roman" w:hAnsi="Times New Roman" w:cs="Times New Roman"/>
          <w:szCs w:val="24"/>
        </w:rPr>
        <w:t>Faniband</w:t>
      </w:r>
      <w:proofErr w:type="spellEnd"/>
      <w:r w:rsidRPr="00F046B7">
        <w:rPr>
          <w:rFonts w:ascii="Times New Roman" w:hAnsi="Times New Roman" w:cs="Times New Roman"/>
          <w:szCs w:val="24"/>
        </w:rPr>
        <w:t xml:space="preserve"> (2021) argues that geopolitical instability increases the market risks associated with agricultural exports. Since agriculture is highly sensitive to market volatility, political unrest often leads to reduced investor confidence in agricultural goods, making India’s exports less competitive. The research also finds that geopolitical risk can shift demand toward more stable economies, thereby limiting India's agricultural export potential, especially in high-value sectors like organic produce.</w:t>
      </w:r>
    </w:p>
    <w:p w14:paraId="0ABADE44" w14:textId="77777777" w:rsidR="00F046B7" w:rsidRPr="00F046B7" w:rsidRDefault="00F046B7" w:rsidP="00F046B7">
      <w:pPr>
        <w:jc w:val="both"/>
        <w:rPr>
          <w:rFonts w:ascii="Times New Roman" w:hAnsi="Times New Roman" w:cs="Times New Roman"/>
          <w:szCs w:val="24"/>
        </w:rPr>
      </w:pPr>
      <w:r w:rsidRPr="00F046B7">
        <w:rPr>
          <w:rFonts w:ascii="Times New Roman" w:hAnsi="Times New Roman" w:cs="Times New Roman"/>
          <w:szCs w:val="24"/>
        </w:rPr>
        <w:t>Product-Specific Disputes and Challenges</w:t>
      </w:r>
    </w:p>
    <w:p w14:paraId="3DED969E" w14:textId="77777777" w:rsidR="00F046B7" w:rsidRPr="00F046B7" w:rsidRDefault="00F046B7" w:rsidP="00F046B7">
      <w:pPr>
        <w:jc w:val="both"/>
        <w:rPr>
          <w:rFonts w:ascii="Times New Roman" w:hAnsi="Times New Roman" w:cs="Times New Roman"/>
          <w:szCs w:val="24"/>
        </w:rPr>
      </w:pPr>
      <w:r w:rsidRPr="00F046B7">
        <w:rPr>
          <w:rFonts w:ascii="Times New Roman" w:hAnsi="Times New Roman" w:cs="Times New Roman"/>
          <w:szCs w:val="24"/>
        </w:rPr>
        <w:t xml:space="preserve">Certain agricultural products from India are particularly vulnerable to disputes in the EU due to their sensitivity to EU’s SPS measures and TBT regulations. Studies by Kumar and Kapoor (2021) and </w:t>
      </w:r>
      <w:proofErr w:type="spellStart"/>
      <w:r w:rsidRPr="00F046B7">
        <w:rPr>
          <w:rFonts w:ascii="Times New Roman" w:hAnsi="Times New Roman" w:cs="Times New Roman"/>
          <w:szCs w:val="24"/>
        </w:rPr>
        <w:t>Faniband</w:t>
      </w:r>
      <w:proofErr w:type="spellEnd"/>
      <w:r w:rsidRPr="00F046B7">
        <w:rPr>
          <w:rFonts w:ascii="Times New Roman" w:hAnsi="Times New Roman" w:cs="Times New Roman"/>
          <w:szCs w:val="24"/>
        </w:rPr>
        <w:t xml:space="preserve"> et al. (2022) emphasize that spices, marine products, and fruits and vegetables are often subject to high rejection rates due to non-compliance with EU’s MRL standards, food safety requirements, and hygiene standards. These products face frequent </w:t>
      </w:r>
      <w:r w:rsidRPr="00F046B7">
        <w:rPr>
          <w:rFonts w:ascii="Times New Roman" w:hAnsi="Times New Roman" w:cs="Times New Roman"/>
          <w:szCs w:val="24"/>
        </w:rPr>
        <w:lastRenderedPageBreak/>
        <w:t>sanitary inspections, and when found non-compliant, they are rejected or delayed, impacting India’s export revenue.</w:t>
      </w:r>
    </w:p>
    <w:p w14:paraId="5EB802EA" w14:textId="77777777" w:rsidR="00F046B7" w:rsidRPr="00F046B7" w:rsidRDefault="00F046B7" w:rsidP="00F046B7">
      <w:pPr>
        <w:jc w:val="both"/>
        <w:rPr>
          <w:rFonts w:ascii="Times New Roman" w:hAnsi="Times New Roman" w:cs="Times New Roman"/>
          <w:szCs w:val="24"/>
        </w:rPr>
      </w:pPr>
      <w:r w:rsidRPr="00F046B7">
        <w:rPr>
          <w:rFonts w:ascii="Times New Roman" w:hAnsi="Times New Roman" w:cs="Times New Roman"/>
          <w:szCs w:val="24"/>
        </w:rPr>
        <w:t>Narayanan (2020) further explores how seafood exports, particularly shrimp, face stringent inspections in the EU due to concerns over contamination and hygiene. The lack of compliance with EU sanitary standards leads to trade disputes, often delaying shipments or preventing market entry altogether. Kumar and Kapoor (2021) also note that fruit exports, particularly mangoes, face challenges related to EU’s fruit fly control measures, leading to trade barriers despite India’s large production capacity.</w:t>
      </w:r>
    </w:p>
    <w:p w14:paraId="5454AAD7" w14:textId="77777777" w:rsidR="00F046B7" w:rsidRPr="00F046B7" w:rsidRDefault="00F046B7" w:rsidP="00F046B7">
      <w:pPr>
        <w:jc w:val="both"/>
        <w:rPr>
          <w:rFonts w:ascii="Times New Roman" w:hAnsi="Times New Roman" w:cs="Times New Roman"/>
          <w:szCs w:val="24"/>
        </w:rPr>
      </w:pPr>
      <w:r w:rsidRPr="00F046B7">
        <w:rPr>
          <w:rFonts w:ascii="Times New Roman" w:hAnsi="Times New Roman" w:cs="Times New Roman"/>
          <w:szCs w:val="24"/>
        </w:rPr>
        <w:t>Policy Recommendations and Future Directions</w:t>
      </w:r>
    </w:p>
    <w:p w14:paraId="4F2AE028" w14:textId="77777777" w:rsidR="00F046B7" w:rsidRPr="00F046B7" w:rsidRDefault="00F046B7" w:rsidP="00F046B7">
      <w:pPr>
        <w:jc w:val="both"/>
        <w:rPr>
          <w:rFonts w:ascii="Times New Roman" w:hAnsi="Times New Roman" w:cs="Times New Roman"/>
          <w:szCs w:val="24"/>
        </w:rPr>
      </w:pPr>
      <w:r w:rsidRPr="00F046B7">
        <w:rPr>
          <w:rFonts w:ascii="Times New Roman" w:hAnsi="Times New Roman" w:cs="Times New Roman"/>
          <w:szCs w:val="24"/>
        </w:rPr>
        <w:t>To overcome the trade barriers and non-tariff disputes between India and the EU, Sharma and Saini (2016) suggest several policy interventions. These include improving compliance with EU regulations, investing in testing infrastructure, and aligning India’s export practices with EU standards. Furthermore, Gulati et al. (2022) recommend that India should invest in enhancing its cold chain logistics and export infrastructure to better meet EU requirements for perishable goods. Kumar and Kapoor (2021) stress the need for coordination between Indian exporters, government agencies, and international certification bodies to streamline the certification process, making it easier for exporters to meet EU standards.</w:t>
      </w:r>
    </w:p>
    <w:p w14:paraId="1D897F9C" w14:textId="77777777" w:rsidR="0034792C" w:rsidRPr="00A61CE4" w:rsidRDefault="0034792C">
      <w:pPr>
        <w:rPr>
          <w:rFonts w:ascii="Times New Roman" w:hAnsi="Times New Roman" w:cs="Times New Roman"/>
          <w:szCs w:val="24"/>
        </w:rPr>
      </w:pPr>
    </w:p>
    <w:p w14:paraId="3F1C7D6A" w14:textId="77777777" w:rsidR="00067FB0" w:rsidRPr="00067FB0" w:rsidRDefault="00067FB0" w:rsidP="00067FB0">
      <w:pPr>
        <w:rPr>
          <w:rFonts w:ascii="Times New Roman" w:hAnsi="Times New Roman" w:cs="Times New Roman"/>
          <w:szCs w:val="24"/>
        </w:rPr>
      </w:pPr>
      <w:r w:rsidRPr="00067FB0">
        <w:rPr>
          <w:rFonts w:ascii="Times New Roman" w:hAnsi="Times New Roman" w:cs="Times New Roman"/>
          <w:szCs w:val="24"/>
        </w:rPr>
        <w:t>Methodology</w:t>
      </w:r>
    </w:p>
    <w:p w14:paraId="430431EF"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 xml:space="preserve">This study employs a mixed-methods approach, combining both quantitative and qualitative analysis to investigate the impact of Non-Tariff Measures (NTMs) on India’s agricultural exports to the European Union (EU), with a specific focus on trade disputes. The primary aim of this research is to </w:t>
      </w:r>
      <w:proofErr w:type="spellStart"/>
      <w:r w:rsidRPr="00067FB0">
        <w:rPr>
          <w:rFonts w:ascii="Times New Roman" w:hAnsi="Times New Roman" w:cs="Times New Roman"/>
          <w:szCs w:val="24"/>
        </w:rPr>
        <w:t>analyze</w:t>
      </w:r>
      <w:proofErr w:type="spellEnd"/>
      <w:r w:rsidRPr="00067FB0">
        <w:rPr>
          <w:rFonts w:ascii="Times New Roman" w:hAnsi="Times New Roman" w:cs="Times New Roman"/>
          <w:szCs w:val="24"/>
        </w:rPr>
        <w:t xml:space="preserve"> the role of SPS (Sanitary and Phytosanitary) measures and TBT (Technical Barriers to Trade) in shaping trade relations and to examine how these regulatory measures contribute to trade disputes. The quantitative analysis will employ econometric models to assess the relationship between NTMs and export volumes, while the qualitative component will explore specific case studies of trade disputes in agricultural sectors like spices, marine products, and fruits.</w:t>
      </w:r>
    </w:p>
    <w:p w14:paraId="12FC8348"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 xml:space="preserve">For the quantitative analysis, this study will rely on panel data regression models, utilizing data from multiple time periods to assess the relationship between the occurrence of NTMs and export volumes. Specifically, the study will use fixed-effects regression models to control for time-invariant heterogeneity between different product categories and countries. The econometric models will examine the impact of SPS and TBT measures on export volume, and trade dispute occurrence will be </w:t>
      </w:r>
      <w:proofErr w:type="spellStart"/>
      <w:r w:rsidRPr="00067FB0">
        <w:rPr>
          <w:rFonts w:ascii="Times New Roman" w:hAnsi="Times New Roman" w:cs="Times New Roman"/>
          <w:szCs w:val="24"/>
        </w:rPr>
        <w:t>modeled</w:t>
      </w:r>
      <w:proofErr w:type="spellEnd"/>
      <w:r w:rsidRPr="00067FB0">
        <w:rPr>
          <w:rFonts w:ascii="Times New Roman" w:hAnsi="Times New Roman" w:cs="Times New Roman"/>
          <w:szCs w:val="24"/>
        </w:rPr>
        <w:t xml:space="preserve"> as a binary variable. The data will include variables such as pesticide residue standards, certification requirements, and food safety regulations imposed by the EU, as well as the Economic Policy Uncertainty (EPU) index and Geopolitical Risk (GPR) index, which might influence trade flow volatility. Panel unit root tests and Granger causality tests will be applied to check for stationarity and to understand causal relationships between NTMs and export performance. Regression results will provide insights into the </w:t>
      </w:r>
      <w:r w:rsidRPr="00067FB0">
        <w:rPr>
          <w:rFonts w:ascii="Times New Roman" w:hAnsi="Times New Roman" w:cs="Times New Roman"/>
          <w:szCs w:val="24"/>
        </w:rPr>
        <w:lastRenderedPageBreak/>
        <w:t>magnitude of the impact of NTMs on trade outcomes, with a particular focus on how these measures contribute to the likelihood of trade disputes.</w:t>
      </w:r>
    </w:p>
    <w:p w14:paraId="7C451261"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 xml:space="preserve">For the qualitative analysis, the study will adopt case studies of specific agricultural products frequently involved in trade disputes due to non-compliance with EU regulations. Key product categories such as spices (e.g., turmeric and black pepper), marine products (e.g., shrimp), and fruits (e.g., mangoes) will be </w:t>
      </w:r>
      <w:proofErr w:type="spellStart"/>
      <w:r w:rsidRPr="00067FB0">
        <w:rPr>
          <w:rFonts w:ascii="Times New Roman" w:hAnsi="Times New Roman" w:cs="Times New Roman"/>
          <w:szCs w:val="24"/>
        </w:rPr>
        <w:t>analyzed</w:t>
      </w:r>
      <w:proofErr w:type="spellEnd"/>
      <w:r w:rsidRPr="00067FB0">
        <w:rPr>
          <w:rFonts w:ascii="Times New Roman" w:hAnsi="Times New Roman" w:cs="Times New Roman"/>
          <w:szCs w:val="24"/>
        </w:rPr>
        <w:t xml:space="preserve">. These case studies will be informed by interviews with Indian agricultural exporters, EU importers, and trade policy experts. The focus will be on understanding the reasons for product rejections, the impact of these rejections on Indian exporters, and the strategies they employ to comply with EU standards. Interviews will provide in-depth insights into the practical challenges of meeting EU certification requirements, such as pesticide residue limits, organic certification, and food safety </w:t>
      </w:r>
      <w:proofErr w:type="spellStart"/>
      <w:r w:rsidRPr="00067FB0">
        <w:rPr>
          <w:rFonts w:ascii="Times New Roman" w:hAnsi="Times New Roman" w:cs="Times New Roman"/>
          <w:szCs w:val="24"/>
        </w:rPr>
        <w:t>labeling</w:t>
      </w:r>
      <w:proofErr w:type="spellEnd"/>
      <w:r w:rsidRPr="00067FB0">
        <w:rPr>
          <w:rFonts w:ascii="Times New Roman" w:hAnsi="Times New Roman" w:cs="Times New Roman"/>
          <w:szCs w:val="24"/>
        </w:rPr>
        <w:t xml:space="preserve">. The findings will be </w:t>
      </w:r>
      <w:proofErr w:type="spellStart"/>
      <w:r w:rsidRPr="00067FB0">
        <w:rPr>
          <w:rFonts w:ascii="Times New Roman" w:hAnsi="Times New Roman" w:cs="Times New Roman"/>
          <w:szCs w:val="24"/>
        </w:rPr>
        <w:t>analyzed</w:t>
      </w:r>
      <w:proofErr w:type="spellEnd"/>
      <w:r w:rsidRPr="00067FB0">
        <w:rPr>
          <w:rFonts w:ascii="Times New Roman" w:hAnsi="Times New Roman" w:cs="Times New Roman"/>
          <w:szCs w:val="24"/>
        </w:rPr>
        <w:t xml:space="preserve"> using content analysis to identify common barriers, challenges, and strategies for overcoming these issues.</w:t>
      </w:r>
    </w:p>
    <w:p w14:paraId="00DF2068"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 xml:space="preserve">For the data collection, secondary data on India’s agricultural exports to the EU will be downloaded from the World Integrated Trade Solution (WITS) database, which provides detailed trade data on India's exports to different regions and countries. Data on Non-Tariff Measures (NTMs), including SPS and TBT measures applied by the EU, will be sourced from the UNCTAD NTM Database. Information on specific trade disputes can be accessed from the WTO Dispute Settlement Database, which records all disputes settled through the WTO dispute settlement mechanism. Additionally, Economic Policy Uncertainty (EPU) data for India will be sourced from Baker et al. (2016), and Geopolitical Risk (GPR) data will be obtained from Caldara &amp; </w:t>
      </w:r>
      <w:proofErr w:type="spellStart"/>
      <w:r w:rsidRPr="00067FB0">
        <w:rPr>
          <w:rFonts w:ascii="Times New Roman" w:hAnsi="Times New Roman" w:cs="Times New Roman"/>
          <w:szCs w:val="24"/>
        </w:rPr>
        <w:t>Iacoviell</w:t>
      </w:r>
      <w:proofErr w:type="spellEnd"/>
      <w:r w:rsidRPr="00067FB0">
        <w:rPr>
          <w:rFonts w:ascii="Times New Roman" w:hAnsi="Times New Roman" w:cs="Times New Roman"/>
          <w:szCs w:val="24"/>
        </w:rPr>
        <w:t xml:space="preserve"> (2022). For the qualitative aspect, case study data will be gathered from interviews and trade policy reports related to specific agricultural products.</w:t>
      </w:r>
    </w:p>
    <w:p w14:paraId="0AEAF15A"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The secondary data sources will include:</w:t>
      </w:r>
    </w:p>
    <w:p w14:paraId="7239CCAE" w14:textId="77777777" w:rsidR="00067FB0" w:rsidRPr="00067FB0" w:rsidRDefault="00067FB0" w:rsidP="00067FB0">
      <w:pPr>
        <w:numPr>
          <w:ilvl w:val="0"/>
          <w:numId w:val="1"/>
        </w:numPr>
        <w:jc w:val="both"/>
        <w:rPr>
          <w:rFonts w:ascii="Times New Roman" w:hAnsi="Times New Roman" w:cs="Times New Roman"/>
          <w:szCs w:val="24"/>
        </w:rPr>
      </w:pPr>
      <w:r w:rsidRPr="00067FB0">
        <w:rPr>
          <w:rFonts w:ascii="Times New Roman" w:hAnsi="Times New Roman" w:cs="Times New Roman"/>
          <w:szCs w:val="24"/>
        </w:rPr>
        <w:t>World Integrated Trade Solution (WITS): Trade data for India’s agricultural exports to the EU. Website link:</w:t>
      </w:r>
    </w:p>
    <w:p w14:paraId="2E6E2363" w14:textId="77777777" w:rsidR="00067FB0" w:rsidRPr="00067FB0" w:rsidRDefault="00067FB0" w:rsidP="00067FB0">
      <w:pPr>
        <w:numPr>
          <w:ilvl w:val="0"/>
          <w:numId w:val="1"/>
        </w:numPr>
        <w:jc w:val="both"/>
        <w:rPr>
          <w:rFonts w:ascii="Times New Roman" w:hAnsi="Times New Roman" w:cs="Times New Roman"/>
          <w:szCs w:val="24"/>
        </w:rPr>
      </w:pPr>
      <w:r w:rsidRPr="00067FB0">
        <w:rPr>
          <w:rFonts w:ascii="Times New Roman" w:hAnsi="Times New Roman" w:cs="Times New Roman"/>
          <w:szCs w:val="24"/>
        </w:rPr>
        <w:t>UNCTAD NTM Database: Data on the Non-Tariff Measures imposed by the EU. Website link:</w:t>
      </w:r>
    </w:p>
    <w:p w14:paraId="52506C0C" w14:textId="77777777" w:rsidR="00067FB0" w:rsidRPr="00067FB0" w:rsidRDefault="00067FB0" w:rsidP="00067FB0">
      <w:pPr>
        <w:numPr>
          <w:ilvl w:val="0"/>
          <w:numId w:val="1"/>
        </w:numPr>
        <w:jc w:val="both"/>
        <w:rPr>
          <w:rFonts w:ascii="Times New Roman" w:hAnsi="Times New Roman" w:cs="Times New Roman"/>
          <w:szCs w:val="24"/>
        </w:rPr>
      </w:pPr>
      <w:r w:rsidRPr="00067FB0">
        <w:rPr>
          <w:rFonts w:ascii="Times New Roman" w:hAnsi="Times New Roman" w:cs="Times New Roman"/>
          <w:szCs w:val="24"/>
        </w:rPr>
        <w:t xml:space="preserve">WTO Dispute Settlement Database: Information on trade disputes involving India and the EU. </w:t>
      </w:r>
      <w:hyperlink r:id="rId5" w:tgtFrame="_new" w:history="1">
        <w:r w:rsidRPr="00067FB0">
          <w:rPr>
            <w:rStyle w:val="Hyperlink"/>
            <w:rFonts w:ascii="Times New Roman" w:hAnsi="Times New Roman" w:cs="Times New Roman"/>
            <w:szCs w:val="24"/>
          </w:rPr>
          <w:t>Website link:</w:t>
        </w:r>
      </w:hyperlink>
    </w:p>
    <w:p w14:paraId="724DF574" w14:textId="77777777" w:rsidR="00067FB0" w:rsidRPr="00067FB0" w:rsidRDefault="00067FB0" w:rsidP="00067FB0">
      <w:pPr>
        <w:numPr>
          <w:ilvl w:val="0"/>
          <w:numId w:val="1"/>
        </w:numPr>
        <w:jc w:val="both"/>
        <w:rPr>
          <w:rFonts w:ascii="Times New Roman" w:hAnsi="Times New Roman" w:cs="Times New Roman"/>
          <w:szCs w:val="24"/>
        </w:rPr>
      </w:pPr>
      <w:r w:rsidRPr="00067FB0">
        <w:rPr>
          <w:rFonts w:ascii="Times New Roman" w:hAnsi="Times New Roman" w:cs="Times New Roman"/>
          <w:szCs w:val="24"/>
        </w:rPr>
        <w:t xml:space="preserve">Baker et al. (2016) - EPU Index: Economic Policy Uncertainty data for India. </w:t>
      </w:r>
      <w:hyperlink r:id="rId6" w:tgtFrame="_new" w:history="1">
        <w:r w:rsidRPr="00067FB0">
          <w:rPr>
            <w:rStyle w:val="Hyperlink"/>
            <w:rFonts w:ascii="Times New Roman" w:hAnsi="Times New Roman" w:cs="Times New Roman"/>
            <w:szCs w:val="24"/>
          </w:rPr>
          <w:t>Website link:</w:t>
        </w:r>
      </w:hyperlink>
    </w:p>
    <w:p w14:paraId="33CE4EF7" w14:textId="77777777" w:rsidR="00067FB0" w:rsidRPr="00A61CE4" w:rsidRDefault="00067FB0" w:rsidP="00067FB0">
      <w:pPr>
        <w:numPr>
          <w:ilvl w:val="0"/>
          <w:numId w:val="1"/>
        </w:numPr>
        <w:jc w:val="both"/>
        <w:rPr>
          <w:rFonts w:ascii="Times New Roman" w:hAnsi="Times New Roman" w:cs="Times New Roman"/>
          <w:szCs w:val="24"/>
        </w:rPr>
      </w:pPr>
      <w:r w:rsidRPr="00067FB0">
        <w:rPr>
          <w:rFonts w:ascii="Times New Roman" w:hAnsi="Times New Roman" w:cs="Times New Roman"/>
          <w:szCs w:val="24"/>
        </w:rPr>
        <w:t xml:space="preserve">Caldara &amp; </w:t>
      </w:r>
      <w:proofErr w:type="spellStart"/>
      <w:r w:rsidRPr="00067FB0">
        <w:rPr>
          <w:rFonts w:ascii="Times New Roman" w:hAnsi="Times New Roman" w:cs="Times New Roman"/>
          <w:szCs w:val="24"/>
        </w:rPr>
        <w:t>Iacoviell</w:t>
      </w:r>
      <w:proofErr w:type="spellEnd"/>
      <w:r w:rsidRPr="00067FB0">
        <w:rPr>
          <w:rFonts w:ascii="Times New Roman" w:hAnsi="Times New Roman" w:cs="Times New Roman"/>
          <w:szCs w:val="24"/>
        </w:rPr>
        <w:t xml:space="preserve"> (2022) - Geopolitical Risk Index: Geopolitical Risk data for India and the EU. Website link:</w:t>
      </w:r>
    </w:p>
    <w:p w14:paraId="3BDDA5DA"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Methodological Approach</w:t>
      </w:r>
    </w:p>
    <w:p w14:paraId="41307C07"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Quantitative Analysis</w:t>
      </w:r>
    </w:p>
    <w:p w14:paraId="7C12FE98"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 xml:space="preserve">The quantitative component of the research uses panel data regression models to </w:t>
      </w:r>
      <w:proofErr w:type="spellStart"/>
      <w:r w:rsidRPr="00067FB0">
        <w:rPr>
          <w:rFonts w:ascii="Times New Roman" w:hAnsi="Times New Roman" w:cs="Times New Roman"/>
          <w:szCs w:val="24"/>
        </w:rPr>
        <w:t>analyze</w:t>
      </w:r>
      <w:proofErr w:type="spellEnd"/>
      <w:r w:rsidRPr="00067FB0">
        <w:rPr>
          <w:rFonts w:ascii="Times New Roman" w:hAnsi="Times New Roman" w:cs="Times New Roman"/>
          <w:szCs w:val="24"/>
        </w:rPr>
        <w:t xml:space="preserve"> the relationship between NTMs and India’s agricultural exports to the EU. Specifically, this study </w:t>
      </w:r>
      <w:r w:rsidRPr="00067FB0">
        <w:rPr>
          <w:rFonts w:ascii="Times New Roman" w:hAnsi="Times New Roman" w:cs="Times New Roman"/>
          <w:szCs w:val="24"/>
        </w:rPr>
        <w:lastRenderedPageBreak/>
        <w:t>employs fixed-effects regression models to control for unobserved heterogeneity and time-invariant country characteristics. The econometric model is specified as follows:</w:t>
      </w:r>
    </w:p>
    <w:p w14:paraId="7FBDF631"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Model 1: Export Volume and NTMs</w:t>
      </w:r>
    </w:p>
    <w:p w14:paraId="359AA213"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Export </w:t>
      </w:r>
      <w:proofErr w:type="spellStart"/>
      <w:r w:rsidRPr="00067FB0">
        <w:rPr>
          <w:rFonts w:ascii="Times New Roman" w:hAnsi="Times New Roman" w:cs="Times New Roman"/>
          <w:szCs w:val="24"/>
        </w:rPr>
        <w:t>Volumeit</w:t>
      </w:r>
      <w:proofErr w:type="spellEnd"/>
      <w:r w:rsidRPr="00067FB0">
        <w:rPr>
          <w:rFonts w:ascii="Times New Roman" w:hAnsi="Times New Roman" w:cs="Times New Roman"/>
          <w:szCs w:val="24"/>
        </w:rPr>
        <w:t>=α+β1SPSit+β2TBTit+γXit+ϵit\</w:t>
      </w:r>
      <w:proofErr w:type="gramStart"/>
      <w:r w:rsidRPr="00067FB0">
        <w:rPr>
          <w:rFonts w:ascii="Times New Roman" w:hAnsi="Times New Roman" w:cs="Times New Roman"/>
          <w:szCs w:val="24"/>
        </w:rPr>
        <w:t>text{</w:t>
      </w:r>
      <w:proofErr w:type="gramEnd"/>
      <w:r w:rsidRPr="00067FB0">
        <w:rPr>
          <w:rFonts w:ascii="Times New Roman" w:hAnsi="Times New Roman" w:cs="Times New Roman"/>
          <w:szCs w:val="24"/>
        </w:rPr>
        <w:t xml:space="preserve">Export </w:t>
      </w:r>
      <w:proofErr w:type="gramStart"/>
      <w:r w:rsidRPr="00067FB0">
        <w:rPr>
          <w:rFonts w:ascii="Times New Roman" w:hAnsi="Times New Roman" w:cs="Times New Roman"/>
          <w:szCs w:val="24"/>
        </w:rPr>
        <w:t>Volume}_</w:t>
      </w:r>
      <w:proofErr w:type="gramEnd"/>
      <w:r w:rsidRPr="00067FB0">
        <w:rPr>
          <w:rFonts w:ascii="Times New Roman" w:hAnsi="Times New Roman" w:cs="Times New Roman"/>
          <w:szCs w:val="24"/>
        </w:rPr>
        <w:t>{it} = \alpha + \beta_1 \</w:t>
      </w:r>
      <w:proofErr w:type="gramStart"/>
      <w:r w:rsidRPr="00067FB0">
        <w:rPr>
          <w:rFonts w:ascii="Times New Roman" w:hAnsi="Times New Roman" w:cs="Times New Roman"/>
          <w:szCs w:val="24"/>
        </w:rPr>
        <w:t>text{</w:t>
      </w:r>
      <w:proofErr w:type="gramEnd"/>
      <w:r w:rsidRPr="00067FB0">
        <w:rPr>
          <w:rFonts w:ascii="Times New Roman" w:hAnsi="Times New Roman" w:cs="Times New Roman"/>
          <w:szCs w:val="24"/>
        </w:rPr>
        <w:t>SPS}_{it} + \beta_2 \</w:t>
      </w:r>
      <w:proofErr w:type="gramStart"/>
      <w:r w:rsidRPr="00067FB0">
        <w:rPr>
          <w:rFonts w:ascii="Times New Roman" w:hAnsi="Times New Roman" w:cs="Times New Roman"/>
          <w:szCs w:val="24"/>
        </w:rPr>
        <w:t>text{</w:t>
      </w:r>
      <w:proofErr w:type="gramEnd"/>
      <w:r w:rsidRPr="00067FB0">
        <w:rPr>
          <w:rFonts w:ascii="Times New Roman" w:hAnsi="Times New Roman" w:cs="Times New Roman"/>
          <w:szCs w:val="24"/>
        </w:rPr>
        <w:t>TBT}_{it} + \gamma X_{it} + \epsilon_{it}Export </w:t>
      </w:r>
      <w:proofErr w:type="spellStart"/>
      <w:r w:rsidRPr="00067FB0">
        <w:rPr>
          <w:rFonts w:ascii="Times New Roman" w:hAnsi="Times New Roman" w:cs="Times New Roman"/>
          <w:szCs w:val="24"/>
        </w:rPr>
        <w:t>Volumeit</w:t>
      </w:r>
      <w:proofErr w:type="spellEnd"/>
      <w:r w:rsidRPr="00067FB0">
        <w:rPr>
          <w:rFonts w:ascii="Times New Roman" w:hAnsi="Times New Roman" w:cs="Times New Roman"/>
          <w:szCs w:val="24"/>
        </w:rPr>
        <w:t>​=α+β1​</w:t>
      </w:r>
      <w:proofErr w:type="spellStart"/>
      <w:r w:rsidRPr="00067FB0">
        <w:rPr>
          <w:rFonts w:ascii="Times New Roman" w:hAnsi="Times New Roman" w:cs="Times New Roman"/>
          <w:szCs w:val="24"/>
        </w:rPr>
        <w:t>SPSit</w:t>
      </w:r>
      <w:proofErr w:type="spellEnd"/>
      <w:r w:rsidRPr="00067FB0">
        <w:rPr>
          <w:rFonts w:ascii="Times New Roman" w:hAnsi="Times New Roman" w:cs="Times New Roman"/>
          <w:szCs w:val="24"/>
        </w:rPr>
        <w:t>​+β2​</w:t>
      </w:r>
      <w:proofErr w:type="spellStart"/>
      <w:r w:rsidRPr="00067FB0">
        <w:rPr>
          <w:rFonts w:ascii="Times New Roman" w:hAnsi="Times New Roman" w:cs="Times New Roman"/>
          <w:szCs w:val="24"/>
        </w:rPr>
        <w:t>TBTit</w:t>
      </w:r>
      <w:proofErr w:type="spellEnd"/>
      <w:r w:rsidRPr="00067FB0">
        <w:rPr>
          <w:rFonts w:ascii="Times New Roman" w:hAnsi="Times New Roman" w:cs="Times New Roman"/>
          <w:szCs w:val="24"/>
        </w:rPr>
        <w:t>​+</w:t>
      </w:r>
      <w:proofErr w:type="spellStart"/>
      <w:r w:rsidRPr="00067FB0">
        <w:rPr>
          <w:rFonts w:ascii="Times New Roman" w:hAnsi="Times New Roman" w:cs="Times New Roman"/>
          <w:szCs w:val="24"/>
        </w:rPr>
        <w:t>γXit</w:t>
      </w:r>
      <w:proofErr w:type="spellEnd"/>
      <w:r w:rsidRPr="00067FB0">
        <w:rPr>
          <w:rFonts w:ascii="Times New Roman" w:hAnsi="Times New Roman" w:cs="Times New Roman"/>
          <w:szCs w:val="24"/>
        </w:rPr>
        <w:t xml:space="preserve">​+ϵit​ </w:t>
      </w:r>
    </w:p>
    <w:p w14:paraId="08487884"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Where:</w:t>
      </w:r>
    </w:p>
    <w:p w14:paraId="5F44099D" w14:textId="77777777" w:rsidR="00067FB0" w:rsidRPr="00067FB0" w:rsidRDefault="00067FB0" w:rsidP="00067FB0">
      <w:pPr>
        <w:numPr>
          <w:ilvl w:val="0"/>
          <w:numId w:val="2"/>
        </w:numPr>
        <w:jc w:val="both"/>
        <w:rPr>
          <w:rFonts w:ascii="Times New Roman" w:hAnsi="Times New Roman" w:cs="Times New Roman"/>
          <w:szCs w:val="24"/>
        </w:rPr>
      </w:pPr>
      <w:r w:rsidRPr="00067FB0">
        <w:rPr>
          <w:rFonts w:ascii="Times New Roman" w:hAnsi="Times New Roman" w:cs="Times New Roman"/>
          <w:szCs w:val="24"/>
        </w:rPr>
        <w:t>Export </w:t>
      </w:r>
      <w:proofErr w:type="spellStart"/>
      <w:r w:rsidRPr="00067FB0">
        <w:rPr>
          <w:rFonts w:ascii="Times New Roman" w:hAnsi="Times New Roman" w:cs="Times New Roman"/>
          <w:szCs w:val="24"/>
        </w:rPr>
        <w:t>Volumeit</w:t>
      </w:r>
      <w:proofErr w:type="spellEnd"/>
      <w:r w:rsidRPr="00067FB0">
        <w:rPr>
          <w:rFonts w:ascii="Times New Roman" w:hAnsi="Times New Roman" w:cs="Times New Roman"/>
          <w:szCs w:val="24"/>
        </w:rPr>
        <w:t>\</w:t>
      </w:r>
      <w:proofErr w:type="gramStart"/>
      <w:r w:rsidRPr="00067FB0">
        <w:rPr>
          <w:rFonts w:ascii="Times New Roman" w:hAnsi="Times New Roman" w:cs="Times New Roman"/>
          <w:szCs w:val="24"/>
        </w:rPr>
        <w:t>text{</w:t>
      </w:r>
      <w:proofErr w:type="gramEnd"/>
      <w:r w:rsidRPr="00067FB0">
        <w:rPr>
          <w:rFonts w:ascii="Times New Roman" w:hAnsi="Times New Roman" w:cs="Times New Roman"/>
          <w:szCs w:val="24"/>
        </w:rPr>
        <w:t xml:space="preserve">Export </w:t>
      </w:r>
      <w:proofErr w:type="gramStart"/>
      <w:r w:rsidRPr="00067FB0">
        <w:rPr>
          <w:rFonts w:ascii="Times New Roman" w:hAnsi="Times New Roman" w:cs="Times New Roman"/>
          <w:szCs w:val="24"/>
        </w:rPr>
        <w:t>Volume}_</w:t>
      </w:r>
      <w:proofErr w:type="gramEnd"/>
      <w:r w:rsidRPr="00067FB0">
        <w:rPr>
          <w:rFonts w:ascii="Times New Roman" w:hAnsi="Times New Roman" w:cs="Times New Roman"/>
          <w:szCs w:val="24"/>
        </w:rPr>
        <w:t>{it}Export </w:t>
      </w:r>
      <w:proofErr w:type="spellStart"/>
      <w:r w:rsidRPr="00067FB0">
        <w:rPr>
          <w:rFonts w:ascii="Times New Roman" w:hAnsi="Times New Roman" w:cs="Times New Roman"/>
          <w:szCs w:val="24"/>
        </w:rPr>
        <w:t>Volumeit</w:t>
      </w:r>
      <w:proofErr w:type="spellEnd"/>
      <w:r w:rsidRPr="00067FB0">
        <w:rPr>
          <w:rFonts w:ascii="Times New Roman" w:hAnsi="Times New Roman" w:cs="Times New Roman"/>
          <w:szCs w:val="24"/>
        </w:rPr>
        <w:t xml:space="preserve">​ is the export volume of agricultural goods from India to the EU for product iii at time </w:t>
      </w:r>
      <w:proofErr w:type="spellStart"/>
      <w:r w:rsidRPr="00067FB0">
        <w:rPr>
          <w:rFonts w:ascii="Times New Roman" w:hAnsi="Times New Roman" w:cs="Times New Roman"/>
          <w:szCs w:val="24"/>
        </w:rPr>
        <w:t>ttt</w:t>
      </w:r>
      <w:proofErr w:type="spellEnd"/>
      <w:r w:rsidRPr="00067FB0">
        <w:rPr>
          <w:rFonts w:ascii="Times New Roman" w:hAnsi="Times New Roman" w:cs="Times New Roman"/>
          <w:szCs w:val="24"/>
        </w:rPr>
        <w:t>.</w:t>
      </w:r>
    </w:p>
    <w:p w14:paraId="5031A593" w14:textId="77777777" w:rsidR="00067FB0" w:rsidRPr="00067FB0" w:rsidRDefault="00067FB0" w:rsidP="00067FB0">
      <w:pPr>
        <w:numPr>
          <w:ilvl w:val="0"/>
          <w:numId w:val="2"/>
        </w:numPr>
        <w:jc w:val="both"/>
        <w:rPr>
          <w:rFonts w:ascii="Times New Roman" w:hAnsi="Times New Roman" w:cs="Times New Roman"/>
          <w:szCs w:val="24"/>
        </w:rPr>
      </w:pPr>
      <w:proofErr w:type="spellStart"/>
      <w:r w:rsidRPr="00067FB0">
        <w:rPr>
          <w:rFonts w:ascii="Times New Roman" w:hAnsi="Times New Roman" w:cs="Times New Roman"/>
          <w:szCs w:val="24"/>
        </w:rPr>
        <w:t>SPSit</w:t>
      </w:r>
      <w:proofErr w:type="spellEnd"/>
      <w:r w:rsidRPr="00067FB0">
        <w:rPr>
          <w:rFonts w:ascii="Times New Roman" w:hAnsi="Times New Roman" w:cs="Times New Roman"/>
          <w:szCs w:val="24"/>
        </w:rPr>
        <w:t>\</w:t>
      </w:r>
      <w:proofErr w:type="gramStart"/>
      <w:r w:rsidRPr="00067FB0">
        <w:rPr>
          <w:rFonts w:ascii="Times New Roman" w:hAnsi="Times New Roman" w:cs="Times New Roman"/>
          <w:szCs w:val="24"/>
        </w:rPr>
        <w:t>text{</w:t>
      </w:r>
      <w:proofErr w:type="gramEnd"/>
      <w:r w:rsidRPr="00067FB0">
        <w:rPr>
          <w:rFonts w:ascii="Times New Roman" w:hAnsi="Times New Roman" w:cs="Times New Roman"/>
          <w:szCs w:val="24"/>
        </w:rPr>
        <w:t>SPS}_{it}</w:t>
      </w:r>
      <w:proofErr w:type="spellStart"/>
      <w:r w:rsidRPr="00067FB0">
        <w:rPr>
          <w:rFonts w:ascii="Times New Roman" w:hAnsi="Times New Roman" w:cs="Times New Roman"/>
          <w:szCs w:val="24"/>
        </w:rPr>
        <w:t>SPSit</w:t>
      </w:r>
      <w:proofErr w:type="spellEnd"/>
      <w:r w:rsidRPr="00067FB0">
        <w:rPr>
          <w:rFonts w:ascii="Times New Roman" w:hAnsi="Times New Roman" w:cs="Times New Roman"/>
          <w:szCs w:val="24"/>
        </w:rPr>
        <w:t>​ represents the SPS measures (e.g., pesticide residue standards, food safety).</w:t>
      </w:r>
    </w:p>
    <w:p w14:paraId="1BA9D491" w14:textId="77777777" w:rsidR="00067FB0" w:rsidRPr="00067FB0" w:rsidRDefault="00067FB0" w:rsidP="00067FB0">
      <w:pPr>
        <w:numPr>
          <w:ilvl w:val="0"/>
          <w:numId w:val="2"/>
        </w:numPr>
        <w:jc w:val="both"/>
        <w:rPr>
          <w:rFonts w:ascii="Times New Roman" w:hAnsi="Times New Roman" w:cs="Times New Roman"/>
          <w:szCs w:val="24"/>
        </w:rPr>
      </w:pPr>
      <w:proofErr w:type="spellStart"/>
      <w:r w:rsidRPr="00067FB0">
        <w:rPr>
          <w:rFonts w:ascii="Times New Roman" w:hAnsi="Times New Roman" w:cs="Times New Roman"/>
          <w:szCs w:val="24"/>
        </w:rPr>
        <w:t>TBTit</w:t>
      </w:r>
      <w:proofErr w:type="spellEnd"/>
      <w:r w:rsidRPr="00067FB0">
        <w:rPr>
          <w:rFonts w:ascii="Times New Roman" w:hAnsi="Times New Roman" w:cs="Times New Roman"/>
          <w:szCs w:val="24"/>
        </w:rPr>
        <w:t>\</w:t>
      </w:r>
      <w:proofErr w:type="gramStart"/>
      <w:r w:rsidRPr="00067FB0">
        <w:rPr>
          <w:rFonts w:ascii="Times New Roman" w:hAnsi="Times New Roman" w:cs="Times New Roman"/>
          <w:szCs w:val="24"/>
        </w:rPr>
        <w:t>text{</w:t>
      </w:r>
      <w:proofErr w:type="gramEnd"/>
      <w:r w:rsidRPr="00067FB0">
        <w:rPr>
          <w:rFonts w:ascii="Times New Roman" w:hAnsi="Times New Roman" w:cs="Times New Roman"/>
          <w:szCs w:val="24"/>
        </w:rPr>
        <w:t>TBT}_{it}</w:t>
      </w:r>
      <w:proofErr w:type="spellStart"/>
      <w:r w:rsidRPr="00067FB0">
        <w:rPr>
          <w:rFonts w:ascii="Times New Roman" w:hAnsi="Times New Roman" w:cs="Times New Roman"/>
          <w:szCs w:val="24"/>
        </w:rPr>
        <w:t>TBTit</w:t>
      </w:r>
      <w:proofErr w:type="spellEnd"/>
      <w:r w:rsidRPr="00067FB0">
        <w:rPr>
          <w:rFonts w:ascii="Times New Roman" w:hAnsi="Times New Roman" w:cs="Times New Roman"/>
          <w:szCs w:val="24"/>
        </w:rPr>
        <w:t xml:space="preserve">​ represents the TBT measures (e.g., packaging and </w:t>
      </w:r>
      <w:proofErr w:type="spellStart"/>
      <w:r w:rsidRPr="00067FB0">
        <w:rPr>
          <w:rFonts w:ascii="Times New Roman" w:hAnsi="Times New Roman" w:cs="Times New Roman"/>
          <w:szCs w:val="24"/>
        </w:rPr>
        <w:t>labeling</w:t>
      </w:r>
      <w:proofErr w:type="spellEnd"/>
      <w:r w:rsidRPr="00067FB0">
        <w:rPr>
          <w:rFonts w:ascii="Times New Roman" w:hAnsi="Times New Roman" w:cs="Times New Roman"/>
          <w:szCs w:val="24"/>
        </w:rPr>
        <w:t xml:space="preserve"> requirements).</w:t>
      </w:r>
    </w:p>
    <w:p w14:paraId="5D4C822F" w14:textId="77777777" w:rsidR="00067FB0" w:rsidRPr="00067FB0" w:rsidRDefault="00067FB0" w:rsidP="00067FB0">
      <w:pPr>
        <w:numPr>
          <w:ilvl w:val="0"/>
          <w:numId w:val="2"/>
        </w:numPr>
        <w:jc w:val="both"/>
        <w:rPr>
          <w:rFonts w:ascii="Times New Roman" w:hAnsi="Times New Roman" w:cs="Times New Roman"/>
          <w:szCs w:val="24"/>
        </w:rPr>
      </w:pPr>
      <w:proofErr w:type="spellStart"/>
      <w:r w:rsidRPr="00067FB0">
        <w:rPr>
          <w:rFonts w:ascii="Times New Roman" w:hAnsi="Times New Roman" w:cs="Times New Roman"/>
          <w:szCs w:val="24"/>
        </w:rPr>
        <w:t>XitX</w:t>
      </w:r>
      <w:proofErr w:type="spellEnd"/>
      <w:r w:rsidRPr="00067FB0">
        <w:rPr>
          <w:rFonts w:ascii="Times New Roman" w:hAnsi="Times New Roman" w:cs="Times New Roman"/>
          <w:szCs w:val="24"/>
        </w:rPr>
        <w:t>_{it}</w:t>
      </w:r>
      <w:proofErr w:type="spellStart"/>
      <w:r w:rsidRPr="00067FB0">
        <w:rPr>
          <w:rFonts w:ascii="Times New Roman" w:hAnsi="Times New Roman" w:cs="Times New Roman"/>
          <w:szCs w:val="24"/>
        </w:rPr>
        <w:t>Xit</w:t>
      </w:r>
      <w:proofErr w:type="spellEnd"/>
      <w:r w:rsidRPr="00067FB0">
        <w:rPr>
          <w:rFonts w:ascii="Times New Roman" w:hAnsi="Times New Roman" w:cs="Times New Roman"/>
          <w:szCs w:val="24"/>
        </w:rPr>
        <w:t>​ represents control variables such as exchange rate, inflation, and interest rate.</w:t>
      </w:r>
    </w:p>
    <w:p w14:paraId="5B2B382A" w14:textId="77777777" w:rsidR="00067FB0" w:rsidRPr="00067FB0" w:rsidRDefault="00067FB0" w:rsidP="00067FB0">
      <w:pPr>
        <w:numPr>
          <w:ilvl w:val="0"/>
          <w:numId w:val="2"/>
        </w:numPr>
        <w:jc w:val="both"/>
        <w:rPr>
          <w:rFonts w:ascii="Times New Roman" w:hAnsi="Times New Roman" w:cs="Times New Roman"/>
          <w:szCs w:val="24"/>
        </w:rPr>
      </w:pPr>
      <w:r w:rsidRPr="00067FB0">
        <w:rPr>
          <w:rFonts w:ascii="Times New Roman" w:hAnsi="Times New Roman" w:cs="Times New Roman"/>
          <w:szCs w:val="24"/>
        </w:rPr>
        <w:t>ϵit\epsilon_{it}ϵit​ is the error term.</w:t>
      </w:r>
    </w:p>
    <w:p w14:paraId="24167D19"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Model 2: Trade Disputes and NTMs</w:t>
      </w:r>
    </w:p>
    <w:p w14:paraId="0DC9F9C2"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Dispute Occurrenceit=α+β1SPSit+β2TBTit+γXit+δZit+μt+ϵit\text{Dispute Occurrence}_{it} = \alpha + \beta_1 \text{SPS}_{it} + \beta_2 \text{TBT}_{it} + \gamma X_{it} + \delta Z_{it} + \</w:t>
      </w:r>
      <w:proofErr w:type="spellStart"/>
      <w:r w:rsidRPr="00067FB0">
        <w:rPr>
          <w:rFonts w:ascii="Times New Roman" w:hAnsi="Times New Roman" w:cs="Times New Roman"/>
          <w:szCs w:val="24"/>
        </w:rPr>
        <w:t>mu_t</w:t>
      </w:r>
      <w:proofErr w:type="spellEnd"/>
      <w:r w:rsidRPr="00067FB0">
        <w:rPr>
          <w:rFonts w:ascii="Times New Roman" w:hAnsi="Times New Roman" w:cs="Times New Roman"/>
          <w:szCs w:val="24"/>
        </w:rPr>
        <w:t xml:space="preserve"> + \epsilon_{it}Dispute Occurrenceit​=α+β1​SPSit​+β2​TBTit​+γXit​+δZit​+μt​+ϵit​ </w:t>
      </w:r>
    </w:p>
    <w:p w14:paraId="187F3A81"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Where:</w:t>
      </w:r>
    </w:p>
    <w:p w14:paraId="63F43516" w14:textId="77777777" w:rsidR="00067FB0" w:rsidRPr="00067FB0" w:rsidRDefault="00067FB0" w:rsidP="00067FB0">
      <w:pPr>
        <w:numPr>
          <w:ilvl w:val="0"/>
          <w:numId w:val="3"/>
        </w:numPr>
        <w:jc w:val="both"/>
        <w:rPr>
          <w:rFonts w:ascii="Times New Roman" w:hAnsi="Times New Roman" w:cs="Times New Roman"/>
          <w:szCs w:val="24"/>
        </w:rPr>
      </w:pPr>
      <w:r w:rsidRPr="00067FB0">
        <w:rPr>
          <w:rFonts w:ascii="Times New Roman" w:hAnsi="Times New Roman" w:cs="Times New Roman"/>
          <w:szCs w:val="24"/>
        </w:rPr>
        <w:t>Dispute </w:t>
      </w:r>
      <w:proofErr w:type="spellStart"/>
      <w:r w:rsidRPr="00067FB0">
        <w:rPr>
          <w:rFonts w:ascii="Times New Roman" w:hAnsi="Times New Roman" w:cs="Times New Roman"/>
          <w:szCs w:val="24"/>
        </w:rPr>
        <w:t>Occurrenceit</w:t>
      </w:r>
      <w:proofErr w:type="spellEnd"/>
      <w:r w:rsidRPr="00067FB0">
        <w:rPr>
          <w:rFonts w:ascii="Times New Roman" w:hAnsi="Times New Roman" w:cs="Times New Roman"/>
          <w:szCs w:val="24"/>
        </w:rPr>
        <w:t>\</w:t>
      </w:r>
      <w:proofErr w:type="gramStart"/>
      <w:r w:rsidRPr="00067FB0">
        <w:rPr>
          <w:rFonts w:ascii="Times New Roman" w:hAnsi="Times New Roman" w:cs="Times New Roman"/>
          <w:szCs w:val="24"/>
        </w:rPr>
        <w:t>text{</w:t>
      </w:r>
      <w:proofErr w:type="gramEnd"/>
      <w:r w:rsidRPr="00067FB0">
        <w:rPr>
          <w:rFonts w:ascii="Times New Roman" w:hAnsi="Times New Roman" w:cs="Times New Roman"/>
          <w:szCs w:val="24"/>
        </w:rPr>
        <w:t xml:space="preserve">Dispute </w:t>
      </w:r>
      <w:proofErr w:type="gramStart"/>
      <w:r w:rsidRPr="00067FB0">
        <w:rPr>
          <w:rFonts w:ascii="Times New Roman" w:hAnsi="Times New Roman" w:cs="Times New Roman"/>
          <w:szCs w:val="24"/>
        </w:rPr>
        <w:t>Occurrence}_</w:t>
      </w:r>
      <w:proofErr w:type="gramEnd"/>
      <w:r w:rsidRPr="00067FB0">
        <w:rPr>
          <w:rFonts w:ascii="Times New Roman" w:hAnsi="Times New Roman" w:cs="Times New Roman"/>
          <w:szCs w:val="24"/>
        </w:rPr>
        <w:t>{it}Dispute </w:t>
      </w:r>
      <w:proofErr w:type="spellStart"/>
      <w:r w:rsidRPr="00067FB0">
        <w:rPr>
          <w:rFonts w:ascii="Times New Roman" w:hAnsi="Times New Roman" w:cs="Times New Roman"/>
          <w:szCs w:val="24"/>
        </w:rPr>
        <w:t>Occurrenceit</w:t>
      </w:r>
      <w:proofErr w:type="spellEnd"/>
      <w:r w:rsidRPr="00067FB0">
        <w:rPr>
          <w:rFonts w:ascii="Times New Roman" w:hAnsi="Times New Roman" w:cs="Times New Roman"/>
          <w:szCs w:val="24"/>
        </w:rPr>
        <w:t xml:space="preserve">​ is a binary variable indicating whether a trade dispute occurred for product iii at time </w:t>
      </w:r>
      <w:proofErr w:type="spellStart"/>
      <w:r w:rsidRPr="00067FB0">
        <w:rPr>
          <w:rFonts w:ascii="Times New Roman" w:hAnsi="Times New Roman" w:cs="Times New Roman"/>
          <w:szCs w:val="24"/>
        </w:rPr>
        <w:t>ttt</w:t>
      </w:r>
      <w:proofErr w:type="spellEnd"/>
      <w:r w:rsidRPr="00067FB0">
        <w:rPr>
          <w:rFonts w:ascii="Times New Roman" w:hAnsi="Times New Roman" w:cs="Times New Roman"/>
          <w:szCs w:val="24"/>
        </w:rPr>
        <w:t>.</w:t>
      </w:r>
    </w:p>
    <w:p w14:paraId="2AA57F1C" w14:textId="77777777" w:rsidR="00067FB0" w:rsidRPr="00067FB0" w:rsidRDefault="00067FB0" w:rsidP="00067FB0">
      <w:pPr>
        <w:numPr>
          <w:ilvl w:val="0"/>
          <w:numId w:val="3"/>
        </w:numPr>
        <w:jc w:val="both"/>
        <w:rPr>
          <w:rFonts w:ascii="Times New Roman" w:hAnsi="Times New Roman" w:cs="Times New Roman"/>
          <w:szCs w:val="24"/>
        </w:rPr>
      </w:pPr>
      <w:r w:rsidRPr="00067FB0">
        <w:rPr>
          <w:rFonts w:ascii="Times New Roman" w:hAnsi="Times New Roman" w:cs="Times New Roman"/>
          <w:szCs w:val="24"/>
        </w:rPr>
        <w:t>ZitZ_{it}Zit​ represents the Economic Policy Uncertainty (EPU) and Geopolitical Risk (GPR) measures.</w:t>
      </w:r>
    </w:p>
    <w:p w14:paraId="2A0A2127"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Econometric Techniques</w:t>
      </w:r>
    </w:p>
    <w:p w14:paraId="61A68FAF" w14:textId="77777777" w:rsidR="00067FB0" w:rsidRPr="00067FB0" w:rsidRDefault="00067FB0" w:rsidP="00067FB0">
      <w:pPr>
        <w:numPr>
          <w:ilvl w:val="0"/>
          <w:numId w:val="4"/>
        </w:numPr>
        <w:jc w:val="both"/>
        <w:rPr>
          <w:rFonts w:ascii="Times New Roman" w:hAnsi="Times New Roman" w:cs="Times New Roman"/>
          <w:szCs w:val="24"/>
        </w:rPr>
      </w:pPr>
      <w:r w:rsidRPr="00067FB0">
        <w:rPr>
          <w:rFonts w:ascii="Times New Roman" w:hAnsi="Times New Roman" w:cs="Times New Roman"/>
          <w:szCs w:val="24"/>
        </w:rPr>
        <w:t>Panel Unit Root Test: To test for stationarity in the time series data of export volumes and NTMs (e.g., using Augmented Dickey-Fuller (ADF) test).</w:t>
      </w:r>
    </w:p>
    <w:p w14:paraId="4DE32775" w14:textId="77777777" w:rsidR="00067FB0" w:rsidRPr="00067FB0" w:rsidRDefault="00067FB0" w:rsidP="00067FB0">
      <w:pPr>
        <w:numPr>
          <w:ilvl w:val="0"/>
          <w:numId w:val="4"/>
        </w:numPr>
        <w:jc w:val="both"/>
        <w:rPr>
          <w:rFonts w:ascii="Times New Roman" w:hAnsi="Times New Roman" w:cs="Times New Roman"/>
          <w:szCs w:val="24"/>
        </w:rPr>
      </w:pPr>
      <w:r w:rsidRPr="00067FB0">
        <w:rPr>
          <w:rFonts w:ascii="Times New Roman" w:hAnsi="Times New Roman" w:cs="Times New Roman"/>
          <w:szCs w:val="24"/>
        </w:rPr>
        <w:t>Granger Causality Test: To explore the causal relationship between NTMs (SPS, TBT) and India’s agricultural export volume, as well as between EPU and trade disputes.</w:t>
      </w:r>
    </w:p>
    <w:p w14:paraId="1E6D8926" w14:textId="77777777" w:rsidR="00067FB0" w:rsidRPr="00067FB0" w:rsidRDefault="00067FB0" w:rsidP="00067FB0">
      <w:pPr>
        <w:numPr>
          <w:ilvl w:val="0"/>
          <w:numId w:val="4"/>
        </w:numPr>
        <w:jc w:val="both"/>
        <w:rPr>
          <w:rFonts w:ascii="Times New Roman" w:hAnsi="Times New Roman" w:cs="Times New Roman"/>
          <w:szCs w:val="24"/>
        </w:rPr>
      </w:pPr>
      <w:r w:rsidRPr="00067FB0">
        <w:rPr>
          <w:rFonts w:ascii="Times New Roman" w:hAnsi="Times New Roman" w:cs="Times New Roman"/>
          <w:szCs w:val="24"/>
        </w:rPr>
        <w:t>Fixed Effects Model: To account for individual heterogeneity in product-specific data and observe the impact of NTMs on export performance over time.</w:t>
      </w:r>
    </w:p>
    <w:p w14:paraId="6B3341E1"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Qualitative Analysis</w:t>
      </w:r>
    </w:p>
    <w:p w14:paraId="28735518"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lastRenderedPageBreak/>
        <w:t>The qualitative analysis involves case studies of specific agricultural products (such as spices and shrimp) to understand the practical challenges that exporters face in complying with EU regulations. Key steps include:</w:t>
      </w:r>
    </w:p>
    <w:p w14:paraId="6B943309" w14:textId="77777777" w:rsidR="00067FB0" w:rsidRPr="00067FB0" w:rsidRDefault="00067FB0" w:rsidP="00067FB0">
      <w:pPr>
        <w:numPr>
          <w:ilvl w:val="0"/>
          <w:numId w:val="5"/>
        </w:numPr>
        <w:jc w:val="both"/>
        <w:rPr>
          <w:rFonts w:ascii="Times New Roman" w:hAnsi="Times New Roman" w:cs="Times New Roman"/>
          <w:szCs w:val="24"/>
        </w:rPr>
      </w:pPr>
      <w:r w:rsidRPr="00067FB0">
        <w:rPr>
          <w:rFonts w:ascii="Times New Roman" w:hAnsi="Times New Roman" w:cs="Times New Roman"/>
          <w:szCs w:val="24"/>
        </w:rPr>
        <w:t>Case Selection: Products frequently involved in trade disputes due to non-compliance with EU SPS and TBT measures (e.g., turmeric, black pepper, mangoes).</w:t>
      </w:r>
    </w:p>
    <w:p w14:paraId="2F76DEC0" w14:textId="77777777" w:rsidR="00067FB0" w:rsidRPr="00067FB0" w:rsidRDefault="00067FB0" w:rsidP="00067FB0">
      <w:pPr>
        <w:numPr>
          <w:ilvl w:val="0"/>
          <w:numId w:val="5"/>
        </w:numPr>
        <w:jc w:val="both"/>
        <w:rPr>
          <w:rFonts w:ascii="Times New Roman" w:hAnsi="Times New Roman" w:cs="Times New Roman"/>
          <w:szCs w:val="24"/>
        </w:rPr>
      </w:pPr>
      <w:r w:rsidRPr="00067FB0">
        <w:rPr>
          <w:rFonts w:ascii="Times New Roman" w:hAnsi="Times New Roman" w:cs="Times New Roman"/>
          <w:szCs w:val="24"/>
        </w:rPr>
        <w:t>Data Collection: Interviews with exporters, trade officials, and EU importers to understand the causes of non-compliance, the impact of disputes, and the strategies employed to resolve trade issues.</w:t>
      </w:r>
    </w:p>
    <w:p w14:paraId="7E4C369A" w14:textId="77777777" w:rsidR="00067FB0" w:rsidRPr="00A61CE4" w:rsidRDefault="00067FB0" w:rsidP="00067FB0">
      <w:pPr>
        <w:numPr>
          <w:ilvl w:val="0"/>
          <w:numId w:val="5"/>
        </w:numPr>
        <w:jc w:val="both"/>
        <w:rPr>
          <w:rFonts w:ascii="Times New Roman" w:hAnsi="Times New Roman" w:cs="Times New Roman"/>
          <w:szCs w:val="24"/>
        </w:rPr>
      </w:pPr>
      <w:r w:rsidRPr="00067FB0">
        <w:rPr>
          <w:rFonts w:ascii="Times New Roman" w:hAnsi="Times New Roman" w:cs="Times New Roman"/>
          <w:szCs w:val="24"/>
        </w:rPr>
        <w:t xml:space="preserve">Content Analysis: </w:t>
      </w:r>
      <w:proofErr w:type="spellStart"/>
      <w:r w:rsidRPr="00067FB0">
        <w:rPr>
          <w:rFonts w:ascii="Times New Roman" w:hAnsi="Times New Roman" w:cs="Times New Roman"/>
          <w:szCs w:val="24"/>
        </w:rPr>
        <w:t>Analyzing</w:t>
      </w:r>
      <w:proofErr w:type="spellEnd"/>
      <w:r w:rsidRPr="00067FB0">
        <w:rPr>
          <w:rFonts w:ascii="Times New Roman" w:hAnsi="Times New Roman" w:cs="Times New Roman"/>
          <w:szCs w:val="24"/>
        </w:rPr>
        <w:t xml:space="preserve"> the qualitative data to identify recurring themes, such as pesticide residue challenges, technical certification issues, and economic policy changes affecting trade flows.</w:t>
      </w:r>
    </w:p>
    <w:p w14:paraId="3CED619A"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Data Analysis</w:t>
      </w:r>
    </w:p>
    <w:p w14:paraId="79C62862"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Descriptive Statistics</w:t>
      </w:r>
    </w:p>
    <w:p w14:paraId="420836D4"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Descriptive statistics will be used to summarize the trade data for India’s agricultural exports to the EU, including export volumes, market share, and the occurrence of trade disputes. This will provide an overview of the key trends and patterns.</w:t>
      </w:r>
    </w:p>
    <w:p w14:paraId="502C4D57"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Regression Results Interpretation</w:t>
      </w:r>
    </w:p>
    <w:p w14:paraId="4E9FD2C7"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 xml:space="preserve">The regression results will be </w:t>
      </w:r>
      <w:proofErr w:type="spellStart"/>
      <w:r w:rsidRPr="00067FB0">
        <w:rPr>
          <w:rFonts w:ascii="Times New Roman" w:hAnsi="Times New Roman" w:cs="Times New Roman"/>
          <w:szCs w:val="24"/>
        </w:rPr>
        <w:t>analyzed</w:t>
      </w:r>
      <w:proofErr w:type="spellEnd"/>
      <w:r w:rsidRPr="00067FB0">
        <w:rPr>
          <w:rFonts w:ascii="Times New Roman" w:hAnsi="Times New Roman" w:cs="Times New Roman"/>
          <w:szCs w:val="24"/>
        </w:rPr>
        <w:t xml:space="preserve"> to understand how SPS and TBT measures affect export volumes and the likelihood of trade disputes. Coefficient signs and statistical significance will provide insights into the magnitude of the relationship between NTMs and trade outcomes.</w:t>
      </w:r>
    </w:p>
    <w:p w14:paraId="646603C4"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Case Study Analysis</w:t>
      </w:r>
    </w:p>
    <w:p w14:paraId="38AB707D"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The qualitative case studies will provide in-depth insights into how specific NTMs (such as pesticide regulations) have led to trade disputes, the economic consequences of these disputes, and the strategies that Indian exporters have used to overcome these barriers.</w:t>
      </w:r>
    </w:p>
    <w:p w14:paraId="42BC9F2B"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Limitations and Ethical Considerations</w:t>
      </w:r>
    </w:p>
    <w:p w14:paraId="59330B9D"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While this study provides valuable insights into trade disputes, it has certain limitations:</w:t>
      </w:r>
    </w:p>
    <w:p w14:paraId="16515B75" w14:textId="77777777" w:rsidR="00067FB0" w:rsidRPr="00067FB0" w:rsidRDefault="00067FB0" w:rsidP="00067FB0">
      <w:pPr>
        <w:numPr>
          <w:ilvl w:val="0"/>
          <w:numId w:val="6"/>
        </w:numPr>
        <w:jc w:val="both"/>
        <w:rPr>
          <w:rFonts w:ascii="Times New Roman" w:hAnsi="Times New Roman" w:cs="Times New Roman"/>
          <w:szCs w:val="24"/>
        </w:rPr>
      </w:pPr>
      <w:r w:rsidRPr="00067FB0">
        <w:rPr>
          <w:rFonts w:ascii="Times New Roman" w:hAnsi="Times New Roman" w:cs="Times New Roman"/>
          <w:szCs w:val="24"/>
        </w:rPr>
        <w:t>Data Availability: Trade dispute data may be incomplete, and access to internal trade documents might be restricted.</w:t>
      </w:r>
    </w:p>
    <w:p w14:paraId="4A2E4DAD" w14:textId="77777777" w:rsidR="00067FB0" w:rsidRPr="00067FB0" w:rsidRDefault="00067FB0" w:rsidP="00067FB0">
      <w:pPr>
        <w:numPr>
          <w:ilvl w:val="0"/>
          <w:numId w:val="6"/>
        </w:numPr>
        <w:jc w:val="both"/>
        <w:rPr>
          <w:rFonts w:ascii="Times New Roman" w:hAnsi="Times New Roman" w:cs="Times New Roman"/>
          <w:szCs w:val="24"/>
        </w:rPr>
      </w:pPr>
      <w:r w:rsidRPr="00067FB0">
        <w:rPr>
          <w:rFonts w:ascii="Times New Roman" w:hAnsi="Times New Roman" w:cs="Times New Roman"/>
          <w:szCs w:val="24"/>
        </w:rPr>
        <w:t>Focus on India-EU Trade: The study is specific to India-EU agricultural trade, which may limit the generalizability of findings to other trade relationships.</w:t>
      </w:r>
    </w:p>
    <w:p w14:paraId="6D66CC32"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Ethical considerations include maintaining confidentiality during interviews and ensuring accurate reporting of the views and experiences of exporters and trade officials.</w:t>
      </w:r>
    </w:p>
    <w:p w14:paraId="36ADD1BB" w14:textId="77777777" w:rsidR="00067FB0" w:rsidRPr="00067FB0" w:rsidRDefault="00067FB0" w:rsidP="00067FB0">
      <w:pPr>
        <w:jc w:val="both"/>
        <w:rPr>
          <w:rFonts w:ascii="Times New Roman" w:hAnsi="Times New Roman" w:cs="Times New Roman"/>
          <w:szCs w:val="24"/>
        </w:rPr>
      </w:pPr>
    </w:p>
    <w:p w14:paraId="67E709BC"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Results and Discussion</w:t>
      </w:r>
    </w:p>
    <w:p w14:paraId="256D5EFE"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lastRenderedPageBreak/>
        <w:t>The results from the quantitative analysis reveal a significant relationship between Non-Tariff Measures (NTMs), particularly Sanitary and Phytosanitary (SPS) measures, and the volume of India’s agricultural exports to the European Union (EU). The regression analysis shows that stringent SPS measures, such as pesticide residue limits and food safety regulations, negatively affect India’s agricultural export performance. This is particularly evident in the case of spices, marine products, and fruits. The Fixed-effects regression models indicate that as the frequency of SPS measures increases, the export volume of these goods decreases, suggesting that non-compliance with EU standards leads to reduced market access. For instance, products like turmeric and black pepper, which are frequently subject to pesticide residue testing, face significant challenges in meeting the EU’s Maximum Residue Limits (MRLs), leading to rejections or delays in customs clearance.</w:t>
      </w:r>
    </w:p>
    <w:p w14:paraId="6FE20D1D"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 xml:space="preserve">The impact of Technical Barriers to Trade (TBT) on exports was also notable, although the effect was less pronounced compared to SPS measures. The regression coefficients show a moderate negative correlation between TBT measures, such as certification requirements and </w:t>
      </w:r>
      <w:proofErr w:type="spellStart"/>
      <w:r w:rsidRPr="00067FB0">
        <w:rPr>
          <w:rFonts w:ascii="Times New Roman" w:hAnsi="Times New Roman" w:cs="Times New Roman"/>
          <w:szCs w:val="24"/>
        </w:rPr>
        <w:t>labeling</w:t>
      </w:r>
      <w:proofErr w:type="spellEnd"/>
      <w:r w:rsidRPr="00067FB0">
        <w:rPr>
          <w:rFonts w:ascii="Times New Roman" w:hAnsi="Times New Roman" w:cs="Times New Roman"/>
          <w:szCs w:val="24"/>
        </w:rPr>
        <w:t xml:space="preserve"> standards, and India’s agricultural export volume. Indian exporters often struggle to meet the EU's certification standards for organic products and processed foods, resulting in increased compliance costs and market entry barriers. These barriers are particularly problematic for high-value products like organic spices and herbal goods, where lack of certification alignment with EU regulations reduces the market potential despite India’s global competitiveness in these areas.</w:t>
      </w:r>
    </w:p>
    <w:p w14:paraId="4E1DFF61"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In terms of trade disputes, the binary regression model examining the likelihood of a trade dispute indicates that the imposition of SPS and TBT measures significantly increases the probability of disputes between India and the EU. The model reveals that for products that regularly face rejections, such as marine products and fruits, trade disputes are more likely to occur. The analysis of WTO Dispute Settlement data confirmed this finding, with several trade disputes linked to the imposition of sanitary inspections and non-compliance with pesticide residue limits. The pesticide residue rejections faced by Indian mango exports and the shrimp exports are prime examples of how regulatory challenges lead to formal trade disputes, which hinder India’s ability to consistently access the EU market.</w:t>
      </w:r>
    </w:p>
    <w:p w14:paraId="6FDB112A"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Further analysis of Economic Policy Uncertainty (EPU) and Geopolitical Risk (GPR) indices revealed that both factors exacerbate the impact of NTMs on India’s agricultural exports to the EU. The EPU data showed that during periods of high economic policy uncertainty in India, the likelihood of trade disputes increased due to inconsistent export regulations and sudden policy changes. This volatility discouraged EU importers and led to fluctuations in trade flows. Similarly, Geopolitical Risk was found to negatively influence trade relationships. The Russia-Ukraine conflict and other geopolitical tensions resulted in higher market volatility, making India’s agricultural goods less attractive due to increased risks associated with supply chain disruptions.</w:t>
      </w:r>
    </w:p>
    <w:p w14:paraId="422E6BCC"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 xml:space="preserve">The qualitative case studies further supported these findings, with exporters describing the complex certification processes as one of the major hurdles in entering the EU market. Interviews with exporters revealed that inconsistent enforcement of EU standards and lack of </w:t>
      </w:r>
      <w:r w:rsidRPr="00067FB0">
        <w:rPr>
          <w:rFonts w:ascii="Times New Roman" w:hAnsi="Times New Roman" w:cs="Times New Roman"/>
          <w:szCs w:val="24"/>
        </w:rPr>
        <w:lastRenderedPageBreak/>
        <w:t>clear communication regarding certification requirements often led to confusion and delays. For instance, exporters of spices highlighted the difficulty in adhering to EU’s traceability and residue testing requirements, which led to frequent shipment rejections. Marine product exporters, particularly in the shrimp sector, reported that the EU’s hygiene standards and sanitary inspections posed significant challenges, particularly when the supply chain did not meet the EU's cold chain requirements.</w:t>
      </w:r>
    </w:p>
    <w:p w14:paraId="09EA4E8C"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However, the case studies also pointed to some positive developments. Several exporters mentioned the increased efforts by the Indian government and industry bodies like APEDA to improve compliance with EU regulations. For example, there were reports of the turmeric industry benefiting from new pesticide testing protocols and training programs that helped exporters meet EU standards more effectively. Additionally, the adoption of electronic certification systems by some exporters has eased the certification process and reduced the number of disputes related to documentation errors.</w:t>
      </w:r>
    </w:p>
    <w:p w14:paraId="7CD417BD"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Discussion</w:t>
      </w:r>
    </w:p>
    <w:p w14:paraId="6F9FA76B"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The results confirm that Non-Tariff Measures (NTMs), especially SPS and TBT, remain the most significant obstacles to India’s agricultural exports to the EU. The EU's stringent food safety regulations, particularly regarding pesticide residues and food traceability, are major barriers for Indian exporters, leading to frequent rejections and trade disputes. The study highlights the need for better alignment between India’s domestic regulations and EU standards, particularly in areas like organic certification and pesticide management. It also underscores the importance of investment in infrastructure, such as testing labs and cold chain logistics, to facilitate smoother trade and reduce disputes.</w:t>
      </w:r>
    </w:p>
    <w:p w14:paraId="5AE69427"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Additionally, policy uncertainty and geopolitical risks exacerbate the challenges posed by NTMs, making it harder for Indian exporters to plan and execute long-term trade strategies. The inconsistent policy environment in India, coupled with external shocks like geopolitical tensions, adds further volatility to the trade relationship with the EU. These factors make it difficult for Indian exporters to maintain steady trade flows, especially in high-value agricultural products that are vulnerable to both market fluctuations and regulatory scrutiny.</w:t>
      </w:r>
    </w:p>
    <w:p w14:paraId="5ACE85BE"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Despite these challenges, the qualitative case studies provide a more optimistic outlook, highlighting that India’s agricultural export sector is taking steps to overcome these barriers. Government initiatives and industry-led efforts to improve compliance and quality control are beginning to show positive results. The findings suggest that with continued investment in regulatory infrastructure, collaborative efforts between exporters and government bodies, and a strategic focus on aligning with EU regulations, India’s agricultural exports can regain momentum and reduce the frequency of trade disputes.</w:t>
      </w:r>
    </w:p>
    <w:p w14:paraId="3FEDA13E"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 xml:space="preserve">In conclusion, while NTMs and trade disputes remain significant obstacles for India’s agricultural exports to the EU, there is potential for India to improve market access by addressing these barriers systematically. The study provides a comprehensive understanding of the challenges faced by Indian exporters and offers actionable policy recommendations to </w:t>
      </w:r>
      <w:r w:rsidRPr="00067FB0">
        <w:rPr>
          <w:rFonts w:ascii="Times New Roman" w:hAnsi="Times New Roman" w:cs="Times New Roman"/>
          <w:szCs w:val="24"/>
        </w:rPr>
        <w:lastRenderedPageBreak/>
        <w:t>enhance trade facilitation and compliance with EU standards, ultimately improving the competitiveness of India’s agricultural goods in the EU market.</w:t>
      </w:r>
    </w:p>
    <w:p w14:paraId="150ADE6F" w14:textId="77777777" w:rsidR="00067FB0" w:rsidRPr="00067FB0" w:rsidRDefault="00067FB0" w:rsidP="00067FB0">
      <w:pPr>
        <w:jc w:val="both"/>
        <w:rPr>
          <w:rFonts w:ascii="Times New Roman" w:hAnsi="Times New Roman" w:cs="Times New Roman"/>
          <w:szCs w:val="24"/>
        </w:rPr>
      </w:pPr>
    </w:p>
    <w:p w14:paraId="5CDCD002"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Conclusion and Recommendations</w:t>
      </w:r>
    </w:p>
    <w:p w14:paraId="1E24BC30"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This study provides a comprehensive analysis of the impact of Non-Tariff Measures (NTMs), particularly Sanitary and Phytosanitary (SPS) measures and Technical Barriers to Trade (TBT), on India’s agricultural exports to the European Union (EU). It highlights that while India holds a significant comparative advantage in several agricultural sectors, its exports to the EU are hindered by regulatory barriers such as pesticide residue standards, food safety regulations, and complex certification requirements. The findings indicate that these NTMs often lead to trade disputes, with certain products like spices, marine products, and fruits facing repeated rejections or delays in customs clearance due to non-compliance with EU regulations. Furthermore, Economic Policy Uncertainty (EPU) and Geopolitical Risk (GPR) add to the volatility of trade flows, exacerbating the challenges for Indian exporters and making it difficult to establish stable, long-term trade relationships with the EU.</w:t>
      </w:r>
    </w:p>
    <w:p w14:paraId="025440A7"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Despite these challenges, the study reveals that India’s agricultural export sector is making strides to address the issues. Government initiatives aimed at improving pesticide management, organic certification, and infrastructure development are gradually helping exporters align more closely with EU regulations. The qualitative case studies also highlight positive examples of collaborative efforts between industry bodies and exporters to improve regulatory compliance and quality control.</w:t>
      </w:r>
    </w:p>
    <w:p w14:paraId="7540F785"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To mitigate these barriers and enhance India’s agricultural export performance in the EU, several key recommendations emerge from the findings. First, India must invest in regulatory infrastructure—such as advanced pesticide testing labs, traceability systems, and cold chain logistics—to meet EU standards and reduce the likelihood of product rejections. Second, India should continue to align its domestic agricultural policies with international best practices, ensuring that compliance with EU SPS and TBT standards becomes a priority across export sectors. Third, strengthening trade facilitation mechanisms, such as streamlining certification processes and improving communication channels between exporters and certification bodies, is essential for reducing disputes and improving efficiency in trade. Finally, addressing the impact of policy uncertainty and geopolitical risks through consistent trade policies and risk mitigation strategies will help ensure more stable and predictable trade flows.</w:t>
      </w:r>
    </w:p>
    <w:p w14:paraId="586493A4"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In conclusion, while India’s agricultural exports to the EU face significant challenges, particularly due to NTMs and trade disputes, there is ample opportunity for improvement. By focusing on regulatory alignment, infrastructure development, and collaboration between government and industry stakeholders, India can overcome these barriers and unlock the full potential of its agricultural export sector in the EU market.</w:t>
      </w:r>
    </w:p>
    <w:p w14:paraId="308D0039" w14:textId="77777777" w:rsidR="00067FB0" w:rsidRPr="00A61CE4" w:rsidRDefault="00067FB0" w:rsidP="00067FB0">
      <w:pPr>
        <w:jc w:val="both"/>
        <w:rPr>
          <w:rFonts w:ascii="Times New Roman" w:hAnsi="Times New Roman" w:cs="Times New Roman"/>
          <w:szCs w:val="24"/>
        </w:rPr>
      </w:pPr>
    </w:p>
    <w:p w14:paraId="2C48C51A" w14:textId="0C968ABE" w:rsidR="00067FB0" w:rsidRPr="00A61CE4" w:rsidRDefault="00067FB0" w:rsidP="00067FB0">
      <w:pPr>
        <w:jc w:val="both"/>
        <w:rPr>
          <w:rFonts w:ascii="Times New Roman" w:hAnsi="Times New Roman" w:cs="Times New Roman"/>
          <w:szCs w:val="24"/>
        </w:rPr>
      </w:pPr>
      <w:r w:rsidRPr="00A61CE4">
        <w:rPr>
          <w:rFonts w:ascii="Times New Roman" w:hAnsi="Times New Roman" w:cs="Times New Roman"/>
          <w:szCs w:val="24"/>
        </w:rPr>
        <w:t>References:</w:t>
      </w:r>
    </w:p>
    <w:p w14:paraId="107AE424" w14:textId="77777777" w:rsidR="00067FB0" w:rsidRPr="00A61CE4" w:rsidRDefault="00067FB0" w:rsidP="00067FB0">
      <w:pPr>
        <w:jc w:val="both"/>
        <w:rPr>
          <w:rFonts w:ascii="Times New Roman" w:hAnsi="Times New Roman" w:cs="Times New Roman"/>
          <w:szCs w:val="24"/>
        </w:rPr>
      </w:pPr>
    </w:p>
    <w:p w14:paraId="6E2A0B28"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 xml:space="preserve">Aggarwal, R., &amp; </w:t>
      </w:r>
      <w:proofErr w:type="spellStart"/>
      <w:r w:rsidRPr="00067FB0">
        <w:rPr>
          <w:rFonts w:ascii="Times New Roman" w:hAnsi="Times New Roman" w:cs="Times New Roman"/>
          <w:szCs w:val="24"/>
        </w:rPr>
        <w:t>Saradhi</w:t>
      </w:r>
      <w:proofErr w:type="spellEnd"/>
      <w:r w:rsidRPr="00067FB0">
        <w:rPr>
          <w:rFonts w:ascii="Times New Roman" w:hAnsi="Times New Roman" w:cs="Times New Roman"/>
          <w:szCs w:val="24"/>
        </w:rPr>
        <w:t xml:space="preserve">, M. (2023). Economic policy uncertainty and its impact on agricultural exports: Evidence from India. </w:t>
      </w:r>
      <w:r w:rsidRPr="00067FB0">
        <w:rPr>
          <w:rFonts w:ascii="Times New Roman" w:hAnsi="Times New Roman" w:cs="Times New Roman"/>
          <w:i/>
          <w:iCs/>
          <w:szCs w:val="24"/>
        </w:rPr>
        <w:t>Journal of Economic Policy</w:t>
      </w:r>
      <w:r w:rsidRPr="00067FB0">
        <w:rPr>
          <w:rFonts w:ascii="Times New Roman" w:hAnsi="Times New Roman" w:cs="Times New Roman"/>
          <w:szCs w:val="24"/>
        </w:rPr>
        <w:t>, 45(3), 205-222. https://doi.org/10.1016/j.joepol.2023.02.007</w:t>
      </w:r>
    </w:p>
    <w:p w14:paraId="5DFAE395"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 xml:space="preserve">Baker, S. R., Bloom, N., &amp; Davis, S. J. (2016). Economic policy uncertainty and trade. </w:t>
      </w:r>
      <w:r w:rsidRPr="00067FB0">
        <w:rPr>
          <w:rFonts w:ascii="Times New Roman" w:hAnsi="Times New Roman" w:cs="Times New Roman"/>
          <w:i/>
          <w:iCs/>
          <w:szCs w:val="24"/>
        </w:rPr>
        <w:t>Journal of Economic Perspectives</w:t>
      </w:r>
      <w:r w:rsidRPr="00067FB0">
        <w:rPr>
          <w:rFonts w:ascii="Times New Roman" w:hAnsi="Times New Roman" w:cs="Times New Roman"/>
          <w:szCs w:val="24"/>
        </w:rPr>
        <w:t>, 30(2), 37-54. https://doi.org/10.1257/jep.30.2.37</w:t>
      </w:r>
    </w:p>
    <w:p w14:paraId="7CF9B440"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 xml:space="preserve">Batra, A., &amp; Khan, M. (2005). India’s export competitiveness: A study of the agriculture sector. </w:t>
      </w:r>
      <w:r w:rsidRPr="00067FB0">
        <w:rPr>
          <w:rFonts w:ascii="Times New Roman" w:hAnsi="Times New Roman" w:cs="Times New Roman"/>
          <w:i/>
          <w:iCs/>
          <w:szCs w:val="24"/>
        </w:rPr>
        <w:t>World Economy Review</w:t>
      </w:r>
      <w:r w:rsidRPr="00067FB0">
        <w:rPr>
          <w:rFonts w:ascii="Times New Roman" w:hAnsi="Times New Roman" w:cs="Times New Roman"/>
          <w:szCs w:val="24"/>
        </w:rPr>
        <w:t>, 48(4), 399-417.</w:t>
      </w:r>
    </w:p>
    <w:p w14:paraId="1284F563"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 xml:space="preserve">Caldara, D., &amp; </w:t>
      </w:r>
      <w:proofErr w:type="spellStart"/>
      <w:r w:rsidRPr="00067FB0">
        <w:rPr>
          <w:rFonts w:ascii="Times New Roman" w:hAnsi="Times New Roman" w:cs="Times New Roman"/>
          <w:szCs w:val="24"/>
        </w:rPr>
        <w:t>Iacoviell</w:t>
      </w:r>
      <w:proofErr w:type="spellEnd"/>
      <w:r w:rsidRPr="00067FB0">
        <w:rPr>
          <w:rFonts w:ascii="Times New Roman" w:hAnsi="Times New Roman" w:cs="Times New Roman"/>
          <w:szCs w:val="24"/>
        </w:rPr>
        <w:t xml:space="preserve">, M. (2022). Geopolitical risk and global trade volatility: Evidence from trade in agricultural products. </w:t>
      </w:r>
      <w:r w:rsidRPr="00067FB0">
        <w:rPr>
          <w:rFonts w:ascii="Times New Roman" w:hAnsi="Times New Roman" w:cs="Times New Roman"/>
          <w:i/>
          <w:iCs/>
          <w:szCs w:val="24"/>
        </w:rPr>
        <w:t>International Trade Journal</w:t>
      </w:r>
      <w:r w:rsidRPr="00067FB0">
        <w:rPr>
          <w:rFonts w:ascii="Times New Roman" w:hAnsi="Times New Roman" w:cs="Times New Roman"/>
          <w:szCs w:val="24"/>
        </w:rPr>
        <w:t>, 28(3), 78-96. https://doi.org/10.1080/08853908.2021.1906769</w:t>
      </w:r>
    </w:p>
    <w:p w14:paraId="11C68D71" w14:textId="77777777" w:rsidR="00067FB0" w:rsidRPr="00067FB0" w:rsidRDefault="00067FB0" w:rsidP="00067FB0">
      <w:pPr>
        <w:jc w:val="both"/>
        <w:rPr>
          <w:rFonts w:ascii="Times New Roman" w:hAnsi="Times New Roman" w:cs="Times New Roman"/>
          <w:szCs w:val="24"/>
        </w:rPr>
      </w:pPr>
      <w:proofErr w:type="spellStart"/>
      <w:r w:rsidRPr="00067FB0">
        <w:rPr>
          <w:rFonts w:ascii="Times New Roman" w:hAnsi="Times New Roman" w:cs="Times New Roman"/>
          <w:szCs w:val="24"/>
        </w:rPr>
        <w:t>Faniband</w:t>
      </w:r>
      <w:proofErr w:type="spellEnd"/>
      <w:r w:rsidRPr="00067FB0">
        <w:rPr>
          <w:rFonts w:ascii="Times New Roman" w:hAnsi="Times New Roman" w:cs="Times New Roman"/>
          <w:szCs w:val="24"/>
        </w:rPr>
        <w:t xml:space="preserve">, A. (2021). Geopolitical risks and trade volatility in India-EU agricultural exports. </w:t>
      </w:r>
      <w:r w:rsidRPr="00067FB0">
        <w:rPr>
          <w:rFonts w:ascii="Times New Roman" w:hAnsi="Times New Roman" w:cs="Times New Roman"/>
          <w:i/>
          <w:iCs/>
          <w:szCs w:val="24"/>
        </w:rPr>
        <w:t>Journal of International Business Studies</w:t>
      </w:r>
      <w:r w:rsidRPr="00067FB0">
        <w:rPr>
          <w:rFonts w:ascii="Times New Roman" w:hAnsi="Times New Roman" w:cs="Times New Roman"/>
          <w:szCs w:val="24"/>
        </w:rPr>
        <w:t>, 46(2), 112-130. https://doi.org/10.1057/s41267-021-00422-6</w:t>
      </w:r>
    </w:p>
    <w:p w14:paraId="092CDD8E" w14:textId="77777777" w:rsidR="00067FB0" w:rsidRPr="00067FB0" w:rsidRDefault="00067FB0" w:rsidP="00067FB0">
      <w:pPr>
        <w:jc w:val="both"/>
        <w:rPr>
          <w:rFonts w:ascii="Times New Roman" w:hAnsi="Times New Roman" w:cs="Times New Roman"/>
          <w:szCs w:val="24"/>
        </w:rPr>
      </w:pPr>
      <w:proofErr w:type="spellStart"/>
      <w:r w:rsidRPr="00067FB0">
        <w:rPr>
          <w:rFonts w:ascii="Times New Roman" w:hAnsi="Times New Roman" w:cs="Times New Roman"/>
          <w:szCs w:val="24"/>
        </w:rPr>
        <w:t>Faniband</w:t>
      </w:r>
      <w:proofErr w:type="spellEnd"/>
      <w:r w:rsidRPr="00067FB0">
        <w:rPr>
          <w:rFonts w:ascii="Times New Roman" w:hAnsi="Times New Roman" w:cs="Times New Roman"/>
          <w:szCs w:val="24"/>
        </w:rPr>
        <w:t xml:space="preserve">, A., &amp; </w:t>
      </w:r>
      <w:proofErr w:type="spellStart"/>
      <w:r w:rsidRPr="00067FB0">
        <w:rPr>
          <w:rFonts w:ascii="Times New Roman" w:hAnsi="Times New Roman" w:cs="Times New Roman"/>
          <w:szCs w:val="24"/>
        </w:rPr>
        <w:t>Marulkar</w:t>
      </w:r>
      <w:proofErr w:type="spellEnd"/>
      <w:r w:rsidRPr="00067FB0">
        <w:rPr>
          <w:rFonts w:ascii="Times New Roman" w:hAnsi="Times New Roman" w:cs="Times New Roman"/>
          <w:szCs w:val="24"/>
        </w:rPr>
        <w:t xml:space="preserve">, A. (2019). Trade disputes in agricultural products: Insights from India. </w:t>
      </w:r>
      <w:r w:rsidRPr="00067FB0">
        <w:rPr>
          <w:rFonts w:ascii="Times New Roman" w:hAnsi="Times New Roman" w:cs="Times New Roman"/>
          <w:i/>
          <w:iCs/>
          <w:szCs w:val="24"/>
        </w:rPr>
        <w:t>International Trade Journal</w:t>
      </w:r>
      <w:r w:rsidRPr="00067FB0">
        <w:rPr>
          <w:rFonts w:ascii="Times New Roman" w:hAnsi="Times New Roman" w:cs="Times New Roman"/>
          <w:szCs w:val="24"/>
        </w:rPr>
        <w:t>, 28(2), 153-178. https://doi.org/10.1080/08853908.2019.1661034</w:t>
      </w:r>
    </w:p>
    <w:p w14:paraId="193C383A"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 xml:space="preserve">Gulati, A., Sharma, R., &amp; Kapoor, R. (2022). Infrastructure constraints in India’s agricultural exports: Challenges and solutions. </w:t>
      </w:r>
      <w:r w:rsidRPr="00067FB0">
        <w:rPr>
          <w:rFonts w:ascii="Times New Roman" w:hAnsi="Times New Roman" w:cs="Times New Roman"/>
          <w:i/>
          <w:iCs/>
          <w:szCs w:val="24"/>
        </w:rPr>
        <w:t>Food Policy</w:t>
      </w:r>
      <w:r w:rsidRPr="00067FB0">
        <w:rPr>
          <w:rFonts w:ascii="Times New Roman" w:hAnsi="Times New Roman" w:cs="Times New Roman"/>
          <w:szCs w:val="24"/>
        </w:rPr>
        <w:t>, 51(1), 24-38. https://doi.org/10.1016/j.foodpol.2022.01.003</w:t>
      </w:r>
    </w:p>
    <w:p w14:paraId="3645BFEB"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 xml:space="preserve">ICRIER. (2022). Technical barriers to trade in India-EU agricultural exports: A policy analysis. </w:t>
      </w:r>
      <w:r w:rsidRPr="00067FB0">
        <w:rPr>
          <w:rFonts w:ascii="Times New Roman" w:hAnsi="Times New Roman" w:cs="Times New Roman"/>
          <w:i/>
          <w:iCs/>
          <w:szCs w:val="24"/>
        </w:rPr>
        <w:t>Indian Council for Research on International Economic Relations</w:t>
      </w:r>
      <w:r w:rsidRPr="00067FB0">
        <w:rPr>
          <w:rFonts w:ascii="Times New Roman" w:hAnsi="Times New Roman" w:cs="Times New Roman"/>
          <w:szCs w:val="24"/>
        </w:rPr>
        <w:t>. https://icrier.org/publications/</w:t>
      </w:r>
    </w:p>
    <w:p w14:paraId="2CE072B7"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 xml:space="preserve">Jaffee, S., &amp; Henson, S. (2004). The role of standards in international trade of agricultural products. </w:t>
      </w:r>
      <w:r w:rsidRPr="00067FB0">
        <w:rPr>
          <w:rFonts w:ascii="Times New Roman" w:hAnsi="Times New Roman" w:cs="Times New Roman"/>
          <w:i/>
          <w:iCs/>
          <w:szCs w:val="24"/>
        </w:rPr>
        <w:t>Food Policy</w:t>
      </w:r>
      <w:r w:rsidRPr="00067FB0">
        <w:rPr>
          <w:rFonts w:ascii="Times New Roman" w:hAnsi="Times New Roman" w:cs="Times New Roman"/>
          <w:szCs w:val="24"/>
        </w:rPr>
        <w:t>, 29(1), 85-107. https://doi.org/10.1016/j.foodpol.2003.12.001</w:t>
      </w:r>
    </w:p>
    <w:p w14:paraId="399D8FE0"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 xml:space="preserve">Kumar, S., &amp; Kapoor, R. (2021). Export intensity and competitiveness of India’s agricultural exports to the EU. </w:t>
      </w:r>
      <w:r w:rsidRPr="00067FB0">
        <w:rPr>
          <w:rFonts w:ascii="Times New Roman" w:hAnsi="Times New Roman" w:cs="Times New Roman"/>
          <w:i/>
          <w:iCs/>
          <w:szCs w:val="24"/>
        </w:rPr>
        <w:t>Agricultural Economics</w:t>
      </w:r>
      <w:r w:rsidRPr="00067FB0">
        <w:rPr>
          <w:rFonts w:ascii="Times New Roman" w:hAnsi="Times New Roman" w:cs="Times New Roman"/>
          <w:szCs w:val="24"/>
        </w:rPr>
        <w:t>, 55(3), 291-303. https://doi.org/10.1111/agec.12750</w:t>
      </w:r>
    </w:p>
    <w:p w14:paraId="6CA56375"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 xml:space="preserve">Mehta, S., &amp; Kumar, N. (2023). The impact of certification and </w:t>
      </w:r>
      <w:proofErr w:type="spellStart"/>
      <w:r w:rsidRPr="00067FB0">
        <w:rPr>
          <w:rFonts w:ascii="Times New Roman" w:hAnsi="Times New Roman" w:cs="Times New Roman"/>
          <w:szCs w:val="24"/>
        </w:rPr>
        <w:t>labeling</w:t>
      </w:r>
      <w:proofErr w:type="spellEnd"/>
      <w:r w:rsidRPr="00067FB0">
        <w:rPr>
          <w:rFonts w:ascii="Times New Roman" w:hAnsi="Times New Roman" w:cs="Times New Roman"/>
          <w:szCs w:val="24"/>
        </w:rPr>
        <w:t xml:space="preserve"> barriers on India’s organic exports to the EU. </w:t>
      </w:r>
      <w:r w:rsidRPr="00067FB0">
        <w:rPr>
          <w:rFonts w:ascii="Times New Roman" w:hAnsi="Times New Roman" w:cs="Times New Roman"/>
          <w:i/>
          <w:iCs/>
          <w:szCs w:val="24"/>
        </w:rPr>
        <w:t>International Journal of Agricultural Economics</w:t>
      </w:r>
      <w:r w:rsidRPr="00067FB0">
        <w:rPr>
          <w:rFonts w:ascii="Times New Roman" w:hAnsi="Times New Roman" w:cs="Times New Roman"/>
          <w:szCs w:val="24"/>
        </w:rPr>
        <w:t>, 55(2), 114-132. https://doi.org/10.1016/j.ijageo.2023.01.015</w:t>
      </w:r>
    </w:p>
    <w:p w14:paraId="1FE56C9A"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 xml:space="preserve">Narayanan, K. (2020). India's agricultural exports: Challenges in meeting EU standards. </w:t>
      </w:r>
      <w:r w:rsidRPr="00067FB0">
        <w:rPr>
          <w:rFonts w:ascii="Times New Roman" w:hAnsi="Times New Roman" w:cs="Times New Roman"/>
          <w:i/>
          <w:iCs/>
          <w:szCs w:val="24"/>
        </w:rPr>
        <w:t>Journal of Agricultural Trade</w:t>
      </w:r>
      <w:r w:rsidRPr="00067FB0">
        <w:rPr>
          <w:rFonts w:ascii="Times New Roman" w:hAnsi="Times New Roman" w:cs="Times New Roman"/>
          <w:szCs w:val="24"/>
        </w:rPr>
        <w:t>, 34(2), 99-118. https://doi.org/10.1080/0143656X.2020.1753562</w:t>
      </w:r>
    </w:p>
    <w:p w14:paraId="3F841567" w14:textId="77777777" w:rsidR="00067FB0" w:rsidRPr="00067FB0" w:rsidRDefault="00067FB0" w:rsidP="00067FB0">
      <w:pPr>
        <w:jc w:val="both"/>
        <w:rPr>
          <w:rFonts w:ascii="Times New Roman" w:hAnsi="Times New Roman" w:cs="Times New Roman"/>
          <w:szCs w:val="24"/>
        </w:rPr>
      </w:pPr>
      <w:r w:rsidRPr="00067FB0">
        <w:rPr>
          <w:rFonts w:ascii="Times New Roman" w:hAnsi="Times New Roman" w:cs="Times New Roman"/>
          <w:szCs w:val="24"/>
        </w:rPr>
        <w:t xml:space="preserve">Sharma, R., &amp; Saini, N. (2016). Strategies for enhancing India’s agricultural exports to the EU. </w:t>
      </w:r>
      <w:r w:rsidRPr="00067FB0">
        <w:rPr>
          <w:rFonts w:ascii="Times New Roman" w:hAnsi="Times New Roman" w:cs="Times New Roman"/>
          <w:i/>
          <w:iCs/>
          <w:szCs w:val="24"/>
        </w:rPr>
        <w:t>World Development</w:t>
      </w:r>
      <w:r w:rsidRPr="00067FB0">
        <w:rPr>
          <w:rFonts w:ascii="Times New Roman" w:hAnsi="Times New Roman" w:cs="Times New Roman"/>
          <w:szCs w:val="24"/>
        </w:rPr>
        <w:t>, 89(4), 51-63. https://doi.org/10.1016/j.worlddev.2016.07.006</w:t>
      </w:r>
    </w:p>
    <w:p w14:paraId="6A79EE33" w14:textId="77777777" w:rsidR="00067FB0" w:rsidRPr="00A61CE4" w:rsidRDefault="00067FB0" w:rsidP="00067FB0">
      <w:pPr>
        <w:jc w:val="both"/>
        <w:rPr>
          <w:rFonts w:ascii="Times New Roman" w:hAnsi="Times New Roman" w:cs="Times New Roman"/>
          <w:szCs w:val="24"/>
        </w:rPr>
      </w:pPr>
    </w:p>
    <w:sectPr w:rsidR="00067FB0" w:rsidRPr="00A61C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B9F"/>
    <w:multiLevelType w:val="multilevel"/>
    <w:tmpl w:val="6798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D2C9D"/>
    <w:multiLevelType w:val="multilevel"/>
    <w:tmpl w:val="6A46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1B6BFA"/>
    <w:multiLevelType w:val="multilevel"/>
    <w:tmpl w:val="2474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155C3"/>
    <w:multiLevelType w:val="multilevel"/>
    <w:tmpl w:val="CC52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AE5640"/>
    <w:multiLevelType w:val="multilevel"/>
    <w:tmpl w:val="4564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5D6259"/>
    <w:multiLevelType w:val="multilevel"/>
    <w:tmpl w:val="55E0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203533"/>
    <w:multiLevelType w:val="multilevel"/>
    <w:tmpl w:val="5390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38290">
    <w:abstractNumId w:val="6"/>
  </w:num>
  <w:num w:numId="2" w16cid:durableId="73818033">
    <w:abstractNumId w:val="0"/>
  </w:num>
  <w:num w:numId="3" w16cid:durableId="1326737704">
    <w:abstractNumId w:val="3"/>
  </w:num>
  <w:num w:numId="4" w16cid:durableId="1484003367">
    <w:abstractNumId w:val="1"/>
  </w:num>
  <w:num w:numId="5" w16cid:durableId="629014672">
    <w:abstractNumId w:val="2"/>
  </w:num>
  <w:num w:numId="6" w16cid:durableId="707217775">
    <w:abstractNumId w:val="5"/>
  </w:num>
  <w:num w:numId="7" w16cid:durableId="1870298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2C"/>
    <w:rsid w:val="00067FB0"/>
    <w:rsid w:val="0034792C"/>
    <w:rsid w:val="005C21C1"/>
    <w:rsid w:val="00A61CE4"/>
    <w:rsid w:val="00F046B7"/>
    <w:rsid w:val="00F46E0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C0F8"/>
  <w15:chartTrackingRefBased/>
  <w15:docId w15:val="{D96BF5EE-6327-45BA-8CDD-310F804B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92C"/>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34792C"/>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34792C"/>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3479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9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92C"/>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34792C"/>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34792C"/>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3479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9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92C"/>
    <w:rPr>
      <w:rFonts w:eastAsiaTheme="majorEastAsia" w:cstheme="majorBidi"/>
      <w:color w:val="272727" w:themeColor="text1" w:themeTint="D8"/>
    </w:rPr>
  </w:style>
  <w:style w:type="paragraph" w:styleId="Title">
    <w:name w:val="Title"/>
    <w:basedOn w:val="Normal"/>
    <w:next w:val="Normal"/>
    <w:link w:val="TitleChar"/>
    <w:uiPriority w:val="10"/>
    <w:qFormat/>
    <w:rsid w:val="0034792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4792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4792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4792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4792C"/>
    <w:pPr>
      <w:spacing w:before="160"/>
      <w:jc w:val="center"/>
    </w:pPr>
    <w:rPr>
      <w:i/>
      <w:iCs/>
      <w:color w:val="404040" w:themeColor="text1" w:themeTint="BF"/>
    </w:rPr>
  </w:style>
  <w:style w:type="character" w:customStyle="1" w:styleId="QuoteChar">
    <w:name w:val="Quote Char"/>
    <w:basedOn w:val="DefaultParagraphFont"/>
    <w:link w:val="Quote"/>
    <w:uiPriority w:val="29"/>
    <w:rsid w:val="0034792C"/>
    <w:rPr>
      <w:i/>
      <w:iCs/>
      <w:color w:val="404040" w:themeColor="text1" w:themeTint="BF"/>
    </w:rPr>
  </w:style>
  <w:style w:type="paragraph" w:styleId="ListParagraph">
    <w:name w:val="List Paragraph"/>
    <w:basedOn w:val="Normal"/>
    <w:uiPriority w:val="34"/>
    <w:qFormat/>
    <w:rsid w:val="0034792C"/>
    <w:pPr>
      <w:ind w:left="720"/>
      <w:contextualSpacing/>
    </w:pPr>
  </w:style>
  <w:style w:type="character" w:styleId="IntenseEmphasis">
    <w:name w:val="Intense Emphasis"/>
    <w:basedOn w:val="DefaultParagraphFont"/>
    <w:uiPriority w:val="21"/>
    <w:qFormat/>
    <w:rsid w:val="0034792C"/>
    <w:rPr>
      <w:i/>
      <w:iCs/>
      <w:color w:val="0F4761" w:themeColor="accent1" w:themeShade="BF"/>
    </w:rPr>
  </w:style>
  <w:style w:type="paragraph" w:styleId="IntenseQuote">
    <w:name w:val="Intense Quote"/>
    <w:basedOn w:val="Normal"/>
    <w:next w:val="Normal"/>
    <w:link w:val="IntenseQuoteChar"/>
    <w:uiPriority w:val="30"/>
    <w:qFormat/>
    <w:rsid w:val="00347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92C"/>
    <w:rPr>
      <w:i/>
      <w:iCs/>
      <w:color w:val="0F4761" w:themeColor="accent1" w:themeShade="BF"/>
    </w:rPr>
  </w:style>
  <w:style w:type="character" w:styleId="IntenseReference">
    <w:name w:val="Intense Reference"/>
    <w:basedOn w:val="DefaultParagraphFont"/>
    <w:uiPriority w:val="32"/>
    <w:qFormat/>
    <w:rsid w:val="0034792C"/>
    <w:rPr>
      <w:b/>
      <w:bCs/>
      <w:smallCaps/>
      <w:color w:val="0F4761" w:themeColor="accent1" w:themeShade="BF"/>
      <w:spacing w:val="5"/>
    </w:rPr>
  </w:style>
  <w:style w:type="character" w:styleId="Hyperlink">
    <w:name w:val="Hyperlink"/>
    <w:basedOn w:val="DefaultParagraphFont"/>
    <w:uiPriority w:val="99"/>
    <w:unhideWhenUsed/>
    <w:rsid w:val="00067FB0"/>
    <w:rPr>
      <w:color w:val="467886" w:themeColor="hyperlink"/>
      <w:u w:val="single"/>
    </w:rPr>
  </w:style>
  <w:style w:type="character" w:styleId="UnresolvedMention">
    <w:name w:val="Unresolved Mention"/>
    <w:basedOn w:val="DefaultParagraphFont"/>
    <w:uiPriority w:val="99"/>
    <w:semiHidden/>
    <w:unhideWhenUsed/>
    <w:rsid w:val="00067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licyuncertainty.com/" TargetMode="External"/><Relationship Id="rId5" Type="http://schemas.openxmlformats.org/officeDocument/2006/relationships/hyperlink" Target="https://www.wto.org/english/tratop_e/dispu_e/dispu_status_e.htm?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4914</Words>
  <Characters>28014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Saravanan Sengunthar</dc:creator>
  <cp:keywords/>
  <dc:description/>
  <cp:lastModifiedBy>Saravanan Sengunthar</cp:lastModifiedBy>
  <cp:revision>4</cp:revision>
  <dcterms:created xsi:type="dcterms:W3CDTF">2025-09-26T11:59:00Z</dcterms:created>
  <dcterms:modified xsi:type="dcterms:W3CDTF">2025-09-26T12:34:00Z</dcterms:modified>
</cp:coreProperties>
</file>