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8309" w14:textId="77777777" w:rsidR="00EF2FA1" w:rsidRPr="00EF2FA1" w:rsidRDefault="00EF2FA1" w:rsidP="003327C7">
      <w:pPr>
        <w:spacing w:line="240" w:lineRule="auto"/>
        <w:contextualSpacing/>
        <w:jc w:val="center"/>
        <w:rPr>
          <w:rFonts w:ascii="Times New Roman" w:hAnsi="Times New Roman" w:cs="Times New Roman"/>
          <w:b/>
          <w:bCs/>
          <w:sz w:val="24"/>
          <w:szCs w:val="24"/>
        </w:rPr>
      </w:pPr>
      <w:r w:rsidRPr="00EF2FA1">
        <w:rPr>
          <w:rFonts w:ascii="Times New Roman" w:hAnsi="Times New Roman" w:cs="Times New Roman"/>
          <w:b/>
          <w:bCs/>
          <w:sz w:val="24"/>
          <w:szCs w:val="24"/>
        </w:rPr>
        <w:t>Education Spending and Economic Growth in Kenya: Disaggregated Effects by Level – An ARDL Study</w:t>
      </w:r>
    </w:p>
    <w:p w14:paraId="1F11EC5A" w14:textId="523164A7" w:rsidR="00C70795" w:rsidRPr="00C70795" w:rsidRDefault="00C70795" w:rsidP="003327C7">
      <w:pPr>
        <w:spacing w:line="240" w:lineRule="auto"/>
        <w:contextualSpacing/>
        <w:jc w:val="center"/>
        <w:rPr>
          <w:rFonts w:ascii="Times New Roman" w:hAnsi="Times New Roman" w:cs="Times New Roman"/>
          <w:sz w:val="24"/>
          <w:szCs w:val="24"/>
        </w:rPr>
      </w:pPr>
      <w:proofErr w:type="spellStart"/>
      <w:r w:rsidRPr="00C70795">
        <w:rPr>
          <w:rFonts w:ascii="Times New Roman" w:hAnsi="Times New Roman" w:cs="Times New Roman"/>
          <w:sz w:val="24"/>
          <w:szCs w:val="24"/>
        </w:rPr>
        <w:t/>
      </w:r>
      <w:proofErr w:type="spellEnd"/>
      <w:r w:rsidRPr="00C70795">
        <w:rPr>
          <w:rFonts w:ascii="Times New Roman" w:hAnsi="Times New Roman" w:cs="Times New Roman"/>
          <w:sz w:val="24"/>
          <w:szCs w:val="24"/>
        </w:rPr>
        <w:t xml:space="preserve"/>
      </w:r>
    </w:p>
    <w:p w14:paraId="0DA50ABF" w14:textId="4BEF394D" w:rsidR="00C70795" w:rsidRPr="00C70795" w:rsidRDefault="00C70795" w:rsidP="003327C7">
      <w:pPr>
        <w:spacing w:line="240" w:lineRule="auto"/>
        <w:contextualSpacing/>
        <w:jc w:val="center"/>
        <w:rPr>
          <w:rFonts w:ascii="Times New Roman" w:hAnsi="Times New Roman" w:cs="Times New Roman"/>
          <w:sz w:val="24"/>
          <w:szCs w:val="24"/>
        </w:rPr>
      </w:pPr>
      <w:r w:rsidRPr="00C70795">
        <w:rPr>
          <w:rFonts w:ascii="Times New Roman" w:hAnsi="Times New Roman" w:cs="Times New Roman"/>
          <w:sz w:val="24"/>
          <w:szCs w:val="24"/>
        </w:rPr>
        <w:t/>
      </w:r>
    </w:p>
    <w:p w14:paraId="0F99F0E5" w14:textId="079A310E" w:rsidR="00C70795" w:rsidRDefault="00C70795" w:rsidP="002C05F6">
      <w:pPr>
        <w:spacing w:line="240" w:lineRule="auto"/>
        <w:contextualSpacing/>
        <w:jc w:val="center"/>
        <w:rPr>
          <w:rFonts w:ascii="Times New Roman" w:hAnsi="Times New Roman" w:cs="Times New Roman"/>
          <w:sz w:val="24"/>
          <w:szCs w:val="24"/>
        </w:rPr>
      </w:pPr>
      <w:r w:rsidRPr="002C05F6">
        <w:rPr>
          <w:rFonts w:ascii="Times New Roman" w:hAnsi="Times New Roman" w:cs="Times New Roman"/>
          <w:sz w:val="24"/>
          <w:szCs w:val="24"/>
        </w:rPr>
        <w:t/>
      </w:r>
      <w:r w:rsidR="002C05F6">
        <w:rPr>
          <w:rFonts w:ascii="Times New Roman" w:hAnsi="Times New Roman" w:cs="Times New Roman"/>
          <w:sz w:val="24"/>
          <w:szCs w:val="24"/>
        </w:rPr>
        <w:t xml:space="preserve"/>
      </w:r>
      <w:r w:rsidR="0096732B">
        <w:rPr>
          <w:rFonts w:ascii="Times New Roman" w:hAnsi="Times New Roman" w:cs="Times New Roman"/>
          <w:sz w:val="24"/>
          <w:szCs w:val="24"/>
        </w:rPr>
        <w:t xml:space="preserve"/>
      </w:r>
      <w:hyperlink r:id="rId7" w:history="1">
        <w:r w:rsidR="00CB1D7B" w:rsidRPr="00BC2699">
          <w:rPr>
            <w:rStyle w:val="Hyperlink"/>
            <w:rFonts w:ascii="Times New Roman" w:hAnsi="Times New Roman" w:cs="Times New Roman"/>
            <w:sz w:val="24"/>
            <w:szCs w:val="24"/>
          </w:rPr>
          <w:t/>
        </w:r>
      </w:hyperlink>
    </w:p>
    <w:p w14:paraId="70F1C05F" w14:textId="77777777" w:rsidR="00CB1D7B" w:rsidRDefault="00CB1D7B" w:rsidP="002C05F6">
      <w:pPr>
        <w:spacing w:line="240" w:lineRule="auto"/>
        <w:contextualSpacing/>
        <w:jc w:val="center"/>
        <w:rPr>
          <w:rFonts w:ascii="Times New Roman" w:hAnsi="Times New Roman" w:cs="Times New Roman"/>
          <w:sz w:val="24"/>
          <w:szCs w:val="24"/>
        </w:rPr>
      </w:pPr>
    </w:p>
    <w:p w14:paraId="0E9E0368" w14:textId="77777777" w:rsidR="00C70795" w:rsidRPr="00C70795" w:rsidRDefault="00C70795" w:rsidP="00911184">
      <w:pPr>
        <w:spacing w:after="0" w:line="240" w:lineRule="auto"/>
        <w:contextualSpacing/>
        <w:jc w:val="both"/>
        <w:rPr>
          <w:rFonts w:ascii="Times New Roman" w:hAnsi="Times New Roman" w:cs="Times New Roman"/>
          <w:b/>
          <w:bCs/>
          <w:sz w:val="24"/>
          <w:szCs w:val="24"/>
        </w:rPr>
      </w:pPr>
      <w:r w:rsidRPr="00C70795">
        <w:rPr>
          <w:rFonts w:ascii="Times New Roman" w:hAnsi="Times New Roman" w:cs="Times New Roman"/>
          <w:b/>
          <w:bCs/>
          <w:sz w:val="24"/>
          <w:szCs w:val="24"/>
        </w:rPr>
        <w:t>ABSTRACT</w:t>
      </w:r>
    </w:p>
    <w:p w14:paraId="3A33B5EC" w14:textId="3B2D6714" w:rsidR="009C3E3C" w:rsidRPr="009C3E3C" w:rsidRDefault="009C3E3C" w:rsidP="00911184">
      <w:pPr>
        <w:pStyle w:val="NormalWeb"/>
        <w:contextualSpacing/>
        <w:jc w:val="both"/>
      </w:pPr>
      <w:r w:rsidRPr="009C3E3C">
        <w:t>Kenya has massively invested in education and government spending, but the economy is growing at an average pace, which is an area of concern on the adequacy of expenditure for the constituency. This paper focuses on the comparison of the impact of expenditure on primary, secondary, and tertiary education on economic growth in Kenya between 1971 and 2023. Through the Autoregressive Distributed Lag (ARDL) bounds testing model, the analysis estimates both the short run and long run associations, with the adjustment taking into account gross fixed capital formation (GFCF), trade openness, foreign direct investment (FDI), population growth, and a structural adjustment program (SAP) dummy. The error correction value is negative and significant at the 1 percent level (ECT = -1.074, p &lt; 0.001), which proves the quick adaptation to the long-run equilibrium. Primary education expenditure has a positive and significant impact at the 1% level (β = 4.377, p = 0.002); secondary education expenditure has a negative impact at the 10% level (β = -2.735, p = 0.097); tertiary education expenditure has no significant impact at the traditional level. Gross fixed capital formation has a positive long-run effect at the 1% level (β = 0.991, p = 0.000), while population growth has a negative long-run effect at the 10% level (β = –2.207, p = 0.058). There is no statistical significance of trade openness, FDI, and SAP dummy. Primary education spending is negative and significant (0.072) at the 10% level (</w:t>
      </w:r>
      <w:r w:rsidR="00612A34">
        <w:t>β</w:t>
      </w:r>
      <w:r w:rsidRPr="009C3E3C">
        <w:t>= -2.103), whereas secondary education spending has a positive short-run impact (</w:t>
      </w:r>
      <w:r w:rsidR="00612A34" w:rsidRPr="009C3E3C">
        <w:t>β</w:t>
      </w:r>
      <w:r w:rsidRPr="009C3E3C">
        <w:t>= 2.697) at the 10% level. GFCF in the short run is negative and significant at the 10% level (β = –0.527, p = 0.068). These results demonstrate that primary education alone has the same benefits in the long term. The findings indicate that primary education funding efficiency should be a priority and secondary and tertiary education should be aligned to the needs of the labor market to convert education investment to sustainable economic development.</w:t>
      </w:r>
    </w:p>
    <w:p w14:paraId="6A028312" w14:textId="77777777" w:rsidR="003040EE" w:rsidRDefault="003040EE" w:rsidP="00911184">
      <w:pPr>
        <w:pStyle w:val="NormalWeb"/>
        <w:contextualSpacing/>
        <w:jc w:val="both"/>
      </w:pPr>
      <w:r>
        <w:rPr>
          <w:rStyle w:val="Strong"/>
        </w:rPr>
        <w:t>Keywords:</w:t>
      </w:r>
      <w:r>
        <w:t xml:space="preserve"> Education expenditure; Economic growth; ARDL; Human capital, Kenya</w:t>
      </w:r>
    </w:p>
    <w:p w14:paraId="1839D43B"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w:t>
      </w:r>
    </w:p>
    <w:p w14:paraId="7D8F8C22" w14:textId="77777777"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1. INTRODUCTION</w:t>
      </w:r>
    </w:p>
    <w:p w14:paraId="06FFF71B"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Education has become a universal pillar of economic growth and, as a result, labor efficiency, innovation, and social fairness (UNESCO, 2023; Pal, 2023). Goal number 4 of the United Nations Sustainable Development </w:t>
      </w:r>
      <w:proofErr w:type="spellStart"/>
      <w:r w:rsidRPr="003040EE">
        <w:rPr>
          <w:rFonts w:ascii="Times New Roman" w:hAnsi="Times New Roman" w:cs="Times New Roman"/>
          <w:sz w:val="24"/>
          <w:szCs w:val="24"/>
        </w:rPr>
        <w:t>Programme</w:t>
      </w:r>
      <w:proofErr w:type="spellEnd"/>
      <w:r w:rsidRPr="003040EE">
        <w:rPr>
          <w:rFonts w:ascii="Times New Roman" w:hAnsi="Times New Roman" w:cs="Times New Roman"/>
          <w:sz w:val="24"/>
          <w:szCs w:val="24"/>
        </w:rPr>
        <w:t xml:space="preserve"> (SDG 4) focuses on quality education, which is inclusive and equitable, as a tool for creating resilient societies. Public expenditure on education has been high in Kenya, with the government spending 27.4% of the national budget in the 2023/2024 financial year (KNBS, 2023), but average GDP growth has been moderate at 5-6% per year, a far cry compared to the 10% target under Vision 2030. This disjunction provokes important concerns regarding the best investments and efficacy of education.</w:t>
      </w:r>
    </w:p>
    <w:p w14:paraId="5886B94D" w14:textId="77777777" w:rsidR="003327C7" w:rsidRDefault="003327C7" w:rsidP="00911184">
      <w:pPr>
        <w:spacing w:line="240" w:lineRule="auto"/>
        <w:contextualSpacing/>
        <w:jc w:val="both"/>
        <w:rPr>
          <w:rFonts w:ascii="Times New Roman" w:hAnsi="Times New Roman" w:cs="Times New Roman"/>
          <w:sz w:val="24"/>
          <w:szCs w:val="24"/>
        </w:rPr>
      </w:pPr>
    </w:p>
    <w:p w14:paraId="24B778F0" w14:textId="3D281BBB"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There is a lot of research on the relationship between education spending and economic growth, but most have dwelled on aggregate expenditure and have ignored the important role played by primary, secondary, and tertiary education. Recent literature underlines that it is necessary to </w:t>
      </w:r>
      <w:r w:rsidRPr="003040EE">
        <w:rPr>
          <w:rFonts w:ascii="Times New Roman" w:hAnsi="Times New Roman" w:cs="Times New Roman"/>
          <w:sz w:val="24"/>
          <w:szCs w:val="24"/>
        </w:rPr>
        <w:lastRenderedPageBreak/>
        <w:t>disaggregate education expenditure by level since each level has various gestation periods, labor market connections, and productivity gains potential (Bah, 2023; Liu et al., 2025; Nechifor et al., 2021). In low-income countries, the returns to primary education tend to be the most social, whereas secondary and higher education might have to be accompanied by the complementary industrial-institutional reforms to become growth-enhancing (Goczek et al., 2021).</w:t>
      </w:r>
    </w:p>
    <w:p w14:paraId="11F0AB69" w14:textId="77777777" w:rsidR="003327C7" w:rsidRDefault="003327C7" w:rsidP="00911184">
      <w:pPr>
        <w:spacing w:line="240" w:lineRule="auto"/>
        <w:contextualSpacing/>
        <w:jc w:val="both"/>
        <w:rPr>
          <w:rFonts w:ascii="Times New Roman" w:hAnsi="Times New Roman" w:cs="Times New Roman"/>
          <w:sz w:val="24"/>
          <w:szCs w:val="24"/>
        </w:rPr>
      </w:pPr>
    </w:p>
    <w:p w14:paraId="2DA75685" w14:textId="437F9E82"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In Kenya, little focus has been put on powerful time series models to identify both short-run and long-run dynamics with mixed-order integrated variables. The available literature employs either simple correlation procedures or aggregate education spending or does not manage to account for such important macroeconomic variables as gross fixed capital formation, trade openness, and population growth (</w:t>
      </w:r>
      <w:proofErr w:type="spellStart"/>
      <w:r w:rsidRPr="003040EE">
        <w:rPr>
          <w:rFonts w:ascii="Times New Roman" w:hAnsi="Times New Roman" w:cs="Times New Roman"/>
          <w:sz w:val="24"/>
          <w:szCs w:val="24"/>
        </w:rPr>
        <w:t>Odundo</w:t>
      </w:r>
      <w:proofErr w:type="spellEnd"/>
      <w:r w:rsidRPr="003040EE">
        <w:rPr>
          <w:rFonts w:ascii="Times New Roman" w:hAnsi="Times New Roman" w:cs="Times New Roman"/>
          <w:sz w:val="24"/>
          <w:szCs w:val="24"/>
        </w:rPr>
        <w:t xml:space="preserve"> &amp; </w:t>
      </w:r>
      <w:proofErr w:type="spellStart"/>
      <w:r w:rsidRPr="003040EE">
        <w:rPr>
          <w:rFonts w:ascii="Times New Roman" w:hAnsi="Times New Roman" w:cs="Times New Roman"/>
          <w:sz w:val="24"/>
          <w:szCs w:val="24"/>
        </w:rPr>
        <w:t>Wanjala</w:t>
      </w:r>
      <w:proofErr w:type="spellEnd"/>
      <w:r w:rsidRPr="003040EE">
        <w:rPr>
          <w:rFonts w:ascii="Times New Roman" w:hAnsi="Times New Roman" w:cs="Times New Roman"/>
          <w:sz w:val="24"/>
          <w:szCs w:val="24"/>
        </w:rPr>
        <w:t xml:space="preserve">, 2015; Ochieng &amp; Kibera, 2016; Kimani &amp; </w:t>
      </w:r>
      <w:proofErr w:type="spellStart"/>
      <w:r w:rsidRPr="003040EE">
        <w:rPr>
          <w:rFonts w:ascii="Times New Roman" w:hAnsi="Times New Roman" w:cs="Times New Roman"/>
          <w:sz w:val="24"/>
          <w:szCs w:val="24"/>
        </w:rPr>
        <w:t>Maingi</w:t>
      </w:r>
      <w:proofErr w:type="spellEnd"/>
      <w:r w:rsidRPr="003040EE">
        <w:rPr>
          <w:rFonts w:ascii="Times New Roman" w:hAnsi="Times New Roman" w:cs="Times New Roman"/>
          <w:sz w:val="24"/>
          <w:szCs w:val="24"/>
        </w:rPr>
        <w:t>, 2021). Additionally, the institutional quality and governance as moderators of the education growth nexus have not been sufficiently studied in the Kenyan environment (</w:t>
      </w:r>
      <w:proofErr w:type="spellStart"/>
      <w:r w:rsidRPr="003040EE">
        <w:rPr>
          <w:rFonts w:ascii="Times New Roman" w:hAnsi="Times New Roman" w:cs="Times New Roman"/>
          <w:sz w:val="24"/>
          <w:szCs w:val="24"/>
        </w:rPr>
        <w:t>Alfoul</w:t>
      </w:r>
      <w:proofErr w:type="spellEnd"/>
      <w:r w:rsidRPr="003040EE">
        <w:rPr>
          <w:rFonts w:ascii="Times New Roman" w:hAnsi="Times New Roman" w:cs="Times New Roman"/>
          <w:sz w:val="24"/>
          <w:szCs w:val="24"/>
        </w:rPr>
        <w:t xml:space="preserve"> et al., 2024; Odhiambo, 2024; </w:t>
      </w:r>
      <w:proofErr w:type="spellStart"/>
      <w:r w:rsidRPr="003040EE">
        <w:rPr>
          <w:rFonts w:ascii="Times New Roman" w:hAnsi="Times New Roman" w:cs="Times New Roman"/>
          <w:sz w:val="24"/>
          <w:szCs w:val="24"/>
        </w:rPr>
        <w:t>Bounahr</w:t>
      </w:r>
      <w:proofErr w:type="spellEnd"/>
      <w:r w:rsidRPr="003040EE">
        <w:rPr>
          <w:rFonts w:ascii="Times New Roman" w:hAnsi="Times New Roman" w:cs="Times New Roman"/>
          <w:sz w:val="24"/>
          <w:szCs w:val="24"/>
        </w:rPr>
        <w:t xml:space="preserve"> and Khattab, 2025).</w:t>
      </w:r>
    </w:p>
    <w:p w14:paraId="05258714" w14:textId="77777777" w:rsidR="003327C7" w:rsidRDefault="003327C7" w:rsidP="00911184">
      <w:pPr>
        <w:spacing w:line="240" w:lineRule="auto"/>
        <w:contextualSpacing/>
        <w:jc w:val="both"/>
        <w:rPr>
          <w:rFonts w:ascii="Times New Roman" w:hAnsi="Times New Roman" w:cs="Times New Roman"/>
          <w:sz w:val="24"/>
          <w:szCs w:val="24"/>
        </w:rPr>
      </w:pPr>
    </w:p>
    <w:p w14:paraId="07AF0329" w14:textId="58EC87E0"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This paper fills these gaps by using an Autoregressive Distributed Lag (ARDL) bounds testing model (</w:t>
      </w:r>
      <w:proofErr w:type="spellStart"/>
      <w:r w:rsidRPr="003040EE">
        <w:rPr>
          <w:rFonts w:ascii="Times New Roman" w:hAnsi="Times New Roman" w:cs="Times New Roman"/>
          <w:sz w:val="24"/>
          <w:szCs w:val="24"/>
        </w:rPr>
        <w:t>Pesaran</w:t>
      </w:r>
      <w:proofErr w:type="spellEnd"/>
      <w:r w:rsidRPr="003040EE">
        <w:rPr>
          <w:rFonts w:ascii="Times New Roman" w:hAnsi="Times New Roman" w:cs="Times New Roman"/>
          <w:sz w:val="24"/>
          <w:szCs w:val="24"/>
        </w:rPr>
        <w:t xml:space="preserve"> et al., 2001) to estimate the differing impacts of primary, secondary, and tertiary expenditures on education on economic growth in Kenya between the years 1971 and 2023. This analysis best fits the ARDL model since the model supports a combination of </w:t>
      </w:r>
      <w:proofErr w:type="gramStart"/>
      <w:r w:rsidRPr="003040EE">
        <w:rPr>
          <w:rFonts w:ascii="Times New Roman" w:hAnsi="Times New Roman" w:cs="Times New Roman"/>
          <w:sz w:val="24"/>
          <w:szCs w:val="24"/>
        </w:rPr>
        <w:t>I(</w:t>
      </w:r>
      <w:proofErr w:type="gramEnd"/>
      <w:r w:rsidRPr="003040EE">
        <w:rPr>
          <w:rFonts w:ascii="Times New Roman" w:hAnsi="Times New Roman" w:cs="Times New Roman"/>
          <w:sz w:val="24"/>
          <w:szCs w:val="24"/>
        </w:rPr>
        <w:t>0) and I(1) variables, offers consistent estimates at small samples, and separates short-run dynamics and long-run equilibrium relationships.</w:t>
      </w:r>
    </w:p>
    <w:p w14:paraId="3A710A75" w14:textId="77777777" w:rsidR="003327C7" w:rsidRDefault="003327C7" w:rsidP="00911184">
      <w:pPr>
        <w:spacing w:line="240" w:lineRule="auto"/>
        <w:contextualSpacing/>
        <w:jc w:val="both"/>
        <w:rPr>
          <w:rFonts w:ascii="Times New Roman" w:hAnsi="Times New Roman" w:cs="Times New Roman"/>
          <w:sz w:val="24"/>
          <w:szCs w:val="24"/>
        </w:rPr>
      </w:pPr>
    </w:p>
    <w:p w14:paraId="60190360" w14:textId="0BBBB08F"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The paper has three contributions. First, it provides disaggregated evidence on the growth effects of education spending in a lower middle-income African country, where such evidence is scarce (</w:t>
      </w:r>
      <w:proofErr w:type="spellStart"/>
      <w:r w:rsidRPr="003040EE">
        <w:rPr>
          <w:rFonts w:ascii="Times New Roman" w:hAnsi="Times New Roman" w:cs="Times New Roman"/>
          <w:sz w:val="24"/>
          <w:szCs w:val="24"/>
        </w:rPr>
        <w:t>Sele</w:t>
      </w:r>
      <w:proofErr w:type="spellEnd"/>
      <w:r w:rsidRPr="003040EE">
        <w:rPr>
          <w:rFonts w:ascii="Times New Roman" w:hAnsi="Times New Roman" w:cs="Times New Roman"/>
          <w:sz w:val="24"/>
          <w:szCs w:val="24"/>
        </w:rPr>
        <w:t xml:space="preserve"> &amp; Wanjiku, 2024; </w:t>
      </w:r>
      <w:proofErr w:type="spellStart"/>
      <w:r w:rsidRPr="003040EE">
        <w:rPr>
          <w:rFonts w:ascii="Times New Roman" w:hAnsi="Times New Roman" w:cs="Times New Roman"/>
          <w:sz w:val="24"/>
          <w:szCs w:val="24"/>
        </w:rPr>
        <w:t>Ngigi</w:t>
      </w:r>
      <w:proofErr w:type="spellEnd"/>
      <w:r w:rsidRPr="003040EE">
        <w:rPr>
          <w:rFonts w:ascii="Times New Roman" w:hAnsi="Times New Roman" w:cs="Times New Roman"/>
          <w:sz w:val="24"/>
          <w:szCs w:val="24"/>
        </w:rPr>
        <w:t xml:space="preserve"> et al., 2024). Second, it employs a long-time (53 years) ARDL bounds testing technique that is methodologically superior to conventional cointegration tests. Third, it presents detailed policy suggestions regarding the reallocation of education expenditures to achieve optimal economic growth in the long run and has implications in other sub-Saharan African countries with similar structural issues (</w:t>
      </w:r>
      <w:proofErr w:type="spellStart"/>
      <w:r w:rsidRPr="003040EE">
        <w:rPr>
          <w:rFonts w:ascii="Times New Roman" w:hAnsi="Times New Roman" w:cs="Times New Roman"/>
          <w:sz w:val="24"/>
          <w:szCs w:val="24"/>
        </w:rPr>
        <w:t>Zickafoose</w:t>
      </w:r>
      <w:proofErr w:type="spellEnd"/>
      <w:r w:rsidRPr="003040EE">
        <w:rPr>
          <w:rFonts w:ascii="Times New Roman" w:hAnsi="Times New Roman" w:cs="Times New Roman"/>
          <w:sz w:val="24"/>
          <w:szCs w:val="24"/>
        </w:rPr>
        <w:t xml:space="preserve"> et al., 2024; Odhiambo, 2024).</w:t>
      </w:r>
    </w:p>
    <w:p w14:paraId="28731246"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w:t>
      </w:r>
    </w:p>
    <w:p w14:paraId="6190C698" w14:textId="77777777"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2. LITERATURE REVIEW</w:t>
      </w:r>
    </w:p>
    <w:p w14:paraId="0A1F93C8" w14:textId="28E92775"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 xml:space="preserve">2.1 Theoretical </w:t>
      </w:r>
      <w:r>
        <w:rPr>
          <w:rFonts w:ascii="Times New Roman" w:hAnsi="Times New Roman" w:cs="Times New Roman"/>
          <w:b/>
          <w:bCs/>
          <w:sz w:val="24"/>
          <w:szCs w:val="24"/>
        </w:rPr>
        <w:t>Literature</w:t>
      </w:r>
    </w:p>
    <w:p w14:paraId="78751BF8"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The correlation between education expenditure and economic growth is based on two theories that are complementary to each other: Human Capital Theory and Endogenous Growth Theory.</w:t>
      </w:r>
    </w:p>
    <w:p w14:paraId="3FBF01C3" w14:textId="2CD35CB4" w:rsid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Human Capital Theory (Schultz, 1961; Becker, 1964) assumes that education leads to the productivity of people and the economy as it provides individuals with knowledge and skills to innovate and develop technology. Through education, people learn to be specialized and creative and adjust to the changing economic conditions. According to Schultz, the most important input in the production process is investment in human capital (Goldin, 2016). The theory turned the emphasis on the homogeneous factor of labor into the acknowledgement of education and skill levels as the important economic factor. Human capital development has been recognized as a key driver of long-term growth in the Kenyan context, but the effects of this are mediated by the quality of education and the capacity of the labor market to absorb this generation (</w:t>
      </w:r>
      <w:proofErr w:type="spellStart"/>
      <w:r w:rsidRPr="003040EE">
        <w:rPr>
          <w:rFonts w:ascii="Times New Roman" w:hAnsi="Times New Roman" w:cs="Times New Roman"/>
          <w:sz w:val="24"/>
          <w:szCs w:val="24"/>
        </w:rPr>
        <w:t>Okumua</w:t>
      </w:r>
      <w:proofErr w:type="spellEnd"/>
      <w:r w:rsidRPr="003040EE">
        <w:rPr>
          <w:rFonts w:ascii="Times New Roman" w:hAnsi="Times New Roman" w:cs="Times New Roman"/>
          <w:sz w:val="24"/>
          <w:szCs w:val="24"/>
        </w:rPr>
        <w:t xml:space="preserve"> et al., 2020; </w:t>
      </w:r>
      <w:proofErr w:type="spellStart"/>
      <w:r w:rsidRPr="003040EE">
        <w:rPr>
          <w:rFonts w:ascii="Times New Roman" w:hAnsi="Times New Roman" w:cs="Times New Roman"/>
          <w:sz w:val="24"/>
          <w:szCs w:val="24"/>
        </w:rPr>
        <w:t>Mose</w:t>
      </w:r>
      <w:proofErr w:type="spellEnd"/>
      <w:r w:rsidRPr="003040EE">
        <w:rPr>
          <w:rFonts w:ascii="Times New Roman" w:hAnsi="Times New Roman" w:cs="Times New Roman"/>
          <w:sz w:val="24"/>
          <w:szCs w:val="24"/>
        </w:rPr>
        <w:t>, 2025).</w:t>
      </w:r>
    </w:p>
    <w:p w14:paraId="439835B7" w14:textId="77777777" w:rsidR="0072143D" w:rsidRPr="003040EE" w:rsidRDefault="0072143D" w:rsidP="00911184">
      <w:pPr>
        <w:spacing w:line="240" w:lineRule="auto"/>
        <w:contextualSpacing/>
        <w:jc w:val="both"/>
        <w:rPr>
          <w:rFonts w:ascii="Times New Roman" w:hAnsi="Times New Roman" w:cs="Times New Roman"/>
          <w:sz w:val="24"/>
          <w:szCs w:val="24"/>
        </w:rPr>
      </w:pPr>
    </w:p>
    <w:p w14:paraId="1DB37BAB"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lastRenderedPageBreak/>
        <w:t>Endogenous Growth Theory (Romer, 1986; Lucas, 1988) was developed to overcome the shortcomings of exogenous growth theories (e.g., Solow-Swan). Romer maintained the view that technological change is the result of deliberate investment choices within an economy—therefore, endogenous. The theory asserts that knowledge, innovation, and education investments are a big driver of productivity and long-term economic growth and emphasizes increasing returns to scale based on knowledge accumulation and learning by doing. Endogenous growth prompts governments to invest in research and development, education, and infrastructure (Aghion et al., 2015). In the case of Kenya, this means that investments into innovation systems and technological infrastructure should be used to complement education spending in order to create sustained growth (</w:t>
      </w:r>
      <w:proofErr w:type="spellStart"/>
      <w:r w:rsidRPr="003040EE">
        <w:rPr>
          <w:rFonts w:ascii="Times New Roman" w:hAnsi="Times New Roman" w:cs="Times New Roman"/>
          <w:sz w:val="24"/>
          <w:szCs w:val="24"/>
        </w:rPr>
        <w:t>Rono</w:t>
      </w:r>
      <w:proofErr w:type="spellEnd"/>
      <w:r w:rsidRPr="003040EE">
        <w:rPr>
          <w:rFonts w:ascii="Times New Roman" w:hAnsi="Times New Roman" w:cs="Times New Roman"/>
          <w:sz w:val="24"/>
          <w:szCs w:val="24"/>
        </w:rPr>
        <w:t xml:space="preserve"> &amp; </w:t>
      </w:r>
      <w:proofErr w:type="spellStart"/>
      <w:r w:rsidRPr="003040EE">
        <w:rPr>
          <w:rFonts w:ascii="Times New Roman" w:hAnsi="Times New Roman" w:cs="Times New Roman"/>
          <w:sz w:val="24"/>
          <w:szCs w:val="24"/>
        </w:rPr>
        <w:t>Bwamoni</w:t>
      </w:r>
      <w:proofErr w:type="spellEnd"/>
      <w:r w:rsidRPr="003040EE">
        <w:rPr>
          <w:rFonts w:ascii="Times New Roman" w:hAnsi="Times New Roman" w:cs="Times New Roman"/>
          <w:sz w:val="24"/>
          <w:szCs w:val="24"/>
        </w:rPr>
        <w:t>, 2020).</w:t>
      </w:r>
    </w:p>
    <w:p w14:paraId="44373CA0" w14:textId="77777777" w:rsidR="003327C7" w:rsidRDefault="003327C7" w:rsidP="00911184">
      <w:pPr>
        <w:spacing w:line="240" w:lineRule="auto"/>
        <w:contextualSpacing/>
        <w:jc w:val="both"/>
        <w:rPr>
          <w:rFonts w:ascii="Times New Roman" w:hAnsi="Times New Roman" w:cs="Times New Roman"/>
          <w:sz w:val="24"/>
          <w:szCs w:val="24"/>
        </w:rPr>
      </w:pPr>
    </w:p>
    <w:p w14:paraId="099C2332" w14:textId="1DAB004D"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The implication of both theories is that education spending composition is important. Primary education develops basic literacy and numeracy; secondary further elaborates on cognitive abilities in industrialization, and tertiary education advances innovation and research. The returns to each level are, however, marginal and depend on the level of development, labor market organization, and the quality of institutions of a country (</w:t>
      </w:r>
      <w:proofErr w:type="spellStart"/>
      <w:r w:rsidRPr="003040EE">
        <w:rPr>
          <w:rFonts w:ascii="Times New Roman" w:hAnsi="Times New Roman" w:cs="Times New Roman"/>
          <w:sz w:val="24"/>
          <w:szCs w:val="24"/>
        </w:rPr>
        <w:t>Alfoul</w:t>
      </w:r>
      <w:proofErr w:type="spellEnd"/>
      <w:r w:rsidRPr="003040EE">
        <w:rPr>
          <w:rFonts w:ascii="Times New Roman" w:hAnsi="Times New Roman" w:cs="Times New Roman"/>
          <w:sz w:val="24"/>
          <w:szCs w:val="24"/>
        </w:rPr>
        <w:t xml:space="preserve"> et al., 2024; Odhiambo, 2024).</w:t>
      </w:r>
    </w:p>
    <w:p w14:paraId="08582660" w14:textId="77777777" w:rsidR="003327C7" w:rsidRDefault="003327C7" w:rsidP="00911184">
      <w:pPr>
        <w:spacing w:line="240" w:lineRule="auto"/>
        <w:contextualSpacing/>
        <w:jc w:val="both"/>
        <w:rPr>
          <w:rFonts w:ascii="Times New Roman" w:hAnsi="Times New Roman" w:cs="Times New Roman"/>
          <w:b/>
          <w:bCs/>
          <w:sz w:val="24"/>
          <w:szCs w:val="24"/>
        </w:rPr>
      </w:pPr>
    </w:p>
    <w:p w14:paraId="45FEE0FF" w14:textId="161D97E0"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b/>
          <w:bCs/>
          <w:sz w:val="24"/>
          <w:szCs w:val="24"/>
        </w:rPr>
        <w:t>2.2 Empirical Literature Review</w:t>
      </w:r>
    </w:p>
    <w:p w14:paraId="5E0A7A71"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b/>
          <w:bCs/>
          <w:sz w:val="24"/>
          <w:szCs w:val="24"/>
        </w:rPr>
        <w:t>2.2.1 Global Empirical Evidence</w:t>
      </w:r>
    </w:p>
    <w:p w14:paraId="530818CA" w14:textId="2769592E"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The general response indicated by empirical research in the world is that investment in education will have a positive influence on economic growth. Goczek et al. (2021) identified that with the help of a Cross-Sectionally Augmented Autoregressive Distributed Lag (CS-ARDL) model, it was possible to conclude that public expenditure on education had a significant positive effect on real GDP per capita both in the short and long term. They established that the aggregate educational spending produced the greatest long-run elasticity, but spending on primary and secondary education also had significant growth effects. In the same way, </w:t>
      </w:r>
      <w:proofErr w:type="spellStart"/>
      <w:r w:rsidRPr="003040EE">
        <w:rPr>
          <w:rFonts w:ascii="Times New Roman" w:hAnsi="Times New Roman" w:cs="Times New Roman"/>
          <w:sz w:val="24"/>
          <w:szCs w:val="24"/>
        </w:rPr>
        <w:t>Kolosnitsyna</w:t>
      </w:r>
      <w:proofErr w:type="spellEnd"/>
      <w:r w:rsidRPr="003040EE">
        <w:rPr>
          <w:rFonts w:ascii="Times New Roman" w:hAnsi="Times New Roman" w:cs="Times New Roman"/>
          <w:sz w:val="24"/>
          <w:szCs w:val="24"/>
        </w:rPr>
        <w:t xml:space="preserve"> and </w:t>
      </w:r>
      <w:proofErr w:type="spellStart"/>
      <w:r w:rsidRPr="003040EE">
        <w:rPr>
          <w:rFonts w:ascii="Times New Roman" w:hAnsi="Times New Roman" w:cs="Times New Roman"/>
          <w:sz w:val="24"/>
          <w:szCs w:val="24"/>
        </w:rPr>
        <w:t>Ermolina</w:t>
      </w:r>
      <w:proofErr w:type="spellEnd"/>
      <w:r w:rsidRPr="003040EE">
        <w:rPr>
          <w:rFonts w:ascii="Times New Roman" w:hAnsi="Times New Roman" w:cs="Times New Roman"/>
          <w:sz w:val="24"/>
          <w:szCs w:val="24"/>
        </w:rPr>
        <w:t xml:space="preserve"> (2021) and </w:t>
      </w:r>
      <w:proofErr w:type="spellStart"/>
      <w:r w:rsidRPr="003040EE">
        <w:rPr>
          <w:rFonts w:ascii="Times New Roman" w:hAnsi="Times New Roman" w:cs="Times New Roman"/>
          <w:sz w:val="24"/>
          <w:szCs w:val="24"/>
        </w:rPr>
        <w:t>Nechifor</w:t>
      </w:r>
      <w:proofErr w:type="spellEnd"/>
      <w:r w:rsidRPr="003040EE">
        <w:rPr>
          <w:rFonts w:ascii="Times New Roman" w:hAnsi="Times New Roman" w:cs="Times New Roman"/>
          <w:sz w:val="24"/>
          <w:szCs w:val="24"/>
        </w:rPr>
        <w:t xml:space="preserve"> et al. (2021) determined that those educational investments have a positive impact on economic growth, but the extent of the effect varies depending on the level of development of countries. Khan and </w:t>
      </w:r>
      <w:proofErr w:type="spellStart"/>
      <w:r w:rsidRPr="003040EE">
        <w:rPr>
          <w:rFonts w:ascii="Times New Roman" w:hAnsi="Times New Roman" w:cs="Times New Roman"/>
          <w:sz w:val="24"/>
          <w:szCs w:val="24"/>
        </w:rPr>
        <w:t>Asirvatham</w:t>
      </w:r>
      <w:proofErr w:type="spellEnd"/>
      <w:r w:rsidRPr="003040EE">
        <w:rPr>
          <w:rFonts w:ascii="Times New Roman" w:hAnsi="Times New Roman" w:cs="Times New Roman"/>
          <w:sz w:val="24"/>
          <w:szCs w:val="24"/>
        </w:rPr>
        <w:t xml:space="preserve"> (2024) affirmed that educational expenditure has a significant short-run and long-run impact on economic growth, whereas Wang and Zhang (2024) indicated that the growth elasticities are positive in developing countries. Moreover, a worldwide meta-analysis by </w:t>
      </w:r>
      <w:proofErr w:type="spellStart"/>
      <w:r w:rsidRPr="003040EE">
        <w:rPr>
          <w:rFonts w:ascii="Times New Roman" w:hAnsi="Times New Roman" w:cs="Times New Roman"/>
          <w:sz w:val="24"/>
          <w:szCs w:val="24"/>
        </w:rPr>
        <w:t>Psacharopoulos</w:t>
      </w:r>
      <w:proofErr w:type="spellEnd"/>
      <w:r w:rsidRPr="003040EE">
        <w:rPr>
          <w:rFonts w:ascii="Times New Roman" w:hAnsi="Times New Roman" w:cs="Times New Roman"/>
          <w:sz w:val="24"/>
          <w:szCs w:val="24"/>
        </w:rPr>
        <w:t xml:space="preserve"> and </w:t>
      </w:r>
      <w:proofErr w:type="spellStart"/>
      <w:r w:rsidRPr="003040EE">
        <w:rPr>
          <w:rFonts w:ascii="Times New Roman" w:hAnsi="Times New Roman" w:cs="Times New Roman"/>
          <w:sz w:val="24"/>
          <w:szCs w:val="24"/>
        </w:rPr>
        <w:t>Patrinos</w:t>
      </w:r>
      <w:proofErr w:type="spellEnd"/>
      <w:r w:rsidRPr="003040EE">
        <w:rPr>
          <w:rFonts w:ascii="Times New Roman" w:hAnsi="Times New Roman" w:cs="Times New Roman"/>
          <w:sz w:val="24"/>
          <w:szCs w:val="24"/>
        </w:rPr>
        <w:t xml:space="preserve"> (2018) found that education is one of the most productive types of state investment, especially in the developing world. Hanushek and </w:t>
      </w:r>
      <w:proofErr w:type="spellStart"/>
      <w:r w:rsidRPr="003040EE">
        <w:rPr>
          <w:rFonts w:ascii="Times New Roman" w:hAnsi="Times New Roman" w:cs="Times New Roman"/>
          <w:sz w:val="24"/>
          <w:szCs w:val="24"/>
        </w:rPr>
        <w:t>Woessmann</w:t>
      </w:r>
      <w:proofErr w:type="spellEnd"/>
      <w:r w:rsidRPr="003040EE">
        <w:rPr>
          <w:rFonts w:ascii="Times New Roman" w:hAnsi="Times New Roman" w:cs="Times New Roman"/>
          <w:sz w:val="24"/>
          <w:szCs w:val="24"/>
        </w:rPr>
        <w:t xml:space="preserve"> (2015) and Deme and Mahmoud (2020) also established that investments in education help to boost productivity and economic </w:t>
      </w:r>
      <w:r w:rsidR="00163A0B">
        <w:rPr>
          <w:rFonts w:ascii="Times New Roman" w:hAnsi="Times New Roman" w:cs="Times New Roman"/>
          <w:sz w:val="24"/>
          <w:szCs w:val="24"/>
        </w:rPr>
        <w:t>growth</w:t>
      </w:r>
      <w:r w:rsidRPr="003040EE">
        <w:rPr>
          <w:rFonts w:ascii="Times New Roman" w:hAnsi="Times New Roman" w:cs="Times New Roman"/>
          <w:sz w:val="24"/>
          <w:szCs w:val="24"/>
        </w:rPr>
        <w:t xml:space="preserve"> through the reinforcement of human capital formation.</w:t>
      </w:r>
    </w:p>
    <w:p w14:paraId="721D7D86" w14:textId="77777777" w:rsidR="003327C7" w:rsidRDefault="003327C7" w:rsidP="00911184">
      <w:pPr>
        <w:spacing w:line="240" w:lineRule="auto"/>
        <w:contextualSpacing/>
        <w:jc w:val="both"/>
        <w:rPr>
          <w:rFonts w:ascii="Times New Roman" w:hAnsi="Times New Roman" w:cs="Times New Roman"/>
          <w:b/>
          <w:bCs/>
          <w:sz w:val="24"/>
          <w:szCs w:val="24"/>
        </w:rPr>
      </w:pPr>
    </w:p>
    <w:p w14:paraId="78ABF21E" w14:textId="38C4D49E"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2.2.2 Sub-Saharan Africa Empirical Evidence.</w:t>
      </w:r>
    </w:p>
    <w:p w14:paraId="777468F3"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Generally, in Sub-Saharan Africa, indications show a positive correlation between the expenditure on education and economic growth, but the results of these differences are inconsistent among the countries. </w:t>
      </w:r>
      <w:proofErr w:type="spellStart"/>
      <w:r w:rsidRPr="003040EE">
        <w:rPr>
          <w:rFonts w:ascii="Times New Roman" w:hAnsi="Times New Roman" w:cs="Times New Roman"/>
          <w:sz w:val="24"/>
          <w:szCs w:val="24"/>
        </w:rPr>
        <w:t>Bouoiyour</w:t>
      </w:r>
      <w:proofErr w:type="spellEnd"/>
      <w:r w:rsidRPr="003040EE">
        <w:rPr>
          <w:rFonts w:ascii="Times New Roman" w:hAnsi="Times New Roman" w:cs="Times New Roman"/>
          <w:sz w:val="24"/>
          <w:szCs w:val="24"/>
        </w:rPr>
        <w:t xml:space="preserve"> and Miftah (2016) discovered that the spending on primary education by the population positively affected the economic growth of 16 African countries. Equally, </w:t>
      </w:r>
      <w:proofErr w:type="spellStart"/>
      <w:r w:rsidRPr="003040EE">
        <w:rPr>
          <w:rFonts w:ascii="Times New Roman" w:hAnsi="Times New Roman" w:cs="Times New Roman"/>
          <w:sz w:val="24"/>
          <w:szCs w:val="24"/>
        </w:rPr>
        <w:t>Adegboye</w:t>
      </w:r>
      <w:proofErr w:type="spellEnd"/>
      <w:r w:rsidRPr="003040EE">
        <w:rPr>
          <w:rFonts w:ascii="Times New Roman" w:hAnsi="Times New Roman" w:cs="Times New Roman"/>
          <w:sz w:val="24"/>
          <w:szCs w:val="24"/>
        </w:rPr>
        <w:t xml:space="preserve"> et al. (2020) and </w:t>
      </w:r>
      <w:proofErr w:type="spellStart"/>
      <w:r w:rsidRPr="003040EE">
        <w:rPr>
          <w:rFonts w:ascii="Times New Roman" w:hAnsi="Times New Roman" w:cs="Times New Roman"/>
          <w:sz w:val="24"/>
          <w:szCs w:val="24"/>
        </w:rPr>
        <w:t>Alfoul</w:t>
      </w:r>
      <w:proofErr w:type="spellEnd"/>
      <w:r w:rsidRPr="003040EE">
        <w:rPr>
          <w:rFonts w:ascii="Times New Roman" w:hAnsi="Times New Roman" w:cs="Times New Roman"/>
          <w:sz w:val="24"/>
          <w:szCs w:val="24"/>
        </w:rPr>
        <w:t xml:space="preserve"> et al. (2024) have determined that education has a significant role in the economic growth of the different African economies. Awe and Ajayi (2019), in Nigeria, established that the primary education spending had a strong positive long-run impact on the economic growth. In Ghana, Osei and Appiah (2020) established a high long-run relationship between education spending and economic growth, and </w:t>
      </w:r>
      <w:proofErr w:type="spellStart"/>
      <w:r w:rsidRPr="003040EE">
        <w:rPr>
          <w:rFonts w:ascii="Times New Roman" w:hAnsi="Times New Roman" w:cs="Times New Roman"/>
          <w:sz w:val="24"/>
          <w:szCs w:val="24"/>
        </w:rPr>
        <w:t>Gunu</w:t>
      </w:r>
      <w:proofErr w:type="spellEnd"/>
      <w:r w:rsidRPr="003040EE">
        <w:rPr>
          <w:rFonts w:ascii="Times New Roman" w:hAnsi="Times New Roman" w:cs="Times New Roman"/>
          <w:sz w:val="24"/>
          <w:szCs w:val="24"/>
        </w:rPr>
        <w:t xml:space="preserve"> and Yakubu (2022) concluded that </w:t>
      </w:r>
      <w:r w:rsidRPr="003040EE">
        <w:rPr>
          <w:rFonts w:ascii="Times New Roman" w:hAnsi="Times New Roman" w:cs="Times New Roman"/>
          <w:sz w:val="24"/>
          <w:szCs w:val="24"/>
        </w:rPr>
        <w:lastRenderedPageBreak/>
        <w:t>government spending on education had a positive impact on growth in terms of increased school enrollment and human capital accumulation. These studies indicate that education has continued to play a significant role in driving economic growth in the region.</w:t>
      </w:r>
    </w:p>
    <w:p w14:paraId="7E0036D9" w14:textId="77777777" w:rsidR="003327C7" w:rsidRDefault="003327C7" w:rsidP="00911184">
      <w:pPr>
        <w:spacing w:line="240" w:lineRule="auto"/>
        <w:contextualSpacing/>
        <w:jc w:val="both"/>
        <w:rPr>
          <w:rFonts w:ascii="Times New Roman" w:hAnsi="Times New Roman" w:cs="Times New Roman"/>
          <w:b/>
          <w:bCs/>
          <w:sz w:val="24"/>
          <w:szCs w:val="24"/>
        </w:rPr>
      </w:pPr>
    </w:p>
    <w:p w14:paraId="47EB1C73" w14:textId="70656C7F"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2.2.3 Empirical Evidence on Primary Education Expenditure and Economic Growth</w:t>
      </w:r>
    </w:p>
    <w:p w14:paraId="21AF5074"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The education spending on primary education has been largely accepted as a significant factor in economic growth due to the basic literacy, numeracy, and skills that it offers. According to </w:t>
      </w:r>
      <w:proofErr w:type="spellStart"/>
      <w:r w:rsidRPr="003040EE">
        <w:rPr>
          <w:rFonts w:ascii="Times New Roman" w:hAnsi="Times New Roman" w:cs="Times New Roman"/>
          <w:sz w:val="24"/>
          <w:szCs w:val="24"/>
        </w:rPr>
        <w:t>Kolosnitsyna</w:t>
      </w:r>
      <w:proofErr w:type="spellEnd"/>
      <w:r w:rsidRPr="003040EE">
        <w:rPr>
          <w:rFonts w:ascii="Times New Roman" w:hAnsi="Times New Roman" w:cs="Times New Roman"/>
          <w:sz w:val="24"/>
          <w:szCs w:val="24"/>
        </w:rPr>
        <w:t xml:space="preserve"> and </w:t>
      </w:r>
      <w:proofErr w:type="spellStart"/>
      <w:r w:rsidRPr="003040EE">
        <w:rPr>
          <w:rFonts w:ascii="Times New Roman" w:hAnsi="Times New Roman" w:cs="Times New Roman"/>
          <w:sz w:val="24"/>
          <w:szCs w:val="24"/>
        </w:rPr>
        <w:t>Ermolina</w:t>
      </w:r>
      <w:proofErr w:type="spellEnd"/>
      <w:r w:rsidRPr="003040EE">
        <w:rPr>
          <w:rFonts w:ascii="Times New Roman" w:hAnsi="Times New Roman" w:cs="Times New Roman"/>
          <w:sz w:val="24"/>
          <w:szCs w:val="24"/>
        </w:rPr>
        <w:t xml:space="preserve"> (2021), the highest returns are produced by primary education in low-income countries where basic education is still one of the most critical factors influencing labor productivity. On the same note, </w:t>
      </w:r>
      <w:proofErr w:type="spellStart"/>
      <w:r w:rsidRPr="003040EE">
        <w:rPr>
          <w:rFonts w:ascii="Times New Roman" w:hAnsi="Times New Roman" w:cs="Times New Roman"/>
          <w:sz w:val="24"/>
          <w:szCs w:val="24"/>
        </w:rPr>
        <w:t>Maneejuk</w:t>
      </w:r>
      <w:proofErr w:type="spellEnd"/>
      <w:r w:rsidRPr="003040EE">
        <w:rPr>
          <w:rFonts w:ascii="Times New Roman" w:hAnsi="Times New Roman" w:cs="Times New Roman"/>
          <w:sz w:val="24"/>
          <w:szCs w:val="24"/>
        </w:rPr>
        <w:t xml:space="preserve"> and </w:t>
      </w:r>
      <w:proofErr w:type="spellStart"/>
      <w:r w:rsidRPr="003040EE">
        <w:rPr>
          <w:rFonts w:ascii="Times New Roman" w:hAnsi="Times New Roman" w:cs="Times New Roman"/>
          <w:sz w:val="24"/>
          <w:szCs w:val="24"/>
        </w:rPr>
        <w:t>Yamaka</w:t>
      </w:r>
      <w:proofErr w:type="spellEnd"/>
      <w:r w:rsidRPr="003040EE">
        <w:rPr>
          <w:rFonts w:ascii="Times New Roman" w:hAnsi="Times New Roman" w:cs="Times New Roman"/>
          <w:sz w:val="24"/>
          <w:szCs w:val="24"/>
        </w:rPr>
        <w:t xml:space="preserve"> (2021) noted that the investment in primary education is a factor that reduces poverty and enhances economic growth. </w:t>
      </w:r>
      <w:proofErr w:type="spellStart"/>
      <w:r w:rsidRPr="003040EE">
        <w:rPr>
          <w:rFonts w:ascii="Times New Roman" w:hAnsi="Times New Roman" w:cs="Times New Roman"/>
          <w:sz w:val="24"/>
          <w:szCs w:val="24"/>
        </w:rPr>
        <w:t>Bouoiyour</w:t>
      </w:r>
      <w:proofErr w:type="spellEnd"/>
      <w:r w:rsidRPr="003040EE">
        <w:rPr>
          <w:rFonts w:ascii="Times New Roman" w:hAnsi="Times New Roman" w:cs="Times New Roman"/>
          <w:sz w:val="24"/>
          <w:szCs w:val="24"/>
        </w:rPr>
        <w:t xml:space="preserve"> and Miftah (2016) and Awe and Ajayi (2019) identified positive impacts of spending on primary education on economic growth in Africa. These results help prove the thesis that government spending on primary education reinforces human capital building and enhances productivity, consequently fueling economic growth.</w:t>
      </w:r>
    </w:p>
    <w:p w14:paraId="1CE7DBD0" w14:textId="77777777" w:rsidR="003327C7" w:rsidRDefault="003327C7" w:rsidP="00911184">
      <w:pPr>
        <w:spacing w:line="240" w:lineRule="auto"/>
        <w:contextualSpacing/>
        <w:jc w:val="both"/>
        <w:rPr>
          <w:rFonts w:ascii="Times New Roman" w:hAnsi="Times New Roman" w:cs="Times New Roman"/>
          <w:b/>
          <w:bCs/>
          <w:sz w:val="24"/>
          <w:szCs w:val="24"/>
        </w:rPr>
      </w:pPr>
    </w:p>
    <w:p w14:paraId="5DAE4276" w14:textId="694526A1"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2.2.4 Empirical Research on Expenditure on Secondary Education and Economic Growth.</w:t>
      </w:r>
    </w:p>
    <w:p w14:paraId="01389E49"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Secondary education is important in cultivating intermediate and technical skills that are needed in industrialization and economic transformation. Nechifor et al. (2021) discovered that secondary education is a major economic growth driver because it improves the efficiency of the workforce and adaptation to technology. In the same light, Bah (2023) determined that secondary education plays a prominent role in economic growth in the long term since it provides the ability to be involved in the contemporary economic processes. Ochieng and Kibera (2016) in Kenya established that the connection between spending in secondary education and GDP growth was stronger compared to other levels of education. Junaid et al. (2023) and </w:t>
      </w:r>
      <w:proofErr w:type="spellStart"/>
      <w:r w:rsidRPr="003040EE">
        <w:rPr>
          <w:rFonts w:ascii="Times New Roman" w:hAnsi="Times New Roman" w:cs="Times New Roman"/>
          <w:sz w:val="24"/>
          <w:szCs w:val="24"/>
        </w:rPr>
        <w:t>Rakhmatullin</w:t>
      </w:r>
      <w:proofErr w:type="spellEnd"/>
      <w:r w:rsidRPr="003040EE">
        <w:rPr>
          <w:rFonts w:ascii="Times New Roman" w:hAnsi="Times New Roman" w:cs="Times New Roman"/>
          <w:sz w:val="24"/>
          <w:szCs w:val="24"/>
        </w:rPr>
        <w:t xml:space="preserve"> (2025) noted that as the government focuses more on secondary education, it is taking note of its role in economic growth and labor market competitiveness.</w:t>
      </w:r>
    </w:p>
    <w:p w14:paraId="40E66666" w14:textId="77777777" w:rsidR="003327C7" w:rsidRDefault="003327C7" w:rsidP="00911184">
      <w:pPr>
        <w:spacing w:line="240" w:lineRule="auto"/>
        <w:contextualSpacing/>
        <w:jc w:val="both"/>
        <w:rPr>
          <w:rFonts w:ascii="Times New Roman" w:hAnsi="Times New Roman" w:cs="Times New Roman"/>
          <w:b/>
          <w:bCs/>
          <w:sz w:val="24"/>
          <w:szCs w:val="24"/>
        </w:rPr>
      </w:pPr>
    </w:p>
    <w:p w14:paraId="741CFBD5" w14:textId="05E86E91"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2.2.5 Evidence on Tertiary Education Spending and Economic Growth.</w:t>
      </w:r>
    </w:p>
    <w:p w14:paraId="16F605C1"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 xml:space="preserve">Tertiary education helps in economic development by increasing the level of innovation, research, and technological development as well as the production of highly skilled labor. Nonetheless, its effects are not well documented. Goczek et al. (2021) discovered that tertiary education spending has a positive effect on economic growth, but the returns are typically lower than the returns to primary and secondary education. Cooray and Nam (2024) postulated that tertiary education can aid economic growth when the programs are based on the labor market needs and priorities of national development. Likewise, Liu et al. (2025) established that a high level of education enhances innovation and productivity but can produce low returns in regions where the ratio of unemployed graduates is high. </w:t>
      </w:r>
      <w:proofErr w:type="spellStart"/>
      <w:r w:rsidRPr="003040EE">
        <w:rPr>
          <w:rFonts w:ascii="Times New Roman" w:hAnsi="Times New Roman" w:cs="Times New Roman"/>
          <w:sz w:val="24"/>
          <w:szCs w:val="24"/>
        </w:rPr>
        <w:t>Odundo</w:t>
      </w:r>
      <w:proofErr w:type="spellEnd"/>
      <w:r w:rsidRPr="003040EE">
        <w:rPr>
          <w:rFonts w:ascii="Times New Roman" w:hAnsi="Times New Roman" w:cs="Times New Roman"/>
          <w:sz w:val="24"/>
          <w:szCs w:val="24"/>
        </w:rPr>
        <w:t xml:space="preserve"> and </w:t>
      </w:r>
      <w:proofErr w:type="spellStart"/>
      <w:r w:rsidRPr="003040EE">
        <w:rPr>
          <w:rFonts w:ascii="Times New Roman" w:hAnsi="Times New Roman" w:cs="Times New Roman"/>
          <w:sz w:val="24"/>
          <w:szCs w:val="24"/>
        </w:rPr>
        <w:t>Wanjala</w:t>
      </w:r>
      <w:proofErr w:type="spellEnd"/>
      <w:r w:rsidRPr="003040EE">
        <w:rPr>
          <w:rFonts w:ascii="Times New Roman" w:hAnsi="Times New Roman" w:cs="Times New Roman"/>
          <w:sz w:val="24"/>
          <w:szCs w:val="24"/>
        </w:rPr>
        <w:t xml:space="preserve"> (2015) in Kenya showed that tertiary education expenditure positively affects economic growth, whereas </w:t>
      </w:r>
      <w:proofErr w:type="spellStart"/>
      <w:r w:rsidRPr="003040EE">
        <w:rPr>
          <w:rFonts w:ascii="Times New Roman" w:hAnsi="Times New Roman" w:cs="Times New Roman"/>
          <w:sz w:val="24"/>
          <w:szCs w:val="24"/>
        </w:rPr>
        <w:t>Munga</w:t>
      </w:r>
      <w:proofErr w:type="spellEnd"/>
      <w:r w:rsidRPr="003040EE">
        <w:rPr>
          <w:rFonts w:ascii="Times New Roman" w:hAnsi="Times New Roman" w:cs="Times New Roman"/>
          <w:sz w:val="24"/>
          <w:szCs w:val="24"/>
        </w:rPr>
        <w:t xml:space="preserve"> and Mwangi (2016) showed that the effect is even stronger in cases where the investments in education are supported by the development of infrastructure. These results indicate that tertiary education can play a very big role in economic growth, provided that there are the right economic and labor market conditions.</w:t>
      </w:r>
    </w:p>
    <w:p w14:paraId="08E296E4" w14:textId="77777777" w:rsidR="003327C7" w:rsidRDefault="003327C7" w:rsidP="00911184">
      <w:pPr>
        <w:spacing w:line="240" w:lineRule="auto"/>
        <w:contextualSpacing/>
        <w:jc w:val="both"/>
        <w:rPr>
          <w:rFonts w:ascii="Times New Roman" w:hAnsi="Times New Roman" w:cs="Times New Roman"/>
          <w:b/>
          <w:bCs/>
          <w:sz w:val="24"/>
          <w:szCs w:val="24"/>
        </w:rPr>
      </w:pPr>
    </w:p>
    <w:p w14:paraId="7747875D" w14:textId="6414B14C" w:rsidR="003040EE" w:rsidRPr="003040EE" w:rsidRDefault="003040EE" w:rsidP="00911184">
      <w:pPr>
        <w:spacing w:line="240" w:lineRule="auto"/>
        <w:contextualSpacing/>
        <w:jc w:val="both"/>
        <w:rPr>
          <w:rFonts w:ascii="Times New Roman" w:hAnsi="Times New Roman" w:cs="Times New Roman"/>
          <w:b/>
          <w:bCs/>
          <w:sz w:val="24"/>
          <w:szCs w:val="24"/>
        </w:rPr>
      </w:pPr>
      <w:r w:rsidRPr="003040EE">
        <w:rPr>
          <w:rFonts w:ascii="Times New Roman" w:hAnsi="Times New Roman" w:cs="Times New Roman"/>
          <w:b/>
          <w:bCs/>
          <w:sz w:val="24"/>
          <w:szCs w:val="24"/>
        </w:rPr>
        <w:t>2.3 Research Gap</w:t>
      </w:r>
    </w:p>
    <w:p w14:paraId="22522D59" w14:textId="54FE1F4B"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lastRenderedPageBreak/>
        <w:t>Though past research has indicated a correlation between the spending on education and economic growth, there are still notable gaps. To begin with, a lot of research in Kenya has been done on aggregate education spending; hence, it is hard to identify the contribution of primary, secondary, and tertiary education spending separately. Second, the literature on the issue has yielded inconclusive results on the size and the importance of the connection between education spending and economic development. Third, not many studies have utilized the ARDL bounds testing methodology with a long-term dataset that has the capacity to capture both short-run and long-run dynamics. Thus, this paper aims to fill these gaps by investigating how primary, secondary, and tertiary education spending affects economic growth in Kenya based on annual time-series data between 1971 and 2023 and the ARDL modeling model.</w:t>
      </w:r>
    </w:p>
    <w:p w14:paraId="3C6404B0" w14:textId="77777777" w:rsidR="003327C7" w:rsidRDefault="003327C7" w:rsidP="00911184">
      <w:pPr>
        <w:spacing w:line="240" w:lineRule="auto"/>
        <w:contextualSpacing/>
        <w:jc w:val="both"/>
        <w:rPr>
          <w:rFonts w:ascii="Times New Roman" w:hAnsi="Times New Roman" w:cs="Times New Roman"/>
          <w:b/>
          <w:bCs/>
          <w:sz w:val="24"/>
          <w:szCs w:val="24"/>
        </w:rPr>
      </w:pPr>
    </w:p>
    <w:p w14:paraId="45A263EF" w14:textId="19B1284E"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b/>
          <w:bCs/>
          <w:sz w:val="24"/>
          <w:szCs w:val="24"/>
        </w:rPr>
        <w:t>3. CONCEPTUAL FRAMEWORK</w:t>
      </w:r>
    </w:p>
    <w:p w14:paraId="01E08EEF" w14:textId="77777777" w:rsidR="003040EE" w:rsidRPr="003040EE" w:rsidRDefault="003040EE" w:rsidP="00911184">
      <w:pPr>
        <w:spacing w:line="240" w:lineRule="auto"/>
        <w:contextualSpacing/>
        <w:jc w:val="both"/>
        <w:rPr>
          <w:rFonts w:ascii="Times New Roman" w:hAnsi="Times New Roman" w:cs="Times New Roman"/>
          <w:sz w:val="24"/>
          <w:szCs w:val="24"/>
        </w:rPr>
      </w:pPr>
      <w:r w:rsidRPr="003040EE">
        <w:rPr>
          <w:rFonts w:ascii="Times New Roman" w:hAnsi="Times New Roman" w:cs="Times New Roman"/>
          <w:sz w:val="24"/>
          <w:szCs w:val="24"/>
        </w:rPr>
        <w:t>The conceptual framework (Figure 1) presents the proposed relationships between the spending on education (disaggregated by level) and economic growth in Kenya with the control variables. The model is based on the augmented Solow growth model (Mankiw, Romer, and Weil, 1992) and endogenous growth theory (Romer, 1986).</w:t>
      </w:r>
    </w:p>
    <w:p w14:paraId="6E7784BB" w14:textId="470FB52A" w:rsidR="005A7573" w:rsidRDefault="005A7573" w:rsidP="00911184">
      <w:pPr>
        <w:spacing w:line="240" w:lineRule="auto"/>
        <w:contextualSpacing/>
        <w:jc w:val="both"/>
        <w:rPr>
          <w:rFonts w:ascii="Times New Roman" w:hAnsi="Times New Roman" w:cs="Times New Roman"/>
          <w:sz w:val="24"/>
          <w:szCs w:val="24"/>
        </w:rPr>
      </w:pPr>
      <w:r w:rsidRPr="005A7573">
        <w:rPr>
          <w:noProof/>
        </w:rPr>
        <w:drawing>
          <wp:inline distT="0" distB="0" distL="0" distR="0" wp14:anchorId="5D673DE0" wp14:editId="4B0C4B40">
            <wp:extent cx="5943600" cy="306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060700"/>
                    </a:xfrm>
                    <a:prstGeom prst="rect">
                      <a:avLst/>
                    </a:prstGeom>
                    <a:noFill/>
                    <a:ln>
                      <a:noFill/>
                    </a:ln>
                  </pic:spPr>
                </pic:pic>
              </a:graphicData>
            </a:graphic>
          </wp:inline>
        </w:drawing>
      </w:r>
    </w:p>
    <w:p w14:paraId="3E3C5A6C" w14:textId="680C9DC5" w:rsidR="005A7573" w:rsidRDefault="005A7573"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b/>
          <w:bCs/>
          <w:sz w:val="24"/>
          <w:szCs w:val="24"/>
        </w:rPr>
        <w:t>Figure 1: Conceptual Framework</w:t>
      </w:r>
    </w:p>
    <w:p w14:paraId="166A456C" w14:textId="5375ADE7" w:rsidR="00C70795" w:rsidRPr="00C70795" w:rsidRDefault="00F07227" w:rsidP="00911184">
      <w:pPr>
        <w:spacing w:line="240" w:lineRule="auto"/>
        <w:contextualSpacing/>
        <w:jc w:val="both"/>
        <w:rPr>
          <w:rFonts w:ascii="Times New Roman" w:hAnsi="Times New Roman" w:cs="Times New Roman"/>
          <w:sz w:val="24"/>
          <w:szCs w:val="24"/>
        </w:rPr>
      </w:pPr>
      <w:r w:rsidRPr="00F07227">
        <w:rPr>
          <w:rFonts w:ascii="Times New Roman" w:hAnsi="Times New Roman" w:cs="Times New Roman"/>
          <w:sz w:val="24"/>
          <w:szCs w:val="24"/>
        </w:rPr>
        <w:t xml:space="preserve">The conceptual framework illustrates the hypothesized relationship between education spending and economic growth in Kenya. The independent variables are government expenditures on primary, secondary, and tertiary education, while the dependent variable is economic growth, measured by the annual percentage change in Gross Domestic Product (GDP). The framework is grounded in Human Capital Theory and Endogenous Growth Theory, which posit that investment in education enhances human capital, improves </w:t>
      </w:r>
      <w:proofErr w:type="spellStart"/>
      <w:r w:rsidRPr="00F07227">
        <w:rPr>
          <w:rFonts w:ascii="Times New Roman" w:hAnsi="Times New Roman" w:cs="Times New Roman"/>
          <w:sz w:val="24"/>
          <w:szCs w:val="24"/>
        </w:rPr>
        <w:t>labour</w:t>
      </w:r>
      <w:proofErr w:type="spellEnd"/>
      <w:r w:rsidRPr="00F07227">
        <w:rPr>
          <w:rFonts w:ascii="Times New Roman" w:hAnsi="Times New Roman" w:cs="Times New Roman"/>
          <w:sz w:val="24"/>
          <w:szCs w:val="24"/>
        </w:rPr>
        <w:t xml:space="preserve"> productivity, stimulates innovation, and ultimately promotes economic growth. The framework further recognizes that economic growth is influenced by other macroeconomic factors; therefore, trade openness, foreign direct investment (FDI), population growth, and gross fixed capital formation are incorporated as control variables. These variables may directly affect economic </w:t>
      </w:r>
      <w:r w:rsidR="00163A0B">
        <w:rPr>
          <w:rFonts w:ascii="Times New Roman" w:hAnsi="Times New Roman" w:cs="Times New Roman"/>
          <w:sz w:val="24"/>
          <w:szCs w:val="24"/>
        </w:rPr>
        <w:t>growth</w:t>
      </w:r>
      <w:r w:rsidRPr="00F07227">
        <w:rPr>
          <w:rFonts w:ascii="Times New Roman" w:hAnsi="Times New Roman" w:cs="Times New Roman"/>
          <w:sz w:val="24"/>
          <w:szCs w:val="24"/>
        </w:rPr>
        <w:t xml:space="preserve"> or interact with education expenditure in shaping growth outcomes. The conceptual framework therefore provides a systematic basis for </w:t>
      </w:r>
      <w:r w:rsidRPr="00F07227">
        <w:rPr>
          <w:rFonts w:ascii="Times New Roman" w:hAnsi="Times New Roman" w:cs="Times New Roman"/>
          <w:sz w:val="24"/>
          <w:szCs w:val="24"/>
        </w:rPr>
        <w:lastRenderedPageBreak/>
        <w:t>examining how expenditures at different levels of education contribute to Kenya’s economic growth while accounting for other key economic determinants.</w:t>
      </w:r>
    </w:p>
    <w:p w14:paraId="4B036337" w14:textId="77777777" w:rsidR="003327C7" w:rsidRDefault="003327C7" w:rsidP="00911184">
      <w:pPr>
        <w:spacing w:line="240" w:lineRule="auto"/>
        <w:contextualSpacing/>
        <w:jc w:val="both"/>
        <w:rPr>
          <w:rFonts w:ascii="Times New Roman" w:hAnsi="Times New Roman" w:cs="Times New Roman"/>
          <w:b/>
          <w:bCs/>
          <w:sz w:val="24"/>
          <w:szCs w:val="24"/>
        </w:rPr>
      </w:pPr>
    </w:p>
    <w:p w14:paraId="55F1009B" w14:textId="77777777" w:rsidR="003327C7" w:rsidRDefault="003327C7" w:rsidP="00911184">
      <w:pPr>
        <w:spacing w:line="240" w:lineRule="auto"/>
        <w:contextualSpacing/>
        <w:jc w:val="both"/>
        <w:rPr>
          <w:rFonts w:ascii="Times New Roman" w:hAnsi="Times New Roman" w:cs="Times New Roman"/>
          <w:b/>
          <w:bCs/>
          <w:sz w:val="24"/>
          <w:szCs w:val="24"/>
        </w:rPr>
      </w:pPr>
    </w:p>
    <w:p w14:paraId="05F5F536" w14:textId="5C020E72" w:rsidR="00C70795" w:rsidRPr="00C70795" w:rsidRDefault="00C70795" w:rsidP="00911184">
      <w:pPr>
        <w:spacing w:line="240" w:lineRule="auto"/>
        <w:contextualSpacing/>
        <w:jc w:val="both"/>
        <w:rPr>
          <w:rFonts w:ascii="Times New Roman" w:hAnsi="Times New Roman" w:cs="Times New Roman"/>
          <w:b/>
          <w:bCs/>
          <w:sz w:val="24"/>
          <w:szCs w:val="24"/>
        </w:rPr>
      </w:pPr>
      <w:r w:rsidRPr="00C70795">
        <w:rPr>
          <w:rFonts w:ascii="Times New Roman" w:hAnsi="Times New Roman" w:cs="Times New Roman"/>
          <w:b/>
          <w:bCs/>
          <w:sz w:val="24"/>
          <w:szCs w:val="24"/>
        </w:rPr>
        <w:t>4. METHODOLOGY</w:t>
      </w:r>
    </w:p>
    <w:p w14:paraId="47CCDC34" w14:textId="77777777" w:rsidR="00C70795" w:rsidRPr="00C70795" w:rsidRDefault="00C70795" w:rsidP="00911184">
      <w:pPr>
        <w:spacing w:line="240" w:lineRule="auto"/>
        <w:contextualSpacing/>
        <w:jc w:val="both"/>
        <w:rPr>
          <w:rFonts w:ascii="Times New Roman" w:hAnsi="Times New Roman" w:cs="Times New Roman"/>
          <w:b/>
          <w:bCs/>
          <w:sz w:val="24"/>
          <w:szCs w:val="24"/>
        </w:rPr>
      </w:pPr>
      <w:r w:rsidRPr="00C70795">
        <w:rPr>
          <w:rFonts w:ascii="Times New Roman" w:hAnsi="Times New Roman" w:cs="Times New Roman"/>
          <w:b/>
          <w:bCs/>
          <w:sz w:val="24"/>
          <w:szCs w:val="24"/>
        </w:rPr>
        <w:t>4.1 Theoretical Model</w:t>
      </w:r>
    </w:p>
    <w:p w14:paraId="7012D07A" w14:textId="77777777"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paper examined how education expenditure influences economic growth through an augmented Solow growth model that considered human capital as a major determinant of productivity and economic growth in the long run. Mankiw, Romer, and Weil (1992) have been able to adapt the classical Solow model to incorporate human capital in their argument that the higher the human capital, usually measured by expenditure on education, the higher the growth rate of an economy. This paper was based on a correlation between education expenditure (primary, secondary, and tertiary) and economic growth in Kenya. The Solow growth model is commonly represented in terms of a Cobb-Douglas production function to include capital, labor, and human capital in the growth of the economy. This role demonstrates the dependence of output (Y) on capital (K), labor (L), and technology (A) (Solow, 1956). The standard Cobb-Douglas production function is given in equation (3.1).</w:t>
      </w:r>
    </w:p>
    <w:p w14:paraId="480911B2" w14:textId="608882E7"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Y = AK</w:t>
      </w:r>
      <w:r w:rsidRPr="00F570EF">
        <w:rPr>
          <w:rFonts w:ascii="Times New Roman" w:hAnsi="Times New Roman" w:cs="Times New Roman"/>
          <w:sz w:val="24"/>
          <w:szCs w:val="24"/>
          <w:vertAlign w:val="superscript"/>
        </w:rPr>
        <w:t>α</w:t>
      </w:r>
      <w:r w:rsidRPr="00F570EF">
        <w:rPr>
          <w:rFonts w:ascii="Times New Roman" w:hAnsi="Times New Roman" w:cs="Times New Roman"/>
          <w:sz w:val="24"/>
          <w:szCs w:val="24"/>
        </w:rPr>
        <w:t>L</w:t>
      </w:r>
      <w:r w:rsidRPr="00F570EF">
        <w:rPr>
          <w:rFonts w:ascii="Times New Roman" w:hAnsi="Times New Roman" w:cs="Times New Roman"/>
          <w:sz w:val="24"/>
          <w:szCs w:val="24"/>
          <w:vertAlign w:val="superscript"/>
        </w:rPr>
        <w:t>β</w:t>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r>
      <w:r w:rsidRPr="00F570EF">
        <w:rPr>
          <w:rFonts w:ascii="Times New Roman" w:hAnsi="Times New Roman" w:cs="Times New Roman"/>
          <w:sz w:val="24"/>
          <w:szCs w:val="24"/>
        </w:rPr>
        <w:tab/>
        <w:t xml:space="preserve"> (</w:t>
      </w:r>
      <w:r w:rsidR="00EC229A">
        <w:rPr>
          <w:rFonts w:ascii="Times New Roman" w:hAnsi="Times New Roman" w:cs="Times New Roman"/>
          <w:sz w:val="24"/>
          <w:szCs w:val="24"/>
        </w:rPr>
        <w:t>4</w:t>
      </w:r>
      <w:r w:rsidRPr="00F570EF">
        <w:rPr>
          <w:rFonts w:ascii="Times New Roman" w:hAnsi="Times New Roman" w:cs="Times New Roman"/>
          <w:sz w:val="24"/>
          <w:szCs w:val="24"/>
        </w:rPr>
        <w:t>.1) </w:t>
      </w:r>
    </w:p>
    <w:p w14:paraId="1EF8A7AB" w14:textId="77777777"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Where: </w:t>
      </w:r>
    </w:p>
    <w:p w14:paraId="444501F8" w14:textId="77777777"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A is the level of technology, </w:t>
      </w:r>
    </w:p>
    <w:p w14:paraId="26695F70" w14:textId="77777777"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K represents capital stock, </w:t>
      </w:r>
    </w:p>
    <w:p w14:paraId="337F0515" w14:textId="77777777"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L is the labor force, </w:t>
      </w:r>
    </w:p>
    <w:p w14:paraId="40FD9437" w14:textId="17DE99CF"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α and β are the output elasticities of capital and labor, respectively. </w:t>
      </w:r>
    </w:p>
    <w:p w14:paraId="398EFC23" w14:textId="5445E13C"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The traditional Solow model has been expanded to include human capital (H), which accounts for the effects of education and skill acquisition on economic growth (Mankiw et al., 1992). The augmented production function in equation (3.2) is:</w:t>
      </w:r>
    </w:p>
    <w:p w14:paraId="66C55F8C" w14:textId="7C452C62"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Y = AK</w:t>
      </w:r>
      <w:r w:rsidRPr="00F570EF">
        <w:rPr>
          <w:rFonts w:ascii="Times New Roman" w:hAnsi="Times New Roman" w:cs="Times New Roman"/>
          <w:sz w:val="24"/>
          <w:szCs w:val="24"/>
          <w:vertAlign w:val="superscript"/>
        </w:rPr>
        <w:t>α</w:t>
      </w:r>
      <w:r w:rsidRPr="00F570EF">
        <w:rPr>
          <w:rFonts w:ascii="Times New Roman" w:hAnsi="Times New Roman" w:cs="Times New Roman"/>
          <w:sz w:val="24"/>
          <w:szCs w:val="24"/>
        </w:rPr>
        <w:t>L</w:t>
      </w:r>
      <w:r w:rsidRPr="00F570EF">
        <w:rPr>
          <w:rFonts w:ascii="Times New Roman" w:hAnsi="Times New Roman" w:cs="Times New Roman"/>
          <w:sz w:val="24"/>
          <w:szCs w:val="24"/>
          <w:vertAlign w:val="superscript"/>
        </w:rPr>
        <w:t>β</w:t>
      </w:r>
      <w:r w:rsidRPr="00F570EF">
        <w:rPr>
          <w:rFonts w:ascii="Times New Roman" w:hAnsi="Times New Roman" w:cs="Times New Roman"/>
          <w:sz w:val="24"/>
          <w:szCs w:val="24"/>
        </w:rPr>
        <w:t xml:space="preserve"> </w:t>
      </w:r>
      <w:proofErr w:type="spellStart"/>
      <w:r w:rsidRPr="00F570EF">
        <w:rPr>
          <w:rFonts w:ascii="Times New Roman" w:hAnsi="Times New Roman" w:cs="Times New Roman"/>
          <w:sz w:val="24"/>
          <w:szCs w:val="24"/>
        </w:rPr>
        <w:t>H</w:t>
      </w:r>
      <w:r w:rsidRPr="00F570EF">
        <w:rPr>
          <w:rFonts w:ascii="Times New Roman" w:hAnsi="Times New Roman" w:cs="Times New Roman"/>
          <w:sz w:val="24"/>
          <w:szCs w:val="24"/>
          <w:vertAlign w:val="superscript"/>
        </w:rPr>
        <w:t>δ</w:t>
      </w:r>
      <w:proofErr w:type="spellEnd"/>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vertAlign w:val="superscript"/>
        </w:rPr>
        <w:tab/>
      </w:r>
      <w:r w:rsidRPr="00F570EF">
        <w:rPr>
          <w:rFonts w:ascii="Times New Roman" w:hAnsi="Times New Roman" w:cs="Times New Roman"/>
          <w:sz w:val="24"/>
          <w:szCs w:val="24"/>
        </w:rPr>
        <w:t>(</w:t>
      </w:r>
      <w:r w:rsidR="00EC229A">
        <w:rPr>
          <w:rFonts w:ascii="Times New Roman" w:hAnsi="Times New Roman" w:cs="Times New Roman"/>
          <w:sz w:val="24"/>
          <w:szCs w:val="24"/>
        </w:rPr>
        <w:t>4</w:t>
      </w:r>
      <w:r w:rsidRPr="00F570EF">
        <w:rPr>
          <w:rFonts w:ascii="Times New Roman" w:hAnsi="Times New Roman" w:cs="Times New Roman"/>
          <w:sz w:val="24"/>
          <w:szCs w:val="24"/>
        </w:rPr>
        <w:t>.2) </w:t>
      </w:r>
    </w:p>
    <w:p w14:paraId="3CEF6EC7" w14:textId="77777777" w:rsidR="00F570EF" w:rsidRPr="00F570EF" w:rsidRDefault="00F570EF" w:rsidP="00911184">
      <w:pPr>
        <w:spacing w:line="240" w:lineRule="auto"/>
        <w:contextualSpacing/>
        <w:jc w:val="both"/>
        <w:rPr>
          <w:rFonts w:ascii="Times New Roman" w:hAnsi="Times New Roman" w:cs="Times New Roman"/>
          <w:sz w:val="24"/>
          <w:szCs w:val="24"/>
        </w:rPr>
      </w:pPr>
      <w:r w:rsidRPr="00F570EF">
        <w:rPr>
          <w:rFonts w:ascii="Times New Roman" w:hAnsi="Times New Roman" w:cs="Times New Roman"/>
          <w:sz w:val="24"/>
          <w:szCs w:val="24"/>
        </w:rPr>
        <w:t>Where: </w:t>
      </w:r>
    </w:p>
    <w:p w14:paraId="6019E266"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Where:</w:t>
      </w:r>
    </w:p>
    <w:p w14:paraId="5C0F3E64"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H is the human capital, usually in terms of the level of education and government expenditure on education, and delta is the effect of human capital on economic growth. This equation implies that accumulation of labor, capital, and human capital influences economic growth. Research such as that by Barro (2013) suggests that those economies that invest more in human capital are likely to experience long-term growth. The human capital (H) is also defined as a result of various levels of education: </w:t>
      </w:r>
    </w:p>
    <w:p w14:paraId="4FD96C47"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H = </w:t>
      </w:r>
      <w:proofErr w:type="gramStart"/>
      <w:r w:rsidRPr="00B32942">
        <w:rPr>
          <w:rFonts w:ascii="Times New Roman" w:hAnsi="Times New Roman" w:cs="Times New Roman"/>
          <w:sz w:val="24"/>
          <w:szCs w:val="24"/>
        </w:rPr>
        <w:t>f(</w:t>
      </w:r>
      <w:proofErr w:type="gramEnd"/>
      <w:r w:rsidRPr="00B32942">
        <w:rPr>
          <w:rFonts w:ascii="Times New Roman" w:hAnsi="Times New Roman" w:cs="Times New Roman"/>
          <w:sz w:val="24"/>
          <w:szCs w:val="24"/>
        </w:rPr>
        <w:t xml:space="preserve">PE, SE, TE) </w:t>
      </w:r>
    </w:p>
    <w:p w14:paraId="631BB37C"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This study quantifies human capital by the expenditure on primary, secondary, and tertiary education, which translates to economic growth. Hence, equation (3.3) further defines the growth equation:</w:t>
      </w:r>
    </w:p>
    <w:p w14:paraId="38C19821"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Y=αL+βlnK+δ1PE+δ2SE+δ3TE (4.3) </w:t>
      </w:r>
    </w:p>
    <w:p w14:paraId="75F5FC08"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Where:</w:t>
      </w:r>
    </w:p>
    <w:p w14:paraId="78D2BB22"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PE = Government spending on primary school, </w:t>
      </w:r>
    </w:p>
    <w:p w14:paraId="47620DD9"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SE = Government spending on secondary education, </w:t>
      </w:r>
    </w:p>
    <w:p w14:paraId="17BA1979"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TE = Government spending on higher education, </w:t>
      </w:r>
    </w:p>
    <w:p w14:paraId="596FF00D" w14:textId="1CA29395"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1, 2, and 3 are the respective effects each component of education expenditure has on the growth of the economy. This equation is in line with previous research that has indicated the importance </w:t>
      </w:r>
      <w:r w:rsidRPr="00B32942">
        <w:rPr>
          <w:rFonts w:ascii="Times New Roman" w:hAnsi="Times New Roman" w:cs="Times New Roman"/>
          <w:sz w:val="24"/>
          <w:szCs w:val="24"/>
        </w:rPr>
        <w:lastRenderedPageBreak/>
        <w:t xml:space="preserve">of the human capital investment in economic growth. As an example, </w:t>
      </w:r>
      <w:proofErr w:type="spellStart"/>
      <w:r w:rsidRPr="00B32942">
        <w:rPr>
          <w:rFonts w:ascii="Times New Roman" w:hAnsi="Times New Roman" w:cs="Times New Roman"/>
          <w:sz w:val="24"/>
          <w:szCs w:val="24"/>
        </w:rPr>
        <w:t>Psacharopoulos</w:t>
      </w:r>
      <w:proofErr w:type="spellEnd"/>
      <w:r w:rsidRPr="00B32942">
        <w:rPr>
          <w:rFonts w:ascii="Times New Roman" w:hAnsi="Times New Roman" w:cs="Times New Roman"/>
          <w:sz w:val="24"/>
          <w:szCs w:val="24"/>
        </w:rPr>
        <w:t xml:space="preserve"> and </w:t>
      </w:r>
      <w:proofErr w:type="spellStart"/>
      <w:r w:rsidRPr="00B32942">
        <w:rPr>
          <w:rFonts w:ascii="Times New Roman" w:hAnsi="Times New Roman" w:cs="Times New Roman"/>
          <w:sz w:val="24"/>
          <w:szCs w:val="24"/>
        </w:rPr>
        <w:t>Patrinos</w:t>
      </w:r>
      <w:proofErr w:type="spellEnd"/>
      <w:r w:rsidRPr="00B32942">
        <w:rPr>
          <w:rFonts w:ascii="Times New Roman" w:hAnsi="Times New Roman" w:cs="Times New Roman"/>
          <w:sz w:val="24"/>
          <w:szCs w:val="24"/>
        </w:rPr>
        <w:t xml:space="preserve"> (2018) discovered that an increase in higher education expenditure leads to a huge increase in GDP due to enhanced workforce skills and productivity. The Vision 2030 of Kenya also singles out real estate development and human capital investment as one of the main ways to promote the sustainable change of the economy (Government of Kenya, 2019). </w:t>
      </w:r>
    </w:p>
    <w:p w14:paraId="24046D68"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36590C4C"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4.2 Empirical Model Specification</w:t>
      </w:r>
    </w:p>
    <w:p w14:paraId="113996D4"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empirical model was given in equation 3.4 as:</w:t>
      </w:r>
    </w:p>
    <w:p w14:paraId="695C06F9" w14:textId="23235CDD"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Y=αL+βK+δ1P+δ2S+δ3T+δ4GFCF+δ5TRD+δ6FDI+δ7POP+δ8SAP+ϵ</w:t>
      </w:r>
      <w:r w:rsidRPr="00B32942">
        <w:rPr>
          <w:rFonts w:ascii="Times New Roman" w:hAnsi="Times New Roman" w:cs="Times New Roman"/>
          <w:sz w:val="24"/>
          <w:szCs w:val="24"/>
          <w:vertAlign w:val="subscript"/>
        </w:rPr>
        <w:t>t</w:t>
      </w:r>
      <w:r w:rsidR="0072143D">
        <w:rPr>
          <w:rFonts w:ascii="Times New Roman" w:hAnsi="Times New Roman" w:cs="Times New Roman"/>
          <w:sz w:val="24"/>
          <w:szCs w:val="24"/>
          <w:vertAlign w:val="subscript"/>
        </w:rPr>
        <w:t xml:space="preserve">                                    </w:t>
      </w:r>
      <w:proofErr w:type="gramStart"/>
      <w:r w:rsidR="0072143D">
        <w:rPr>
          <w:rFonts w:ascii="Times New Roman" w:hAnsi="Times New Roman" w:cs="Times New Roman"/>
          <w:sz w:val="24"/>
          <w:szCs w:val="24"/>
          <w:vertAlign w:val="subscript"/>
        </w:rPr>
        <w:t xml:space="preserve">  </w:t>
      </w:r>
      <w:r w:rsidRPr="00B32942">
        <w:rPr>
          <w:rFonts w:ascii="Times New Roman" w:hAnsi="Times New Roman" w:cs="Times New Roman"/>
          <w:sz w:val="24"/>
          <w:szCs w:val="24"/>
        </w:rPr>
        <w:t xml:space="preserve"> (</w:t>
      </w:r>
      <w:proofErr w:type="gramEnd"/>
      <w:r w:rsidRPr="00B32942">
        <w:rPr>
          <w:rFonts w:ascii="Times New Roman" w:hAnsi="Times New Roman" w:cs="Times New Roman"/>
          <w:sz w:val="24"/>
          <w:szCs w:val="24"/>
        </w:rPr>
        <w:t>4.4)</w:t>
      </w:r>
    </w:p>
    <w:p w14:paraId="0A8474FF"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Where:</w:t>
      </w:r>
    </w:p>
    <w:p w14:paraId="16891BC1"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Y = GDP per capita growth (annual percentage)</w:t>
      </w:r>
    </w:p>
    <w:p w14:paraId="24FA68AC"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P = Government primary expenditure on education (percentage of government expenditure on education)</w:t>
      </w:r>
    </w:p>
    <w:p w14:paraId="358E52BF"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S = Government spending on secondary education (percentage of total education spending)</w:t>
      </w:r>
    </w:p>
    <w:p w14:paraId="30092F12"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 = Government spending on tertiary education (percentage of total spending on education)</w:t>
      </w:r>
    </w:p>
    <w:p w14:paraId="6B5F9C87"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GFCF = Fixed Capital Formation (percentage of GDP)</w:t>
      </w:r>
    </w:p>
    <w:p w14:paraId="4E04E2D3"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TRD = Trade openness (percentage of GDP)</w:t>
      </w:r>
    </w:p>
    <w:p w14:paraId="2C7E9531"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FDI = Foreign Direct Investment, net inflows (percentage of GDP).</w:t>
      </w:r>
    </w:p>
    <w:p w14:paraId="0F2E38CB"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POP = Population growth rate (annual percentage)</w:t>
      </w:r>
    </w:p>
    <w:p w14:paraId="7B457BDD"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SAP = Structural adjustment program dummy.</w:t>
      </w:r>
    </w:p>
    <w:p w14:paraId="33ADCF5D" w14:textId="5F3EF85D"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ε = random error.</w:t>
      </w:r>
    </w:p>
    <w:p w14:paraId="0DCAF350"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2DF8E2DA"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4.3 Econometric Model</w:t>
      </w:r>
    </w:p>
    <w:p w14:paraId="40238449" w14:textId="3DE4EA47"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The study used the Autoregressive Distributed Lag (ARDL) time series estimation technique to investigate the relationship between education spending and economic growth in Kenya. This method was particularly effective in studying the relationship between the variables and each other across time, taking into account lag effects. The ARDL approach was chosen as it offers more flexibility in working with variables that are integrated at level </w:t>
      </w:r>
      <w:proofErr w:type="gramStart"/>
      <w:r w:rsidRPr="00B32942">
        <w:rPr>
          <w:rFonts w:ascii="Times New Roman" w:hAnsi="Times New Roman" w:cs="Times New Roman"/>
          <w:sz w:val="24"/>
          <w:szCs w:val="24"/>
        </w:rPr>
        <w:t>I(</w:t>
      </w:r>
      <w:proofErr w:type="gramEnd"/>
      <w:r w:rsidRPr="00B32942">
        <w:rPr>
          <w:rFonts w:ascii="Times New Roman" w:hAnsi="Times New Roman" w:cs="Times New Roman"/>
          <w:sz w:val="24"/>
          <w:szCs w:val="24"/>
        </w:rPr>
        <w:t>0) and first difference I(1) that allow the estimation of both long-run and short-run parameters.</w:t>
      </w:r>
    </w:p>
    <w:p w14:paraId="11FC71B3"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2D96BC1D"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ARDL model also incorporated the Error Correction Term (ECT) in order to further represent the adjustment rate towards long-run equilibrium. The ECT term also showed the rate at which the adjustments to the long-run equilibrium were made in the later periods. The ARDL model employed in this study is given as equation (3.5) below:</w:t>
      </w:r>
    </w:p>
    <w:p w14:paraId="0ABB64FA"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reduced form equation, which has been log-linearized and to which the control variables have been added, is estimable, and it can be expressed as</w:t>
      </w:r>
    </w:p>
    <w:p w14:paraId="04B976A1" w14:textId="70AE0C47" w:rsidR="00C70795" w:rsidRPr="00C70795" w:rsidRDefault="00C70795"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sz w:val="24"/>
          <w:szCs w:val="24"/>
        </w:rPr>
        <w:t>:</w:t>
      </w:r>
    </w:p>
    <w:p w14:paraId="39C58AB8" w14:textId="57B86048" w:rsidR="00A60EF2" w:rsidRPr="00A60EF2" w:rsidRDefault="00A60EF2" w:rsidP="00911184">
      <w:pPr>
        <w:spacing w:line="240" w:lineRule="auto"/>
        <w:contextualSpacing/>
        <w:jc w:val="both"/>
        <w:rPr>
          <w:rFonts w:ascii="Times New Roman" w:hAnsi="Times New Roman" w:cs="Times New Roman"/>
          <w:kern w:val="2"/>
          <w:sz w:val="24"/>
          <w:szCs w:val="24"/>
          <w14:ligatures w14:val="standardContextual"/>
        </w:rPr>
      </w:pPr>
      <w:bookmarkStart w:id="0" w:name="_Hlk228868643"/>
      <w:proofErr w:type="spellStart"/>
      <w:r w:rsidRPr="00A60EF2">
        <w:rPr>
          <w:rFonts w:ascii="Times New Roman" w:eastAsia="Times New Roman" w:hAnsi="Times New Roman" w:cs="Times New Roman"/>
          <w:sz w:val="24"/>
          <w:szCs w:val="24"/>
        </w:rPr>
        <w:t>ΔY</w:t>
      </w:r>
      <w:r w:rsidRPr="00A60EF2">
        <w:rPr>
          <w:rFonts w:ascii="Times New Roman" w:eastAsia="Times New Roman" w:hAnsi="Times New Roman" w:cs="Times New Roman"/>
          <w:sz w:val="24"/>
          <w:szCs w:val="24"/>
          <w:vertAlign w:val="subscript"/>
        </w:rPr>
        <w:t>t</w:t>
      </w:r>
      <w:proofErr w:type="spellEnd"/>
      <w:r w:rsidRPr="00A60EF2">
        <w:rPr>
          <w:rFonts w:ascii="Times New Roman" w:eastAsia="Times New Roman" w:hAnsi="Times New Roman" w:cs="Times New Roman"/>
          <w:sz w:val="24"/>
          <w:szCs w:val="24"/>
          <w:vertAlign w:val="subscript"/>
        </w:rPr>
        <w:t xml:space="preserve"> </w:t>
      </w:r>
      <w:r w:rsidRPr="00A60EF2">
        <w:rPr>
          <w:rFonts w:ascii="Times New Roman" w:eastAsia="Times New Roman" w:hAnsi="Times New Roman" w:cs="Times New Roman"/>
          <w:sz w:val="24"/>
          <w:szCs w:val="24"/>
        </w:rPr>
        <w:t xml:space="preserve">= </w:t>
      </w:r>
      <w:r w:rsidRPr="00A60EF2">
        <w:rPr>
          <w:rFonts w:ascii="Times New Roman" w:eastAsia="Calibri" w:hAnsi="Times New Roman" w:cs="Times New Roman"/>
          <w:sz w:val="24"/>
          <w:szCs w:val="24"/>
        </w:rPr>
        <w:t>α</w:t>
      </w:r>
      <m:oMath>
        <m:r>
          <w:rPr>
            <w:rFonts w:ascii="Cambria Math" w:eastAsia="Times New Roman" w:hAnsi="Cambria Math" w:cs="Times New Roman"/>
            <w:sz w:val="24"/>
            <w:szCs w:val="24"/>
            <w:vertAlign w:val="subscript"/>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SimSun" w:hAnsi="Times New Roman" w:cs="Times New Roman"/>
          <w:bCs/>
          <w:sz w:val="24"/>
          <w:szCs w:val="24"/>
        </w:rPr>
        <w:t>λi</w:t>
      </w:r>
      <w:proofErr w:type="spellStart"/>
      <w:r w:rsidRPr="00A60EF2">
        <w:rPr>
          <w:rFonts w:ascii="Times New Roman" w:eastAsia="SimSun" w:hAnsi="Times New Roman" w:cs="Times New Roman"/>
          <w:sz w:val="24"/>
          <w:szCs w:val="24"/>
        </w:rPr>
        <w:t>ΔY</w:t>
      </w:r>
      <w:r w:rsidRPr="00A60EF2">
        <w:rPr>
          <w:rFonts w:ascii="Times New Roman" w:eastAsia="SimSun" w:hAnsi="Times New Roman" w:cs="Times New Roman"/>
          <w:sz w:val="24"/>
          <w:szCs w:val="24"/>
          <w:vertAlign w:val="subscript"/>
        </w:rPr>
        <w:t>t_i</w:t>
      </w:r>
      <w:proofErr w:type="spellEnd"/>
      <w:r w:rsidRPr="00A60EF2">
        <w:rPr>
          <w:rFonts w:ascii="Times New Roman" w:eastAsia="SimSun" w:hAnsi="Times New Roman" w:cs="Times New Roman"/>
          <w:sz w:val="24"/>
          <w:szCs w:val="24"/>
        </w:rPr>
        <w:t>+</w:t>
      </w:r>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1ΔPt−i</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2</w:t>
      </w:r>
      <w:r w:rsidRPr="00A60EF2">
        <w:rPr>
          <w:rFonts w:ascii="Times New Roman" w:eastAsia="Times New Roman" w:hAnsi="Times New Roman" w:cs="Times New Roman"/>
          <w:sz w:val="24"/>
          <w:szCs w:val="24"/>
        </w:rPr>
        <w:t>ΔS</w:t>
      </w:r>
      <w:r w:rsidRPr="00A60EF2">
        <w:rPr>
          <w:rFonts w:ascii="Times New Roman" w:eastAsia="Times New Roman" w:hAnsi="Times New Roman" w:cs="Times New Roman"/>
          <w:sz w:val="24"/>
          <w:szCs w:val="24"/>
          <w:vertAlign w:val="subscript"/>
        </w:rPr>
        <w:t>t−i</w:t>
      </w:r>
      <m:oMath>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3</w:t>
      </w:r>
      <w:r w:rsidRPr="00A60EF2">
        <w:rPr>
          <w:rFonts w:ascii="Times New Roman" w:eastAsia="Times New Roman" w:hAnsi="Times New Roman" w:cs="Times New Roman"/>
          <w:sz w:val="24"/>
          <w:szCs w:val="24"/>
        </w:rPr>
        <w:t>ΔT</w:t>
      </w:r>
      <w:r w:rsidRPr="00A60EF2">
        <w:rPr>
          <w:rFonts w:ascii="Times New Roman" w:eastAsia="Times New Roman" w:hAnsi="Times New Roman" w:cs="Times New Roman"/>
          <w:sz w:val="24"/>
          <w:szCs w:val="24"/>
          <w:vertAlign w:val="subscript"/>
        </w:rPr>
        <w:t>t−i</w:t>
      </w:r>
      <w:r w:rsidRPr="00A60EF2">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4</w:t>
      </w:r>
      <w:r w:rsidRPr="00A60EF2">
        <w:rPr>
          <w:rFonts w:ascii="Times New Roman" w:eastAsia="Times New Roman" w:hAnsi="Times New Roman" w:cs="Times New Roman"/>
          <w:sz w:val="24"/>
          <w:szCs w:val="24"/>
        </w:rPr>
        <w:t>ΔGFCF</w:t>
      </w:r>
      <w:r w:rsidRPr="00A60EF2">
        <w:rPr>
          <w:rFonts w:ascii="Times New Roman" w:eastAsia="Times New Roman" w:hAnsi="Times New Roman" w:cs="Times New Roman"/>
          <w:sz w:val="24"/>
          <w:szCs w:val="24"/>
          <w:vertAlign w:val="subscript"/>
        </w:rPr>
        <w:t>t−i</w:t>
      </w:r>
      <w:r w:rsidRPr="00A60EF2">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5</w:t>
      </w:r>
      <w:r w:rsidRPr="00A60EF2">
        <w:rPr>
          <w:rFonts w:ascii="Times New Roman" w:eastAsia="Times New Roman" w:hAnsi="Times New Roman" w:cs="Times New Roman"/>
          <w:sz w:val="24"/>
          <w:szCs w:val="24"/>
        </w:rPr>
        <w:t>ΔTRD</w:t>
      </w:r>
      <w:r w:rsidRPr="00A60EF2">
        <w:rPr>
          <w:rFonts w:ascii="Times New Roman" w:eastAsia="Times New Roman" w:hAnsi="Times New Roman" w:cs="Times New Roman"/>
          <w:sz w:val="24"/>
          <w:szCs w:val="24"/>
          <w:vertAlign w:val="subscript"/>
        </w:rPr>
        <w:t>t−i</w:t>
      </w:r>
      <w:r w:rsidRPr="00A60EF2">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6</w:t>
      </w:r>
      <w:r w:rsidRPr="00A60EF2">
        <w:rPr>
          <w:rFonts w:ascii="Times New Roman" w:eastAsia="Times New Roman" w:hAnsi="Times New Roman" w:cs="Times New Roman"/>
          <w:sz w:val="24"/>
          <w:szCs w:val="24"/>
        </w:rPr>
        <w:t>ΔFDI</w:t>
      </w:r>
      <w:r w:rsidRPr="00A60EF2">
        <w:rPr>
          <w:rFonts w:ascii="Times New Roman" w:eastAsia="Times New Roman" w:hAnsi="Times New Roman" w:cs="Times New Roman"/>
          <w:sz w:val="24"/>
          <w:szCs w:val="24"/>
          <w:vertAlign w:val="subscript"/>
        </w:rPr>
        <w:t>t−i</w:t>
      </w:r>
      <w:r w:rsidRPr="00A60EF2">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7</w:t>
      </w:r>
      <w:r w:rsidRPr="00A60EF2">
        <w:rPr>
          <w:rFonts w:ascii="Times New Roman" w:eastAsia="Times New Roman" w:hAnsi="Times New Roman" w:cs="Times New Roman"/>
          <w:sz w:val="24"/>
          <w:szCs w:val="24"/>
        </w:rPr>
        <w:t>ΔPOP</w:t>
      </w:r>
      <w:r w:rsidRPr="00A60EF2">
        <w:rPr>
          <w:rFonts w:ascii="Times New Roman" w:eastAsia="Times New Roman" w:hAnsi="Times New Roman" w:cs="Times New Roman"/>
          <w:sz w:val="24"/>
          <w:szCs w:val="24"/>
          <w:vertAlign w:val="subscript"/>
        </w:rPr>
        <w:t>t−I</w:t>
      </w:r>
      <w:r w:rsidRPr="00A60EF2">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p</m:t>
            </m:r>
          </m:sup>
        </m:sSubSup>
      </m:oMath>
      <w:r w:rsidRPr="00A60EF2">
        <w:rPr>
          <w:rFonts w:ascii="Times New Roman" w:eastAsia="Times New Roman" w:hAnsi="Times New Roman" w:cs="Times New Roman"/>
          <w:sz w:val="24"/>
          <w:szCs w:val="24"/>
        </w:rPr>
        <w:t>β</w:t>
      </w:r>
      <w:r w:rsidRPr="00A60EF2">
        <w:rPr>
          <w:rFonts w:ascii="Times New Roman" w:eastAsia="Times New Roman" w:hAnsi="Times New Roman" w:cs="Times New Roman"/>
          <w:sz w:val="24"/>
          <w:szCs w:val="24"/>
          <w:vertAlign w:val="subscript"/>
        </w:rPr>
        <w:t>8</w:t>
      </w:r>
      <w:r w:rsidRPr="00A60EF2">
        <w:rPr>
          <w:rFonts w:ascii="Times New Roman" w:eastAsia="Times New Roman" w:hAnsi="Times New Roman" w:cs="Times New Roman"/>
          <w:sz w:val="24"/>
          <w:szCs w:val="24"/>
        </w:rPr>
        <w:t>ΔSAP</w:t>
      </w:r>
      <w:r w:rsidRPr="00A60EF2">
        <w:rPr>
          <w:rFonts w:ascii="Times New Roman" w:eastAsia="Times New Roman" w:hAnsi="Times New Roman" w:cs="Times New Roman"/>
          <w:sz w:val="24"/>
          <w:szCs w:val="24"/>
          <w:vertAlign w:val="subscript"/>
        </w:rPr>
        <w:t>t−i</w:t>
      </w:r>
      <w:r w:rsidRPr="00A60EF2">
        <w:rPr>
          <w:rFonts w:ascii="Times New Roman" w:eastAsia="Times New Roman" w:hAnsi="Times New Roman" w:cs="Times New Roman"/>
          <w:sz w:val="24"/>
          <w:szCs w:val="24"/>
        </w:rPr>
        <w:t>+λECT</w:t>
      </w:r>
      <w:r w:rsidRPr="00A60EF2">
        <w:rPr>
          <w:rFonts w:ascii="Times New Roman" w:eastAsia="Times New Roman" w:hAnsi="Times New Roman" w:cs="Times New Roman"/>
          <w:sz w:val="24"/>
          <w:szCs w:val="24"/>
          <w:vertAlign w:val="subscript"/>
        </w:rPr>
        <w:t>t−1</w:t>
      </w:r>
      <w:r w:rsidRPr="00A60EF2">
        <w:rPr>
          <w:rFonts w:ascii="Times New Roman" w:eastAsia="Times New Roman" w:hAnsi="Times New Roman" w:cs="Times New Roman"/>
          <w:sz w:val="24"/>
          <w:szCs w:val="24"/>
        </w:rPr>
        <w:t>+ε</w:t>
      </w:r>
      <w:r w:rsidRPr="00A60EF2">
        <w:rPr>
          <w:rFonts w:ascii="Times New Roman" w:eastAsia="Times New Roman" w:hAnsi="Times New Roman" w:cs="Times New Roman"/>
          <w:sz w:val="24"/>
          <w:szCs w:val="24"/>
          <w:vertAlign w:val="subscript"/>
        </w:rPr>
        <w:t>t</w:t>
      </w:r>
      <w:r>
        <w:rPr>
          <w:rFonts w:ascii="Times New Roman" w:eastAsia="Times New Roman" w:hAnsi="Times New Roman" w:cs="Times New Roman"/>
          <w:sz w:val="24"/>
          <w:szCs w:val="24"/>
          <w:vertAlign w:val="subscript"/>
        </w:rPr>
        <w:t xml:space="preserve"> </w:t>
      </w:r>
      <w:r w:rsidR="00EC229A">
        <w:rPr>
          <w:rFonts w:ascii="Times New Roman" w:eastAsia="Times New Roman" w:hAnsi="Times New Roman" w:cs="Times New Roman"/>
          <w:sz w:val="24"/>
          <w:szCs w:val="24"/>
        </w:rPr>
        <w:t xml:space="preserve">                                            </w:t>
      </w:r>
      <w:proofErr w:type="gramStart"/>
      <w:r w:rsidR="00EC229A">
        <w:rPr>
          <w:rFonts w:ascii="Times New Roman" w:eastAsia="Times New Roman" w:hAnsi="Times New Roman" w:cs="Times New Roman"/>
          <w:sz w:val="24"/>
          <w:szCs w:val="24"/>
        </w:rPr>
        <w:t xml:space="preserve">  </w:t>
      </w:r>
      <w:r w:rsidRPr="00A60EF2">
        <w:rPr>
          <w:rFonts w:ascii="Times New Roman" w:eastAsia="Times New Roman" w:hAnsi="Times New Roman" w:cs="Times New Roman"/>
          <w:sz w:val="24"/>
          <w:szCs w:val="24"/>
        </w:rPr>
        <w:t xml:space="preserve"> </w:t>
      </w:r>
      <w:bookmarkEnd w:id="0"/>
      <w:r w:rsidRPr="00A60EF2">
        <w:rPr>
          <w:rFonts w:ascii="Times New Roman" w:eastAsia="Times New Roman" w:hAnsi="Times New Roman" w:cs="Times New Roman"/>
          <w:sz w:val="24"/>
          <w:szCs w:val="24"/>
        </w:rPr>
        <w:t>(</w:t>
      </w:r>
      <w:proofErr w:type="gramEnd"/>
      <w:r w:rsidRPr="00A60EF2">
        <w:rPr>
          <w:rFonts w:ascii="Times New Roman" w:eastAsia="Times New Roman" w:hAnsi="Times New Roman" w:cs="Times New Roman"/>
          <w:sz w:val="24"/>
          <w:szCs w:val="24"/>
        </w:rPr>
        <w:t>4.</w:t>
      </w:r>
      <w:r w:rsidR="00EC229A">
        <w:rPr>
          <w:rFonts w:ascii="Times New Roman" w:eastAsia="Times New Roman" w:hAnsi="Times New Roman" w:cs="Times New Roman"/>
          <w:sz w:val="24"/>
          <w:szCs w:val="24"/>
        </w:rPr>
        <w:t>5</w:t>
      </w:r>
      <w:r w:rsidRPr="00A60EF2">
        <w:rPr>
          <w:rFonts w:ascii="Times New Roman" w:eastAsia="Times New Roman" w:hAnsi="Times New Roman" w:cs="Times New Roman"/>
          <w:sz w:val="24"/>
          <w:szCs w:val="24"/>
        </w:rPr>
        <w:t>)</w:t>
      </w:r>
    </w:p>
    <w:p w14:paraId="6A679307" w14:textId="77777777" w:rsidR="00A60EF2" w:rsidRPr="00A60EF2" w:rsidRDefault="00A60EF2" w:rsidP="00911184">
      <w:pPr>
        <w:spacing w:after="0" w:line="240" w:lineRule="auto"/>
        <w:contextualSpacing/>
        <w:jc w:val="both"/>
        <w:rPr>
          <w:rFonts w:ascii="Times New Roman" w:eastAsia="Times New Roman" w:hAnsi="Times New Roman" w:cs="Times New Roman"/>
          <w:sz w:val="24"/>
          <w:szCs w:val="24"/>
        </w:rPr>
      </w:pPr>
    </w:p>
    <w:p w14:paraId="228059BF" w14:textId="77777777" w:rsidR="00A60EF2" w:rsidRPr="00A60EF2" w:rsidRDefault="00A60EF2" w:rsidP="00911184">
      <w:pPr>
        <w:spacing w:after="0" w:line="240" w:lineRule="auto"/>
        <w:contextualSpacing/>
        <w:jc w:val="both"/>
        <w:rPr>
          <w:rFonts w:ascii="Times New Roman" w:eastAsia="Calibri" w:hAnsi="Times New Roman" w:cs="Times New Roman"/>
          <w:sz w:val="24"/>
          <w:szCs w:val="24"/>
        </w:rPr>
      </w:pPr>
      <w:r w:rsidRPr="00A60EF2">
        <w:rPr>
          <w:rFonts w:ascii="Times New Roman" w:eastAsia="Calibri" w:hAnsi="Times New Roman" w:cs="Times New Roman"/>
          <w:sz w:val="24"/>
          <w:szCs w:val="24"/>
        </w:rPr>
        <w:t>P, q1, q2, q3, q4, q5, q6, q7, q8​ are the optimal lag lengths for each variable, and ∆ are known as the first difference operators. The constant term is denoted by β</w:t>
      </w:r>
      <w:r w:rsidRPr="00A60EF2">
        <w:rPr>
          <w:rFonts w:ascii="Times New Roman" w:eastAsia="Calibri" w:hAnsi="Times New Roman" w:cs="Times New Roman"/>
          <w:sz w:val="24"/>
          <w:szCs w:val="24"/>
          <w:vertAlign w:val="subscript"/>
        </w:rPr>
        <w:t>0</w:t>
      </w:r>
      <w:r w:rsidRPr="00A60EF2">
        <w:rPr>
          <w:rFonts w:ascii="Times New Roman" w:eastAsia="Calibri" w:hAnsi="Times New Roman" w:cs="Times New Roman"/>
          <w:sz w:val="24"/>
          <w:szCs w:val="24"/>
        </w:rPr>
        <w:t>. Parameters β</w:t>
      </w:r>
      <w:r w:rsidRPr="00A60EF2">
        <w:rPr>
          <w:rFonts w:ascii="Times New Roman" w:eastAsia="Calibri" w:hAnsi="Times New Roman" w:cs="Times New Roman"/>
          <w:sz w:val="24"/>
          <w:szCs w:val="24"/>
          <w:vertAlign w:val="subscript"/>
        </w:rPr>
        <w:t>1</w:t>
      </w:r>
      <w:r w:rsidRPr="00A60EF2">
        <w:rPr>
          <w:rFonts w:ascii="Times New Roman" w:eastAsia="Calibri" w:hAnsi="Times New Roman" w:cs="Times New Roman"/>
          <w:sz w:val="24"/>
          <w:szCs w:val="24"/>
        </w:rPr>
        <w:t xml:space="preserve"> to β</w:t>
      </w:r>
      <w:r w:rsidRPr="00A60EF2">
        <w:rPr>
          <w:rFonts w:ascii="Times New Roman" w:eastAsia="Calibri" w:hAnsi="Times New Roman" w:cs="Times New Roman"/>
          <w:sz w:val="24"/>
          <w:szCs w:val="24"/>
          <w:vertAlign w:val="subscript"/>
        </w:rPr>
        <w:t>6</w:t>
      </w:r>
      <w:r w:rsidRPr="00A60EF2">
        <w:rPr>
          <w:rFonts w:ascii="Times New Roman" w:eastAsia="Calibri" w:hAnsi="Times New Roman" w:cs="Times New Roman"/>
          <w:sz w:val="24"/>
          <w:szCs w:val="24"/>
        </w:rPr>
        <w:t xml:space="preserve"> represent the coefficients of estimates in the short-run (short-run dynamics). λ denotes the adjustment speed to the equilibrium after any initial disequilibrium. It shows how fast the short-run dynamics adjust towards the long-run equilibrium and should be negative and statistically significant. The error-correcting term ECTt-1 represents the lagged values of the residuals obtained from the </w:t>
      </w:r>
      <w:r w:rsidRPr="00A60EF2">
        <w:rPr>
          <w:rFonts w:ascii="Times New Roman" w:eastAsia="Calibri" w:hAnsi="Times New Roman" w:cs="Times New Roman"/>
          <w:sz w:val="24"/>
          <w:szCs w:val="24"/>
        </w:rPr>
        <w:lastRenderedPageBreak/>
        <w:t xml:space="preserve">cointegrating regression between dependent and independent variables. It depicts the long-run relation between the variables in the study. The </w:t>
      </w:r>
      <w:proofErr w:type="spellStart"/>
      <w:r w:rsidRPr="00A60EF2">
        <w:rPr>
          <w:rFonts w:ascii="Times New Roman" w:eastAsia="Calibri" w:hAnsi="Times New Roman" w:cs="Times New Roman"/>
          <w:sz w:val="24"/>
          <w:szCs w:val="24"/>
        </w:rPr>
        <w:t>εt</w:t>
      </w:r>
      <w:proofErr w:type="spellEnd"/>
      <w:r w:rsidRPr="00A60EF2">
        <w:rPr>
          <w:rFonts w:ascii="Times New Roman" w:eastAsia="Calibri" w:hAnsi="Times New Roman" w:cs="Times New Roman"/>
          <w:sz w:val="24"/>
          <w:szCs w:val="24"/>
        </w:rPr>
        <w:t xml:space="preserve"> is the error term.</w:t>
      </w:r>
    </w:p>
    <w:p w14:paraId="1B8BD7CD" w14:textId="3950898C" w:rsidR="00C70795" w:rsidRPr="00C70795" w:rsidRDefault="00C70795" w:rsidP="00911184">
      <w:pPr>
        <w:spacing w:line="240" w:lineRule="auto"/>
        <w:contextualSpacing/>
        <w:jc w:val="both"/>
        <w:rPr>
          <w:rFonts w:ascii="Times New Roman" w:hAnsi="Times New Roman" w:cs="Times New Roman"/>
          <w:sz w:val="24"/>
          <w:szCs w:val="24"/>
        </w:rPr>
      </w:pPr>
    </w:p>
    <w:p w14:paraId="5EE28DD7" w14:textId="77777777" w:rsidR="00C70795" w:rsidRPr="00C70795" w:rsidRDefault="00C70795" w:rsidP="00911184">
      <w:pPr>
        <w:spacing w:line="240" w:lineRule="auto"/>
        <w:contextualSpacing/>
        <w:jc w:val="both"/>
        <w:rPr>
          <w:rFonts w:ascii="Times New Roman" w:hAnsi="Times New Roman" w:cs="Times New Roman"/>
          <w:b/>
          <w:bCs/>
          <w:sz w:val="24"/>
          <w:szCs w:val="24"/>
        </w:rPr>
      </w:pPr>
      <w:r w:rsidRPr="00C70795">
        <w:rPr>
          <w:rFonts w:ascii="Times New Roman" w:hAnsi="Times New Roman" w:cs="Times New Roman"/>
          <w:b/>
          <w:bCs/>
          <w:sz w:val="24"/>
          <w:szCs w:val="24"/>
        </w:rPr>
        <w:t>4.2 Variables, Definition, and Measurement</w:t>
      </w:r>
    </w:p>
    <w:tbl>
      <w:tblPr>
        <w:tblStyle w:val="TableGrid0"/>
        <w:tblW w:w="5000" w:type="pct"/>
        <w:tblInd w:w="0" w:type="dxa"/>
        <w:tblBorders>
          <w:top w:val="single" w:sz="4" w:space="0" w:color="auto"/>
          <w:bottom w:val="single" w:sz="4" w:space="0" w:color="auto"/>
        </w:tblBorders>
        <w:tblCellMar>
          <w:top w:w="14" w:type="dxa"/>
          <w:left w:w="2" w:type="dxa"/>
          <w:right w:w="48" w:type="dxa"/>
        </w:tblCellMar>
        <w:tblLook w:val="04A0" w:firstRow="1" w:lastRow="0" w:firstColumn="1" w:lastColumn="0" w:noHBand="0" w:noVBand="1"/>
      </w:tblPr>
      <w:tblGrid>
        <w:gridCol w:w="2453"/>
        <w:gridCol w:w="4646"/>
        <w:gridCol w:w="2261"/>
      </w:tblGrid>
      <w:tr w:rsidR="00512000" w:rsidRPr="00512000" w14:paraId="437507AB" w14:textId="77777777" w:rsidTr="00CB1D7B">
        <w:trPr>
          <w:trHeight w:val="20"/>
        </w:trPr>
        <w:tc>
          <w:tcPr>
            <w:tcW w:w="1310" w:type="pct"/>
            <w:tcBorders>
              <w:top w:val="single" w:sz="4" w:space="0" w:color="auto"/>
              <w:left w:val="nil"/>
              <w:bottom w:val="single" w:sz="4" w:space="0" w:color="auto"/>
              <w:right w:val="nil"/>
            </w:tcBorders>
          </w:tcPr>
          <w:p w14:paraId="3E68B9BE"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Variable</w:t>
            </w:r>
          </w:p>
        </w:tc>
        <w:tc>
          <w:tcPr>
            <w:tcW w:w="2482" w:type="pct"/>
            <w:tcBorders>
              <w:top w:val="single" w:sz="4" w:space="0" w:color="auto"/>
              <w:left w:val="nil"/>
              <w:bottom w:val="single" w:sz="4" w:space="0" w:color="auto"/>
              <w:right w:val="nil"/>
            </w:tcBorders>
          </w:tcPr>
          <w:p w14:paraId="52AA7C06"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Measurement</w:t>
            </w:r>
          </w:p>
        </w:tc>
        <w:tc>
          <w:tcPr>
            <w:tcW w:w="1208" w:type="pct"/>
            <w:tcBorders>
              <w:top w:val="single" w:sz="4" w:space="0" w:color="auto"/>
              <w:left w:val="nil"/>
              <w:bottom w:val="single" w:sz="4" w:space="0" w:color="auto"/>
              <w:right w:val="nil"/>
            </w:tcBorders>
          </w:tcPr>
          <w:p w14:paraId="7164CF63"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Expected Sign</w:t>
            </w:r>
          </w:p>
        </w:tc>
      </w:tr>
      <w:tr w:rsidR="00512000" w:rsidRPr="00512000" w14:paraId="0B32545F" w14:textId="77777777" w:rsidTr="00CB1D7B">
        <w:trPr>
          <w:trHeight w:val="20"/>
        </w:trPr>
        <w:tc>
          <w:tcPr>
            <w:tcW w:w="1310" w:type="pct"/>
            <w:tcBorders>
              <w:top w:val="single" w:sz="4" w:space="0" w:color="auto"/>
              <w:left w:val="nil"/>
              <w:bottom w:val="nil"/>
              <w:right w:val="nil"/>
            </w:tcBorders>
          </w:tcPr>
          <w:p w14:paraId="7BB40AF3"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Economic Growth (Y)</w:t>
            </w:r>
          </w:p>
        </w:tc>
        <w:tc>
          <w:tcPr>
            <w:tcW w:w="2482" w:type="pct"/>
            <w:tcBorders>
              <w:top w:val="single" w:sz="4" w:space="0" w:color="auto"/>
              <w:left w:val="nil"/>
              <w:bottom w:val="nil"/>
              <w:right w:val="nil"/>
            </w:tcBorders>
          </w:tcPr>
          <w:p w14:paraId="451518B1"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GDP per capita growth (annual percentage)</w:t>
            </w:r>
          </w:p>
        </w:tc>
        <w:tc>
          <w:tcPr>
            <w:tcW w:w="1208" w:type="pct"/>
            <w:tcBorders>
              <w:top w:val="single" w:sz="4" w:space="0" w:color="auto"/>
              <w:left w:val="nil"/>
              <w:bottom w:val="nil"/>
              <w:right w:val="nil"/>
            </w:tcBorders>
          </w:tcPr>
          <w:p w14:paraId="5561276D" w14:textId="77777777" w:rsidR="00512000" w:rsidRPr="00512000" w:rsidRDefault="00512000" w:rsidP="00911184">
            <w:pPr>
              <w:ind w:left="106"/>
              <w:contextualSpacing/>
              <w:jc w:val="both"/>
              <w:rPr>
                <w:rFonts w:ascii="Times New Roman" w:eastAsia="Times New Roman" w:hAnsi="Times New Roman" w:cs="Times New Roman"/>
              </w:rPr>
            </w:pPr>
          </w:p>
        </w:tc>
      </w:tr>
      <w:tr w:rsidR="00512000" w:rsidRPr="00512000" w14:paraId="73EF0F3E" w14:textId="77777777" w:rsidTr="00CB1D7B">
        <w:trPr>
          <w:trHeight w:val="20"/>
        </w:trPr>
        <w:tc>
          <w:tcPr>
            <w:tcW w:w="1310" w:type="pct"/>
            <w:tcBorders>
              <w:top w:val="nil"/>
              <w:left w:val="nil"/>
              <w:bottom w:val="nil"/>
              <w:right w:val="nil"/>
            </w:tcBorders>
          </w:tcPr>
          <w:p w14:paraId="24DB76D6"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Primary Education Expenditure (P)</w:t>
            </w:r>
          </w:p>
        </w:tc>
        <w:tc>
          <w:tcPr>
            <w:tcW w:w="2482" w:type="pct"/>
            <w:tcBorders>
              <w:top w:val="nil"/>
              <w:left w:val="nil"/>
              <w:bottom w:val="nil"/>
              <w:right w:val="nil"/>
            </w:tcBorders>
          </w:tcPr>
          <w:p w14:paraId="126ABDAC"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 xml:space="preserve">Government expenditure on primary education as percentage of govt </w:t>
            </w:r>
            <w:proofErr w:type="spellStart"/>
            <w:r w:rsidRPr="00512000">
              <w:rPr>
                <w:rFonts w:ascii="Times New Roman" w:hAnsi="Times New Roman" w:cs="Times New Roman"/>
              </w:rPr>
              <w:t>expennditure</w:t>
            </w:r>
            <w:proofErr w:type="spellEnd"/>
            <w:r w:rsidRPr="00512000">
              <w:rPr>
                <w:rFonts w:ascii="Times New Roman" w:hAnsi="Times New Roman" w:cs="Times New Roman"/>
              </w:rPr>
              <w:t xml:space="preserve"> on education</w:t>
            </w:r>
          </w:p>
        </w:tc>
        <w:tc>
          <w:tcPr>
            <w:tcW w:w="1208" w:type="pct"/>
            <w:tcBorders>
              <w:top w:val="nil"/>
              <w:left w:val="nil"/>
              <w:bottom w:val="nil"/>
              <w:right w:val="nil"/>
            </w:tcBorders>
          </w:tcPr>
          <w:p w14:paraId="23FB1F5E"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Positive (+)</w:t>
            </w:r>
          </w:p>
        </w:tc>
      </w:tr>
      <w:tr w:rsidR="00512000" w:rsidRPr="00512000" w14:paraId="2ED5D921" w14:textId="77777777" w:rsidTr="00CB1D7B">
        <w:trPr>
          <w:trHeight w:val="20"/>
        </w:trPr>
        <w:tc>
          <w:tcPr>
            <w:tcW w:w="1310" w:type="pct"/>
            <w:tcBorders>
              <w:top w:val="nil"/>
              <w:left w:val="nil"/>
              <w:bottom w:val="nil"/>
              <w:right w:val="nil"/>
            </w:tcBorders>
          </w:tcPr>
          <w:p w14:paraId="3528C345"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Secondary Education Expenditure (S)</w:t>
            </w:r>
          </w:p>
        </w:tc>
        <w:tc>
          <w:tcPr>
            <w:tcW w:w="2482" w:type="pct"/>
            <w:tcBorders>
              <w:top w:val="nil"/>
              <w:left w:val="nil"/>
              <w:bottom w:val="nil"/>
              <w:right w:val="nil"/>
            </w:tcBorders>
          </w:tcPr>
          <w:p w14:paraId="77D810BE"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 xml:space="preserve">Government expenditure on secondary education as percentage of govt </w:t>
            </w:r>
            <w:proofErr w:type="spellStart"/>
            <w:r w:rsidRPr="00512000">
              <w:rPr>
                <w:rFonts w:ascii="Times New Roman" w:hAnsi="Times New Roman" w:cs="Times New Roman"/>
              </w:rPr>
              <w:t>expennditure</w:t>
            </w:r>
            <w:proofErr w:type="spellEnd"/>
            <w:r w:rsidRPr="00512000">
              <w:rPr>
                <w:rFonts w:ascii="Times New Roman" w:hAnsi="Times New Roman" w:cs="Times New Roman"/>
              </w:rPr>
              <w:t xml:space="preserve"> on education</w:t>
            </w:r>
          </w:p>
        </w:tc>
        <w:tc>
          <w:tcPr>
            <w:tcW w:w="1208" w:type="pct"/>
            <w:tcBorders>
              <w:top w:val="nil"/>
              <w:left w:val="nil"/>
              <w:bottom w:val="nil"/>
              <w:right w:val="nil"/>
            </w:tcBorders>
          </w:tcPr>
          <w:p w14:paraId="370751B2"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Positive (+)</w:t>
            </w:r>
          </w:p>
        </w:tc>
      </w:tr>
      <w:tr w:rsidR="00512000" w:rsidRPr="00512000" w14:paraId="1D70E021" w14:textId="77777777" w:rsidTr="00CB1D7B">
        <w:trPr>
          <w:trHeight w:val="20"/>
        </w:trPr>
        <w:tc>
          <w:tcPr>
            <w:tcW w:w="1310" w:type="pct"/>
            <w:tcBorders>
              <w:top w:val="nil"/>
              <w:left w:val="nil"/>
              <w:bottom w:val="nil"/>
              <w:right w:val="nil"/>
            </w:tcBorders>
          </w:tcPr>
          <w:p w14:paraId="5CF79B0E"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Tertiary Education Expenditure (T)</w:t>
            </w:r>
          </w:p>
        </w:tc>
        <w:tc>
          <w:tcPr>
            <w:tcW w:w="2482" w:type="pct"/>
            <w:tcBorders>
              <w:top w:val="nil"/>
              <w:left w:val="nil"/>
              <w:bottom w:val="nil"/>
              <w:right w:val="nil"/>
            </w:tcBorders>
          </w:tcPr>
          <w:p w14:paraId="220460A6" w14:textId="77777777" w:rsidR="00512000" w:rsidRPr="00512000" w:rsidRDefault="00512000" w:rsidP="00911184">
            <w:pPr>
              <w:contextualSpacing/>
              <w:jc w:val="both"/>
              <w:rPr>
                <w:rFonts w:ascii="Times New Roman" w:hAnsi="Times New Roman" w:cs="Times New Roman"/>
              </w:rPr>
            </w:pPr>
            <w:r w:rsidRPr="00512000">
              <w:rPr>
                <w:rFonts w:ascii="Times New Roman" w:hAnsi="Times New Roman" w:cs="Times New Roman"/>
              </w:rPr>
              <w:t xml:space="preserve">Government expenditure on tertiary education percentage of govt </w:t>
            </w:r>
            <w:proofErr w:type="spellStart"/>
            <w:r w:rsidRPr="00512000">
              <w:rPr>
                <w:rFonts w:ascii="Times New Roman" w:hAnsi="Times New Roman" w:cs="Times New Roman"/>
              </w:rPr>
              <w:t>expennditure</w:t>
            </w:r>
            <w:proofErr w:type="spellEnd"/>
            <w:r w:rsidRPr="00512000">
              <w:rPr>
                <w:rFonts w:ascii="Times New Roman" w:hAnsi="Times New Roman" w:cs="Times New Roman"/>
              </w:rPr>
              <w:t xml:space="preserve"> on education</w:t>
            </w:r>
          </w:p>
        </w:tc>
        <w:tc>
          <w:tcPr>
            <w:tcW w:w="1208" w:type="pct"/>
            <w:tcBorders>
              <w:top w:val="nil"/>
              <w:left w:val="nil"/>
              <w:bottom w:val="nil"/>
              <w:right w:val="nil"/>
            </w:tcBorders>
          </w:tcPr>
          <w:p w14:paraId="1CFC7DC0"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Positive (+)</w:t>
            </w:r>
          </w:p>
        </w:tc>
      </w:tr>
      <w:tr w:rsidR="00512000" w:rsidRPr="00512000" w14:paraId="2F2AC7B8" w14:textId="77777777" w:rsidTr="00CB1D7B">
        <w:trPr>
          <w:trHeight w:val="20"/>
        </w:trPr>
        <w:tc>
          <w:tcPr>
            <w:tcW w:w="1310" w:type="pct"/>
            <w:tcBorders>
              <w:top w:val="nil"/>
              <w:left w:val="nil"/>
              <w:bottom w:val="nil"/>
              <w:right w:val="nil"/>
            </w:tcBorders>
          </w:tcPr>
          <w:p w14:paraId="0E53205E"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Gross Fixed Capital Formation (GFCF)</w:t>
            </w:r>
          </w:p>
        </w:tc>
        <w:tc>
          <w:tcPr>
            <w:tcW w:w="2482" w:type="pct"/>
            <w:tcBorders>
              <w:top w:val="nil"/>
              <w:left w:val="nil"/>
              <w:bottom w:val="nil"/>
              <w:right w:val="nil"/>
            </w:tcBorders>
          </w:tcPr>
          <w:p w14:paraId="260D697A"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Gross fixed capital formation as a percentage of GDP</w:t>
            </w:r>
          </w:p>
        </w:tc>
        <w:tc>
          <w:tcPr>
            <w:tcW w:w="1208" w:type="pct"/>
            <w:tcBorders>
              <w:top w:val="nil"/>
              <w:left w:val="nil"/>
              <w:bottom w:val="nil"/>
              <w:right w:val="nil"/>
            </w:tcBorders>
          </w:tcPr>
          <w:p w14:paraId="6B94310E"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Positive (+)</w:t>
            </w:r>
          </w:p>
        </w:tc>
      </w:tr>
      <w:tr w:rsidR="00512000" w:rsidRPr="00512000" w14:paraId="363728C4" w14:textId="77777777" w:rsidTr="00CB1D7B">
        <w:trPr>
          <w:trHeight w:val="20"/>
        </w:trPr>
        <w:tc>
          <w:tcPr>
            <w:tcW w:w="1310" w:type="pct"/>
            <w:tcBorders>
              <w:top w:val="nil"/>
              <w:left w:val="nil"/>
              <w:bottom w:val="nil"/>
              <w:right w:val="nil"/>
            </w:tcBorders>
          </w:tcPr>
          <w:p w14:paraId="173CAB66"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Trade Openness (TRD)</w:t>
            </w:r>
          </w:p>
        </w:tc>
        <w:tc>
          <w:tcPr>
            <w:tcW w:w="2482" w:type="pct"/>
            <w:tcBorders>
              <w:top w:val="nil"/>
              <w:left w:val="nil"/>
              <w:bottom w:val="nil"/>
              <w:right w:val="nil"/>
            </w:tcBorders>
          </w:tcPr>
          <w:p w14:paraId="0D881B75"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Total exports plus imports as  a percentage of GDP</w:t>
            </w:r>
          </w:p>
        </w:tc>
        <w:tc>
          <w:tcPr>
            <w:tcW w:w="1208" w:type="pct"/>
            <w:tcBorders>
              <w:top w:val="nil"/>
              <w:left w:val="nil"/>
              <w:bottom w:val="nil"/>
              <w:right w:val="nil"/>
            </w:tcBorders>
          </w:tcPr>
          <w:p w14:paraId="39922235"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Positive (+)</w:t>
            </w:r>
          </w:p>
        </w:tc>
      </w:tr>
      <w:tr w:rsidR="00512000" w:rsidRPr="00512000" w14:paraId="4715381D" w14:textId="77777777" w:rsidTr="00CB1D7B">
        <w:trPr>
          <w:trHeight w:val="20"/>
        </w:trPr>
        <w:tc>
          <w:tcPr>
            <w:tcW w:w="1310" w:type="pct"/>
            <w:tcBorders>
              <w:top w:val="nil"/>
              <w:left w:val="nil"/>
              <w:bottom w:val="nil"/>
              <w:right w:val="nil"/>
            </w:tcBorders>
          </w:tcPr>
          <w:p w14:paraId="7D23B50D"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Foreign Direct Investment (FDI)</w:t>
            </w:r>
          </w:p>
        </w:tc>
        <w:tc>
          <w:tcPr>
            <w:tcW w:w="2482" w:type="pct"/>
            <w:tcBorders>
              <w:top w:val="nil"/>
              <w:left w:val="nil"/>
              <w:bottom w:val="nil"/>
              <w:right w:val="nil"/>
            </w:tcBorders>
          </w:tcPr>
          <w:p w14:paraId="5DE5A95C" w14:textId="77777777" w:rsidR="00512000" w:rsidRPr="00512000" w:rsidRDefault="00512000" w:rsidP="00911184">
            <w:pPr>
              <w:contextualSpacing/>
              <w:jc w:val="both"/>
              <w:rPr>
                <w:rFonts w:ascii="Times New Roman" w:eastAsia="Times New Roman" w:hAnsi="Times New Roman" w:cs="Times New Roman"/>
              </w:rPr>
            </w:pPr>
            <w:r w:rsidRPr="00512000">
              <w:rPr>
                <w:rFonts w:ascii="Times New Roman" w:hAnsi="Times New Roman" w:cs="Times New Roman"/>
              </w:rPr>
              <w:t xml:space="preserve">Net FDI inflows expressed as a percentage of GDP. </w:t>
            </w:r>
          </w:p>
        </w:tc>
        <w:tc>
          <w:tcPr>
            <w:tcW w:w="1208" w:type="pct"/>
            <w:tcBorders>
              <w:top w:val="nil"/>
              <w:left w:val="nil"/>
              <w:bottom w:val="nil"/>
              <w:right w:val="nil"/>
            </w:tcBorders>
          </w:tcPr>
          <w:p w14:paraId="4E9F0F27" w14:textId="77777777" w:rsidR="00512000" w:rsidRPr="00512000" w:rsidRDefault="00512000" w:rsidP="00911184">
            <w:pPr>
              <w:ind w:left="106"/>
              <w:contextualSpacing/>
              <w:jc w:val="both"/>
              <w:rPr>
                <w:rFonts w:ascii="Times New Roman" w:eastAsia="Times New Roman" w:hAnsi="Times New Roman" w:cs="Times New Roman"/>
              </w:rPr>
            </w:pPr>
            <w:r w:rsidRPr="00512000">
              <w:rPr>
                <w:rFonts w:ascii="Times New Roman" w:hAnsi="Times New Roman" w:cs="Times New Roman"/>
              </w:rPr>
              <w:t>Positive (+)</w:t>
            </w:r>
          </w:p>
        </w:tc>
      </w:tr>
      <w:tr w:rsidR="00512000" w:rsidRPr="00512000" w14:paraId="15F1DA6D" w14:textId="77777777" w:rsidTr="00CB1D7B">
        <w:trPr>
          <w:trHeight w:val="20"/>
        </w:trPr>
        <w:tc>
          <w:tcPr>
            <w:tcW w:w="1310" w:type="pct"/>
            <w:tcBorders>
              <w:top w:val="nil"/>
              <w:left w:val="nil"/>
              <w:bottom w:val="nil"/>
              <w:right w:val="nil"/>
            </w:tcBorders>
          </w:tcPr>
          <w:p w14:paraId="14168E6C" w14:textId="77777777" w:rsidR="00512000" w:rsidRPr="00512000" w:rsidRDefault="00512000" w:rsidP="00911184">
            <w:pPr>
              <w:contextualSpacing/>
              <w:jc w:val="both"/>
              <w:rPr>
                <w:rFonts w:ascii="Times New Roman" w:hAnsi="Times New Roman" w:cs="Times New Roman"/>
              </w:rPr>
            </w:pPr>
            <w:r w:rsidRPr="00512000">
              <w:rPr>
                <w:rFonts w:ascii="Times New Roman" w:hAnsi="Times New Roman" w:cs="Times New Roman"/>
              </w:rPr>
              <w:t>Population Growth (POP)</w:t>
            </w:r>
          </w:p>
        </w:tc>
        <w:tc>
          <w:tcPr>
            <w:tcW w:w="2482" w:type="pct"/>
            <w:tcBorders>
              <w:top w:val="nil"/>
              <w:left w:val="nil"/>
              <w:bottom w:val="nil"/>
              <w:right w:val="nil"/>
            </w:tcBorders>
          </w:tcPr>
          <w:p w14:paraId="40628F90" w14:textId="77777777" w:rsidR="00512000" w:rsidRPr="00512000" w:rsidRDefault="00512000" w:rsidP="00911184">
            <w:pPr>
              <w:contextualSpacing/>
              <w:jc w:val="both"/>
              <w:rPr>
                <w:rFonts w:ascii="Times New Roman" w:hAnsi="Times New Roman" w:cs="Times New Roman"/>
              </w:rPr>
            </w:pPr>
            <w:r w:rsidRPr="00512000">
              <w:rPr>
                <w:rFonts w:ascii="Times New Roman" w:hAnsi="Times New Roman" w:cs="Times New Roman"/>
              </w:rPr>
              <w:t>Annual population growth rate, measured as the percentage change in total population.</w:t>
            </w:r>
          </w:p>
        </w:tc>
        <w:tc>
          <w:tcPr>
            <w:tcW w:w="1208" w:type="pct"/>
            <w:tcBorders>
              <w:top w:val="nil"/>
              <w:left w:val="nil"/>
              <w:bottom w:val="nil"/>
              <w:right w:val="nil"/>
            </w:tcBorders>
          </w:tcPr>
          <w:p w14:paraId="202A6859" w14:textId="77777777" w:rsidR="00512000" w:rsidRPr="00512000" w:rsidRDefault="00512000" w:rsidP="00911184">
            <w:pPr>
              <w:ind w:left="106"/>
              <w:contextualSpacing/>
              <w:jc w:val="both"/>
              <w:rPr>
                <w:rFonts w:ascii="Times New Roman" w:hAnsi="Times New Roman" w:cs="Times New Roman"/>
              </w:rPr>
            </w:pPr>
            <w:r w:rsidRPr="00512000">
              <w:rPr>
                <w:rFonts w:ascii="Times New Roman" w:hAnsi="Times New Roman" w:cs="Times New Roman"/>
              </w:rPr>
              <w:t>Positive/Negative (+/-)</w:t>
            </w:r>
          </w:p>
        </w:tc>
      </w:tr>
      <w:tr w:rsidR="00512000" w:rsidRPr="00512000" w14:paraId="59CBA121" w14:textId="77777777" w:rsidTr="00CB1D7B">
        <w:trPr>
          <w:trHeight w:val="20"/>
        </w:trPr>
        <w:tc>
          <w:tcPr>
            <w:tcW w:w="1310" w:type="pct"/>
            <w:tcBorders>
              <w:top w:val="nil"/>
              <w:left w:val="nil"/>
              <w:bottom w:val="single" w:sz="4" w:space="0" w:color="auto"/>
              <w:right w:val="nil"/>
            </w:tcBorders>
          </w:tcPr>
          <w:p w14:paraId="7A5554FF" w14:textId="77777777" w:rsidR="00512000" w:rsidRPr="00512000" w:rsidRDefault="00512000" w:rsidP="00911184">
            <w:pPr>
              <w:contextualSpacing/>
              <w:jc w:val="both"/>
              <w:rPr>
                <w:rFonts w:ascii="Times New Roman" w:hAnsi="Times New Roman" w:cs="Times New Roman"/>
              </w:rPr>
            </w:pPr>
            <w:r w:rsidRPr="00512000">
              <w:rPr>
                <w:rFonts w:ascii="Times New Roman" w:hAnsi="Times New Roman" w:cs="Times New Roman"/>
              </w:rPr>
              <w:t>Structural Adjustment Program Dummy (SAP)</w:t>
            </w:r>
          </w:p>
        </w:tc>
        <w:tc>
          <w:tcPr>
            <w:tcW w:w="2482" w:type="pct"/>
            <w:tcBorders>
              <w:top w:val="nil"/>
              <w:left w:val="nil"/>
              <w:bottom w:val="single" w:sz="4" w:space="0" w:color="auto"/>
              <w:right w:val="nil"/>
            </w:tcBorders>
          </w:tcPr>
          <w:p w14:paraId="36AAACD4" w14:textId="77777777" w:rsidR="00512000" w:rsidRPr="00512000" w:rsidRDefault="00512000" w:rsidP="00911184">
            <w:pPr>
              <w:contextualSpacing/>
              <w:jc w:val="both"/>
              <w:rPr>
                <w:rFonts w:ascii="Times New Roman" w:hAnsi="Times New Roman" w:cs="Times New Roman"/>
              </w:rPr>
            </w:pPr>
            <w:r w:rsidRPr="00512000">
              <w:rPr>
                <w:rFonts w:ascii="Times New Roman" w:hAnsi="Times New Roman" w:cs="Times New Roman"/>
              </w:rPr>
              <w:t xml:space="preserve">A dummy variable capturing the Structural </w:t>
            </w:r>
            <w:proofErr w:type="spellStart"/>
            <w:r w:rsidRPr="00512000">
              <w:rPr>
                <w:rFonts w:ascii="Times New Roman" w:hAnsi="Times New Roman" w:cs="Times New Roman"/>
              </w:rPr>
              <w:t>structural</w:t>
            </w:r>
            <w:proofErr w:type="spellEnd"/>
            <w:r w:rsidRPr="00512000">
              <w:rPr>
                <w:rFonts w:ascii="Times New Roman" w:hAnsi="Times New Roman" w:cs="Times New Roman"/>
              </w:rPr>
              <w:t xml:space="preserve"> Adjustment Program period (1 = 1992 period, 0 = otherwise)</w:t>
            </w:r>
          </w:p>
        </w:tc>
        <w:tc>
          <w:tcPr>
            <w:tcW w:w="1208" w:type="pct"/>
            <w:tcBorders>
              <w:top w:val="nil"/>
              <w:left w:val="nil"/>
              <w:bottom w:val="single" w:sz="4" w:space="0" w:color="auto"/>
              <w:right w:val="nil"/>
            </w:tcBorders>
          </w:tcPr>
          <w:p w14:paraId="4CB513F6" w14:textId="77777777" w:rsidR="00512000" w:rsidRPr="00512000" w:rsidRDefault="00512000" w:rsidP="00911184">
            <w:pPr>
              <w:ind w:left="106"/>
              <w:contextualSpacing/>
              <w:jc w:val="both"/>
              <w:rPr>
                <w:rFonts w:ascii="Times New Roman" w:hAnsi="Times New Roman" w:cs="Times New Roman"/>
              </w:rPr>
            </w:pPr>
            <w:r w:rsidRPr="00512000">
              <w:rPr>
                <w:rFonts w:ascii="Times New Roman" w:hAnsi="Times New Roman" w:cs="Times New Roman"/>
              </w:rPr>
              <w:t>Positive/Negative (+/-)</w:t>
            </w:r>
          </w:p>
        </w:tc>
      </w:tr>
    </w:tbl>
    <w:p w14:paraId="780DA465" w14:textId="77777777" w:rsidR="00512000" w:rsidRDefault="00512000" w:rsidP="00911184">
      <w:pPr>
        <w:spacing w:line="240" w:lineRule="auto"/>
        <w:contextualSpacing/>
        <w:jc w:val="both"/>
        <w:rPr>
          <w:rFonts w:ascii="Times New Roman" w:hAnsi="Times New Roman" w:cs="Times New Roman"/>
          <w:b/>
          <w:bCs/>
          <w:sz w:val="24"/>
          <w:szCs w:val="24"/>
        </w:rPr>
      </w:pPr>
    </w:p>
    <w:p w14:paraId="2A0DDE7B" w14:textId="77777777" w:rsidR="00BE5A79" w:rsidRPr="00BE5A79" w:rsidRDefault="00BE5A79" w:rsidP="00911184">
      <w:pPr>
        <w:spacing w:line="240" w:lineRule="auto"/>
        <w:contextualSpacing/>
        <w:jc w:val="both"/>
        <w:rPr>
          <w:rFonts w:ascii="Times New Roman" w:hAnsi="Times New Roman" w:cs="Times New Roman"/>
          <w:b/>
          <w:bCs/>
          <w:sz w:val="24"/>
          <w:szCs w:val="24"/>
        </w:rPr>
      </w:pPr>
      <w:r w:rsidRPr="00BE5A79">
        <w:rPr>
          <w:rFonts w:ascii="Times New Roman" w:hAnsi="Times New Roman" w:cs="Times New Roman"/>
          <w:b/>
          <w:bCs/>
          <w:sz w:val="24"/>
          <w:szCs w:val="24"/>
        </w:rPr>
        <w:t>4.3 Data Sources and Sample.</w:t>
      </w:r>
    </w:p>
    <w:p w14:paraId="2444161A" w14:textId="4863A484"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annual data (1971 to 2023) of 53 observations are used in the analysis. All the data was obtained through the World Bank Development Indicators (World Bank, 2023) and the Kenya National Bureau of Statistics (KNBS, 2023). Another period of sampling is the pre- and post-structural adjustment periods and important education policy reforms (Free Primary Education in 2003 and Free Day Secondary Education in 2008).</w:t>
      </w:r>
    </w:p>
    <w:p w14:paraId="31AB338C"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6310A049"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4.4 Econometric Strategy</w:t>
      </w:r>
    </w:p>
    <w:p w14:paraId="0FE208BF"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4.4.1 Stationarity Tests</w:t>
      </w:r>
    </w:p>
    <w:p w14:paraId="6D7638B0"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The order of integration of each variable was determined by use of the Augmented Dickey-Fuller (ADF) test. The null hypothesis is that the series is nonstationary (has a unit root). The ARDL model directs that any particular variable has not been incorporated in the second order of integration, that is, not </w:t>
      </w:r>
      <w:proofErr w:type="gramStart"/>
      <w:r w:rsidRPr="00B32942">
        <w:rPr>
          <w:rFonts w:ascii="Times New Roman" w:hAnsi="Times New Roman" w:cs="Times New Roman"/>
          <w:sz w:val="24"/>
          <w:szCs w:val="24"/>
        </w:rPr>
        <w:t>I(</w:t>
      </w:r>
      <w:proofErr w:type="gramEnd"/>
      <w:r w:rsidRPr="00B32942">
        <w:rPr>
          <w:rFonts w:ascii="Times New Roman" w:hAnsi="Times New Roman" w:cs="Times New Roman"/>
          <w:sz w:val="24"/>
          <w:szCs w:val="24"/>
        </w:rPr>
        <w:t>2); it may, however, be a combination of I(0) and I(1).</w:t>
      </w:r>
    </w:p>
    <w:p w14:paraId="692D3F8A" w14:textId="77777777" w:rsidR="00163A0B" w:rsidRDefault="00163A0B" w:rsidP="00911184">
      <w:pPr>
        <w:spacing w:line="240" w:lineRule="auto"/>
        <w:contextualSpacing/>
        <w:jc w:val="both"/>
        <w:rPr>
          <w:rFonts w:ascii="Times New Roman" w:hAnsi="Times New Roman" w:cs="Times New Roman"/>
          <w:b/>
          <w:bCs/>
          <w:sz w:val="24"/>
          <w:szCs w:val="24"/>
        </w:rPr>
      </w:pPr>
    </w:p>
    <w:p w14:paraId="6B69A5B5" w14:textId="0FE5424D" w:rsidR="00B32942" w:rsidRPr="00163A0B" w:rsidRDefault="00B32942" w:rsidP="00911184">
      <w:pPr>
        <w:spacing w:line="240" w:lineRule="auto"/>
        <w:contextualSpacing/>
        <w:jc w:val="both"/>
        <w:rPr>
          <w:rFonts w:ascii="Times New Roman" w:hAnsi="Times New Roman" w:cs="Times New Roman"/>
          <w:b/>
          <w:bCs/>
          <w:sz w:val="24"/>
          <w:szCs w:val="24"/>
        </w:rPr>
      </w:pPr>
      <w:r w:rsidRPr="00163A0B">
        <w:rPr>
          <w:rFonts w:ascii="Times New Roman" w:hAnsi="Times New Roman" w:cs="Times New Roman"/>
          <w:b/>
          <w:bCs/>
          <w:sz w:val="24"/>
          <w:szCs w:val="24"/>
        </w:rPr>
        <w:t>4.4.2 Lag Length Selection</w:t>
      </w:r>
    </w:p>
    <w:p w14:paraId="4F06EEA3" w14:textId="335BFEBF"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Akaike Information Criterion (AIC) to define the best lag length of each variable in the ARDL model is another criterion to balance between the parsimony and model fit. We select models of lag length 0-4 and select the combination that minimizes AIC.</w:t>
      </w:r>
    </w:p>
    <w:p w14:paraId="6B48B46F"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57FDD3FB"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4.4.3 Cointegration Test</w:t>
      </w:r>
    </w:p>
    <w:p w14:paraId="3FBA2C2F" w14:textId="07EB7A7C"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The ARDL bounds testing procedure (</w:t>
      </w:r>
      <w:proofErr w:type="spellStart"/>
      <w:r w:rsidRPr="00B32942">
        <w:rPr>
          <w:rFonts w:ascii="Times New Roman" w:hAnsi="Times New Roman" w:cs="Times New Roman"/>
          <w:sz w:val="24"/>
          <w:szCs w:val="24"/>
        </w:rPr>
        <w:t>Pesaran</w:t>
      </w:r>
      <w:proofErr w:type="spellEnd"/>
      <w:r w:rsidRPr="00B32942">
        <w:rPr>
          <w:rFonts w:ascii="Times New Roman" w:hAnsi="Times New Roman" w:cs="Times New Roman"/>
          <w:sz w:val="24"/>
          <w:szCs w:val="24"/>
        </w:rPr>
        <w:t xml:space="preserve"> et al., 2001) is used to test for the existence of a long-run equilibrium relationship. The null hypothesis (no cointegration): H₀: 0 = 0₁ = 0₂ = 0₃ = 0₄ is compared to the alternative hypothesis (cointegration). The value of the calculated F is compared with the lower bound (</w:t>
      </w:r>
      <w:proofErr w:type="gramStart"/>
      <w:r w:rsidRPr="00B32942">
        <w:rPr>
          <w:rFonts w:ascii="Times New Roman" w:hAnsi="Times New Roman" w:cs="Times New Roman"/>
          <w:sz w:val="24"/>
          <w:szCs w:val="24"/>
        </w:rPr>
        <w:t>I(</w:t>
      </w:r>
      <w:proofErr w:type="gramEnd"/>
      <w:r w:rsidRPr="00B32942">
        <w:rPr>
          <w:rFonts w:ascii="Times New Roman" w:hAnsi="Times New Roman" w:cs="Times New Roman"/>
          <w:sz w:val="24"/>
          <w:szCs w:val="24"/>
        </w:rPr>
        <w:t>0)) and upper bound (I(1)) critical values. When the F statistic turns out to be larger than the upper bound, then we reject the null and decide that we are cointegrated.</w:t>
      </w:r>
    </w:p>
    <w:p w14:paraId="6FC6A95B"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643DE568"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lastRenderedPageBreak/>
        <w:t>4.4.4 Diagnostic Tests</w:t>
      </w:r>
    </w:p>
    <w:p w14:paraId="3596BAEC" w14:textId="5AB16F3F"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A series of diagnostic tests was done to prove the reliability and strength of the estimated model. The Breusch-Godfrey Lagrange multiplier test is used to test serial correlation, and the White test was used to test heteroscedasticity. Multicollinearity is assessed using the Variance Inflation Factor (VIF), where a VIF exceeding 10 shows that there is problematic multicollinearity. In order to test the normality of the residuals, the </w:t>
      </w:r>
      <w:proofErr w:type="spellStart"/>
      <w:r w:rsidRPr="00B32942">
        <w:rPr>
          <w:rFonts w:ascii="Times New Roman" w:hAnsi="Times New Roman" w:cs="Times New Roman"/>
          <w:sz w:val="24"/>
          <w:szCs w:val="24"/>
        </w:rPr>
        <w:t>Jarque-Bera</w:t>
      </w:r>
      <w:proofErr w:type="spellEnd"/>
      <w:r w:rsidRPr="00B32942">
        <w:rPr>
          <w:rFonts w:ascii="Times New Roman" w:hAnsi="Times New Roman" w:cs="Times New Roman"/>
          <w:sz w:val="24"/>
          <w:szCs w:val="24"/>
        </w:rPr>
        <w:t xml:space="preserve"> test is employed, and to test the overall stability of the model, the CUSUM and CUSUM of squares tests are used. The estimation and diagnostic processes are all done using Stata 18.0 to maintain consistency and accuracy in the empirical analysis.</w:t>
      </w:r>
    </w:p>
    <w:p w14:paraId="6405AA50" w14:textId="77777777" w:rsidR="00163A0B" w:rsidRPr="00B32942" w:rsidRDefault="00163A0B" w:rsidP="00911184">
      <w:pPr>
        <w:spacing w:line="240" w:lineRule="auto"/>
        <w:contextualSpacing/>
        <w:jc w:val="both"/>
        <w:rPr>
          <w:rFonts w:ascii="Times New Roman" w:hAnsi="Times New Roman" w:cs="Times New Roman"/>
          <w:sz w:val="24"/>
          <w:szCs w:val="24"/>
        </w:rPr>
      </w:pPr>
    </w:p>
    <w:p w14:paraId="728DB80A"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5. RESULTS</w:t>
      </w:r>
    </w:p>
    <w:p w14:paraId="41DA3C56"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5.1 Descriptive Statistics</w:t>
      </w:r>
    </w:p>
    <w:p w14:paraId="37CD5045" w14:textId="70F4819E" w:rsidR="003327C7"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Table 1 shows the data of all the variables used in the work during 1971-2023. The statistics help to give a general overview on the distributional features of the data and give a preliminary evaluation of variables used in the empirical analysis. In particular, the table reports the number of observations, measures of central tendency, dispersion, and the range of values of each variable. This initial analysis enables one to understand the structure of the data and variability over time of the study period and forms the basis of further econometric estimation and analysis of the relationship between the variables.</w:t>
      </w:r>
    </w:p>
    <w:p w14:paraId="6F1D862D" w14:textId="77777777" w:rsidR="00163A0B" w:rsidRDefault="00163A0B" w:rsidP="00911184">
      <w:pPr>
        <w:spacing w:line="240" w:lineRule="auto"/>
        <w:contextualSpacing/>
        <w:jc w:val="both"/>
        <w:rPr>
          <w:rFonts w:ascii="Times New Roman" w:hAnsi="Times New Roman" w:cs="Times New Roman"/>
          <w:b/>
          <w:bCs/>
          <w:sz w:val="24"/>
          <w:szCs w:val="24"/>
        </w:rPr>
      </w:pPr>
    </w:p>
    <w:p w14:paraId="3EC88ECB" w14:textId="66DC9858" w:rsidR="0071510C" w:rsidRPr="0071510C" w:rsidRDefault="00C70795"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b/>
          <w:bCs/>
          <w:sz w:val="24"/>
          <w:szCs w:val="24"/>
        </w:rPr>
        <w:t>Table 1: Descriptive Statistics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4"/>
        <w:gridCol w:w="300"/>
        <w:gridCol w:w="720"/>
        <w:gridCol w:w="720"/>
        <w:gridCol w:w="720"/>
        <w:gridCol w:w="735"/>
      </w:tblGrid>
      <w:tr w:rsidR="0071510C" w:rsidRPr="0071510C" w14:paraId="5FE0EC54" w14:textId="77777777" w:rsidTr="007E72C0">
        <w:trPr>
          <w:tblHeader/>
          <w:tblCellSpacing w:w="15" w:type="dxa"/>
        </w:trPr>
        <w:tc>
          <w:tcPr>
            <w:tcW w:w="0" w:type="auto"/>
            <w:tcBorders>
              <w:top w:val="single" w:sz="4" w:space="0" w:color="auto"/>
              <w:bottom w:val="single" w:sz="4" w:space="0" w:color="auto"/>
            </w:tcBorders>
            <w:vAlign w:val="center"/>
            <w:hideMark/>
          </w:tcPr>
          <w:p w14:paraId="2F1AC57C" w14:textId="77777777" w:rsidR="0071510C" w:rsidRPr="0071510C" w:rsidRDefault="0071510C" w:rsidP="00911184">
            <w:pPr>
              <w:spacing w:after="0" w:line="240" w:lineRule="auto"/>
              <w:contextualSpacing/>
              <w:jc w:val="both"/>
              <w:rPr>
                <w:rFonts w:ascii="Times New Roman" w:eastAsia="Times New Roman" w:hAnsi="Times New Roman" w:cs="Times New Roman"/>
                <w:b/>
                <w:bCs/>
                <w:sz w:val="24"/>
                <w:szCs w:val="24"/>
              </w:rPr>
            </w:pPr>
            <w:r w:rsidRPr="0071510C">
              <w:rPr>
                <w:rFonts w:ascii="Times New Roman" w:eastAsia="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14:paraId="3116E151" w14:textId="77777777" w:rsidR="0071510C" w:rsidRPr="0071510C" w:rsidRDefault="0071510C" w:rsidP="00911184">
            <w:pPr>
              <w:spacing w:after="0" w:line="240" w:lineRule="auto"/>
              <w:contextualSpacing/>
              <w:jc w:val="both"/>
              <w:rPr>
                <w:rFonts w:ascii="Times New Roman" w:eastAsia="Times New Roman" w:hAnsi="Times New Roman" w:cs="Times New Roman"/>
                <w:b/>
                <w:bCs/>
                <w:sz w:val="24"/>
                <w:szCs w:val="24"/>
              </w:rPr>
            </w:pPr>
            <w:r w:rsidRPr="0071510C">
              <w:rPr>
                <w:rFonts w:ascii="Times New Roman" w:eastAsia="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14:paraId="55CEADE7" w14:textId="77777777" w:rsidR="0071510C" w:rsidRPr="0071510C" w:rsidRDefault="0071510C" w:rsidP="00911184">
            <w:pPr>
              <w:spacing w:after="0" w:line="240" w:lineRule="auto"/>
              <w:contextualSpacing/>
              <w:jc w:val="both"/>
              <w:rPr>
                <w:rFonts w:ascii="Times New Roman" w:eastAsia="Times New Roman" w:hAnsi="Times New Roman" w:cs="Times New Roman"/>
                <w:b/>
                <w:bCs/>
                <w:sz w:val="24"/>
                <w:szCs w:val="24"/>
              </w:rPr>
            </w:pPr>
            <w:r w:rsidRPr="0071510C">
              <w:rPr>
                <w:rFonts w:ascii="Times New Roman" w:eastAsia="Times New Roman" w:hAnsi="Times New Roman" w:cs="Times New Roman"/>
                <w:b/>
                <w:bCs/>
                <w:sz w:val="24"/>
                <w:szCs w:val="24"/>
              </w:rPr>
              <w:t>M</w:t>
            </w:r>
          </w:p>
        </w:tc>
        <w:tc>
          <w:tcPr>
            <w:tcW w:w="0" w:type="auto"/>
            <w:tcBorders>
              <w:top w:val="single" w:sz="4" w:space="0" w:color="auto"/>
              <w:bottom w:val="single" w:sz="4" w:space="0" w:color="auto"/>
            </w:tcBorders>
            <w:vAlign w:val="center"/>
            <w:hideMark/>
          </w:tcPr>
          <w:p w14:paraId="74F249B6" w14:textId="77777777" w:rsidR="0071510C" w:rsidRPr="0071510C" w:rsidRDefault="0071510C" w:rsidP="00911184">
            <w:pPr>
              <w:spacing w:after="0" w:line="240" w:lineRule="auto"/>
              <w:contextualSpacing/>
              <w:jc w:val="both"/>
              <w:rPr>
                <w:rFonts w:ascii="Times New Roman" w:eastAsia="Times New Roman" w:hAnsi="Times New Roman" w:cs="Times New Roman"/>
                <w:b/>
                <w:bCs/>
                <w:sz w:val="24"/>
                <w:szCs w:val="24"/>
              </w:rPr>
            </w:pPr>
            <w:r w:rsidRPr="0071510C">
              <w:rPr>
                <w:rFonts w:ascii="Times New Roman" w:eastAsia="Times New Roman" w:hAnsi="Times New Roman" w:cs="Times New Roman"/>
                <w:b/>
                <w:bCs/>
                <w:sz w:val="24"/>
                <w:szCs w:val="24"/>
              </w:rPr>
              <w:t>SD</w:t>
            </w:r>
          </w:p>
        </w:tc>
        <w:tc>
          <w:tcPr>
            <w:tcW w:w="0" w:type="auto"/>
            <w:tcBorders>
              <w:top w:val="single" w:sz="4" w:space="0" w:color="auto"/>
              <w:bottom w:val="single" w:sz="4" w:space="0" w:color="auto"/>
            </w:tcBorders>
            <w:vAlign w:val="center"/>
            <w:hideMark/>
          </w:tcPr>
          <w:p w14:paraId="0E02C04F" w14:textId="77777777" w:rsidR="0071510C" w:rsidRPr="0071510C" w:rsidRDefault="0071510C" w:rsidP="00911184">
            <w:pPr>
              <w:spacing w:after="0" w:line="240" w:lineRule="auto"/>
              <w:contextualSpacing/>
              <w:jc w:val="both"/>
              <w:rPr>
                <w:rFonts w:ascii="Times New Roman" w:eastAsia="Times New Roman" w:hAnsi="Times New Roman" w:cs="Times New Roman"/>
                <w:b/>
                <w:bCs/>
                <w:sz w:val="24"/>
                <w:szCs w:val="24"/>
              </w:rPr>
            </w:pPr>
            <w:r w:rsidRPr="0071510C">
              <w:rPr>
                <w:rFonts w:ascii="Times New Roman" w:eastAsia="Times New Roman" w:hAnsi="Times New Roman" w:cs="Times New Roman"/>
                <w:b/>
                <w:bCs/>
                <w:sz w:val="24"/>
                <w:szCs w:val="24"/>
              </w:rPr>
              <w:t>Min</w:t>
            </w:r>
          </w:p>
        </w:tc>
        <w:tc>
          <w:tcPr>
            <w:tcW w:w="0" w:type="auto"/>
            <w:tcBorders>
              <w:top w:val="single" w:sz="4" w:space="0" w:color="auto"/>
              <w:bottom w:val="single" w:sz="4" w:space="0" w:color="auto"/>
            </w:tcBorders>
            <w:vAlign w:val="center"/>
            <w:hideMark/>
          </w:tcPr>
          <w:p w14:paraId="1A984D79" w14:textId="77777777" w:rsidR="0071510C" w:rsidRPr="0071510C" w:rsidRDefault="0071510C" w:rsidP="00911184">
            <w:pPr>
              <w:spacing w:after="0" w:line="240" w:lineRule="auto"/>
              <w:contextualSpacing/>
              <w:jc w:val="both"/>
              <w:rPr>
                <w:rFonts w:ascii="Times New Roman" w:eastAsia="Times New Roman" w:hAnsi="Times New Roman" w:cs="Times New Roman"/>
                <w:b/>
                <w:bCs/>
                <w:sz w:val="24"/>
                <w:szCs w:val="24"/>
              </w:rPr>
            </w:pPr>
            <w:r w:rsidRPr="0071510C">
              <w:rPr>
                <w:rFonts w:ascii="Times New Roman" w:eastAsia="Times New Roman" w:hAnsi="Times New Roman" w:cs="Times New Roman"/>
                <w:b/>
                <w:bCs/>
                <w:sz w:val="24"/>
                <w:szCs w:val="24"/>
              </w:rPr>
              <w:t>Max</w:t>
            </w:r>
          </w:p>
        </w:tc>
      </w:tr>
      <w:tr w:rsidR="0071510C" w:rsidRPr="0071510C" w14:paraId="1303E1D5" w14:textId="77777777" w:rsidTr="0071510C">
        <w:trPr>
          <w:tblCellSpacing w:w="15" w:type="dxa"/>
        </w:trPr>
        <w:tc>
          <w:tcPr>
            <w:tcW w:w="0" w:type="auto"/>
            <w:vAlign w:val="center"/>
            <w:hideMark/>
          </w:tcPr>
          <w:p w14:paraId="52D7366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Economic Growth, Y (%)</w:t>
            </w:r>
          </w:p>
        </w:tc>
        <w:tc>
          <w:tcPr>
            <w:tcW w:w="0" w:type="auto"/>
            <w:vAlign w:val="center"/>
            <w:hideMark/>
          </w:tcPr>
          <w:p w14:paraId="254E9F67"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5445FCAC"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1.541</w:t>
            </w:r>
          </w:p>
        </w:tc>
        <w:tc>
          <w:tcPr>
            <w:tcW w:w="0" w:type="auto"/>
            <w:vAlign w:val="center"/>
            <w:hideMark/>
          </w:tcPr>
          <w:p w14:paraId="1BFB2C8D"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3.675</w:t>
            </w:r>
          </w:p>
        </w:tc>
        <w:tc>
          <w:tcPr>
            <w:tcW w:w="0" w:type="auto"/>
            <w:vAlign w:val="center"/>
            <w:hideMark/>
          </w:tcPr>
          <w:p w14:paraId="0DE8DD71"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-3.794</w:t>
            </w:r>
          </w:p>
        </w:tc>
        <w:tc>
          <w:tcPr>
            <w:tcW w:w="0" w:type="auto"/>
            <w:vAlign w:val="center"/>
            <w:hideMark/>
          </w:tcPr>
          <w:p w14:paraId="3983DEB7"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17.820</w:t>
            </w:r>
          </w:p>
        </w:tc>
      </w:tr>
      <w:tr w:rsidR="0071510C" w:rsidRPr="0071510C" w14:paraId="5DA30CA3" w14:textId="77777777" w:rsidTr="0071510C">
        <w:trPr>
          <w:tblCellSpacing w:w="15" w:type="dxa"/>
        </w:trPr>
        <w:tc>
          <w:tcPr>
            <w:tcW w:w="0" w:type="auto"/>
            <w:vAlign w:val="center"/>
            <w:hideMark/>
          </w:tcPr>
          <w:p w14:paraId="16FB6992"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Primary Education Expenditure, P (% of education budget)</w:t>
            </w:r>
          </w:p>
        </w:tc>
        <w:tc>
          <w:tcPr>
            <w:tcW w:w="0" w:type="auto"/>
            <w:vAlign w:val="center"/>
            <w:hideMark/>
          </w:tcPr>
          <w:p w14:paraId="460DBA90"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17BB0CD1"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2.979</w:t>
            </w:r>
          </w:p>
        </w:tc>
        <w:tc>
          <w:tcPr>
            <w:tcW w:w="0" w:type="auto"/>
            <w:vAlign w:val="center"/>
            <w:hideMark/>
          </w:tcPr>
          <w:p w14:paraId="7DE773FB"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0.663</w:t>
            </w:r>
          </w:p>
        </w:tc>
        <w:tc>
          <w:tcPr>
            <w:tcW w:w="0" w:type="auto"/>
            <w:vAlign w:val="center"/>
            <w:hideMark/>
          </w:tcPr>
          <w:p w14:paraId="33595E0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1.686</w:t>
            </w:r>
          </w:p>
        </w:tc>
        <w:tc>
          <w:tcPr>
            <w:tcW w:w="0" w:type="auto"/>
            <w:vAlign w:val="center"/>
            <w:hideMark/>
          </w:tcPr>
          <w:p w14:paraId="0678A6C8"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4.222</w:t>
            </w:r>
          </w:p>
        </w:tc>
      </w:tr>
      <w:tr w:rsidR="0071510C" w:rsidRPr="0071510C" w14:paraId="1F2BDBFC" w14:textId="77777777" w:rsidTr="0071510C">
        <w:trPr>
          <w:tblCellSpacing w:w="15" w:type="dxa"/>
        </w:trPr>
        <w:tc>
          <w:tcPr>
            <w:tcW w:w="0" w:type="auto"/>
            <w:vAlign w:val="center"/>
            <w:hideMark/>
          </w:tcPr>
          <w:p w14:paraId="5328BC14"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Secondary Education Expenditure, S (% of education budget)</w:t>
            </w:r>
          </w:p>
        </w:tc>
        <w:tc>
          <w:tcPr>
            <w:tcW w:w="0" w:type="auto"/>
            <w:vAlign w:val="center"/>
            <w:hideMark/>
          </w:tcPr>
          <w:p w14:paraId="5CC43690"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6E6E1058"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1.329</w:t>
            </w:r>
          </w:p>
        </w:tc>
        <w:tc>
          <w:tcPr>
            <w:tcW w:w="0" w:type="auto"/>
            <w:vAlign w:val="center"/>
            <w:hideMark/>
          </w:tcPr>
          <w:p w14:paraId="0F75FE9A"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0.356</w:t>
            </w:r>
          </w:p>
        </w:tc>
        <w:tc>
          <w:tcPr>
            <w:tcW w:w="0" w:type="auto"/>
            <w:vAlign w:val="center"/>
            <w:hideMark/>
          </w:tcPr>
          <w:p w14:paraId="3CB50C86"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0.709</w:t>
            </w:r>
          </w:p>
        </w:tc>
        <w:tc>
          <w:tcPr>
            <w:tcW w:w="0" w:type="auto"/>
            <w:vAlign w:val="center"/>
            <w:hideMark/>
          </w:tcPr>
          <w:p w14:paraId="08AE3B76"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2.083</w:t>
            </w:r>
          </w:p>
        </w:tc>
      </w:tr>
      <w:tr w:rsidR="0071510C" w:rsidRPr="0071510C" w14:paraId="5B7823F2" w14:textId="77777777" w:rsidTr="0071510C">
        <w:trPr>
          <w:tblCellSpacing w:w="15" w:type="dxa"/>
        </w:trPr>
        <w:tc>
          <w:tcPr>
            <w:tcW w:w="0" w:type="auto"/>
            <w:vAlign w:val="center"/>
            <w:hideMark/>
          </w:tcPr>
          <w:p w14:paraId="70A31C46"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Tertiary Education Expenditure, T (% of education budget)</w:t>
            </w:r>
          </w:p>
        </w:tc>
        <w:tc>
          <w:tcPr>
            <w:tcW w:w="0" w:type="auto"/>
            <w:vAlign w:val="center"/>
            <w:hideMark/>
          </w:tcPr>
          <w:p w14:paraId="3C809F71"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2D718F30"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0.811</w:t>
            </w:r>
          </w:p>
        </w:tc>
        <w:tc>
          <w:tcPr>
            <w:tcW w:w="0" w:type="auto"/>
            <w:vAlign w:val="center"/>
            <w:hideMark/>
          </w:tcPr>
          <w:p w14:paraId="788EF5CE"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0.222</w:t>
            </w:r>
          </w:p>
        </w:tc>
        <w:tc>
          <w:tcPr>
            <w:tcW w:w="0" w:type="auto"/>
            <w:vAlign w:val="center"/>
            <w:hideMark/>
          </w:tcPr>
          <w:p w14:paraId="1F78EA1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0.571</w:t>
            </w:r>
          </w:p>
        </w:tc>
        <w:tc>
          <w:tcPr>
            <w:tcW w:w="0" w:type="auto"/>
            <w:vAlign w:val="center"/>
            <w:hideMark/>
          </w:tcPr>
          <w:p w14:paraId="7CB8E00C"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1.877</w:t>
            </w:r>
          </w:p>
        </w:tc>
      </w:tr>
      <w:tr w:rsidR="0071510C" w:rsidRPr="0071510C" w14:paraId="13F3B363" w14:textId="77777777" w:rsidTr="0071510C">
        <w:trPr>
          <w:tblCellSpacing w:w="15" w:type="dxa"/>
        </w:trPr>
        <w:tc>
          <w:tcPr>
            <w:tcW w:w="0" w:type="auto"/>
            <w:vAlign w:val="center"/>
            <w:hideMark/>
          </w:tcPr>
          <w:p w14:paraId="2B07D0DC"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Gross Fixed Capital Formation, GFCF (% of GDP)</w:t>
            </w:r>
          </w:p>
        </w:tc>
        <w:tc>
          <w:tcPr>
            <w:tcW w:w="0" w:type="auto"/>
            <w:vAlign w:val="center"/>
            <w:hideMark/>
          </w:tcPr>
          <w:p w14:paraId="65E44882"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01BE9319"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19.151</w:t>
            </w:r>
          </w:p>
        </w:tc>
        <w:tc>
          <w:tcPr>
            <w:tcW w:w="0" w:type="auto"/>
            <w:vAlign w:val="center"/>
            <w:hideMark/>
          </w:tcPr>
          <w:p w14:paraId="071DE0D4"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2.064</w:t>
            </w:r>
          </w:p>
        </w:tc>
        <w:tc>
          <w:tcPr>
            <w:tcW w:w="0" w:type="auto"/>
            <w:vAlign w:val="center"/>
            <w:hideMark/>
          </w:tcPr>
          <w:p w14:paraId="2046E81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15.388</w:t>
            </w:r>
          </w:p>
        </w:tc>
        <w:tc>
          <w:tcPr>
            <w:tcW w:w="0" w:type="auto"/>
            <w:vAlign w:val="center"/>
            <w:hideMark/>
          </w:tcPr>
          <w:p w14:paraId="5B42278A"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25.076</w:t>
            </w:r>
          </w:p>
        </w:tc>
      </w:tr>
      <w:tr w:rsidR="0071510C" w:rsidRPr="0071510C" w14:paraId="290949FD" w14:textId="77777777" w:rsidTr="0071510C">
        <w:trPr>
          <w:tblCellSpacing w:w="15" w:type="dxa"/>
        </w:trPr>
        <w:tc>
          <w:tcPr>
            <w:tcW w:w="0" w:type="auto"/>
            <w:vAlign w:val="center"/>
            <w:hideMark/>
          </w:tcPr>
          <w:p w14:paraId="07359B7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Trade Openness, TRD (% of GDP)</w:t>
            </w:r>
          </w:p>
        </w:tc>
        <w:tc>
          <w:tcPr>
            <w:tcW w:w="0" w:type="auto"/>
            <w:vAlign w:val="center"/>
            <w:hideMark/>
          </w:tcPr>
          <w:p w14:paraId="2E999DB7"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56443086"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53.887</w:t>
            </w:r>
          </w:p>
        </w:tc>
        <w:tc>
          <w:tcPr>
            <w:tcW w:w="0" w:type="auto"/>
            <w:vAlign w:val="center"/>
            <w:hideMark/>
          </w:tcPr>
          <w:p w14:paraId="1106639E"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10.630</w:t>
            </w:r>
          </w:p>
        </w:tc>
        <w:tc>
          <w:tcPr>
            <w:tcW w:w="0" w:type="auto"/>
            <w:vAlign w:val="center"/>
            <w:hideMark/>
          </w:tcPr>
          <w:p w14:paraId="3D285D32"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30.399</w:t>
            </w:r>
          </w:p>
        </w:tc>
        <w:tc>
          <w:tcPr>
            <w:tcW w:w="0" w:type="auto"/>
            <w:vAlign w:val="center"/>
            <w:hideMark/>
          </w:tcPr>
          <w:p w14:paraId="508C14DD"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74.573</w:t>
            </w:r>
          </w:p>
        </w:tc>
      </w:tr>
      <w:tr w:rsidR="0071510C" w:rsidRPr="0071510C" w14:paraId="7F93F2F4" w14:textId="77777777" w:rsidTr="0071510C">
        <w:trPr>
          <w:tblCellSpacing w:w="15" w:type="dxa"/>
        </w:trPr>
        <w:tc>
          <w:tcPr>
            <w:tcW w:w="0" w:type="auto"/>
            <w:vAlign w:val="center"/>
            <w:hideMark/>
          </w:tcPr>
          <w:p w14:paraId="6468315F"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Foreign Direct Investment, FDI (% of GDP)</w:t>
            </w:r>
          </w:p>
        </w:tc>
        <w:tc>
          <w:tcPr>
            <w:tcW w:w="0" w:type="auto"/>
            <w:vAlign w:val="center"/>
            <w:hideMark/>
          </w:tcPr>
          <w:p w14:paraId="0C3AE7C6"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4ADA5DBD"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0.710</w:t>
            </w:r>
          </w:p>
        </w:tc>
        <w:tc>
          <w:tcPr>
            <w:tcW w:w="0" w:type="auto"/>
            <w:vAlign w:val="center"/>
            <w:hideMark/>
          </w:tcPr>
          <w:p w14:paraId="364AE817"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0.683</w:t>
            </w:r>
          </w:p>
        </w:tc>
        <w:tc>
          <w:tcPr>
            <w:tcW w:w="0" w:type="auto"/>
            <w:vAlign w:val="center"/>
            <w:hideMark/>
          </w:tcPr>
          <w:p w14:paraId="72B67852"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-0.005</w:t>
            </w:r>
          </w:p>
        </w:tc>
        <w:tc>
          <w:tcPr>
            <w:tcW w:w="0" w:type="auto"/>
            <w:vAlign w:val="center"/>
            <w:hideMark/>
          </w:tcPr>
          <w:p w14:paraId="5D32C3F2"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3.095</w:t>
            </w:r>
          </w:p>
        </w:tc>
      </w:tr>
      <w:tr w:rsidR="0071510C" w:rsidRPr="0071510C" w14:paraId="4A6F1FE5" w14:textId="77777777" w:rsidTr="0071510C">
        <w:trPr>
          <w:tblCellSpacing w:w="15" w:type="dxa"/>
        </w:trPr>
        <w:tc>
          <w:tcPr>
            <w:tcW w:w="0" w:type="auto"/>
            <w:vAlign w:val="center"/>
            <w:hideMark/>
          </w:tcPr>
          <w:p w14:paraId="69DC64E3"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Population Growth, POP (%)</w:t>
            </w:r>
          </w:p>
        </w:tc>
        <w:tc>
          <w:tcPr>
            <w:tcW w:w="0" w:type="auto"/>
            <w:vAlign w:val="center"/>
            <w:hideMark/>
          </w:tcPr>
          <w:p w14:paraId="4717482F"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vAlign w:val="center"/>
            <w:hideMark/>
          </w:tcPr>
          <w:p w14:paraId="6339063E"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2.961</w:t>
            </w:r>
          </w:p>
        </w:tc>
        <w:tc>
          <w:tcPr>
            <w:tcW w:w="0" w:type="auto"/>
            <w:vAlign w:val="center"/>
            <w:hideMark/>
          </w:tcPr>
          <w:p w14:paraId="1DB16A31"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0.545</w:t>
            </w:r>
          </w:p>
        </w:tc>
        <w:tc>
          <w:tcPr>
            <w:tcW w:w="0" w:type="auto"/>
            <w:vAlign w:val="center"/>
            <w:hideMark/>
          </w:tcPr>
          <w:p w14:paraId="3A43A25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1.910</w:t>
            </w:r>
          </w:p>
        </w:tc>
        <w:tc>
          <w:tcPr>
            <w:tcW w:w="0" w:type="auto"/>
            <w:vAlign w:val="center"/>
            <w:hideMark/>
          </w:tcPr>
          <w:p w14:paraId="4FB76A20"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3.714</w:t>
            </w:r>
          </w:p>
        </w:tc>
      </w:tr>
      <w:tr w:rsidR="0071510C" w:rsidRPr="0071510C" w14:paraId="4C19BDB7" w14:textId="77777777" w:rsidTr="007E72C0">
        <w:trPr>
          <w:tblCellSpacing w:w="15" w:type="dxa"/>
        </w:trPr>
        <w:tc>
          <w:tcPr>
            <w:tcW w:w="0" w:type="auto"/>
            <w:tcBorders>
              <w:bottom w:val="single" w:sz="4" w:space="0" w:color="auto"/>
            </w:tcBorders>
            <w:vAlign w:val="center"/>
            <w:hideMark/>
          </w:tcPr>
          <w:p w14:paraId="24277EF7"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Structural Adjustment Program, SAP (Dummy)</w:t>
            </w:r>
          </w:p>
        </w:tc>
        <w:tc>
          <w:tcPr>
            <w:tcW w:w="0" w:type="auto"/>
            <w:tcBorders>
              <w:bottom w:val="single" w:sz="4" w:space="0" w:color="auto"/>
            </w:tcBorders>
            <w:vAlign w:val="center"/>
            <w:hideMark/>
          </w:tcPr>
          <w:p w14:paraId="1A3E9D5A"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53</w:t>
            </w:r>
          </w:p>
        </w:tc>
        <w:tc>
          <w:tcPr>
            <w:tcW w:w="0" w:type="auto"/>
            <w:tcBorders>
              <w:bottom w:val="single" w:sz="4" w:space="0" w:color="auto"/>
            </w:tcBorders>
            <w:vAlign w:val="center"/>
            <w:hideMark/>
          </w:tcPr>
          <w:p w14:paraId="6F275471"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0.019</w:t>
            </w:r>
          </w:p>
        </w:tc>
        <w:tc>
          <w:tcPr>
            <w:tcW w:w="0" w:type="auto"/>
            <w:tcBorders>
              <w:bottom w:val="single" w:sz="4" w:space="0" w:color="auto"/>
            </w:tcBorders>
            <w:vAlign w:val="center"/>
            <w:hideMark/>
          </w:tcPr>
          <w:p w14:paraId="52DF6F9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0.137</w:t>
            </w:r>
          </w:p>
        </w:tc>
        <w:tc>
          <w:tcPr>
            <w:tcW w:w="0" w:type="auto"/>
            <w:tcBorders>
              <w:bottom w:val="single" w:sz="4" w:space="0" w:color="auto"/>
            </w:tcBorders>
            <w:vAlign w:val="center"/>
            <w:hideMark/>
          </w:tcPr>
          <w:p w14:paraId="60C87CC5"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0.000</w:t>
            </w:r>
          </w:p>
        </w:tc>
        <w:tc>
          <w:tcPr>
            <w:tcW w:w="0" w:type="auto"/>
            <w:tcBorders>
              <w:bottom w:val="single" w:sz="4" w:space="0" w:color="auto"/>
            </w:tcBorders>
            <w:vAlign w:val="center"/>
            <w:hideMark/>
          </w:tcPr>
          <w:p w14:paraId="06678303" w14:textId="77777777" w:rsidR="0071510C" w:rsidRPr="0071510C" w:rsidRDefault="0071510C" w:rsidP="00911184">
            <w:pPr>
              <w:spacing w:after="0"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sz w:val="24"/>
                <w:szCs w:val="24"/>
              </w:rPr>
              <w:t>1.000</w:t>
            </w:r>
          </w:p>
        </w:tc>
      </w:tr>
    </w:tbl>
    <w:p w14:paraId="67C828B9" w14:textId="478D3385" w:rsidR="0071510C" w:rsidRPr="007E72C0" w:rsidRDefault="0071510C" w:rsidP="00911184">
      <w:pPr>
        <w:spacing w:before="100" w:beforeAutospacing="1" w:after="100" w:afterAutospacing="1" w:line="240" w:lineRule="auto"/>
        <w:contextualSpacing/>
        <w:jc w:val="both"/>
        <w:rPr>
          <w:rFonts w:ascii="Times New Roman" w:eastAsia="Times New Roman" w:hAnsi="Times New Roman" w:cs="Times New Roman"/>
          <w:sz w:val="24"/>
          <w:szCs w:val="24"/>
        </w:rPr>
      </w:pPr>
      <w:r w:rsidRPr="0071510C">
        <w:rPr>
          <w:rFonts w:ascii="Times New Roman" w:eastAsia="Times New Roman" w:hAnsi="Times New Roman" w:cs="Times New Roman"/>
          <w:i/>
          <w:iCs/>
          <w:sz w:val="24"/>
          <w:szCs w:val="24"/>
        </w:rPr>
        <w:t>Note.</w:t>
      </w:r>
      <w:r w:rsidRPr="0071510C">
        <w:rPr>
          <w:rFonts w:ascii="Times New Roman" w:eastAsia="Times New Roman" w:hAnsi="Times New Roman" w:cs="Times New Roman"/>
          <w:sz w:val="24"/>
          <w:szCs w:val="24"/>
        </w:rPr>
        <w:t xml:space="preserve"> </w:t>
      </w:r>
      <w:r w:rsidRPr="0071510C">
        <w:rPr>
          <w:rFonts w:ascii="Times New Roman" w:eastAsia="Times New Roman" w:hAnsi="Times New Roman" w:cs="Times New Roman"/>
          <w:i/>
          <w:iCs/>
          <w:sz w:val="24"/>
          <w:szCs w:val="24"/>
        </w:rPr>
        <w:t>N</w:t>
      </w:r>
      <w:r w:rsidRPr="0071510C">
        <w:rPr>
          <w:rFonts w:ascii="Times New Roman" w:eastAsia="Times New Roman" w:hAnsi="Times New Roman" w:cs="Times New Roman"/>
          <w:sz w:val="24"/>
          <w:szCs w:val="24"/>
        </w:rPr>
        <w:t xml:space="preserve"> = number of observations; </w:t>
      </w:r>
      <w:r w:rsidRPr="0071510C">
        <w:rPr>
          <w:rFonts w:ascii="Times New Roman" w:eastAsia="Times New Roman" w:hAnsi="Times New Roman" w:cs="Times New Roman"/>
          <w:i/>
          <w:iCs/>
          <w:sz w:val="24"/>
          <w:szCs w:val="24"/>
        </w:rPr>
        <w:t>M</w:t>
      </w:r>
      <w:r w:rsidRPr="0071510C">
        <w:rPr>
          <w:rFonts w:ascii="Times New Roman" w:eastAsia="Times New Roman" w:hAnsi="Times New Roman" w:cs="Times New Roman"/>
          <w:sz w:val="24"/>
          <w:szCs w:val="24"/>
        </w:rPr>
        <w:t xml:space="preserve"> = mean; </w:t>
      </w:r>
      <w:r w:rsidRPr="0071510C">
        <w:rPr>
          <w:rFonts w:ascii="Times New Roman" w:eastAsia="Times New Roman" w:hAnsi="Times New Roman" w:cs="Times New Roman"/>
          <w:i/>
          <w:iCs/>
          <w:sz w:val="24"/>
          <w:szCs w:val="24"/>
        </w:rPr>
        <w:t>SD</w:t>
      </w:r>
      <w:r w:rsidRPr="0071510C">
        <w:rPr>
          <w:rFonts w:ascii="Times New Roman" w:eastAsia="Times New Roman" w:hAnsi="Times New Roman" w:cs="Times New Roman"/>
          <w:sz w:val="24"/>
          <w:szCs w:val="24"/>
        </w:rPr>
        <w:t xml:space="preserve"> = standard deviation; Min = minimum value; Max = maximum value. SAP is a dummy variable coded 1 = Structural Adjustment Program period and 0 = otherwise.</w:t>
      </w:r>
    </w:p>
    <w:p w14:paraId="0994F4F5" w14:textId="044F0D91" w:rsidR="00C70795" w:rsidRPr="00C70795" w:rsidRDefault="00C70795"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i/>
          <w:iCs/>
          <w:sz w:val="24"/>
          <w:szCs w:val="24"/>
        </w:rPr>
        <w:t>Source: Authors’ computations based on World Bank Development Indicators (2023) and KNBS (2023).</w:t>
      </w:r>
    </w:p>
    <w:p w14:paraId="7719E04C" w14:textId="77777777" w:rsidR="003327C7" w:rsidRDefault="003327C7" w:rsidP="00911184">
      <w:pPr>
        <w:spacing w:line="240" w:lineRule="auto"/>
        <w:contextualSpacing/>
        <w:jc w:val="both"/>
        <w:rPr>
          <w:rFonts w:ascii="Times New Roman" w:hAnsi="Times New Roman" w:cs="Times New Roman"/>
          <w:kern w:val="2"/>
          <w:sz w:val="24"/>
          <w:szCs w:val="24"/>
          <w14:ligatures w14:val="standardContextual"/>
        </w:rPr>
      </w:pPr>
    </w:p>
    <w:p w14:paraId="5B49CFB1" w14:textId="4175CE9E" w:rsidR="00B32942" w:rsidRDefault="00B32942" w:rsidP="00911184">
      <w:pPr>
        <w:spacing w:line="240" w:lineRule="auto"/>
        <w:contextualSpacing/>
        <w:jc w:val="both"/>
        <w:rPr>
          <w:rFonts w:ascii="Times New Roman" w:hAnsi="Times New Roman" w:cs="Times New Roman"/>
          <w:kern w:val="2"/>
          <w:sz w:val="24"/>
          <w:szCs w:val="24"/>
          <w14:ligatures w14:val="standardContextual"/>
        </w:rPr>
      </w:pPr>
      <w:r w:rsidRPr="00B32942">
        <w:rPr>
          <w:rFonts w:ascii="Times New Roman" w:hAnsi="Times New Roman" w:cs="Times New Roman"/>
          <w:kern w:val="2"/>
          <w:sz w:val="24"/>
          <w:szCs w:val="24"/>
          <w14:ligatures w14:val="standardContextual"/>
        </w:rPr>
        <w:t xml:space="preserve">Table 1 shows the descriptive statistics of all the variables used in the study between 1971 and 2023. The findings show that the average growth rate (Y) was 1.541% with a standard deviation of 3.675 (with a minimum of -3.794 and a maximum of 17.820), which means that the economic growth performance in Kenya is volatile with fluctuations in the macroeconomic environment, investment, and policy environment as explained by Soi (2013). The mean expenditure on primary education (P) was 2.979% of the education budget (SD = 0.663), and secondary education expenditure (S) was 1.329% (SD = 0.356). The lowest average expenditure was on tertiary </w:t>
      </w:r>
      <w:r w:rsidRPr="00B32942">
        <w:rPr>
          <w:rFonts w:ascii="Times New Roman" w:hAnsi="Times New Roman" w:cs="Times New Roman"/>
          <w:kern w:val="2"/>
          <w:sz w:val="24"/>
          <w:szCs w:val="24"/>
          <w14:ligatures w14:val="standardContextual"/>
        </w:rPr>
        <w:lastRenderedPageBreak/>
        <w:t>education (T), 0.811% (SD = 0.222). These trends are in line with the development of Hope (2018), who states that primary education has become budgetarily more attentive with the introduction of free primary education in 2003, secondary education expenditure has expanded with the introduction of free day secondary education in 2008, and tertiary education was relatively limited due to budgetary constraints.</w:t>
      </w:r>
    </w:p>
    <w:p w14:paraId="5F844915" w14:textId="77777777" w:rsidR="00163A0B" w:rsidRPr="00B32942" w:rsidRDefault="00163A0B" w:rsidP="00911184">
      <w:pPr>
        <w:spacing w:line="240" w:lineRule="auto"/>
        <w:contextualSpacing/>
        <w:jc w:val="both"/>
        <w:rPr>
          <w:rFonts w:ascii="Times New Roman" w:hAnsi="Times New Roman" w:cs="Times New Roman"/>
          <w:kern w:val="2"/>
          <w:sz w:val="24"/>
          <w:szCs w:val="24"/>
          <w14:ligatures w14:val="standardContextual"/>
        </w:rPr>
      </w:pPr>
    </w:p>
    <w:p w14:paraId="39B1A62C" w14:textId="0ACA3C28" w:rsidR="00B32942" w:rsidRDefault="00B32942" w:rsidP="00911184">
      <w:pPr>
        <w:spacing w:line="240" w:lineRule="auto"/>
        <w:contextualSpacing/>
        <w:jc w:val="both"/>
        <w:rPr>
          <w:rFonts w:ascii="Times New Roman" w:hAnsi="Times New Roman" w:cs="Times New Roman"/>
          <w:kern w:val="2"/>
          <w:sz w:val="24"/>
          <w:szCs w:val="24"/>
          <w14:ligatures w14:val="standardContextual"/>
        </w:rPr>
      </w:pPr>
      <w:r w:rsidRPr="00B32942">
        <w:rPr>
          <w:rFonts w:ascii="Times New Roman" w:hAnsi="Times New Roman" w:cs="Times New Roman"/>
          <w:kern w:val="2"/>
          <w:sz w:val="24"/>
          <w:szCs w:val="24"/>
          <w14:ligatures w14:val="standardContextual"/>
        </w:rPr>
        <w:t xml:space="preserve">The control variable, gross fixed capital formation (GFCF), averaged 19.151 percent of GDP (SD = 2.064), with a range of 15.388 to 25.076 percent, which shows that there were consistent levels of capital investment during the study period. The mean trade openness (TRD) was reported at 53.887% of GDP (SD = 10.630), with a range of 30.399% to 74.573%, indicating Kenya is very much integrated into global markets. The average of the foreign direct investment (FDI) was 0.710% of the GDP (SD = 0.683), with a range of 0.005 to 3.095, indicating the high variability of foreign capital inflow. These results are consistent with those of Imana (2017), who concludes that trade openness is a major factor in the Kenyan economic performance and investment and FDI are the major avenues through which the economy interacts with the global markets. Population growth (POP) was 2.961% (SD = 0.545) with a range of 1.910 to 3.714, with the Structural Adjustment Program (SAP) dummy variable having a mean of 0.019 (SD = 0.137), implying that a small percentage of the observations were observed to be associated with SAP implementation years. On the whole, the descriptive statistics indicate that there is a significant range of variability in the study variables, which explains the appropriateness of the data to research the relationship between education spending and economic development in Kenya and is consistent with the evidence presented in previous research on the macroeconomic performance in Kenya and state financing of education (Hope, 2018; Imana, 2017; Soi, 2013). </w:t>
      </w:r>
    </w:p>
    <w:p w14:paraId="0B727817" w14:textId="77777777" w:rsidR="00163A0B" w:rsidRPr="00B32942" w:rsidRDefault="00163A0B" w:rsidP="00911184">
      <w:pPr>
        <w:spacing w:line="240" w:lineRule="auto"/>
        <w:contextualSpacing/>
        <w:jc w:val="both"/>
        <w:rPr>
          <w:rFonts w:ascii="Times New Roman" w:hAnsi="Times New Roman" w:cs="Times New Roman"/>
          <w:kern w:val="2"/>
          <w:sz w:val="24"/>
          <w:szCs w:val="24"/>
          <w14:ligatures w14:val="standardContextual"/>
        </w:rPr>
      </w:pPr>
    </w:p>
    <w:p w14:paraId="6F40BCE6" w14:textId="77777777" w:rsidR="00B32942" w:rsidRPr="00B32942" w:rsidRDefault="00B32942" w:rsidP="00911184">
      <w:pPr>
        <w:spacing w:line="240" w:lineRule="auto"/>
        <w:contextualSpacing/>
        <w:jc w:val="both"/>
        <w:rPr>
          <w:rFonts w:ascii="Times New Roman" w:hAnsi="Times New Roman" w:cs="Times New Roman"/>
          <w:b/>
          <w:bCs/>
          <w:kern w:val="2"/>
          <w:sz w:val="24"/>
          <w:szCs w:val="24"/>
          <w14:ligatures w14:val="standardContextual"/>
        </w:rPr>
      </w:pPr>
      <w:r w:rsidRPr="00B32942">
        <w:rPr>
          <w:rFonts w:ascii="Times New Roman" w:hAnsi="Times New Roman" w:cs="Times New Roman"/>
          <w:b/>
          <w:bCs/>
          <w:kern w:val="2"/>
          <w:sz w:val="24"/>
          <w:szCs w:val="24"/>
          <w14:ligatures w14:val="standardContextual"/>
        </w:rPr>
        <w:t>5.2 Stationarity Tests</w:t>
      </w:r>
    </w:p>
    <w:p w14:paraId="41CCED29" w14:textId="6DFCCEE1" w:rsidR="003327C7" w:rsidRDefault="00B32942" w:rsidP="00911184">
      <w:pPr>
        <w:spacing w:line="240" w:lineRule="auto"/>
        <w:contextualSpacing/>
        <w:jc w:val="both"/>
        <w:rPr>
          <w:rFonts w:ascii="Times New Roman" w:hAnsi="Times New Roman" w:cs="Times New Roman"/>
          <w:kern w:val="2"/>
          <w:sz w:val="24"/>
          <w:szCs w:val="24"/>
          <w14:ligatures w14:val="standardContextual"/>
        </w:rPr>
      </w:pPr>
      <w:r w:rsidRPr="00B32942">
        <w:rPr>
          <w:rFonts w:ascii="Times New Roman" w:hAnsi="Times New Roman" w:cs="Times New Roman"/>
          <w:kern w:val="2"/>
          <w:sz w:val="24"/>
          <w:szCs w:val="24"/>
          <w14:ligatures w14:val="standardContextual"/>
        </w:rPr>
        <w:t xml:space="preserve">In order to reduce the chance of spurious regression results, data stationarity needs to be established. This study, therefore, used a unit root test to corroborate this fact. This kind of verification is essential in the choice of the appropriate econometric model, in this case, the question of the applicability of the ARDL bounds testing method. Before estimating the relationship between the two variables, the Augmented </w:t>
      </w:r>
      <w:proofErr w:type="spellStart"/>
      <w:r w:rsidRPr="00B32942">
        <w:rPr>
          <w:rFonts w:ascii="Times New Roman" w:hAnsi="Times New Roman" w:cs="Times New Roman"/>
          <w:kern w:val="2"/>
          <w:sz w:val="24"/>
          <w:szCs w:val="24"/>
          <w14:ligatures w14:val="standardContextual"/>
        </w:rPr>
        <w:t>DickeyFuller</w:t>
      </w:r>
      <w:proofErr w:type="spellEnd"/>
      <w:r w:rsidRPr="00B32942">
        <w:rPr>
          <w:rFonts w:ascii="Times New Roman" w:hAnsi="Times New Roman" w:cs="Times New Roman"/>
          <w:kern w:val="2"/>
          <w:sz w:val="24"/>
          <w:szCs w:val="24"/>
          <w14:ligatures w14:val="standardContextual"/>
        </w:rPr>
        <w:t xml:space="preserve"> (ADF) unit root test was carried out to ascertain the order of integration of the variables. Table 2 shows the results of the ADF test.</w:t>
      </w:r>
    </w:p>
    <w:p w14:paraId="16997AB0" w14:textId="77777777" w:rsidR="00B32942" w:rsidRDefault="00B32942" w:rsidP="00911184">
      <w:pPr>
        <w:spacing w:line="240" w:lineRule="auto"/>
        <w:contextualSpacing/>
        <w:jc w:val="both"/>
        <w:rPr>
          <w:rFonts w:ascii="Times New Roman" w:hAnsi="Times New Roman" w:cs="Times New Roman"/>
          <w:b/>
          <w:bCs/>
          <w:sz w:val="24"/>
          <w:szCs w:val="24"/>
        </w:rPr>
      </w:pPr>
    </w:p>
    <w:p w14:paraId="1A14123C" w14:textId="21833675" w:rsidR="00C70795" w:rsidRPr="00C70795" w:rsidRDefault="00C70795"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b/>
          <w:bCs/>
          <w:sz w:val="24"/>
          <w:szCs w:val="24"/>
        </w:rPr>
        <w:t>Table 2: Augmented Dickey</w:t>
      </w:r>
      <w:r w:rsidRPr="00C70795">
        <w:rPr>
          <w:rFonts w:ascii="Times New Roman" w:hAnsi="Times New Roman" w:cs="Times New Roman"/>
          <w:b/>
          <w:bCs/>
          <w:sz w:val="24"/>
          <w:szCs w:val="24"/>
        </w:rPr>
        <w:noBreakHyphen/>
        <w:t>Fuller Unit Root Test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1544"/>
        <w:gridCol w:w="1099"/>
        <w:gridCol w:w="2082"/>
        <w:gridCol w:w="1099"/>
        <w:gridCol w:w="2224"/>
      </w:tblGrid>
      <w:tr w:rsidR="003D2503" w:rsidRPr="003D2503" w14:paraId="63ADE054" w14:textId="77777777" w:rsidTr="00CB1D7B">
        <w:trPr>
          <w:trHeight w:val="828"/>
        </w:trPr>
        <w:tc>
          <w:tcPr>
            <w:tcW w:w="701" w:type="pct"/>
            <w:tcBorders>
              <w:top w:val="single" w:sz="4" w:space="0" w:color="auto"/>
              <w:bottom w:val="single" w:sz="4" w:space="0" w:color="auto"/>
            </w:tcBorders>
            <w:vAlign w:val="center"/>
          </w:tcPr>
          <w:p w14:paraId="3FF13E6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Variable</w:t>
            </w:r>
          </w:p>
        </w:tc>
        <w:tc>
          <w:tcPr>
            <w:tcW w:w="825" w:type="pct"/>
            <w:tcBorders>
              <w:top w:val="single" w:sz="4" w:space="0" w:color="auto"/>
              <w:bottom w:val="single" w:sz="4" w:space="0" w:color="auto"/>
            </w:tcBorders>
            <w:vAlign w:val="center"/>
          </w:tcPr>
          <w:p w14:paraId="24F40AC1"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Level</w:t>
            </w:r>
          </w:p>
          <w:p w14:paraId="414D41F7"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Test Statistic</w:t>
            </w:r>
          </w:p>
        </w:tc>
        <w:tc>
          <w:tcPr>
            <w:tcW w:w="587" w:type="pct"/>
            <w:tcBorders>
              <w:top w:val="single" w:sz="4" w:space="0" w:color="auto"/>
              <w:bottom w:val="single" w:sz="4" w:space="0" w:color="auto"/>
            </w:tcBorders>
            <w:vAlign w:val="center"/>
          </w:tcPr>
          <w:p w14:paraId="4BE86EE1"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P Value</w:t>
            </w:r>
          </w:p>
        </w:tc>
        <w:tc>
          <w:tcPr>
            <w:tcW w:w="1112" w:type="pct"/>
            <w:tcBorders>
              <w:top w:val="single" w:sz="4" w:space="0" w:color="auto"/>
              <w:bottom w:val="single" w:sz="4" w:space="0" w:color="auto"/>
            </w:tcBorders>
            <w:vAlign w:val="center"/>
          </w:tcPr>
          <w:p w14:paraId="2EF298E3"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First Difference Test Statistic</w:t>
            </w:r>
          </w:p>
        </w:tc>
        <w:tc>
          <w:tcPr>
            <w:tcW w:w="587" w:type="pct"/>
            <w:tcBorders>
              <w:top w:val="single" w:sz="4" w:space="0" w:color="auto"/>
              <w:bottom w:val="single" w:sz="4" w:space="0" w:color="auto"/>
            </w:tcBorders>
            <w:vAlign w:val="center"/>
          </w:tcPr>
          <w:p w14:paraId="2BE00C91"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P Value</w:t>
            </w:r>
          </w:p>
        </w:tc>
        <w:tc>
          <w:tcPr>
            <w:tcW w:w="1188" w:type="pct"/>
            <w:tcBorders>
              <w:top w:val="single" w:sz="4" w:space="0" w:color="auto"/>
              <w:bottom w:val="single" w:sz="4" w:space="0" w:color="auto"/>
            </w:tcBorders>
            <w:vAlign w:val="center"/>
          </w:tcPr>
          <w:p w14:paraId="4D4ED0D2"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Decision</w:t>
            </w:r>
          </w:p>
        </w:tc>
      </w:tr>
      <w:tr w:rsidR="003D2503" w:rsidRPr="003D2503" w14:paraId="0003B2F6" w14:textId="77777777" w:rsidTr="00CB1D7B">
        <w:trPr>
          <w:trHeight w:val="271"/>
        </w:trPr>
        <w:tc>
          <w:tcPr>
            <w:tcW w:w="701" w:type="pct"/>
            <w:tcBorders>
              <w:top w:val="single" w:sz="4" w:space="0" w:color="auto"/>
            </w:tcBorders>
            <w:vAlign w:val="center"/>
          </w:tcPr>
          <w:p w14:paraId="2083E0C4"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Y</w:t>
            </w:r>
          </w:p>
        </w:tc>
        <w:tc>
          <w:tcPr>
            <w:tcW w:w="825" w:type="pct"/>
            <w:tcBorders>
              <w:top w:val="single" w:sz="4" w:space="0" w:color="auto"/>
            </w:tcBorders>
          </w:tcPr>
          <w:p w14:paraId="7E528868"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-6.534</w:t>
            </w:r>
          </w:p>
        </w:tc>
        <w:tc>
          <w:tcPr>
            <w:tcW w:w="587" w:type="pct"/>
            <w:tcBorders>
              <w:top w:val="single" w:sz="4" w:space="0" w:color="auto"/>
            </w:tcBorders>
          </w:tcPr>
          <w:p w14:paraId="3F47E961"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0.0000</w:t>
            </w:r>
          </w:p>
        </w:tc>
        <w:tc>
          <w:tcPr>
            <w:tcW w:w="1112" w:type="pct"/>
            <w:tcBorders>
              <w:top w:val="single" w:sz="4" w:space="0" w:color="auto"/>
            </w:tcBorders>
          </w:tcPr>
          <w:p w14:paraId="44D101C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587" w:type="pct"/>
            <w:tcBorders>
              <w:top w:val="single" w:sz="4" w:space="0" w:color="auto"/>
            </w:tcBorders>
          </w:tcPr>
          <w:p w14:paraId="213E43CE"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1188" w:type="pct"/>
            <w:tcBorders>
              <w:top w:val="single" w:sz="4" w:space="0" w:color="auto"/>
            </w:tcBorders>
            <w:vAlign w:val="center"/>
          </w:tcPr>
          <w:p w14:paraId="6CBBE9C2"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(0)</w:t>
            </w:r>
          </w:p>
        </w:tc>
      </w:tr>
      <w:tr w:rsidR="003D2503" w:rsidRPr="003D2503" w14:paraId="1DE345C9" w14:textId="77777777" w:rsidTr="00CB1D7B">
        <w:trPr>
          <w:trHeight w:val="271"/>
        </w:trPr>
        <w:tc>
          <w:tcPr>
            <w:tcW w:w="701" w:type="pct"/>
            <w:vAlign w:val="center"/>
          </w:tcPr>
          <w:p w14:paraId="28F54808"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S</w:t>
            </w:r>
          </w:p>
        </w:tc>
        <w:tc>
          <w:tcPr>
            <w:tcW w:w="825" w:type="pct"/>
          </w:tcPr>
          <w:p w14:paraId="64D92B61"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-2.924</w:t>
            </w:r>
          </w:p>
        </w:tc>
        <w:tc>
          <w:tcPr>
            <w:tcW w:w="587" w:type="pct"/>
          </w:tcPr>
          <w:p w14:paraId="7A62130C"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0.0426</w:t>
            </w:r>
          </w:p>
        </w:tc>
        <w:tc>
          <w:tcPr>
            <w:tcW w:w="1112" w:type="pct"/>
          </w:tcPr>
          <w:p w14:paraId="1F819D9C"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587" w:type="pct"/>
          </w:tcPr>
          <w:p w14:paraId="4A883307"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1188" w:type="pct"/>
            <w:vAlign w:val="center"/>
          </w:tcPr>
          <w:p w14:paraId="661A66B6"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(0)</w:t>
            </w:r>
          </w:p>
        </w:tc>
      </w:tr>
      <w:tr w:rsidR="003D2503" w:rsidRPr="003D2503" w14:paraId="5DBA5B0D" w14:textId="77777777" w:rsidTr="00CB1D7B">
        <w:trPr>
          <w:trHeight w:val="271"/>
        </w:trPr>
        <w:tc>
          <w:tcPr>
            <w:tcW w:w="701" w:type="pct"/>
            <w:vAlign w:val="center"/>
          </w:tcPr>
          <w:p w14:paraId="32F8F88D"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GFCF</w:t>
            </w:r>
          </w:p>
        </w:tc>
        <w:tc>
          <w:tcPr>
            <w:tcW w:w="825" w:type="pct"/>
          </w:tcPr>
          <w:p w14:paraId="14640C7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-3.440</w:t>
            </w:r>
          </w:p>
        </w:tc>
        <w:tc>
          <w:tcPr>
            <w:tcW w:w="587" w:type="pct"/>
          </w:tcPr>
          <w:p w14:paraId="5D3F29DD"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0.0097</w:t>
            </w:r>
          </w:p>
        </w:tc>
        <w:tc>
          <w:tcPr>
            <w:tcW w:w="1112" w:type="pct"/>
          </w:tcPr>
          <w:p w14:paraId="5B35EE0E"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587" w:type="pct"/>
          </w:tcPr>
          <w:p w14:paraId="3EFA8912"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1188" w:type="pct"/>
            <w:vAlign w:val="center"/>
          </w:tcPr>
          <w:p w14:paraId="2C69464A"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(0)</w:t>
            </w:r>
          </w:p>
        </w:tc>
      </w:tr>
      <w:tr w:rsidR="003D2503" w:rsidRPr="003D2503" w14:paraId="2CF4F05A" w14:textId="77777777" w:rsidTr="00CB1D7B">
        <w:trPr>
          <w:trHeight w:val="271"/>
        </w:trPr>
        <w:tc>
          <w:tcPr>
            <w:tcW w:w="701" w:type="pct"/>
            <w:vAlign w:val="center"/>
          </w:tcPr>
          <w:p w14:paraId="5143D737"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FDI</w:t>
            </w:r>
          </w:p>
        </w:tc>
        <w:tc>
          <w:tcPr>
            <w:tcW w:w="825" w:type="pct"/>
          </w:tcPr>
          <w:p w14:paraId="32A43C7D"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-4.365</w:t>
            </w:r>
          </w:p>
        </w:tc>
        <w:tc>
          <w:tcPr>
            <w:tcW w:w="587" w:type="pct"/>
          </w:tcPr>
          <w:p w14:paraId="61B14347"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0.0003</w:t>
            </w:r>
          </w:p>
        </w:tc>
        <w:tc>
          <w:tcPr>
            <w:tcW w:w="1112" w:type="pct"/>
          </w:tcPr>
          <w:p w14:paraId="686ED9A6"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587" w:type="pct"/>
          </w:tcPr>
          <w:p w14:paraId="7FA0B3DB"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1188" w:type="pct"/>
            <w:vAlign w:val="center"/>
          </w:tcPr>
          <w:p w14:paraId="5320D0BE"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(0)</w:t>
            </w:r>
          </w:p>
        </w:tc>
      </w:tr>
      <w:tr w:rsidR="003D2503" w:rsidRPr="003D2503" w14:paraId="368E92B2" w14:textId="77777777" w:rsidTr="00CB1D7B">
        <w:trPr>
          <w:trHeight w:val="271"/>
        </w:trPr>
        <w:tc>
          <w:tcPr>
            <w:tcW w:w="701" w:type="pct"/>
            <w:vAlign w:val="center"/>
          </w:tcPr>
          <w:p w14:paraId="4BB572AE"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SAP</w:t>
            </w:r>
          </w:p>
        </w:tc>
        <w:tc>
          <w:tcPr>
            <w:tcW w:w="825" w:type="pct"/>
          </w:tcPr>
          <w:p w14:paraId="0AFD49B7"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-3.991</w:t>
            </w:r>
          </w:p>
        </w:tc>
        <w:tc>
          <w:tcPr>
            <w:tcW w:w="587" w:type="pct"/>
          </w:tcPr>
          <w:p w14:paraId="3201B66A"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0.0015</w:t>
            </w:r>
          </w:p>
        </w:tc>
        <w:tc>
          <w:tcPr>
            <w:tcW w:w="1112" w:type="pct"/>
          </w:tcPr>
          <w:p w14:paraId="06BFDE8C"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587" w:type="pct"/>
          </w:tcPr>
          <w:p w14:paraId="09C952C4"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w:t>
            </w:r>
          </w:p>
        </w:tc>
        <w:tc>
          <w:tcPr>
            <w:tcW w:w="1188" w:type="pct"/>
            <w:vAlign w:val="center"/>
          </w:tcPr>
          <w:p w14:paraId="0B78DBA2"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(0)</w:t>
            </w:r>
          </w:p>
        </w:tc>
      </w:tr>
      <w:tr w:rsidR="003D2503" w:rsidRPr="003D2503" w14:paraId="14ACAC8F" w14:textId="77777777" w:rsidTr="00CB1D7B">
        <w:trPr>
          <w:trHeight w:val="271"/>
        </w:trPr>
        <w:tc>
          <w:tcPr>
            <w:tcW w:w="701" w:type="pct"/>
            <w:vAlign w:val="center"/>
          </w:tcPr>
          <w:p w14:paraId="169E7D06"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P</w:t>
            </w:r>
          </w:p>
        </w:tc>
        <w:tc>
          <w:tcPr>
            <w:tcW w:w="825" w:type="pct"/>
          </w:tcPr>
          <w:p w14:paraId="592F182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-2.145</w:t>
            </w:r>
          </w:p>
        </w:tc>
        <w:tc>
          <w:tcPr>
            <w:tcW w:w="587" w:type="pct"/>
          </w:tcPr>
          <w:p w14:paraId="7EBEB395"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0.2266</w:t>
            </w:r>
          </w:p>
        </w:tc>
        <w:tc>
          <w:tcPr>
            <w:tcW w:w="1112" w:type="pct"/>
          </w:tcPr>
          <w:p w14:paraId="74FC6166"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-3.958</w:t>
            </w:r>
          </w:p>
        </w:tc>
        <w:tc>
          <w:tcPr>
            <w:tcW w:w="587" w:type="pct"/>
          </w:tcPr>
          <w:p w14:paraId="11317314"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0.0016</w:t>
            </w:r>
          </w:p>
        </w:tc>
        <w:tc>
          <w:tcPr>
            <w:tcW w:w="1188" w:type="pct"/>
            <w:vAlign w:val="center"/>
          </w:tcPr>
          <w:p w14:paraId="311884D5"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(1)</w:t>
            </w:r>
          </w:p>
        </w:tc>
      </w:tr>
      <w:tr w:rsidR="003D2503" w:rsidRPr="003D2503" w14:paraId="5FEA7EFE" w14:textId="77777777" w:rsidTr="00CB1D7B">
        <w:trPr>
          <w:trHeight w:val="271"/>
        </w:trPr>
        <w:tc>
          <w:tcPr>
            <w:tcW w:w="701" w:type="pct"/>
            <w:vAlign w:val="center"/>
          </w:tcPr>
          <w:p w14:paraId="3F64A0DF"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T</w:t>
            </w:r>
          </w:p>
        </w:tc>
        <w:tc>
          <w:tcPr>
            <w:tcW w:w="825" w:type="pct"/>
          </w:tcPr>
          <w:p w14:paraId="127C6A53"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-2.534</w:t>
            </w:r>
          </w:p>
        </w:tc>
        <w:tc>
          <w:tcPr>
            <w:tcW w:w="587" w:type="pct"/>
          </w:tcPr>
          <w:p w14:paraId="4A07A76D"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0.1073</w:t>
            </w:r>
          </w:p>
        </w:tc>
        <w:tc>
          <w:tcPr>
            <w:tcW w:w="1112" w:type="pct"/>
          </w:tcPr>
          <w:p w14:paraId="22AEE00F"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-4.084</w:t>
            </w:r>
          </w:p>
        </w:tc>
        <w:tc>
          <w:tcPr>
            <w:tcW w:w="587" w:type="pct"/>
          </w:tcPr>
          <w:p w14:paraId="29D662A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0.0010</w:t>
            </w:r>
          </w:p>
        </w:tc>
        <w:tc>
          <w:tcPr>
            <w:tcW w:w="1188" w:type="pct"/>
            <w:vAlign w:val="center"/>
          </w:tcPr>
          <w:p w14:paraId="2093C49D"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(1)</w:t>
            </w:r>
          </w:p>
        </w:tc>
      </w:tr>
      <w:tr w:rsidR="003D2503" w:rsidRPr="003D2503" w14:paraId="3C84B020" w14:textId="77777777" w:rsidTr="00CB1D7B">
        <w:trPr>
          <w:trHeight w:val="271"/>
        </w:trPr>
        <w:tc>
          <w:tcPr>
            <w:tcW w:w="701" w:type="pct"/>
            <w:vAlign w:val="center"/>
          </w:tcPr>
          <w:p w14:paraId="4216CCCF"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TRD</w:t>
            </w:r>
          </w:p>
        </w:tc>
        <w:tc>
          <w:tcPr>
            <w:tcW w:w="825" w:type="pct"/>
          </w:tcPr>
          <w:p w14:paraId="7FBC08AC"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-1.728</w:t>
            </w:r>
          </w:p>
        </w:tc>
        <w:tc>
          <w:tcPr>
            <w:tcW w:w="587" w:type="pct"/>
          </w:tcPr>
          <w:p w14:paraId="6BA5A8C4"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0.4166</w:t>
            </w:r>
          </w:p>
        </w:tc>
        <w:tc>
          <w:tcPr>
            <w:tcW w:w="1112" w:type="pct"/>
          </w:tcPr>
          <w:p w14:paraId="4D4851D3"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-6.647</w:t>
            </w:r>
          </w:p>
        </w:tc>
        <w:tc>
          <w:tcPr>
            <w:tcW w:w="587" w:type="pct"/>
          </w:tcPr>
          <w:p w14:paraId="6A77F7C6"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0.0000</w:t>
            </w:r>
          </w:p>
        </w:tc>
        <w:tc>
          <w:tcPr>
            <w:tcW w:w="1188" w:type="pct"/>
            <w:vAlign w:val="center"/>
          </w:tcPr>
          <w:p w14:paraId="176944E4"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(1)</w:t>
            </w:r>
          </w:p>
        </w:tc>
      </w:tr>
      <w:tr w:rsidR="003D2503" w:rsidRPr="003D2503" w14:paraId="7F9E60F5" w14:textId="77777777" w:rsidTr="00CB1D7B">
        <w:trPr>
          <w:trHeight w:val="271"/>
        </w:trPr>
        <w:tc>
          <w:tcPr>
            <w:tcW w:w="701" w:type="pct"/>
            <w:tcBorders>
              <w:bottom w:val="single" w:sz="4" w:space="0" w:color="auto"/>
            </w:tcBorders>
            <w:vAlign w:val="center"/>
          </w:tcPr>
          <w:p w14:paraId="4965988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hAnsi="Times New Roman"/>
                <w:sz w:val="24"/>
                <w:szCs w:val="24"/>
              </w:rPr>
              <w:t>POP</w:t>
            </w:r>
          </w:p>
        </w:tc>
        <w:tc>
          <w:tcPr>
            <w:tcW w:w="825" w:type="pct"/>
            <w:tcBorders>
              <w:bottom w:val="single" w:sz="4" w:space="0" w:color="auto"/>
            </w:tcBorders>
          </w:tcPr>
          <w:p w14:paraId="5999A299"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hAnsi="Times New Roman"/>
                <w:sz w:val="24"/>
                <w:szCs w:val="24"/>
              </w:rPr>
              <w:t>-2.752</w:t>
            </w:r>
          </w:p>
        </w:tc>
        <w:tc>
          <w:tcPr>
            <w:tcW w:w="587" w:type="pct"/>
            <w:tcBorders>
              <w:bottom w:val="single" w:sz="4" w:space="0" w:color="auto"/>
            </w:tcBorders>
          </w:tcPr>
          <w:p w14:paraId="75FFB7D2"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hAnsi="Times New Roman"/>
                <w:sz w:val="24"/>
                <w:szCs w:val="24"/>
              </w:rPr>
              <w:t>0.0654</w:t>
            </w:r>
          </w:p>
        </w:tc>
        <w:tc>
          <w:tcPr>
            <w:tcW w:w="1112" w:type="pct"/>
            <w:tcBorders>
              <w:bottom w:val="single" w:sz="4" w:space="0" w:color="auto"/>
            </w:tcBorders>
          </w:tcPr>
          <w:p w14:paraId="6E3BF73C"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hAnsi="Times New Roman"/>
                <w:sz w:val="24"/>
                <w:szCs w:val="24"/>
              </w:rPr>
              <w:t>-3.498</w:t>
            </w:r>
          </w:p>
        </w:tc>
        <w:tc>
          <w:tcPr>
            <w:tcW w:w="587" w:type="pct"/>
            <w:tcBorders>
              <w:bottom w:val="single" w:sz="4" w:space="0" w:color="auto"/>
            </w:tcBorders>
          </w:tcPr>
          <w:p w14:paraId="0D88B40F"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hAnsi="Times New Roman"/>
                <w:sz w:val="24"/>
                <w:szCs w:val="24"/>
              </w:rPr>
              <w:t>0.0080</w:t>
            </w:r>
          </w:p>
        </w:tc>
        <w:tc>
          <w:tcPr>
            <w:tcW w:w="1188" w:type="pct"/>
            <w:tcBorders>
              <w:bottom w:val="single" w:sz="4" w:space="0" w:color="auto"/>
            </w:tcBorders>
            <w:vAlign w:val="center"/>
          </w:tcPr>
          <w:p w14:paraId="50704F48" w14:textId="77777777" w:rsidR="003D2503" w:rsidRPr="003D2503" w:rsidRDefault="003D2503" w:rsidP="00911184">
            <w:pPr>
              <w:spacing w:before="100" w:beforeAutospacing="1" w:after="100" w:afterAutospacing="1"/>
              <w:contextualSpacing/>
              <w:jc w:val="both"/>
              <w:rPr>
                <w:rFonts w:ascii="Times New Roman" w:eastAsia="Times New Roman" w:hAnsi="Times New Roman"/>
                <w:sz w:val="24"/>
                <w:szCs w:val="24"/>
              </w:rPr>
            </w:pPr>
            <w:r w:rsidRPr="003D2503">
              <w:rPr>
                <w:rFonts w:ascii="Times New Roman" w:eastAsia="Times New Roman" w:hAnsi="Times New Roman"/>
                <w:sz w:val="24"/>
                <w:szCs w:val="24"/>
              </w:rPr>
              <w:t>I (1)</w:t>
            </w:r>
          </w:p>
        </w:tc>
      </w:tr>
    </w:tbl>
    <w:p w14:paraId="6F1250A2" w14:textId="77777777" w:rsidR="003D2503" w:rsidRDefault="003D2503" w:rsidP="00911184">
      <w:pPr>
        <w:spacing w:line="240" w:lineRule="auto"/>
        <w:contextualSpacing/>
        <w:jc w:val="both"/>
        <w:rPr>
          <w:rFonts w:ascii="Times New Roman" w:hAnsi="Times New Roman" w:cs="Times New Roman"/>
          <w:sz w:val="24"/>
          <w:szCs w:val="24"/>
        </w:rPr>
      </w:pPr>
    </w:p>
    <w:p w14:paraId="6A086CDA" w14:textId="0D3A2317" w:rsidR="00C70795" w:rsidRPr="00C70795" w:rsidRDefault="00C70795"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sz w:val="24"/>
          <w:szCs w:val="24"/>
        </w:rPr>
        <w:t>*Note: The null hypothesis is that the series has a unit root. The 5% critical value for the ADF test is approximately -2.</w:t>
      </w:r>
      <w:r w:rsidR="003D2503" w:rsidRPr="00C70795">
        <w:rPr>
          <w:rFonts w:ascii="Times New Roman" w:hAnsi="Times New Roman" w:cs="Times New Roman"/>
          <w:sz w:val="24"/>
          <w:szCs w:val="24"/>
        </w:rPr>
        <w:t>92. *</w:t>
      </w:r>
    </w:p>
    <w:p w14:paraId="70C2784F" w14:textId="49D7FB2D"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Table 2 shows that the structure of integration is mixed. The growth of GDP per capita (Y), secondary education expenditure (S), gross fixed capital formation (GFCF), foreign direct investment (FDI), and structural adjustment dummy (SAP) were identified to be stationary at level </w:t>
      </w:r>
      <w:proofErr w:type="gramStart"/>
      <w:r w:rsidRPr="00B32942">
        <w:rPr>
          <w:rFonts w:ascii="Times New Roman" w:hAnsi="Times New Roman" w:cs="Times New Roman"/>
          <w:sz w:val="24"/>
          <w:szCs w:val="24"/>
        </w:rPr>
        <w:t>I(</w:t>
      </w:r>
      <w:proofErr w:type="gramEnd"/>
      <w:r w:rsidRPr="00B32942">
        <w:rPr>
          <w:rFonts w:ascii="Times New Roman" w:hAnsi="Times New Roman" w:cs="Times New Roman"/>
          <w:sz w:val="24"/>
          <w:szCs w:val="24"/>
        </w:rPr>
        <w:t xml:space="preserve">0) as the test statistics were less than the appropriate critical values at the 5 percent significance level. On the other hand, the expenditure on primary education (P), tertiary education (T), trade openness (TRD), and population growth (POP) were non-stationary at the level but became stationary after a first difference, implying that they are of order one, </w:t>
      </w:r>
      <w:proofErr w:type="gramStart"/>
      <w:r w:rsidRPr="00B32942">
        <w:rPr>
          <w:rFonts w:ascii="Times New Roman" w:hAnsi="Times New Roman" w:cs="Times New Roman"/>
          <w:sz w:val="24"/>
          <w:szCs w:val="24"/>
        </w:rPr>
        <w:t>I(</w:t>
      </w:r>
      <w:proofErr w:type="gramEnd"/>
      <w:r w:rsidRPr="00B32942">
        <w:rPr>
          <w:rFonts w:ascii="Times New Roman" w:hAnsi="Times New Roman" w:cs="Times New Roman"/>
          <w:sz w:val="24"/>
          <w:szCs w:val="24"/>
        </w:rPr>
        <w:t xml:space="preserve">1). Overall, the results reveal a combination of </w:t>
      </w:r>
      <w:proofErr w:type="gramStart"/>
      <w:r w:rsidRPr="00B32942">
        <w:rPr>
          <w:rFonts w:ascii="Times New Roman" w:hAnsi="Times New Roman" w:cs="Times New Roman"/>
          <w:sz w:val="24"/>
          <w:szCs w:val="24"/>
        </w:rPr>
        <w:t>I(</w:t>
      </w:r>
      <w:proofErr w:type="gramEnd"/>
      <w:r w:rsidRPr="00B32942">
        <w:rPr>
          <w:rFonts w:ascii="Times New Roman" w:hAnsi="Times New Roman" w:cs="Times New Roman"/>
          <w:sz w:val="24"/>
          <w:szCs w:val="24"/>
        </w:rPr>
        <w:t xml:space="preserve">0) and I(1) variables, which is consistent with the requirements of the ARDL modeling framework (Murthy &amp; </w:t>
      </w:r>
      <w:proofErr w:type="spellStart"/>
      <w:r w:rsidRPr="00B32942">
        <w:rPr>
          <w:rFonts w:ascii="Times New Roman" w:hAnsi="Times New Roman" w:cs="Times New Roman"/>
          <w:sz w:val="24"/>
          <w:szCs w:val="24"/>
        </w:rPr>
        <w:t>Okunade</w:t>
      </w:r>
      <w:proofErr w:type="spellEnd"/>
      <w:r w:rsidRPr="00B32942">
        <w:rPr>
          <w:rFonts w:ascii="Times New Roman" w:hAnsi="Times New Roman" w:cs="Times New Roman"/>
          <w:sz w:val="24"/>
          <w:szCs w:val="24"/>
        </w:rPr>
        <w:t>, 2016).</w:t>
      </w:r>
    </w:p>
    <w:p w14:paraId="7DCBC2FD" w14:textId="77777777" w:rsidR="00B32942" w:rsidRPr="00B32942" w:rsidRDefault="00B32942" w:rsidP="00911184">
      <w:pPr>
        <w:spacing w:line="240" w:lineRule="auto"/>
        <w:contextualSpacing/>
        <w:jc w:val="both"/>
        <w:rPr>
          <w:rFonts w:ascii="Times New Roman" w:hAnsi="Times New Roman" w:cs="Times New Roman"/>
          <w:sz w:val="24"/>
          <w:szCs w:val="24"/>
        </w:rPr>
      </w:pPr>
    </w:p>
    <w:p w14:paraId="6F8E586C" w14:textId="786BB14F" w:rsidR="00B32942" w:rsidRPr="00B32942" w:rsidRDefault="00B32942" w:rsidP="00911184">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5.3 Optimum</w:t>
      </w:r>
      <w:r w:rsidRPr="00B32942">
        <w:rPr>
          <w:rFonts w:ascii="Times New Roman" w:hAnsi="Times New Roman" w:cs="Times New Roman"/>
          <w:b/>
          <w:bCs/>
          <w:sz w:val="24"/>
          <w:szCs w:val="24"/>
        </w:rPr>
        <w:t xml:space="preserve"> lag</w:t>
      </w:r>
      <w:r>
        <w:rPr>
          <w:rFonts w:ascii="Times New Roman" w:hAnsi="Times New Roman" w:cs="Times New Roman"/>
          <w:b/>
          <w:bCs/>
          <w:sz w:val="24"/>
          <w:szCs w:val="24"/>
        </w:rPr>
        <w:t xml:space="preserve"> selection</w:t>
      </w:r>
      <w:r w:rsidRPr="00B32942">
        <w:rPr>
          <w:rFonts w:ascii="Times New Roman" w:hAnsi="Times New Roman" w:cs="Times New Roman"/>
          <w:b/>
          <w:bCs/>
          <w:sz w:val="24"/>
          <w:szCs w:val="24"/>
        </w:rPr>
        <w:t>.</w:t>
      </w:r>
    </w:p>
    <w:p w14:paraId="2A007FF3" w14:textId="42E30C76" w:rsidR="003327C7"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One of the most important processes in ARDL modeling is the choice of the best lag length, as it makes sure that the dynamic relationships between variables are correctly established and over-parameterization is not occurring. Based on </w:t>
      </w:r>
      <w:proofErr w:type="spellStart"/>
      <w:r w:rsidRPr="00B32942">
        <w:rPr>
          <w:rFonts w:ascii="Times New Roman" w:hAnsi="Times New Roman" w:cs="Times New Roman"/>
          <w:sz w:val="24"/>
          <w:szCs w:val="24"/>
        </w:rPr>
        <w:t>Kripfganz</w:t>
      </w:r>
      <w:proofErr w:type="spellEnd"/>
      <w:r w:rsidRPr="00B32942">
        <w:rPr>
          <w:rFonts w:ascii="Times New Roman" w:hAnsi="Times New Roman" w:cs="Times New Roman"/>
          <w:sz w:val="24"/>
          <w:szCs w:val="24"/>
        </w:rPr>
        <w:t xml:space="preserve"> and Schneider (2023), the optimal choice of lag selection enhances the model efficiency through the minimization of residual autocorrelation and maintenance of the degree of freedom, as well as the reliability of the short-run and long-run estimates. The Akaike Information Criterion (AIC) was used in this research because of its good performance in terms of balancing model fit and parsimony. Table 3 summarizes the chosen lag structure.</w:t>
      </w:r>
    </w:p>
    <w:p w14:paraId="6382D440" w14:textId="63AAC97C" w:rsidR="002721EB" w:rsidRDefault="002721EB" w:rsidP="00911184">
      <w:pPr>
        <w:spacing w:line="240" w:lineRule="auto"/>
        <w:contextualSpacing/>
        <w:jc w:val="both"/>
        <w:rPr>
          <w:rFonts w:ascii="Times New Roman" w:hAnsi="Times New Roman" w:cs="Times New Roman"/>
          <w:sz w:val="24"/>
          <w:szCs w:val="24"/>
        </w:rPr>
      </w:pPr>
      <w:r w:rsidRPr="002721EB">
        <w:rPr>
          <w:rFonts w:ascii="Times New Roman" w:hAnsi="Times New Roman" w:cs="Times New Roman"/>
          <w:sz w:val="24"/>
          <w:szCs w:val="24"/>
        </w:rPr>
        <w:t>Table</w:t>
      </w:r>
      <w:r>
        <w:rPr>
          <w:rFonts w:ascii="Times New Roman" w:hAnsi="Times New Roman" w:cs="Times New Roman"/>
          <w:sz w:val="24"/>
          <w:szCs w:val="24"/>
        </w:rPr>
        <w:t xml:space="preserve"> </w:t>
      </w:r>
      <w:r w:rsidR="00394071">
        <w:rPr>
          <w:rFonts w:ascii="Times New Roman" w:hAnsi="Times New Roman" w:cs="Times New Roman"/>
          <w:sz w:val="24"/>
          <w:szCs w:val="24"/>
        </w:rPr>
        <w:t xml:space="preserve">3: </w:t>
      </w:r>
      <w:r w:rsidRPr="002721EB">
        <w:rPr>
          <w:rFonts w:ascii="Times New Roman" w:hAnsi="Times New Roman" w:cs="Times New Roman"/>
          <w:sz w:val="24"/>
          <w:szCs w:val="24"/>
        </w:rPr>
        <w:t>Optimal Lag Length Selection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4"/>
        <w:gridCol w:w="1672"/>
        <w:gridCol w:w="1704"/>
      </w:tblGrid>
      <w:tr w:rsidR="002721EB" w:rsidRPr="002721EB" w14:paraId="1CDE0D25" w14:textId="77777777" w:rsidTr="00CB1D7B">
        <w:tc>
          <w:tcPr>
            <w:tcW w:w="3197" w:type="pct"/>
            <w:tcBorders>
              <w:top w:val="single" w:sz="4" w:space="0" w:color="auto"/>
              <w:bottom w:val="single" w:sz="4" w:space="0" w:color="auto"/>
            </w:tcBorders>
            <w:vAlign w:val="bottom"/>
          </w:tcPr>
          <w:p w14:paraId="3260A0D9"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Variable</w:t>
            </w:r>
          </w:p>
        </w:tc>
        <w:tc>
          <w:tcPr>
            <w:tcW w:w="893" w:type="pct"/>
            <w:tcBorders>
              <w:top w:val="single" w:sz="4" w:space="0" w:color="auto"/>
              <w:bottom w:val="single" w:sz="4" w:space="0" w:color="auto"/>
            </w:tcBorders>
            <w:vAlign w:val="bottom"/>
          </w:tcPr>
          <w:p w14:paraId="4007626C"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Optimal Lag Length</w:t>
            </w:r>
          </w:p>
        </w:tc>
        <w:tc>
          <w:tcPr>
            <w:tcW w:w="910" w:type="pct"/>
            <w:tcBorders>
              <w:top w:val="single" w:sz="4" w:space="0" w:color="auto"/>
              <w:bottom w:val="single" w:sz="4" w:space="0" w:color="auto"/>
            </w:tcBorders>
            <w:vAlign w:val="bottom"/>
          </w:tcPr>
          <w:p w14:paraId="7657AEE9"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Criterion Used</w:t>
            </w:r>
          </w:p>
        </w:tc>
      </w:tr>
      <w:tr w:rsidR="002721EB" w:rsidRPr="002721EB" w14:paraId="21472CE4" w14:textId="77777777" w:rsidTr="00CB1D7B">
        <w:tc>
          <w:tcPr>
            <w:tcW w:w="3197" w:type="pct"/>
            <w:tcBorders>
              <w:top w:val="single" w:sz="4" w:space="0" w:color="auto"/>
            </w:tcBorders>
            <w:vAlign w:val="bottom"/>
          </w:tcPr>
          <w:p w14:paraId="0DAAF885"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GDP Per Capita</w:t>
            </w:r>
          </w:p>
        </w:tc>
        <w:tc>
          <w:tcPr>
            <w:tcW w:w="893" w:type="pct"/>
            <w:tcBorders>
              <w:top w:val="single" w:sz="4" w:space="0" w:color="auto"/>
            </w:tcBorders>
            <w:vAlign w:val="bottom"/>
          </w:tcPr>
          <w:p w14:paraId="730CC301"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1</w:t>
            </w:r>
          </w:p>
        </w:tc>
        <w:tc>
          <w:tcPr>
            <w:tcW w:w="910" w:type="pct"/>
            <w:tcBorders>
              <w:top w:val="single" w:sz="4" w:space="0" w:color="auto"/>
            </w:tcBorders>
            <w:vAlign w:val="bottom"/>
          </w:tcPr>
          <w:p w14:paraId="4BA20283"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33164797" w14:textId="77777777" w:rsidTr="00CB1D7B">
        <w:tc>
          <w:tcPr>
            <w:tcW w:w="3197" w:type="pct"/>
            <w:vAlign w:val="bottom"/>
          </w:tcPr>
          <w:p w14:paraId="4291DD60"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Primary Education Expenditure</w:t>
            </w:r>
          </w:p>
        </w:tc>
        <w:tc>
          <w:tcPr>
            <w:tcW w:w="893" w:type="pct"/>
            <w:vAlign w:val="bottom"/>
          </w:tcPr>
          <w:p w14:paraId="70E68EB4"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1</w:t>
            </w:r>
          </w:p>
        </w:tc>
        <w:tc>
          <w:tcPr>
            <w:tcW w:w="910" w:type="pct"/>
            <w:vAlign w:val="bottom"/>
          </w:tcPr>
          <w:p w14:paraId="57FD7FA2"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0A0C6844" w14:textId="77777777" w:rsidTr="00CB1D7B">
        <w:tc>
          <w:tcPr>
            <w:tcW w:w="3197" w:type="pct"/>
            <w:vAlign w:val="bottom"/>
          </w:tcPr>
          <w:p w14:paraId="78C5283F"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Secondary Education Expenditure</w:t>
            </w:r>
          </w:p>
        </w:tc>
        <w:tc>
          <w:tcPr>
            <w:tcW w:w="893" w:type="pct"/>
            <w:vAlign w:val="bottom"/>
          </w:tcPr>
          <w:p w14:paraId="3EA5E229"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1</w:t>
            </w:r>
          </w:p>
        </w:tc>
        <w:tc>
          <w:tcPr>
            <w:tcW w:w="910" w:type="pct"/>
            <w:vAlign w:val="bottom"/>
          </w:tcPr>
          <w:p w14:paraId="7CE220AC"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0AF69F36" w14:textId="77777777" w:rsidTr="00CB1D7B">
        <w:tc>
          <w:tcPr>
            <w:tcW w:w="3197" w:type="pct"/>
            <w:vAlign w:val="bottom"/>
          </w:tcPr>
          <w:p w14:paraId="19089CE5"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Tertiary Education Expenditure</w:t>
            </w:r>
          </w:p>
        </w:tc>
        <w:tc>
          <w:tcPr>
            <w:tcW w:w="893" w:type="pct"/>
            <w:vAlign w:val="bottom"/>
          </w:tcPr>
          <w:p w14:paraId="7A77CCC3"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1</w:t>
            </w:r>
          </w:p>
        </w:tc>
        <w:tc>
          <w:tcPr>
            <w:tcW w:w="910" w:type="pct"/>
            <w:vAlign w:val="bottom"/>
          </w:tcPr>
          <w:p w14:paraId="60F7514B"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3FEB8A3C" w14:textId="77777777" w:rsidTr="00CB1D7B">
        <w:tc>
          <w:tcPr>
            <w:tcW w:w="3197" w:type="pct"/>
            <w:vAlign w:val="bottom"/>
          </w:tcPr>
          <w:p w14:paraId="3246A2D9"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Gross Fixed Capital Formation</w:t>
            </w:r>
          </w:p>
        </w:tc>
        <w:tc>
          <w:tcPr>
            <w:tcW w:w="893" w:type="pct"/>
            <w:vAlign w:val="bottom"/>
          </w:tcPr>
          <w:p w14:paraId="5AE23C91"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1</w:t>
            </w:r>
          </w:p>
        </w:tc>
        <w:tc>
          <w:tcPr>
            <w:tcW w:w="910" w:type="pct"/>
            <w:vAlign w:val="bottom"/>
          </w:tcPr>
          <w:p w14:paraId="343A696F"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5B895913" w14:textId="77777777" w:rsidTr="00CB1D7B">
        <w:tc>
          <w:tcPr>
            <w:tcW w:w="3197" w:type="pct"/>
            <w:vAlign w:val="bottom"/>
          </w:tcPr>
          <w:p w14:paraId="4A230181"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Trade Openness</w:t>
            </w:r>
          </w:p>
        </w:tc>
        <w:tc>
          <w:tcPr>
            <w:tcW w:w="893" w:type="pct"/>
            <w:vAlign w:val="bottom"/>
          </w:tcPr>
          <w:p w14:paraId="3BFD864F"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0</w:t>
            </w:r>
          </w:p>
        </w:tc>
        <w:tc>
          <w:tcPr>
            <w:tcW w:w="910" w:type="pct"/>
            <w:vAlign w:val="bottom"/>
          </w:tcPr>
          <w:p w14:paraId="08165361"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6FC5E1DA" w14:textId="77777777" w:rsidTr="00CB1D7B">
        <w:tc>
          <w:tcPr>
            <w:tcW w:w="3197" w:type="pct"/>
            <w:vAlign w:val="bottom"/>
          </w:tcPr>
          <w:p w14:paraId="3F2B0784"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Foreign Direct Investment</w:t>
            </w:r>
          </w:p>
        </w:tc>
        <w:tc>
          <w:tcPr>
            <w:tcW w:w="893" w:type="pct"/>
            <w:vAlign w:val="bottom"/>
          </w:tcPr>
          <w:p w14:paraId="70CC3615"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0</w:t>
            </w:r>
          </w:p>
        </w:tc>
        <w:tc>
          <w:tcPr>
            <w:tcW w:w="910" w:type="pct"/>
            <w:vAlign w:val="bottom"/>
          </w:tcPr>
          <w:p w14:paraId="6543A961" w14:textId="77777777" w:rsidR="002721EB" w:rsidRPr="002721EB" w:rsidRDefault="002721EB" w:rsidP="00911184">
            <w:pPr>
              <w:spacing w:before="100" w:beforeAutospacing="1" w:after="100" w:after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257AEDE5" w14:textId="77777777" w:rsidTr="00CB1D7B">
        <w:tc>
          <w:tcPr>
            <w:tcW w:w="3197" w:type="pct"/>
            <w:vAlign w:val="bottom"/>
          </w:tcPr>
          <w:p w14:paraId="15764C74" w14:textId="77777777" w:rsidR="002721EB" w:rsidRPr="002721EB" w:rsidRDefault="002721EB" w:rsidP="00911184">
            <w:pPr>
              <w:spacing w:before="100" w:beforeAutospacing="1"/>
              <w:contextualSpacing/>
              <w:jc w:val="both"/>
              <w:rPr>
                <w:rFonts w:ascii="Times New Roman" w:hAnsi="Times New Roman"/>
                <w:sz w:val="24"/>
                <w:szCs w:val="24"/>
              </w:rPr>
            </w:pPr>
            <w:r w:rsidRPr="002721EB">
              <w:rPr>
                <w:rFonts w:ascii="Times New Roman" w:hAnsi="Times New Roman"/>
                <w:sz w:val="24"/>
                <w:szCs w:val="24"/>
              </w:rPr>
              <w:t>Population Growth</w:t>
            </w:r>
          </w:p>
        </w:tc>
        <w:tc>
          <w:tcPr>
            <w:tcW w:w="893" w:type="pct"/>
            <w:vAlign w:val="bottom"/>
          </w:tcPr>
          <w:p w14:paraId="765FB31D" w14:textId="77777777" w:rsidR="002721EB" w:rsidRPr="002721EB" w:rsidRDefault="002721EB" w:rsidP="00911184">
            <w:pPr>
              <w:spacing w:before="100" w:beforeAutospacing="1"/>
              <w:contextualSpacing/>
              <w:jc w:val="both"/>
              <w:rPr>
                <w:rFonts w:ascii="Times New Roman" w:hAnsi="Times New Roman"/>
                <w:sz w:val="24"/>
                <w:szCs w:val="24"/>
              </w:rPr>
            </w:pPr>
            <w:r w:rsidRPr="002721EB">
              <w:rPr>
                <w:rFonts w:ascii="Times New Roman" w:hAnsi="Times New Roman"/>
                <w:sz w:val="24"/>
                <w:szCs w:val="24"/>
              </w:rPr>
              <w:t>1</w:t>
            </w:r>
          </w:p>
        </w:tc>
        <w:tc>
          <w:tcPr>
            <w:tcW w:w="910" w:type="pct"/>
            <w:vAlign w:val="bottom"/>
          </w:tcPr>
          <w:p w14:paraId="5067497C" w14:textId="77777777" w:rsidR="002721EB" w:rsidRPr="002721EB" w:rsidRDefault="002721EB" w:rsidP="00911184">
            <w:pPr>
              <w:spacing w:before="100" w:beforeAutospacing="1"/>
              <w:contextualSpacing/>
              <w:jc w:val="both"/>
              <w:rPr>
                <w:rFonts w:ascii="Times New Roman" w:hAnsi="Times New Roman"/>
                <w:sz w:val="24"/>
                <w:szCs w:val="24"/>
              </w:rPr>
            </w:pPr>
            <w:r w:rsidRPr="002721EB">
              <w:rPr>
                <w:rFonts w:ascii="Times New Roman" w:hAnsi="Times New Roman"/>
                <w:sz w:val="24"/>
                <w:szCs w:val="24"/>
              </w:rPr>
              <w:t>AIC</w:t>
            </w:r>
          </w:p>
        </w:tc>
      </w:tr>
      <w:tr w:rsidR="002721EB" w:rsidRPr="002721EB" w14:paraId="55755272" w14:textId="77777777" w:rsidTr="00CB1D7B">
        <w:tc>
          <w:tcPr>
            <w:tcW w:w="3197" w:type="pct"/>
            <w:vAlign w:val="bottom"/>
          </w:tcPr>
          <w:p w14:paraId="7805277B" w14:textId="77777777" w:rsidR="002721EB" w:rsidRPr="002721EB" w:rsidRDefault="002721EB" w:rsidP="00911184">
            <w:pPr>
              <w:spacing w:before="100" w:beforeAutospacing="1"/>
              <w:contextualSpacing/>
              <w:jc w:val="both"/>
              <w:rPr>
                <w:rFonts w:ascii="Times New Roman" w:hAnsi="Times New Roman"/>
                <w:sz w:val="24"/>
                <w:szCs w:val="24"/>
              </w:rPr>
            </w:pPr>
            <w:r w:rsidRPr="002721EB">
              <w:rPr>
                <w:rFonts w:ascii="Times New Roman" w:hAnsi="Times New Roman"/>
                <w:sz w:val="24"/>
                <w:szCs w:val="24"/>
              </w:rPr>
              <w:t>Structural Adjustment Programs</w:t>
            </w:r>
          </w:p>
        </w:tc>
        <w:tc>
          <w:tcPr>
            <w:tcW w:w="893" w:type="pct"/>
            <w:vAlign w:val="bottom"/>
          </w:tcPr>
          <w:p w14:paraId="78C889D9" w14:textId="77777777" w:rsidR="002721EB" w:rsidRPr="002721EB" w:rsidRDefault="002721EB" w:rsidP="00911184">
            <w:pPr>
              <w:spacing w:before="100" w:beforeAutospacing="1"/>
              <w:contextualSpacing/>
              <w:jc w:val="both"/>
              <w:rPr>
                <w:rFonts w:ascii="Times New Roman" w:hAnsi="Times New Roman"/>
                <w:sz w:val="24"/>
                <w:szCs w:val="24"/>
              </w:rPr>
            </w:pPr>
            <w:r w:rsidRPr="002721EB">
              <w:rPr>
                <w:rFonts w:ascii="Times New Roman" w:hAnsi="Times New Roman"/>
                <w:sz w:val="24"/>
                <w:szCs w:val="24"/>
              </w:rPr>
              <w:t>0</w:t>
            </w:r>
          </w:p>
        </w:tc>
        <w:tc>
          <w:tcPr>
            <w:tcW w:w="910" w:type="pct"/>
            <w:vAlign w:val="bottom"/>
          </w:tcPr>
          <w:p w14:paraId="405D46E3" w14:textId="77777777" w:rsidR="002721EB" w:rsidRPr="002721EB" w:rsidRDefault="002721EB" w:rsidP="00911184">
            <w:pPr>
              <w:spacing w:before="100" w:beforeAutospacing="1"/>
              <w:contextualSpacing/>
              <w:jc w:val="both"/>
              <w:rPr>
                <w:rFonts w:ascii="Times New Roman" w:hAnsi="Times New Roman"/>
                <w:sz w:val="24"/>
                <w:szCs w:val="24"/>
              </w:rPr>
            </w:pPr>
            <w:r w:rsidRPr="002721EB">
              <w:rPr>
                <w:rFonts w:ascii="Times New Roman" w:hAnsi="Times New Roman"/>
                <w:sz w:val="24"/>
                <w:szCs w:val="24"/>
              </w:rPr>
              <w:t>AIC</w:t>
            </w:r>
          </w:p>
        </w:tc>
      </w:tr>
    </w:tbl>
    <w:p w14:paraId="6563B980" w14:textId="77777777" w:rsidR="003327C7" w:rsidRDefault="003327C7" w:rsidP="00911184">
      <w:pPr>
        <w:spacing w:line="240" w:lineRule="auto"/>
        <w:contextualSpacing/>
        <w:jc w:val="both"/>
        <w:rPr>
          <w:rFonts w:ascii="Times New Roman" w:hAnsi="Times New Roman" w:cs="Times New Roman"/>
          <w:sz w:val="24"/>
          <w:szCs w:val="24"/>
        </w:rPr>
      </w:pPr>
      <w:bookmarkStart w:id="1" w:name="_Hlk231812817"/>
    </w:p>
    <w:bookmarkEnd w:id="1"/>
    <w:p w14:paraId="58060AFD" w14:textId="34B96E51" w:rsid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Table 6 indicates that the growth in GDP per capita; primary, secondary, and tertiary education spending; gross fixed capital formation; and population growth are best represented with the help of one lag, which means that there is a slow short-run adjustment effect. Conversely, the trade openness, the foreign direct investment, and the structural adjustment dummy are chosen at lag 0, which means that the effects are contemporaneous in the model. This mixed lag model promotes a dynamic model that is in line with annual time-series data and is in line with ARDL modeling principles described by </w:t>
      </w:r>
      <w:proofErr w:type="spellStart"/>
      <w:r w:rsidRPr="00B32942">
        <w:rPr>
          <w:rFonts w:ascii="Times New Roman" w:hAnsi="Times New Roman" w:cs="Times New Roman"/>
          <w:sz w:val="24"/>
          <w:szCs w:val="24"/>
        </w:rPr>
        <w:t>Pesaran</w:t>
      </w:r>
      <w:proofErr w:type="spellEnd"/>
      <w:r w:rsidRPr="00B32942">
        <w:rPr>
          <w:rFonts w:ascii="Times New Roman" w:hAnsi="Times New Roman" w:cs="Times New Roman"/>
          <w:sz w:val="24"/>
          <w:szCs w:val="24"/>
        </w:rPr>
        <w:t xml:space="preserve">, Shin, and Smith (2001) and </w:t>
      </w:r>
      <w:proofErr w:type="spellStart"/>
      <w:r w:rsidRPr="00B32942">
        <w:rPr>
          <w:rFonts w:ascii="Times New Roman" w:hAnsi="Times New Roman" w:cs="Times New Roman"/>
          <w:sz w:val="24"/>
          <w:szCs w:val="24"/>
        </w:rPr>
        <w:t>Nkoro</w:t>
      </w:r>
      <w:proofErr w:type="spellEnd"/>
      <w:r w:rsidRPr="00B32942">
        <w:rPr>
          <w:rFonts w:ascii="Times New Roman" w:hAnsi="Times New Roman" w:cs="Times New Roman"/>
          <w:sz w:val="24"/>
          <w:szCs w:val="24"/>
        </w:rPr>
        <w:t xml:space="preserve"> and </w:t>
      </w:r>
      <w:proofErr w:type="spellStart"/>
      <w:r w:rsidRPr="00B32942">
        <w:rPr>
          <w:rFonts w:ascii="Times New Roman" w:hAnsi="Times New Roman" w:cs="Times New Roman"/>
          <w:sz w:val="24"/>
          <w:szCs w:val="24"/>
        </w:rPr>
        <w:t>Uko</w:t>
      </w:r>
      <w:proofErr w:type="spellEnd"/>
      <w:r w:rsidRPr="00B32942">
        <w:rPr>
          <w:rFonts w:ascii="Times New Roman" w:hAnsi="Times New Roman" w:cs="Times New Roman"/>
          <w:sz w:val="24"/>
          <w:szCs w:val="24"/>
        </w:rPr>
        <w:t xml:space="preserve"> (2016). Thus, the ARDL (1,1,1,1,1,0,0,1,0) model offers a suitable model that can be used to estimate the short- and long-term relationships.</w:t>
      </w:r>
    </w:p>
    <w:p w14:paraId="48C9F570" w14:textId="77777777" w:rsidR="00B32942" w:rsidRPr="00B32942" w:rsidRDefault="00B32942" w:rsidP="00911184">
      <w:pPr>
        <w:spacing w:line="240" w:lineRule="auto"/>
        <w:contextualSpacing/>
        <w:jc w:val="both"/>
        <w:rPr>
          <w:rFonts w:ascii="Times New Roman" w:hAnsi="Times New Roman" w:cs="Times New Roman"/>
          <w:sz w:val="24"/>
          <w:szCs w:val="24"/>
        </w:rPr>
      </w:pPr>
    </w:p>
    <w:p w14:paraId="7AE07674" w14:textId="77777777"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5.4 Cointegration Test</w:t>
      </w:r>
    </w:p>
    <w:p w14:paraId="2B9B42C3" w14:textId="06D9A5A1" w:rsidR="003327C7"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lastRenderedPageBreak/>
        <w:t xml:space="preserve">The </w:t>
      </w:r>
      <w:proofErr w:type="spellStart"/>
      <w:r w:rsidRPr="00B32942">
        <w:rPr>
          <w:rFonts w:ascii="Times New Roman" w:hAnsi="Times New Roman" w:cs="Times New Roman"/>
          <w:sz w:val="24"/>
          <w:szCs w:val="24"/>
        </w:rPr>
        <w:t>Pesaran</w:t>
      </w:r>
      <w:proofErr w:type="spellEnd"/>
      <w:r w:rsidRPr="00B32942">
        <w:rPr>
          <w:rFonts w:ascii="Times New Roman" w:hAnsi="Times New Roman" w:cs="Times New Roman"/>
          <w:sz w:val="24"/>
          <w:szCs w:val="24"/>
        </w:rPr>
        <w:t xml:space="preserve"> et al. (2001) ARDL bounds test was used to conclude the existence of a long-run equilibrium relationship between the variables. This test compares the null hypothesis of no levels (long-run) relationship to the alternative of cointegration, regardless of the order of integration of the regressors of order I (0) or I (1).</w:t>
      </w:r>
    </w:p>
    <w:p w14:paraId="66B3C017" w14:textId="77777777" w:rsidR="00B32942" w:rsidRDefault="00B32942" w:rsidP="00911184">
      <w:pPr>
        <w:spacing w:line="240" w:lineRule="auto"/>
        <w:contextualSpacing/>
        <w:jc w:val="both"/>
        <w:rPr>
          <w:rFonts w:ascii="Times New Roman" w:hAnsi="Times New Roman" w:cs="Times New Roman"/>
          <w:b/>
          <w:bCs/>
          <w:sz w:val="24"/>
          <w:szCs w:val="24"/>
        </w:rPr>
      </w:pPr>
    </w:p>
    <w:p w14:paraId="4639978F" w14:textId="6108D9E0" w:rsidR="00C70795" w:rsidRPr="003327C7" w:rsidRDefault="00C70795" w:rsidP="00911184">
      <w:pPr>
        <w:spacing w:line="240" w:lineRule="auto"/>
        <w:contextualSpacing/>
        <w:jc w:val="both"/>
        <w:rPr>
          <w:rFonts w:ascii="Times New Roman" w:hAnsi="Times New Roman" w:cs="Times New Roman"/>
          <w:sz w:val="24"/>
          <w:szCs w:val="24"/>
        </w:rPr>
      </w:pPr>
      <w:r w:rsidRPr="003327C7">
        <w:rPr>
          <w:rFonts w:ascii="Times New Roman" w:hAnsi="Times New Roman" w:cs="Times New Roman"/>
          <w:sz w:val="24"/>
          <w:szCs w:val="24"/>
        </w:rPr>
        <w:t>Table 3: ARDL Bounds Test for Cointegration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290"/>
        <w:gridCol w:w="1509"/>
        <w:gridCol w:w="1314"/>
        <w:gridCol w:w="1314"/>
        <w:gridCol w:w="1519"/>
      </w:tblGrid>
      <w:tr w:rsidR="000D17B3" w:rsidRPr="000D17B3" w14:paraId="33038E69" w14:textId="77777777" w:rsidTr="00CB1D7B">
        <w:tc>
          <w:tcPr>
            <w:tcW w:w="1360" w:type="dxa"/>
            <w:tcBorders>
              <w:top w:val="single" w:sz="4" w:space="0" w:color="auto"/>
              <w:bottom w:val="single" w:sz="4" w:space="0" w:color="auto"/>
            </w:tcBorders>
          </w:tcPr>
          <w:p w14:paraId="01D8279D"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Test Statistic</w:t>
            </w:r>
          </w:p>
        </w:tc>
        <w:tc>
          <w:tcPr>
            <w:tcW w:w="1290" w:type="dxa"/>
            <w:tcBorders>
              <w:top w:val="single" w:sz="4" w:space="0" w:color="auto"/>
              <w:bottom w:val="single" w:sz="4" w:space="0" w:color="auto"/>
            </w:tcBorders>
          </w:tcPr>
          <w:p w14:paraId="5C7467E8"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Value</w:t>
            </w:r>
          </w:p>
        </w:tc>
        <w:tc>
          <w:tcPr>
            <w:tcW w:w="1509" w:type="dxa"/>
            <w:tcBorders>
              <w:top w:val="single" w:sz="4" w:space="0" w:color="auto"/>
              <w:bottom w:val="single" w:sz="4" w:space="0" w:color="auto"/>
            </w:tcBorders>
          </w:tcPr>
          <w:p w14:paraId="78C3201F"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Significance level</w:t>
            </w:r>
          </w:p>
        </w:tc>
        <w:tc>
          <w:tcPr>
            <w:tcW w:w="1314" w:type="dxa"/>
            <w:tcBorders>
              <w:top w:val="single" w:sz="4" w:space="0" w:color="auto"/>
              <w:bottom w:val="single" w:sz="4" w:space="0" w:color="auto"/>
            </w:tcBorders>
          </w:tcPr>
          <w:p w14:paraId="70B44B3B"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I (0) Lower Bound</w:t>
            </w:r>
          </w:p>
        </w:tc>
        <w:tc>
          <w:tcPr>
            <w:tcW w:w="1314" w:type="dxa"/>
            <w:tcBorders>
              <w:top w:val="single" w:sz="4" w:space="0" w:color="auto"/>
              <w:bottom w:val="single" w:sz="4" w:space="0" w:color="auto"/>
            </w:tcBorders>
          </w:tcPr>
          <w:p w14:paraId="4FB70DF2"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I (1) Upper Bound</w:t>
            </w:r>
          </w:p>
        </w:tc>
        <w:tc>
          <w:tcPr>
            <w:tcW w:w="1519" w:type="dxa"/>
            <w:tcBorders>
              <w:top w:val="single" w:sz="4" w:space="0" w:color="auto"/>
              <w:bottom w:val="single" w:sz="4" w:space="0" w:color="auto"/>
            </w:tcBorders>
          </w:tcPr>
          <w:p w14:paraId="3C9ECBF7"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Decision</w:t>
            </w:r>
          </w:p>
        </w:tc>
      </w:tr>
      <w:tr w:rsidR="000D17B3" w:rsidRPr="000D17B3" w14:paraId="66FA68EA" w14:textId="77777777" w:rsidTr="00CB1D7B">
        <w:tc>
          <w:tcPr>
            <w:tcW w:w="1360" w:type="dxa"/>
            <w:tcBorders>
              <w:top w:val="single" w:sz="4" w:space="0" w:color="auto"/>
            </w:tcBorders>
          </w:tcPr>
          <w:p w14:paraId="2A7B1728"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 xml:space="preserve">F-statistic </w:t>
            </w:r>
          </w:p>
        </w:tc>
        <w:tc>
          <w:tcPr>
            <w:tcW w:w="1290" w:type="dxa"/>
            <w:tcBorders>
              <w:top w:val="single" w:sz="4" w:space="0" w:color="auto"/>
            </w:tcBorders>
          </w:tcPr>
          <w:p w14:paraId="4F34182C"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3.575</w:t>
            </w:r>
          </w:p>
        </w:tc>
        <w:tc>
          <w:tcPr>
            <w:tcW w:w="1509" w:type="dxa"/>
            <w:tcBorders>
              <w:top w:val="single" w:sz="4" w:space="0" w:color="auto"/>
            </w:tcBorders>
          </w:tcPr>
          <w:p w14:paraId="1C902422"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1 percent</w:t>
            </w:r>
          </w:p>
        </w:tc>
        <w:tc>
          <w:tcPr>
            <w:tcW w:w="1314" w:type="dxa"/>
            <w:tcBorders>
              <w:top w:val="single" w:sz="4" w:space="0" w:color="auto"/>
            </w:tcBorders>
          </w:tcPr>
          <w:p w14:paraId="60C6DF27"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2.79</w:t>
            </w:r>
          </w:p>
        </w:tc>
        <w:tc>
          <w:tcPr>
            <w:tcW w:w="1314" w:type="dxa"/>
            <w:tcBorders>
              <w:top w:val="single" w:sz="4" w:space="0" w:color="auto"/>
            </w:tcBorders>
          </w:tcPr>
          <w:p w14:paraId="486BBADA"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4.10</w:t>
            </w:r>
          </w:p>
        </w:tc>
        <w:tc>
          <w:tcPr>
            <w:tcW w:w="1519" w:type="dxa"/>
            <w:tcBorders>
              <w:top w:val="single" w:sz="4" w:space="0" w:color="auto"/>
            </w:tcBorders>
          </w:tcPr>
          <w:p w14:paraId="67EC154F"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Inconclusive</w:t>
            </w:r>
          </w:p>
        </w:tc>
      </w:tr>
      <w:tr w:rsidR="000D17B3" w:rsidRPr="000D17B3" w14:paraId="65BD33BB" w14:textId="77777777" w:rsidTr="00CB1D7B">
        <w:tc>
          <w:tcPr>
            <w:tcW w:w="1360" w:type="dxa"/>
          </w:tcPr>
          <w:p w14:paraId="2F97C475" w14:textId="77777777" w:rsidR="000D17B3" w:rsidRPr="000D17B3" w:rsidRDefault="000D17B3" w:rsidP="00911184">
            <w:pPr>
              <w:contextualSpacing/>
              <w:jc w:val="both"/>
              <w:rPr>
                <w:rFonts w:ascii="Times New Roman" w:hAnsi="Times New Roman"/>
                <w:sz w:val="24"/>
                <w:szCs w:val="24"/>
              </w:rPr>
            </w:pPr>
          </w:p>
        </w:tc>
        <w:tc>
          <w:tcPr>
            <w:tcW w:w="1290" w:type="dxa"/>
          </w:tcPr>
          <w:p w14:paraId="6C58821C" w14:textId="77777777" w:rsidR="000D17B3" w:rsidRPr="000D17B3" w:rsidRDefault="000D17B3" w:rsidP="00911184">
            <w:pPr>
              <w:contextualSpacing/>
              <w:jc w:val="both"/>
              <w:rPr>
                <w:rFonts w:ascii="Times New Roman" w:hAnsi="Times New Roman"/>
                <w:sz w:val="24"/>
                <w:szCs w:val="24"/>
              </w:rPr>
            </w:pPr>
          </w:p>
        </w:tc>
        <w:tc>
          <w:tcPr>
            <w:tcW w:w="1509" w:type="dxa"/>
          </w:tcPr>
          <w:p w14:paraId="1A846290"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2.5 percent</w:t>
            </w:r>
          </w:p>
        </w:tc>
        <w:tc>
          <w:tcPr>
            <w:tcW w:w="1314" w:type="dxa"/>
          </w:tcPr>
          <w:p w14:paraId="63C5E17D"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2.48</w:t>
            </w:r>
          </w:p>
        </w:tc>
        <w:tc>
          <w:tcPr>
            <w:tcW w:w="1314" w:type="dxa"/>
          </w:tcPr>
          <w:p w14:paraId="39685493"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3.70</w:t>
            </w:r>
          </w:p>
        </w:tc>
        <w:tc>
          <w:tcPr>
            <w:tcW w:w="1519" w:type="dxa"/>
          </w:tcPr>
          <w:p w14:paraId="72814EE9"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Inconclusive</w:t>
            </w:r>
          </w:p>
        </w:tc>
      </w:tr>
      <w:tr w:rsidR="000D17B3" w:rsidRPr="000D17B3" w14:paraId="774240A9" w14:textId="77777777" w:rsidTr="00CB1D7B">
        <w:tc>
          <w:tcPr>
            <w:tcW w:w="1360" w:type="dxa"/>
          </w:tcPr>
          <w:p w14:paraId="26768D23" w14:textId="77777777" w:rsidR="000D17B3" w:rsidRPr="000D17B3" w:rsidRDefault="000D17B3" w:rsidP="00911184">
            <w:pPr>
              <w:contextualSpacing/>
              <w:jc w:val="both"/>
              <w:rPr>
                <w:rFonts w:ascii="Times New Roman" w:hAnsi="Times New Roman"/>
                <w:sz w:val="24"/>
                <w:szCs w:val="24"/>
              </w:rPr>
            </w:pPr>
          </w:p>
        </w:tc>
        <w:tc>
          <w:tcPr>
            <w:tcW w:w="1290" w:type="dxa"/>
          </w:tcPr>
          <w:p w14:paraId="2D114963" w14:textId="77777777" w:rsidR="000D17B3" w:rsidRPr="000D17B3" w:rsidRDefault="000D17B3" w:rsidP="00911184">
            <w:pPr>
              <w:contextualSpacing/>
              <w:jc w:val="both"/>
              <w:rPr>
                <w:rFonts w:ascii="Times New Roman" w:hAnsi="Times New Roman"/>
                <w:sz w:val="24"/>
                <w:szCs w:val="24"/>
              </w:rPr>
            </w:pPr>
          </w:p>
        </w:tc>
        <w:tc>
          <w:tcPr>
            <w:tcW w:w="1509" w:type="dxa"/>
          </w:tcPr>
          <w:p w14:paraId="0B39345C"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5 percent</w:t>
            </w:r>
          </w:p>
        </w:tc>
        <w:tc>
          <w:tcPr>
            <w:tcW w:w="1314" w:type="dxa"/>
          </w:tcPr>
          <w:p w14:paraId="2C9A5549"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2.22</w:t>
            </w:r>
          </w:p>
        </w:tc>
        <w:tc>
          <w:tcPr>
            <w:tcW w:w="1314" w:type="dxa"/>
          </w:tcPr>
          <w:p w14:paraId="37C69D46"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3.39</w:t>
            </w:r>
          </w:p>
        </w:tc>
        <w:tc>
          <w:tcPr>
            <w:tcW w:w="1519" w:type="dxa"/>
          </w:tcPr>
          <w:p w14:paraId="598C5268" w14:textId="77777777" w:rsidR="000D17B3" w:rsidRPr="000D17B3" w:rsidRDefault="000D17B3" w:rsidP="00911184">
            <w:pPr>
              <w:contextualSpacing/>
              <w:jc w:val="both"/>
              <w:rPr>
                <w:rFonts w:ascii="Times New Roman" w:hAnsi="Times New Roman"/>
                <w:sz w:val="24"/>
                <w:szCs w:val="24"/>
              </w:rPr>
            </w:pPr>
            <w:r w:rsidRPr="000D17B3">
              <w:rPr>
                <w:rFonts w:ascii="Times New Roman" w:eastAsia="Times New Roman" w:hAnsi="Times New Roman"/>
                <w:sz w:val="24"/>
                <w:szCs w:val="24"/>
              </w:rPr>
              <w:t>Reject H₀</w:t>
            </w:r>
          </w:p>
        </w:tc>
      </w:tr>
      <w:tr w:rsidR="000D17B3" w:rsidRPr="000D17B3" w14:paraId="6F06D75D" w14:textId="77777777" w:rsidTr="00CB1D7B">
        <w:tc>
          <w:tcPr>
            <w:tcW w:w="1360" w:type="dxa"/>
          </w:tcPr>
          <w:p w14:paraId="43B78E47" w14:textId="77777777" w:rsidR="000D17B3" w:rsidRPr="000D17B3" w:rsidRDefault="000D17B3" w:rsidP="00911184">
            <w:pPr>
              <w:contextualSpacing/>
              <w:jc w:val="both"/>
              <w:rPr>
                <w:rFonts w:ascii="Times New Roman" w:hAnsi="Times New Roman"/>
                <w:sz w:val="24"/>
                <w:szCs w:val="24"/>
              </w:rPr>
            </w:pPr>
          </w:p>
        </w:tc>
        <w:tc>
          <w:tcPr>
            <w:tcW w:w="1290" w:type="dxa"/>
          </w:tcPr>
          <w:p w14:paraId="73DA0F6F" w14:textId="77777777" w:rsidR="000D17B3" w:rsidRPr="000D17B3" w:rsidRDefault="000D17B3" w:rsidP="00911184">
            <w:pPr>
              <w:contextualSpacing/>
              <w:jc w:val="both"/>
              <w:rPr>
                <w:rFonts w:ascii="Times New Roman" w:hAnsi="Times New Roman"/>
                <w:sz w:val="24"/>
                <w:szCs w:val="24"/>
              </w:rPr>
            </w:pPr>
          </w:p>
        </w:tc>
        <w:tc>
          <w:tcPr>
            <w:tcW w:w="1509" w:type="dxa"/>
          </w:tcPr>
          <w:p w14:paraId="0F8F06C5"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10 percent</w:t>
            </w:r>
          </w:p>
        </w:tc>
        <w:tc>
          <w:tcPr>
            <w:tcW w:w="1314" w:type="dxa"/>
          </w:tcPr>
          <w:p w14:paraId="7D036757"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1.95</w:t>
            </w:r>
          </w:p>
        </w:tc>
        <w:tc>
          <w:tcPr>
            <w:tcW w:w="1314" w:type="dxa"/>
          </w:tcPr>
          <w:p w14:paraId="06A06228"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3.06</w:t>
            </w:r>
          </w:p>
        </w:tc>
        <w:tc>
          <w:tcPr>
            <w:tcW w:w="1519" w:type="dxa"/>
          </w:tcPr>
          <w:p w14:paraId="51E23B39" w14:textId="77777777" w:rsidR="000D17B3" w:rsidRPr="000D17B3" w:rsidRDefault="000D17B3" w:rsidP="00911184">
            <w:pPr>
              <w:contextualSpacing/>
              <w:jc w:val="both"/>
              <w:rPr>
                <w:rFonts w:ascii="Times New Roman" w:hAnsi="Times New Roman"/>
                <w:sz w:val="24"/>
                <w:szCs w:val="24"/>
              </w:rPr>
            </w:pPr>
            <w:r w:rsidRPr="000D17B3">
              <w:rPr>
                <w:rFonts w:ascii="Times New Roman" w:eastAsia="Times New Roman" w:hAnsi="Times New Roman"/>
                <w:sz w:val="24"/>
                <w:szCs w:val="24"/>
              </w:rPr>
              <w:t>Reject H₀</w:t>
            </w:r>
          </w:p>
        </w:tc>
      </w:tr>
      <w:tr w:rsidR="000D17B3" w:rsidRPr="000D17B3" w14:paraId="05EE493F" w14:textId="77777777" w:rsidTr="00CB1D7B">
        <w:tc>
          <w:tcPr>
            <w:tcW w:w="1360" w:type="dxa"/>
          </w:tcPr>
          <w:p w14:paraId="74810CEF"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T-statistic</w:t>
            </w:r>
          </w:p>
        </w:tc>
        <w:tc>
          <w:tcPr>
            <w:tcW w:w="1290" w:type="dxa"/>
          </w:tcPr>
          <w:p w14:paraId="15DA1A4C"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-5.129</w:t>
            </w:r>
          </w:p>
        </w:tc>
        <w:tc>
          <w:tcPr>
            <w:tcW w:w="1509" w:type="dxa"/>
          </w:tcPr>
          <w:p w14:paraId="6B2F979E"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1 percent</w:t>
            </w:r>
          </w:p>
        </w:tc>
        <w:tc>
          <w:tcPr>
            <w:tcW w:w="1314" w:type="dxa"/>
          </w:tcPr>
          <w:p w14:paraId="1BD88994"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-3.43</w:t>
            </w:r>
          </w:p>
        </w:tc>
        <w:tc>
          <w:tcPr>
            <w:tcW w:w="1314" w:type="dxa"/>
          </w:tcPr>
          <w:p w14:paraId="5D22ABEF"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-5.37</w:t>
            </w:r>
          </w:p>
        </w:tc>
        <w:tc>
          <w:tcPr>
            <w:tcW w:w="1519" w:type="dxa"/>
          </w:tcPr>
          <w:p w14:paraId="162AE05F"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Inconclusive</w:t>
            </w:r>
          </w:p>
        </w:tc>
      </w:tr>
      <w:tr w:rsidR="000D17B3" w:rsidRPr="000D17B3" w14:paraId="01290516" w14:textId="77777777" w:rsidTr="00CB1D7B">
        <w:tc>
          <w:tcPr>
            <w:tcW w:w="1360" w:type="dxa"/>
          </w:tcPr>
          <w:p w14:paraId="217CBA39" w14:textId="77777777" w:rsidR="000D17B3" w:rsidRPr="000D17B3" w:rsidRDefault="000D17B3" w:rsidP="00911184">
            <w:pPr>
              <w:contextualSpacing/>
              <w:jc w:val="both"/>
              <w:rPr>
                <w:rFonts w:ascii="Times New Roman" w:hAnsi="Times New Roman"/>
                <w:sz w:val="24"/>
                <w:szCs w:val="24"/>
              </w:rPr>
            </w:pPr>
          </w:p>
        </w:tc>
        <w:tc>
          <w:tcPr>
            <w:tcW w:w="1290" w:type="dxa"/>
          </w:tcPr>
          <w:p w14:paraId="4900E95C" w14:textId="77777777" w:rsidR="000D17B3" w:rsidRPr="000D17B3" w:rsidRDefault="000D17B3" w:rsidP="00911184">
            <w:pPr>
              <w:contextualSpacing/>
              <w:jc w:val="both"/>
              <w:rPr>
                <w:rFonts w:ascii="Times New Roman" w:hAnsi="Times New Roman"/>
                <w:sz w:val="24"/>
                <w:szCs w:val="24"/>
              </w:rPr>
            </w:pPr>
          </w:p>
        </w:tc>
        <w:tc>
          <w:tcPr>
            <w:tcW w:w="1509" w:type="dxa"/>
          </w:tcPr>
          <w:p w14:paraId="4305414B"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2.5 percent</w:t>
            </w:r>
          </w:p>
        </w:tc>
        <w:tc>
          <w:tcPr>
            <w:tcW w:w="1314" w:type="dxa"/>
          </w:tcPr>
          <w:p w14:paraId="3BA6B00A"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-3.13</w:t>
            </w:r>
          </w:p>
        </w:tc>
        <w:tc>
          <w:tcPr>
            <w:tcW w:w="1314" w:type="dxa"/>
          </w:tcPr>
          <w:p w14:paraId="04BC48A7"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-5.02</w:t>
            </w:r>
          </w:p>
        </w:tc>
        <w:tc>
          <w:tcPr>
            <w:tcW w:w="1519" w:type="dxa"/>
          </w:tcPr>
          <w:p w14:paraId="463BDA0D" w14:textId="77777777" w:rsidR="000D17B3" w:rsidRPr="000D17B3" w:rsidRDefault="000D17B3" w:rsidP="00911184">
            <w:pPr>
              <w:contextualSpacing/>
              <w:jc w:val="both"/>
              <w:rPr>
                <w:rFonts w:ascii="Times New Roman" w:hAnsi="Times New Roman"/>
                <w:sz w:val="24"/>
                <w:szCs w:val="24"/>
              </w:rPr>
            </w:pPr>
            <w:r w:rsidRPr="000D17B3">
              <w:rPr>
                <w:rFonts w:ascii="Times New Roman" w:eastAsia="Times New Roman" w:hAnsi="Times New Roman"/>
                <w:sz w:val="24"/>
                <w:szCs w:val="24"/>
              </w:rPr>
              <w:t>Reject H₀</w:t>
            </w:r>
          </w:p>
        </w:tc>
      </w:tr>
      <w:tr w:rsidR="000D17B3" w:rsidRPr="000D17B3" w14:paraId="2E496EA5" w14:textId="77777777" w:rsidTr="00CB1D7B">
        <w:tc>
          <w:tcPr>
            <w:tcW w:w="1360" w:type="dxa"/>
          </w:tcPr>
          <w:p w14:paraId="1DB4C0BC" w14:textId="77777777" w:rsidR="000D17B3" w:rsidRPr="000D17B3" w:rsidRDefault="000D17B3" w:rsidP="00911184">
            <w:pPr>
              <w:contextualSpacing/>
              <w:jc w:val="both"/>
              <w:rPr>
                <w:rFonts w:ascii="Times New Roman" w:hAnsi="Times New Roman"/>
                <w:sz w:val="24"/>
                <w:szCs w:val="24"/>
              </w:rPr>
            </w:pPr>
          </w:p>
        </w:tc>
        <w:tc>
          <w:tcPr>
            <w:tcW w:w="1290" w:type="dxa"/>
          </w:tcPr>
          <w:p w14:paraId="3A52B86D" w14:textId="77777777" w:rsidR="000D17B3" w:rsidRPr="000D17B3" w:rsidRDefault="000D17B3" w:rsidP="00911184">
            <w:pPr>
              <w:contextualSpacing/>
              <w:jc w:val="both"/>
              <w:rPr>
                <w:rFonts w:ascii="Times New Roman" w:hAnsi="Times New Roman"/>
                <w:sz w:val="24"/>
                <w:szCs w:val="24"/>
              </w:rPr>
            </w:pPr>
          </w:p>
        </w:tc>
        <w:tc>
          <w:tcPr>
            <w:tcW w:w="1509" w:type="dxa"/>
          </w:tcPr>
          <w:p w14:paraId="127A018F"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5 percent</w:t>
            </w:r>
          </w:p>
        </w:tc>
        <w:tc>
          <w:tcPr>
            <w:tcW w:w="1314" w:type="dxa"/>
          </w:tcPr>
          <w:p w14:paraId="6D9A7F8C"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-2.86</w:t>
            </w:r>
          </w:p>
        </w:tc>
        <w:tc>
          <w:tcPr>
            <w:tcW w:w="1314" w:type="dxa"/>
          </w:tcPr>
          <w:p w14:paraId="5B1C0B54"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-4.72</w:t>
            </w:r>
          </w:p>
        </w:tc>
        <w:tc>
          <w:tcPr>
            <w:tcW w:w="1519" w:type="dxa"/>
          </w:tcPr>
          <w:p w14:paraId="5DEB7DE4" w14:textId="77777777" w:rsidR="000D17B3" w:rsidRPr="000D17B3" w:rsidRDefault="000D17B3" w:rsidP="00911184">
            <w:pPr>
              <w:contextualSpacing/>
              <w:jc w:val="both"/>
              <w:rPr>
                <w:rFonts w:ascii="Times New Roman" w:hAnsi="Times New Roman"/>
                <w:sz w:val="24"/>
                <w:szCs w:val="24"/>
              </w:rPr>
            </w:pPr>
            <w:r w:rsidRPr="000D17B3">
              <w:rPr>
                <w:rFonts w:ascii="Times New Roman" w:eastAsia="Times New Roman" w:hAnsi="Times New Roman"/>
                <w:sz w:val="24"/>
                <w:szCs w:val="24"/>
              </w:rPr>
              <w:t>Reject H₀</w:t>
            </w:r>
          </w:p>
        </w:tc>
      </w:tr>
      <w:tr w:rsidR="000D17B3" w:rsidRPr="000D17B3" w14:paraId="5719B96F" w14:textId="77777777" w:rsidTr="00CB1D7B">
        <w:tc>
          <w:tcPr>
            <w:tcW w:w="1360" w:type="dxa"/>
          </w:tcPr>
          <w:p w14:paraId="5226691C" w14:textId="77777777" w:rsidR="000D17B3" w:rsidRPr="000D17B3" w:rsidRDefault="000D17B3" w:rsidP="00911184">
            <w:pPr>
              <w:contextualSpacing/>
              <w:jc w:val="both"/>
              <w:rPr>
                <w:rFonts w:ascii="Times New Roman" w:hAnsi="Times New Roman"/>
                <w:sz w:val="24"/>
                <w:szCs w:val="24"/>
              </w:rPr>
            </w:pPr>
          </w:p>
        </w:tc>
        <w:tc>
          <w:tcPr>
            <w:tcW w:w="1290" w:type="dxa"/>
          </w:tcPr>
          <w:p w14:paraId="269B47B7" w14:textId="77777777" w:rsidR="000D17B3" w:rsidRPr="000D17B3" w:rsidRDefault="000D17B3" w:rsidP="00911184">
            <w:pPr>
              <w:contextualSpacing/>
              <w:jc w:val="both"/>
              <w:rPr>
                <w:rFonts w:ascii="Times New Roman" w:hAnsi="Times New Roman"/>
                <w:sz w:val="24"/>
                <w:szCs w:val="24"/>
              </w:rPr>
            </w:pPr>
          </w:p>
        </w:tc>
        <w:tc>
          <w:tcPr>
            <w:tcW w:w="1509" w:type="dxa"/>
          </w:tcPr>
          <w:p w14:paraId="2E1B0A94"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10 percent</w:t>
            </w:r>
          </w:p>
        </w:tc>
        <w:tc>
          <w:tcPr>
            <w:tcW w:w="1314" w:type="dxa"/>
          </w:tcPr>
          <w:p w14:paraId="5E719419"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-2.57</w:t>
            </w:r>
          </w:p>
        </w:tc>
        <w:tc>
          <w:tcPr>
            <w:tcW w:w="1314" w:type="dxa"/>
          </w:tcPr>
          <w:p w14:paraId="464B7619" w14:textId="77777777" w:rsidR="000D17B3" w:rsidRPr="000D17B3" w:rsidRDefault="000D17B3" w:rsidP="00911184">
            <w:pPr>
              <w:contextualSpacing/>
              <w:jc w:val="both"/>
              <w:rPr>
                <w:rFonts w:ascii="Times New Roman" w:hAnsi="Times New Roman"/>
                <w:sz w:val="24"/>
                <w:szCs w:val="24"/>
              </w:rPr>
            </w:pPr>
            <w:r w:rsidRPr="000D17B3">
              <w:rPr>
                <w:rFonts w:ascii="Times New Roman" w:hAnsi="Times New Roman"/>
                <w:sz w:val="24"/>
                <w:szCs w:val="24"/>
              </w:rPr>
              <w:t>-4.40</w:t>
            </w:r>
          </w:p>
        </w:tc>
        <w:tc>
          <w:tcPr>
            <w:tcW w:w="1519" w:type="dxa"/>
          </w:tcPr>
          <w:p w14:paraId="57FE6FF4" w14:textId="77777777" w:rsidR="000D17B3" w:rsidRPr="000D17B3" w:rsidRDefault="000D17B3" w:rsidP="00911184">
            <w:pPr>
              <w:contextualSpacing/>
              <w:jc w:val="both"/>
              <w:rPr>
                <w:rFonts w:ascii="Times New Roman" w:hAnsi="Times New Roman"/>
                <w:sz w:val="24"/>
                <w:szCs w:val="24"/>
              </w:rPr>
            </w:pPr>
            <w:r w:rsidRPr="000D17B3">
              <w:rPr>
                <w:rFonts w:ascii="Times New Roman" w:eastAsia="Times New Roman" w:hAnsi="Times New Roman"/>
                <w:sz w:val="24"/>
                <w:szCs w:val="24"/>
              </w:rPr>
              <w:t>Reject H₀</w:t>
            </w:r>
          </w:p>
        </w:tc>
      </w:tr>
    </w:tbl>
    <w:p w14:paraId="5F74CC62" w14:textId="77777777" w:rsidR="007B15E3" w:rsidRPr="007B15E3" w:rsidRDefault="007B15E3" w:rsidP="00911184">
      <w:pPr>
        <w:spacing w:after="0" w:line="240" w:lineRule="auto"/>
        <w:contextualSpacing/>
        <w:jc w:val="both"/>
        <w:rPr>
          <w:rFonts w:ascii="Times New Roman" w:hAnsi="Times New Roman" w:cs="Times New Roman"/>
          <w:kern w:val="2"/>
          <w:sz w:val="24"/>
          <w:szCs w:val="24"/>
          <w14:ligatures w14:val="standardContextual"/>
        </w:rPr>
      </w:pPr>
      <w:r w:rsidRPr="007B15E3">
        <w:rPr>
          <w:rFonts w:ascii="Times New Roman" w:hAnsi="Times New Roman" w:cs="Times New Roman"/>
          <w:kern w:val="2"/>
          <w:sz w:val="24"/>
          <w:szCs w:val="24"/>
          <w14:ligatures w14:val="standardContextual"/>
        </w:rPr>
        <w:t>Note: H0: no cointegration</w:t>
      </w:r>
    </w:p>
    <w:p w14:paraId="1ED1A930" w14:textId="77777777" w:rsidR="007B15E3" w:rsidRPr="007B15E3" w:rsidRDefault="007B15E3" w:rsidP="00911184">
      <w:pPr>
        <w:spacing w:after="0" w:line="240" w:lineRule="auto"/>
        <w:contextualSpacing/>
        <w:jc w:val="both"/>
        <w:rPr>
          <w:rFonts w:ascii="Times New Roman" w:hAnsi="Times New Roman" w:cs="Times New Roman"/>
          <w:kern w:val="2"/>
          <w:sz w:val="24"/>
          <w:szCs w:val="24"/>
          <w14:ligatures w14:val="standardContextual"/>
        </w:rPr>
      </w:pPr>
      <w:r w:rsidRPr="007B15E3">
        <w:rPr>
          <w:rFonts w:ascii="Times New Roman" w:hAnsi="Times New Roman" w:cs="Times New Roman"/>
          <w:kern w:val="2"/>
          <w:sz w:val="24"/>
          <w:szCs w:val="24"/>
          <w14:ligatures w14:val="standardContextual"/>
        </w:rPr>
        <w:t>Source: Author’s computations using data from World Bank Development Indicators</w:t>
      </w:r>
    </w:p>
    <w:p w14:paraId="6C546B41" w14:textId="77777777" w:rsidR="007B15E3" w:rsidRPr="007B15E3" w:rsidRDefault="007B15E3" w:rsidP="00911184">
      <w:pPr>
        <w:spacing w:before="100" w:beforeAutospacing="1" w:after="100" w:afterAutospacing="1" w:line="240" w:lineRule="auto"/>
        <w:contextualSpacing/>
        <w:jc w:val="both"/>
        <w:rPr>
          <w:rFonts w:ascii="Times New Roman" w:hAnsi="Times New Roman" w:cs="Times New Roman"/>
          <w:kern w:val="2"/>
          <w:sz w:val="24"/>
          <w:szCs w:val="24"/>
          <w14:ligatures w14:val="standardContextual"/>
        </w:rPr>
      </w:pPr>
    </w:p>
    <w:p w14:paraId="32884524" w14:textId="77777777" w:rsidR="00B32942" w:rsidRPr="00B32942"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The ARDL bounds test outcomes show that there is a long-run relationship between the variables, which is in line with </w:t>
      </w:r>
      <w:proofErr w:type="spellStart"/>
      <w:r w:rsidRPr="00B32942">
        <w:rPr>
          <w:rFonts w:ascii="Times New Roman" w:hAnsi="Times New Roman" w:cs="Times New Roman"/>
          <w:sz w:val="24"/>
          <w:szCs w:val="24"/>
        </w:rPr>
        <w:t>Pesaran</w:t>
      </w:r>
      <w:proofErr w:type="spellEnd"/>
      <w:r w:rsidRPr="00B32942">
        <w:rPr>
          <w:rFonts w:ascii="Times New Roman" w:hAnsi="Times New Roman" w:cs="Times New Roman"/>
          <w:sz w:val="24"/>
          <w:szCs w:val="24"/>
        </w:rPr>
        <w:t xml:space="preserve"> et al. (2001), who conclude that cointegration is verified when the F-statistic calculated is greater than the upper critical value. The F-statistic is 3.575 in this instance, and this is larger than the F-statistic 5% upper bound of 3.39, and as a result, the null hypothesis of no level relationship is rejected as per </w:t>
      </w:r>
      <w:proofErr w:type="spellStart"/>
      <w:r w:rsidRPr="00B32942">
        <w:rPr>
          <w:rFonts w:ascii="Times New Roman" w:hAnsi="Times New Roman" w:cs="Times New Roman"/>
          <w:sz w:val="24"/>
          <w:szCs w:val="24"/>
        </w:rPr>
        <w:t>Nkoro</w:t>
      </w:r>
      <w:proofErr w:type="spellEnd"/>
      <w:r w:rsidRPr="00B32942">
        <w:rPr>
          <w:rFonts w:ascii="Times New Roman" w:hAnsi="Times New Roman" w:cs="Times New Roman"/>
          <w:sz w:val="24"/>
          <w:szCs w:val="24"/>
        </w:rPr>
        <w:t xml:space="preserve"> and </w:t>
      </w:r>
      <w:proofErr w:type="spellStart"/>
      <w:r w:rsidRPr="00B32942">
        <w:rPr>
          <w:rFonts w:ascii="Times New Roman" w:hAnsi="Times New Roman" w:cs="Times New Roman"/>
          <w:sz w:val="24"/>
          <w:szCs w:val="24"/>
        </w:rPr>
        <w:t>Uko</w:t>
      </w:r>
      <w:proofErr w:type="spellEnd"/>
      <w:r w:rsidRPr="00B32942">
        <w:rPr>
          <w:rFonts w:ascii="Times New Roman" w:hAnsi="Times New Roman" w:cs="Times New Roman"/>
          <w:sz w:val="24"/>
          <w:szCs w:val="24"/>
        </w:rPr>
        <w:t xml:space="preserve"> (2016). Nonetheless, the upper bound critical value (4.10) at the 1% level is more than the calculated statistic, and therefore, there is no cointegration at the more conservative level. The t-statistic of the error correction is less than the 5% lower bound (-4.72), and this once again confirms that there is long-run equilibrium but not greater than the 1% critical bound (-5.37). The findings, on the whole, have mixed but, overall, supportive evidence of cointegration in line with McNown et al. (2018).</w:t>
      </w:r>
    </w:p>
    <w:p w14:paraId="6AF5B0DC" w14:textId="77777777" w:rsidR="00B32942" w:rsidRDefault="00B32942" w:rsidP="00911184">
      <w:pPr>
        <w:spacing w:line="240" w:lineRule="auto"/>
        <w:contextualSpacing/>
        <w:jc w:val="both"/>
        <w:rPr>
          <w:rFonts w:ascii="Times New Roman" w:hAnsi="Times New Roman" w:cs="Times New Roman"/>
          <w:b/>
          <w:bCs/>
          <w:sz w:val="24"/>
          <w:szCs w:val="24"/>
        </w:rPr>
      </w:pPr>
    </w:p>
    <w:p w14:paraId="30D14F2B" w14:textId="1269412A" w:rsidR="00B32942" w:rsidRPr="00B32942" w:rsidRDefault="00B32942"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5.5 Diagnostic Tests</w:t>
      </w:r>
    </w:p>
    <w:p w14:paraId="0E01C790" w14:textId="1AC1A87B" w:rsidR="0059665B" w:rsidRPr="0059665B" w:rsidRDefault="00B32942" w:rsidP="00911184">
      <w:pPr>
        <w:spacing w:line="240" w:lineRule="auto"/>
        <w:contextualSpacing/>
        <w:jc w:val="both"/>
        <w:rPr>
          <w:rFonts w:ascii="Times New Roman" w:hAnsi="Times New Roman" w:cs="Times New Roman"/>
          <w:sz w:val="24"/>
          <w:szCs w:val="24"/>
        </w:rPr>
      </w:pPr>
      <w:r w:rsidRPr="00B32942">
        <w:rPr>
          <w:rFonts w:ascii="Times New Roman" w:hAnsi="Times New Roman" w:cs="Times New Roman"/>
          <w:sz w:val="24"/>
          <w:szCs w:val="24"/>
        </w:rPr>
        <w:t xml:space="preserve">In regression analysis, diagnostic tests are fundamental to ensure that the model is estimated to meet the classical linear regression assumptions and to give credible and unbiased estimates. Based on Brooks (2019) and </w:t>
      </w:r>
      <w:proofErr w:type="spellStart"/>
      <w:r w:rsidRPr="00B32942">
        <w:rPr>
          <w:rFonts w:ascii="Times New Roman" w:hAnsi="Times New Roman" w:cs="Times New Roman"/>
          <w:sz w:val="24"/>
          <w:szCs w:val="24"/>
        </w:rPr>
        <w:t>Zeileis</w:t>
      </w:r>
      <w:proofErr w:type="spellEnd"/>
      <w:r w:rsidRPr="00B32942">
        <w:rPr>
          <w:rFonts w:ascii="Times New Roman" w:hAnsi="Times New Roman" w:cs="Times New Roman"/>
          <w:sz w:val="24"/>
          <w:szCs w:val="24"/>
        </w:rPr>
        <w:t xml:space="preserve"> and </w:t>
      </w:r>
      <w:proofErr w:type="spellStart"/>
      <w:r w:rsidRPr="00B32942">
        <w:rPr>
          <w:rFonts w:ascii="Times New Roman" w:hAnsi="Times New Roman" w:cs="Times New Roman"/>
          <w:sz w:val="24"/>
          <w:szCs w:val="24"/>
        </w:rPr>
        <w:t>Hothorn</w:t>
      </w:r>
      <w:proofErr w:type="spellEnd"/>
      <w:r w:rsidRPr="00B32942">
        <w:rPr>
          <w:rFonts w:ascii="Times New Roman" w:hAnsi="Times New Roman" w:cs="Times New Roman"/>
          <w:sz w:val="24"/>
          <w:szCs w:val="24"/>
        </w:rPr>
        <w:t xml:space="preserve"> (2015), diagnostic checking is a method to determine whether the residuals are serially correlated, heteroscedastic, non-normal, or multicollinear and to examine whether the model is structurally stable. The tests confirm the sufficiency of the given ARDL model prior to the interpretation of coefficients. The results of the diagnostic tests are presented in Table 4</w:t>
      </w:r>
      <w:r w:rsidR="0059665B" w:rsidRPr="0059665B">
        <w:rPr>
          <w:rFonts w:ascii="Times New Roman" w:hAnsi="Times New Roman" w:cs="Times New Roman"/>
          <w:sz w:val="24"/>
          <w:szCs w:val="24"/>
        </w:rPr>
        <w:t>.</w:t>
      </w:r>
    </w:p>
    <w:p w14:paraId="1ECF92D1" w14:textId="77777777" w:rsidR="003327C7" w:rsidRDefault="003327C7" w:rsidP="00911184">
      <w:pPr>
        <w:spacing w:line="240" w:lineRule="auto"/>
        <w:contextualSpacing/>
        <w:jc w:val="both"/>
        <w:rPr>
          <w:rFonts w:ascii="Times New Roman" w:hAnsi="Times New Roman" w:cs="Times New Roman"/>
          <w:b/>
          <w:bCs/>
          <w:sz w:val="24"/>
          <w:szCs w:val="24"/>
        </w:rPr>
      </w:pPr>
    </w:p>
    <w:p w14:paraId="671FDCCC" w14:textId="677C18C8" w:rsidR="0059665B" w:rsidRPr="0059665B" w:rsidRDefault="00C70795" w:rsidP="00911184">
      <w:pPr>
        <w:spacing w:line="240" w:lineRule="auto"/>
        <w:contextualSpacing/>
        <w:jc w:val="both"/>
        <w:rPr>
          <w:rFonts w:ascii="Times New Roman" w:hAnsi="Times New Roman" w:cs="Times New Roman"/>
          <w:sz w:val="24"/>
          <w:szCs w:val="24"/>
        </w:rPr>
      </w:pPr>
      <w:r w:rsidRPr="00C70795">
        <w:rPr>
          <w:rFonts w:ascii="Times New Roman" w:hAnsi="Times New Roman" w:cs="Times New Roman"/>
          <w:b/>
          <w:bCs/>
          <w:sz w:val="24"/>
          <w:szCs w:val="24"/>
        </w:rPr>
        <w:t>Table 4: Diagnostic Test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5"/>
        <w:gridCol w:w="1410"/>
        <w:gridCol w:w="773"/>
        <w:gridCol w:w="3312"/>
      </w:tblGrid>
      <w:tr w:rsidR="0059665B" w:rsidRPr="0059665B" w14:paraId="3784795F" w14:textId="77777777" w:rsidTr="0059665B">
        <w:trPr>
          <w:tblHeader/>
          <w:tblCellSpacing w:w="15" w:type="dxa"/>
        </w:trPr>
        <w:tc>
          <w:tcPr>
            <w:tcW w:w="0" w:type="auto"/>
            <w:tcBorders>
              <w:top w:val="single" w:sz="4" w:space="0" w:color="auto"/>
              <w:bottom w:val="single" w:sz="4" w:space="0" w:color="auto"/>
            </w:tcBorders>
            <w:vAlign w:val="center"/>
            <w:hideMark/>
          </w:tcPr>
          <w:p w14:paraId="4C667CF6"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Test</w:t>
            </w:r>
          </w:p>
        </w:tc>
        <w:tc>
          <w:tcPr>
            <w:tcW w:w="0" w:type="auto"/>
            <w:tcBorders>
              <w:top w:val="single" w:sz="4" w:space="0" w:color="auto"/>
              <w:bottom w:val="single" w:sz="4" w:space="0" w:color="auto"/>
            </w:tcBorders>
            <w:vAlign w:val="center"/>
            <w:hideMark/>
          </w:tcPr>
          <w:p w14:paraId="12D4D711"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Statistic</w:t>
            </w:r>
          </w:p>
        </w:tc>
        <w:tc>
          <w:tcPr>
            <w:tcW w:w="0" w:type="auto"/>
            <w:tcBorders>
              <w:top w:val="single" w:sz="4" w:space="0" w:color="auto"/>
              <w:bottom w:val="single" w:sz="4" w:space="0" w:color="auto"/>
            </w:tcBorders>
            <w:vAlign w:val="center"/>
            <w:hideMark/>
          </w:tcPr>
          <w:p w14:paraId="0A4B57A8"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p-value</w:t>
            </w:r>
          </w:p>
        </w:tc>
        <w:tc>
          <w:tcPr>
            <w:tcW w:w="0" w:type="auto"/>
            <w:tcBorders>
              <w:top w:val="single" w:sz="4" w:space="0" w:color="auto"/>
              <w:bottom w:val="single" w:sz="4" w:space="0" w:color="auto"/>
            </w:tcBorders>
            <w:vAlign w:val="center"/>
            <w:hideMark/>
          </w:tcPr>
          <w:p w14:paraId="076E8F84"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Conclusion</w:t>
            </w:r>
          </w:p>
        </w:tc>
      </w:tr>
      <w:tr w:rsidR="0059665B" w:rsidRPr="0059665B" w14:paraId="396B8B39" w14:textId="77777777" w:rsidTr="0059665B">
        <w:trPr>
          <w:tblCellSpacing w:w="15" w:type="dxa"/>
        </w:trPr>
        <w:tc>
          <w:tcPr>
            <w:tcW w:w="0" w:type="auto"/>
            <w:vAlign w:val="center"/>
            <w:hideMark/>
          </w:tcPr>
          <w:p w14:paraId="7030F0C0"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Breusch–Godfrey LM (Autocorrelation)</w:t>
            </w:r>
          </w:p>
        </w:tc>
        <w:tc>
          <w:tcPr>
            <w:tcW w:w="0" w:type="auto"/>
            <w:vAlign w:val="center"/>
            <w:hideMark/>
          </w:tcPr>
          <w:p w14:paraId="2090DB48"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χ²(1) = 0.996</w:t>
            </w:r>
          </w:p>
        </w:tc>
        <w:tc>
          <w:tcPr>
            <w:tcW w:w="0" w:type="auto"/>
            <w:vAlign w:val="center"/>
            <w:hideMark/>
          </w:tcPr>
          <w:p w14:paraId="7039116D"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0.318</w:t>
            </w:r>
          </w:p>
        </w:tc>
        <w:tc>
          <w:tcPr>
            <w:tcW w:w="0" w:type="auto"/>
            <w:vAlign w:val="center"/>
            <w:hideMark/>
          </w:tcPr>
          <w:p w14:paraId="585E6C3F"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No serial correlation</w:t>
            </w:r>
          </w:p>
        </w:tc>
      </w:tr>
      <w:tr w:rsidR="0059665B" w:rsidRPr="0059665B" w14:paraId="2F825F7A" w14:textId="77777777" w:rsidTr="0059665B">
        <w:trPr>
          <w:tblCellSpacing w:w="15" w:type="dxa"/>
        </w:trPr>
        <w:tc>
          <w:tcPr>
            <w:tcW w:w="0" w:type="auto"/>
            <w:vAlign w:val="center"/>
            <w:hideMark/>
          </w:tcPr>
          <w:p w14:paraId="6DC8D77B"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White’s test (Heteroscedasticity)</w:t>
            </w:r>
          </w:p>
        </w:tc>
        <w:tc>
          <w:tcPr>
            <w:tcW w:w="0" w:type="auto"/>
            <w:vAlign w:val="center"/>
            <w:hideMark/>
          </w:tcPr>
          <w:p w14:paraId="4CFF785A"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χ²(48) = 49.00</w:t>
            </w:r>
          </w:p>
        </w:tc>
        <w:tc>
          <w:tcPr>
            <w:tcW w:w="0" w:type="auto"/>
            <w:vAlign w:val="center"/>
            <w:hideMark/>
          </w:tcPr>
          <w:p w14:paraId="7FB8F978"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0.433</w:t>
            </w:r>
          </w:p>
        </w:tc>
        <w:tc>
          <w:tcPr>
            <w:tcW w:w="0" w:type="auto"/>
            <w:vAlign w:val="center"/>
            <w:hideMark/>
          </w:tcPr>
          <w:p w14:paraId="76477C8F"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Homoscedasticity</w:t>
            </w:r>
          </w:p>
        </w:tc>
      </w:tr>
      <w:tr w:rsidR="0059665B" w:rsidRPr="0059665B" w14:paraId="70C97BC9" w14:textId="77777777" w:rsidTr="0059665B">
        <w:trPr>
          <w:tblCellSpacing w:w="15" w:type="dxa"/>
        </w:trPr>
        <w:tc>
          <w:tcPr>
            <w:tcW w:w="0" w:type="auto"/>
            <w:vAlign w:val="center"/>
            <w:hideMark/>
          </w:tcPr>
          <w:p w14:paraId="3795A9F5"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proofErr w:type="spellStart"/>
            <w:r w:rsidRPr="0059665B">
              <w:rPr>
                <w:rFonts w:ascii="Times New Roman" w:eastAsia="Times New Roman" w:hAnsi="Times New Roman" w:cs="Times New Roman"/>
                <w:sz w:val="24"/>
                <w:szCs w:val="24"/>
              </w:rPr>
              <w:lastRenderedPageBreak/>
              <w:t>Jarque</w:t>
            </w:r>
            <w:proofErr w:type="spellEnd"/>
            <w:r w:rsidRPr="0059665B">
              <w:rPr>
                <w:rFonts w:ascii="Times New Roman" w:eastAsia="Times New Roman" w:hAnsi="Times New Roman" w:cs="Times New Roman"/>
                <w:sz w:val="24"/>
                <w:szCs w:val="24"/>
              </w:rPr>
              <w:t>–</w:t>
            </w:r>
            <w:proofErr w:type="spellStart"/>
            <w:r w:rsidRPr="0059665B">
              <w:rPr>
                <w:rFonts w:ascii="Times New Roman" w:eastAsia="Times New Roman" w:hAnsi="Times New Roman" w:cs="Times New Roman"/>
                <w:sz w:val="24"/>
                <w:szCs w:val="24"/>
              </w:rPr>
              <w:t>Bera</w:t>
            </w:r>
            <w:proofErr w:type="spellEnd"/>
            <w:r w:rsidRPr="0059665B">
              <w:rPr>
                <w:rFonts w:ascii="Times New Roman" w:eastAsia="Times New Roman" w:hAnsi="Times New Roman" w:cs="Times New Roman"/>
                <w:sz w:val="24"/>
                <w:szCs w:val="24"/>
              </w:rPr>
              <w:t xml:space="preserve"> (Normality)</w:t>
            </w:r>
          </w:p>
        </w:tc>
        <w:tc>
          <w:tcPr>
            <w:tcW w:w="0" w:type="auto"/>
            <w:vAlign w:val="center"/>
            <w:hideMark/>
          </w:tcPr>
          <w:p w14:paraId="03A5DF4B"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JB = 1.273</w:t>
            </w:r>
          </w:p>
        </w:tc>
        <w:tc>
          <w:tcPr>
            <w:tcW w:w="0" w:type="auto"/>
            <w:vAlign w:val="center"/>
            <w:hideMark/>
          </w:tcPr>
          <w:p w14:paraId="0D73F812"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0.529</w:t>
            </w:r>
          </w:p>
        </w:tc>
        <w:tc>
          <w:tcPr>
            <w:tcW w:w="0" w:type="auto"/>
            <w:vAlign w:val="center"/>
            <w:hideMark/>
          </w:tcPr>
          <w:p w14:paraId="35008A61"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Residuals are normally distributed</w:t>
            </w:r>
          </w:p>
        </w:tc>
      </w:tr>
      <w:tr w:rsidR="0059665B" w:rsidRPr="0059665B" w14:paraId="30985A4A" w14:textId="77777777" w:rsidTr="0059665B">
        <w:trPr>
          <w:tblCellSpacing w:w="15" w:type="dxa"/>
        </w:trPr>
        <w:tc>
          <w:tcPr>
            <w:tcW w:w="0" w:type="auto"/>
            <w:tcBorders>
              <w:bottom w:val="single" w:sz="4" w:space="0" w:color="auto"/>
            </w:tcBorders>
            <w:vAlign w:val="center"/>
            <w:hideMark/>
          </w:tcPr>
          <w:p w14:paraId="7C9EB1F8"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Mean VIF (Multicollinearity)</w:t>
            </w:r>
          </w:p>
        </w:tc>
        <w:tc>
          <w:tcPr>
            <w:tcW w:w="0" w:type="auto"/>
            <w:tcBorders>
              <w:bottom w:val="single" w:sz="4" w:space="0" w:color="auto"/>
            </w:tcBorders>
            <w:vAlign w:val="center"/>
            <w:hideMark/>
          </w:tcPr>
          <w:p w14:paraId="6F1E8348"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1.99</w:t>
            </w:r>
          </w:p>
        </w:tc>
        <w:tc>
          <w:tcPr>
            <w:tcW w:w="0" w:type="auto"/>
            <w:tcBorders>
              <w:bottom w:val="single" w:sz="4" w:space="0" w:color="auto"/>
            </w:tcBorders>
            <w:vAlign w:val="center"/>
            <w:hideMark/>
          </w:tcPr>
          <w:p w14:paraId="009F5BAB"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w:t>
            </w:r>
          </w:p>
        </w:tc>
        <w:tc>
          <w:tcPr>
            <w:tcW w:w="0" w:type="auto"/>
            <w:tcBorders>
              <w:bottom w:val="single" w:sz="4" w:space="0" w:color="auto"/>
            </w:tcBorders>
            <w:vAlign w:val="center"/>
            <w:hideMark/>
          </w:tcPr>
          <w:p w14:paraId="7C8C61FE" w14:textId="77777777" w:rsidR="0059665B" w:rsidRPr="0059665B" w:rsidRDefault="0059665B" w:rsidP="00911184">
            <w:pPr>
              <w:spacing w:after="0"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sz w:val="24"/>
                <w:szCs w:val="24"/>
              </w:rPr>
              <w:t>No multicollinearity</w:t>
            </w:r>
          </w:p>
        </w:tc>
      </w:tr>
    </w:tbl>
    <w:p w14:paraId="5FCCA86A" w14:textId="4965DB0D" w:rsidR="0059665B" w:rsidRDefault="0059665B" w:rsidP="00911184">
      <w:pPr>
        <w:spacing w:before="100" w:beforeAutospacing="1" w:after="100" w:afterAutospacing="1" w:line="240" w:lineRule="auto"/>
        <w:contextualSpacing/>
        <w:jc w:val="both"/>
        <w:rPr>
          <w:rFonts w:ascii="Times New Roman" w:eastAsia="Times New Roman" w:hAnsi="Times New Roman" w:cs="Times New Roman"/>
          <w:sz w:val="24"/>
          <w:szCs w:val="24"/>
        </w:rPr>
      </w:pPr>
      <w:r w:rsidRPr="0059665B">
        <w:rPr>
          <w:rFonts w:ascii="Times New Roman" w:eastAsia="Times New Roman" w:hAnsi="Times New Roman" w:cs="Times New Roman"/>
          <w:i/>
          <w:iCs/>
          <w:sz w:val="24"/>
          <w:szCs w:val="24"/>
        </w:rPr>
        <w:t>Note.</w:t>
      </w:r>
      <w:r w:rsidRPr="0059665B">
        <w:rPr>
          <w:rFonts w:ascii="Times New Roman" w:eastAsia="Times New Roman" w:hAnsi="Times New Roman" w:cs="Times New Roman"/>
          <w:sz w:val="24"/>
          <w:szCs w:val="24"/>
        </w:rPr>
        <w:t xml:space="preserve"> χ² = Chi-square statistic; JB = </w:t>
      </w:r>
      <w:proofErr w:type="spellStart"/>
      <w:r w:rsidRPr="0059665B">
        <w:rPr>
          <w:rFonts w:ascii="Times New Roman" w:eastAsia="Times New Roman" w:hAnsi="Times New Roman" w:cs="Times New Roman"/>
          <w:sz w:val="24"/>
          <w:szCs w:val="24"/>
        </w:rPr>
        <w:t>Jarque</w:t>
      </w:r>
      <w:proofErr w:type="spellEnd"/>
      <w:r w:rsidRPr="0059665B">
        <w:rPr>
          <w:rFonts w:ascii="Times New Roman" w:eastAsia="Times New Roman" w:hAnsi="Times New Roman" w:cs="Times New Roman"/>
          <w:sz w:val="24"/>
          <w:szCs w:val="24"/>
        </w:rPr>
        <w:t>–</w:t>
      </w:r>
      <w:proofErr w:type="spellStart"/>
      <w:r w:rsidRPr="0059665B">
        <w:rPr>
          <w:rFonts w:ascii="Times New Roman" w:eastAsia="Times New Roman" w:hAnsi="Times New Roman" w:cs="Times New Roman"/>
          <w:sz w:val="24"/>
          <w:szCs w:val="24"/>
        </w:rPr>
        <w:t>Bera</w:t>
      </w:r>
      <w:proofErr w:type="spellEnd"/>
      <w:r w:rsidRPr="0059665B">
        <w:rPr>
          <w:rFonts w:ascii="Times New Roman" w:eastAsia="Times New Roman" w:hAnsi="Times New Roman" w:cs="Times New Roman"/>
          <w:sz w:val="24"/>
          <w:szCs w:val="24"/>
        </w:rPr>
        <w:t xml:space="preserve"> statistic; VIF = Variance Inflation Factor. All diagnostic tests indicate that the classical linear regression assumptions are satisfied. CUSUM and CUSUMSQ stability tests (see Appendix A) confirm parameter stability within the 5% critical bounds.</w:t>
      </w:r>
    </w:p>
    <w:p w14:paraId="6050F773" w14:textId="77777777" w:rsidR="003327C7" w:rsidRDefault="003327C7" w:rsidP="00911184">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4395C891" w14:textId="77777777" w:rsidR="00B32942" w:rsidRPr="00B32942" w:rsidRDefault="00B32942" w:rsidP="00911184">
      <w:pPr>
        <w:jc w:val="both"/>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Table 4 shows that classical assumptions are all satisfied. The Breusch–Godfrey LM test shows no serial correlation (χ</w:t>
      </w:r>
      <w:proofErr w:type="gramStart"/>
      <w:r w:rsidRPr="00B32942">
        <w:rPr>
          <w:rFonts w:ascii="Times New Roman" w:eastAsia="Times New Roman" w:hAnsi="Times New Roman" w:cs="Times New Roman"/>
          <w:sz w:val="24"/>
          <w:szCs w:val="24"/>
        </w:rPr>
        <w:t>²(</w:t>
      </w:r>
      <w:proofErr w:type="gramEnd"/>
      <w:r w:rsidRPr="00B32942">
        <w:rPr>
          <w:rFonts w:ascii="Times New Roman" w:eastAsia="Times New Roman" w:hAnsi="Times New Roman" w:cs="Times New Roman"/>
          <w:sz w:val="24"/>
          <w:szCs w:val="24"/>
        </w:rPr>
        <w:t xml:space="preserve">1) = 0.996, p = 0.318), while White’s test confirms homoscedasticity (χ²(48) = 49.00, p = 0.433). The </w:t>
      </w:r>
      <w:proofErr w:type="spellStart"/>
      <w:r w:rsidRPr="00B32942">
        <w:rPr>
          <w:rFonts w:ascii="Times New Roman" w:eastAsia="Times New Roman" w:hAnsi="Times New Roman" w:cs="Times New Roman"/>
          <w:sz w:val="24"/>
          <w:szCs w:val="24"/>
        </w:rPr>
        <w:t>Jarque</w:t>
      </w:r>
      <w:proofErr w:type="spellEnd"/>
      <w:r w:rsidRPr="00B32942">
        <w:rPr>
          <w:rFonts w:ascii="Times New Roman" w:eastAsia="Times New Roman" w:hAnsi="Times New Roman" w:cs="Times New Roman"/>
          <w:sz w:val="24"/>
          <w:szCs w:val="24"/>
        </w:rPr>
        <w:t xml:space="preserve"> </w:t>
      </w:r>
      <w:proofErr w:type="spellStart"/>
      <w:r w:rsidRPr="00B32942">
        <w:rPr>
          <w:rFonts w:ascii="Times New Roman" w:eastAsia="Times New Roman" w:hAnsi="Times New Roman" w:cs="Times New Roman"/>
          <w:sz w:val="24"/>
          <w:szCs w:val="24"/>
        </w:rPr>
        <w:t>Bera</w:t>
      </w:r>
      <w:proofErr w:type="spellEnd"/>
      <w:r w:rsidRPr="00B32942">
        <w:rPr>
          <w:rFonts w:ascii="Times New Roman" w:eastAsia="Times New Roman" w:hAnsi="Times New Roman" w:cs="Times New Roman"/>
          <w:sz w:val="24"/>
          <w:szCs w:val="24"/>
        </w:rPr>
        <w:t xml:space="preserve"> test is used to show that the residuals are normally distributed (JB = 1.273, p = 0.529), and the mean VIF equals 1.99, and there is no multicollinearity issue. The results meet the diagnostic criteria of Brooks (2019). Moreover, </w:t>
      </w:r>
      <w:proofErr w:type="spellStart"/>
      <w:r w:rsidRPr="00B32942">
        <w:rPr>
          <w:rFonts w:ascii="Times New Roman" w:eastAsia="Times New Roman" w:hAnsi="Times New Roman" w:cs="Times New Roman"/>
          <w:sz w:val="24"/>
          <w:szCs w:val="24"/>
        </w:rPr>
        <w:t>Zeileis</w:t>
      </w:r>
      <w:proofErr w:type="spellEnd"/>
      <w:r w:rsidRPr="00B32942">
        <w:rPr>
          <w:rFonts w:ascii="Times New Roman" w:eastAsia="Times New Roman" w:hAnsi="Times New Roman" w:cs="Times New Roman"/>
          <w:sz w:val="24"/>
          <w:szCs w:val="24"/>
        </w:rPr>
        <w:t xml:space="preserve"> and </w:t>
      </w:r>
      <w:proofErr w:type="spellStart"/>
      <w:r w:rsidRPr="00B32942">
        <w:rPr>
          <w:rFonts w:ascii="Times New Roman" w:eastAsia="Times New Roman" w:hAnsi="Times New Roman" w:cs="Times New Roman"/>
          <w:sz w:val="24"/>
          <w:szCs w:val="24"/>
        </w:rPr>
        <w:t>Hothorn</w:t>
      </w:r>
      <w:proofErr w:type="spellEnd"/>
      <w:r w:rsidRPr="00B32942">
        <w:rPr>
          <w:rFonts w:ascii="Times New Roman" w:eastAsia="Times New Roman" w:hAnsi="Times New Roman" w:cs="Times New Roman"/>
          <w:sz w:val="24"/>
          <w:szCs w:val="24"/>
        </w:rPr>
        <w:t xml:space="preserve"> (2015) note that these tests guarantee the reliability of a model and valid inference. Moreover, the CUSUM and CUSUMSQ plots are within a 5% range, which proves that the parameters are stable during the sample period.</w:t>
      </w:r>
    </w:p>
    <w:p w14:paraId="643C45A7" w14:textId="77777777" w:rsidR="00B32942" w:rsidRPr="00B32942" w:rsidRDefault="00B32942" w:rsidP="00911184">
      <w:pPr>
        <w:jc w:val="both"/>
        <w:rPr>
          <w:rFonts w:ascii="Times New Roman" w:eastAsia="Times New Roman" w:hAnsi="Times New Roman" w:cs="Times New Roman"/>
          <w:b/>
          <w:bCs/>
          <w:sz w:val="24"/>
          <w:szCs w:val="24"/>
        </w:rPr>
      </w:pPr>
      <w:r w:rsidRPr="00B32942">
        <w:rPr>
          <w:rFonts w:ascii="Times New Roman" w:eastAsia="Times New Roman" w:hAnsi="Times New Roman" w:cs="Times New Roman"/>
          <w:b/>
          <w:bCs/>
          <w:sz w:val="24"/>
          <w:szCs w:val="24"/>
        </w:rPr>
        <w:t>5.6 Short Run and Long Run Estimates.</w:t>
      </w:r>
    </w:p>
    <w:p w14:paraId="68F57F13" w14:textId="774915D8" w:rsidR="003327C7" w:rsidRPr="003327C7" w:rsidRDefault="00B32942" w:rsidP="00911184">
      <w:pPr>
        <w:jc w:val="both"/>
        <w:rPr>
          <w:rFonts w:ascii="Times New Roman" w:hAnsi="Times New Roman" w:cs="Times New Roman"/>
          <w:sz w:val="24"/>
          <w:szCs w:val="24"/>
        </w:rPr>
      </w:pPr>
      <w:r w:rsidRPr="00B32942">
        <w:rPr>
          <w:rFonts w:ascii="Times New Roman" w:eastAsia="Times New Roman" w:hAnsi="Times New Roman" w:cs="Times New Roman"/>
          <w:sz w:val="24"/>
          <w:szCs w:val="24"/>
        </w:rPr>
        <w:t>The results of the ARDL estimation, i.e., both long-run and short-run coefficients of every explanatory variable, are provided in Table 5. The normalized cointegrating relationship is used to obtain the long-run coefficients, and the dynamics of the model are represented using first-differenced variables. The error correction term (ECT) represents how fast the long-run equilibrium is restored to when deviations take place. The table contains estimated coefficients, standard errors, t-statistics, and p-values, where an asterisk indicates statistical significance at 1, 5, and 10 percent. The adjusted R squared and the number of observations used in the estimation are also reported. These findings underpin the interpretation of the effects of education spending levels (differentiated by level of education) in Kenya</w:t>
      </w:r>
      <w:r w:rsidR="003327C7" w:rsidRPr="003327C7">
        <w:rPr>
          <w:rFonts w:ascii="Times New Roman" w:hAnsi="Times New Roman" w:cs="Times New Roman"/>
          <w:sz w:val="24"/>
          <w:szCs w:val="24"/>
        </w:rPr>
        <w:t>.</w:t>
      </w:r>
    </w:p>
    <w:p w14:paraId="03141C05" w14:textId="77777777" w:rsidR="00C70795" w:rsidRPr="003327C7" w:rsidRDefault="00C70795" w:rsidP="00911184">
      <w:pPr>
        <w:spacing w:line="240" w:lineRule="auto"/>
        <w:contextualSpacing/>
        <w:jc w:val="both"/>
        <w:rPr>
          <w:rFonts w:ascii="Times New Roman" w:hAnsi="Times New Roman" w:cs="Times New Roman"/>
          <w:sz w:val="24"/>
          <w:szCs w:val="24"/>
        </w:rPr>
      </w:pPr>
      <w:r w:rsidRPr="003327C7">
        <w:rPr>
          <w:rFonts w:ascii="Times New Roman" w:hAnsi="Times New Roman" w:cs="Times New Roman"/>
          <w:sz w:val="24"/>
          <w:szCs w:val="24"/>
        </w:rPr>
        <w:t>Table 5: Long</w:t>
      </w:r>
      <w:r w:rsidRPr="003327C7">
        <w:rPr>
          <w:rFonts w:ascii="Times New Roman" w:hAnsi="Times New Roman" w:cs="Times New Roman"/>
          <w:sz w:val="24"/>
          <w:szCs w:val="24"/>
        </w:rPr>
        <w:noBreakHyphen/>
        <w:t>Run and Short</w:t>
      </w:r>
      <w:r w:rsidRPr="003327C7">
        <w:rPr>
          <w:rFonts w:ascii="Times New Roman" w:hAnsi="Times New Roman" w:cs="Times New Roman"/>
          <w:sz w:val="24"/>
          <w:szCs w:val="24"/>
        </w:rPr>
        <w:noBreakHyphen/>
        <w:t>Run Estimation Results</w:t>
      </w:r>
    </w:p>
    <w:tbl>
      <w:tblPr>
        <w:tblW w:w="0" w:type="auto"/>
        <w:tblLook w:val="04A0" w:firstRow="1" w:lastRow="0" w:firstColumn="1" w:lastColumn="0" w:noHBand="0" w:noVBand="1"/>
      </w:tblPr>
      <w:tblGrid>
        <w:gridCol w:w="1076"/>
        <w:gridCol w:w="1574"/>
        <w:gridCol w:w="2538"/>
        <w:gridCol w:w="791"/>
        <w:gridCol w:w="980"/>
        <w:gridCol w:w="1159"/>
      </w:tblGrid>
      <w:tr w:rsidR="009F7872" w:rsidRPr="009F7872" w14:paraId="4681B9A2" w14:textId="77777777" w:rsidTr="00CB1D7B">
        <w:trPr>
          <w:trHeight w:val="288"/>
        </w:trPr>
        <w:tc>
          <w:tcPr>
            <w:tcW w:w="0" w:type="auto"/>
            <w:tcBorders>
              <w:top w:val="single" w:sz="4" w:space="0" w:color="auto"/>
              <w:left w:val="nil"/>
              <w:bottom w:val="single" w:sz="10" w:space="0" w:color="auto"/>
              <w:right w:val="nil"/>
            </w:tcBorders>
          </w:tcPr>
          <w:p w14:paraId="12FD323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single" w:sz="4" w:space="0" w:color="auto"/>
              <w:left w:val="nil"/>
              <w:bottom w:val="single" w:sz="10" w:space="0" w:color="auto"/>
              <w:right w:val="nil"/>
            </w:tcBorders>
          </w:tcPr>
          <w:p w14:paraId="167D351D"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D.Y</w:t>
            </w:r>
          </w:p>
        </w:tc>
        <w:tc>
          <w:tcPr>
            <w:tcW w:w="0" w:type="auto"/>
            <w:tcBorders>
              <w:top w:val="single" w:sz="4" w:space="0" w:color="auto"/>
              <w:left w:val="nil"/>
              <w:bottom w:val="single" w:sz="10" w:space="0" w:color="auto"/>
              <w:right w:val="nil"/>
            </w:tcBorders>
          </w:tcPr>
          <w:p w14:paraId="5C6B630A" w14:textId="57CB3E4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roofErr w:type="gramStart"/>
            <w:r w:rsidRPr="009F7872">
              <w:rPr>
                <w:rFonts w:ascii="Times New Roman" w:hAnsi="Times New Roman" w:cs="Times New Roman"/>
                <w:sz w:val="24"/>
                <w:szCs w:val="24"/>
                <w14:ligatures w14:val="standardContextual"/>
              </w:rPr>
              <w:t>Coef.</w:t>
            </w:r>
            <w:r w:rsidR="00C0467A">
              <w:rPr>
                <w:rFonts w:ascii="Times New Roman" w:hAnsi="Times New Roman" w:cs="Times New Roman"/>
                <w:sz w:val="24"/>
                <w:szCs w:val="24"/>
                <w14:ligatures w14:val="standardContextual"/>
              </w:rPr>
              <w:t>(</w:t>
            </w:r>
            <w:proofErr w:type="gramEnd"/>
            <w:r w:rsidR="00C0467A" w:rsidRPr="00814B6E">
              <w:rPr>
                <w:rFonts w:ascii="Times New Roman" w:hAnsi="Times New Roman" w:cs="Times New Roman"/>
                <w:sz w:val="24"/>
                <w:szCs w:val="24"/>
              </w:rPr>
              <w:t>β</w:t>
            </w:r>
            <w:r w:rsidR="00C0467A">
              <w:rPr>
                <w:rFonts w:ascii="Times New Roman" w:hAnsi="Times New Roman" w:cs="Times New Roman"/>
                <w:sz w:val="24"/>
                <w:szCs w:val="24"/>
              </w:rPr>
              <w:t>)</w:t>
            </w:r>
          </w:p>
        </w:tc>
        <w:tc>
          <w:tcPr>
            <w:tcW w:w="791" w:type="dxa"/>
            <w:tcBorders>
              <w:top w:val="single" w:sz="4" w:space="0" w:color="auto"/>
              <w:left w:val="nil"/>
              <w:bottom w:val="single" w:sz="10" w:space="0" w:color="auto"/>
              <w:right w:val="nil"/>
            </w:tcBorders>
          </w:tcPr>
          <w:p w14:paraId="1EC357B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Std. Err.</w:t>
            </w:r>
          </w:p>
        </w:tc>
        <w:tc>
          <w:tcPr>
            <w:tcW w:w="980" w:type="dxa"/>
            <w:tcBorders>
              <w:top w:val="single" w:sz="4" w:space="0" w:color="auto"/>
              <w:left w:val="nil"/>
              <w:bottom w:val="single" w:sz="10" w:space="0" w:color="auto"/>
              <w:right w:val="nil"/>
            </w:tcBorders>
          </w:tcPr>
          <w:p w14:paraId="4709D71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t</w:t>
            </w:r>
          </w:p>
        </w:tc>
        <w:tc>
          <w:tcPr>
            <w:tcW w:w="0" w:type="auto"/>
            <w:tcBorders>
              <w:top w:val="single" w:sz="4" w:space="0" w:color="auto"/>
              <w:left w:val="nil"/>
              <w:bottom w:val="single" w:sz="10" w:space="0" w:color="auto"/>
              <w:right w:val="nil"/>
            </w:tcBorders>
          </w:tcPr>
          <w:p w14:paraId="5F8D304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P&gt;t</w:t>
            </w:r>
          </w:p>
        </w:tc>
      </w:tr>
      <w:tr w:rsidR="009F7872" w:rsidRPr="009F7872" w14:paraId="080FB86F" w14:textId="77777777" w:rsidTr="00CB1D7B">
        <w:trPr>
          <w:trHeight w:val="288"/>
        </w:trPr>
        <w:tc>
          <w:tcPr>
            <w:tcW w:w="0" w:type="auto"/>
            <w:tcBorders>
              <w:top w:val="nil"/>
              <w:left w:val="nil"/>
              <w:bottom w:val="nil"/>
              <w:right w:val="nil"/>
            </w:tcBorders>
          </w:tcPr>
          <w:p w14:paraId="79BB4B4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ADJ. Y</w:t>
            </w:r>
          </w:p>
        </w:tc>
        <w:tc>
          <w:tcPr>
            <w:tcW w:w="0" w:type="auto"/>
            <w:tcBorders>
              <w:top w:val="nil"/>
              <w:left w:val="nil"/>
              <w:bottom w:val="nil"/>
              <w:right w:val="nil"/>
            </w:tcBorders>
          </w:tcPr>
          <w:p w14:paraId="2143AAF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L1.</w:t>
            </w:r>
          </w:p>
        </w:tc>
        <w:tc>
          <w:tcPr>
            <w:tcW w:w="0" w:type="auto"/>
            <w:tcBorders>
              <w:top w:val="nil"/>
              <w:left w:val="nil"/>
              <w:bottom w:val="nil"/>
              <w:right w:val="nil"/>
            </w:tcBorders>
          </w:tcPr>
          <w:p w14:paraId="3C02031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-1.074</w:t>
            </w:r>
          </w:p>
        </w:tc>
        <w:tc>
          <w:tcPr>
            <w:tcW w:w="0" w:type="auto"/>
            <w:tcBorders>
              <w:top w:val="nil"/>
              <w:left w:val="nil"/>
              <w:bottom w:val="nil"/>
              <w:right w:val="nil"/>
            </w:tcBorders>
          </w:tcPr>
          <w:p w14:paraId="343E83B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0.209</w:t>
            </w:r>
          </w:p>
        </w:tc>
        <w:tc>
          <w:tcPr>
            <w:tcW w:w="0" w:type="auto"/>
            <w:tcBorders>
              <w:top w:val="nil"/>
              <w:left w:val="nil"/>
              <w:bottom w:val="nil"/>
              <w:right w:val="nil"/>
            </w:tcBorders>
          </w:tcPr>
          <w:p w14:paraId="5D50F4CD"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-5.130</w:t>
            </w:r>
          </w:p>
        </w:tc>
        <w:tc>
          <w:tcPr>
            <w:tcW w:w="0" w:type="auto"/>
            <w:tcBorders>
              <w:top w:val="nil"/>
              <w:left w:val="nil"/>
              <w:bottom w:val="nil"/>
              <w:right w:val="nil"/>
            </w:tcBorders>
          </w:tcPr>
          <w:p w14:paraId="05CC421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0.000*</w:t>
            </w:r>
          </w:p>
        </w:tc>
      </w:tr>
      <w:tr w:rsidR="009F7872" w:rsidRPr="009F7872" w14:paraId="64155AFE" w14:textId="77777777" w:rsidTr="00CB1D7B">
        <w:trPr>
          <w:trHeight w:val="288"/>
        </w:trPr>
        <w:tc>
          <w:tcPr>
            <w:tcW w:w="0" w:type="auto"/>
            <w:tcBorders>
              <w:top w:val="nil"/>
              <w:left w:val="nil"/>
              <w:bottom w:val="nil"/>
              <w:right w:val="nil"/>
            </w:tcBorders>
          </w:tcPr>
          <w:p w14:paraId="5E23328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0755FB00"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088AEAF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5464056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1C2F2E4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59105EE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r>
      <w:tr w:rsidR="009F7872" w:rsidRPr="009F7872" w14:paraId="6ED621D5" w14:textId="77777777" w:rsidTr="00CB1D7B">
        <w:trPr>
          <w:trHeight w:val="288"/>
        </w:trPr>
        <w:tc>
          <w:tcPr>
            <w:tcW w:w="0" w:type="auto"/>
            <w:tcBorders>
              <w:top w:val="nil"/>
              <w:left w:val="nil"/>
              <w:bottom w:val="nil"/>
              <w:right w:val="nil"/>
            </w:tcBorders>
          </w:tcPr>
          <w:p w14:paraId="2250C06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LR</w:t>
            </w:r>
          </w:p>
        </w:tc>
        <w:tc>
          <w:tcPr>
            <w:tcW w:w="0" w:type="auto"/>
            <w:tcBorders>
              <w:top w:val="nil"/>
              <w:left w:val="nil"/>
              <w:bottom w:val="nil"/>
              <w:right w:val="nil"/>
            </w:tcBorders>
          </w:tcPr>
          <w:p w14:paraId="0EF1179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P</w:t>
            </w:r>
          </w:p>
        </w:tc>
        <w:tc>
          <w:tcPr>
            <w:tcW w:w="0" w:type="auto"/>
            <w:tcBorders>
              <w:top w:val="nil"/>
              <w:left w:val="nil"/>
              <w:bottom w:val="nil"/>
              <w:right w:val="nil"/>
            </w:tcBorders>
          </w:tcPr>
          <w:p w14:paraId="5223BBB9"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4.377</w:t>
            </w:r>
          </w:p>
        </w:tc>
        <w:tc>
          <w:tcPr>
            <w:tcW w:w="0" w:type="auto"/>
            <w:tcBorders>
              <w:top w:val="nil"/>
              <w:left w:val="nil"/>
              <w:bottom w:val="nil"/>
              <w:right w:val="nil"/>
            </w:tcBorders>
          </w:tcPr>
          <w:p w14:paraId="3FE5924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1.285</w:t>
            </w:r>
          </w:p>
        </w:tc>
        <w:tc>
          <w:tcPr>
            <w:tcW w:w="0" w:type="auto"/>
            <w:tcBorders>
              <w:top w:val="nil"/>
              <w:left w:val="nil"/>
              <w:bottom w:val="nil"/>
              <w:right w:val="nil"/>
            </w:tcBorders>
          </w:tcPr>
          <w:p w14:paraId="652A9BF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3.410</w:t>
            </w:r>
          </w:p>
        </w:tc>
        <w:tc>
          <w:tcPr>
            <w:tcW w:w="0" w:type="auto"/>
            <w:tcBorders>
              <w:top w:val="nil"/>
              <w:left w:val="nil"/>
              <w:bottom w:val="nil"/>
              <w:right w:val="nil"/>
            </w:tcBorders>
          </w:tcPr>
          <w:p w14:paraId="2EAE469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0.002*</w:t>
            </w:r>
          </w:p>
        </w:tc>
      </w:tr>
      <w:tr w:rsidR="009F7872" w:rsidRPr="009F7872" w14:paraId="71DD7817" w14:textId="77777777" w:rsidTr="00CB1D7B">
        <w:trPr>
          <w:trHeight w:val="288"/>
        </w:trPr>
        <w:tc>
          <w:tcPr>
            <w:tcW w:w="0" w:type="auto"/>
            <w:tcBorders>
              <w:top w:val="nil"/>
              <w:left w:val="nil"/>
              <w:bottom w:val="nil"/>
              <w:right w:val="nil"/>
            </w:tcBorders>
          </w:tcPr>
          <w:p w14:paraId="27DCDD9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5F2CE0C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S</w:t>
            </w:r>
          </w:p>
        </w:tc>
        <w:tc>
          <w:tcPr>
            <w:tcW w:w="0" w:type="auto"/>
            <w:tcBorders>
              <w:top w:val="nil"/>
              <w:left w:val="nil"/>
              <w:bottom w:val="nil"/>
              <w:right w:val="nil"/>
            </w:tcBorders>
          </w:tcPr>
          <w:p w14:paraId="57B95CE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-2.735</w:t>
            </w:r>
          </w:p>
        </w:tc>
        <w:tc>
          <w:tcPr>
            <w:tcW w:w="0" w:type="auto"/>
            <w:tcBorders>
              <w:top w:val="nil"/>
              <w:left w:val="nil"/>
              <w:bottom w:val="nil"/>
              <w:right w:val="nil"/>
            </w:tcBorders>
          </w:tcPr>
          <w:p w14:paraId="7D2F20B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1.582</w:t>
            </w:r>
          </w:p>
        </w:tc>
        <w:tc>
          <w:tcPr>
            <w:tcW w:w="0" w:type="auto"/>
            <w:tcBorders>
              <w:top w:val="nil"/>
              <w:left w:val="nil"/>
              <w:bottom w:val="nil"/>
              <w:right w:val="nil"/>
            </w:tcBorders>
          </w:tcPr>
          <w:p w14:paraId="1406781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-1.730</w:t>
            </w:r>
          </w:p>
        </w:tc>
        <w:tc>
          <w:tcPr>
            <w:tcW w:w="0" w:type="auto"/>
            <w:tcBorders>
              <w:top w:val="nil"/>
              <w:left w:val="nil"/>
              <w:bottom w:val="nil"/>
              <w:right w:val="nil"/>
            </w:tcBorders>
          </w:tcPr>
          <w:p w14:paraId="573A47B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0.097***</w:t>
            </w:r>
          </w:p>
        </w:tc>
      </w:tr>
      <w:tr w:rsidR="009F7872" w:rsidRPr="009F7872" w14:paraId="2FB38E09" w14:textId="77777777" w:rsidTr="00CB1D7B">
        <w:trPr>
          <w:trHeight w:val="288"/>
        </w:trPr>
        <w:tc>
          <w:tcPr>
            <w:tcW w:w="0" w:type="auto"/>
            <w:tcBorders>
              <w:top w:val="nil"/>
              <w:left w:val="nil"/>
              <w:bottom w:val="nil"/>
              <w:right w:val="nil"/>
            </w:tcBorders>
          </w:tcPr>
          <w:p w14:paraId="5854F0E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4DABCDED"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T</w:t>
            </w:r>
          </w:p>
        </w:tc>
        <w:tc>
          <w:tcPr>
            <w:tcW w:w="0" w:type="auto"/>
            <w:tcBorders>
              <w:top w:val="nil"/>
              <w:left w:val="nil"/>
              <w:bottom w:val="nil"/>
              <w:right w:val="nil"/>
            </w:tcBorders>
          </w:tcPr>
          <w:p w14:paraId="5307D36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-5.093</w:t>
            </w:r>
          </w:p>
        </w:tc>
        <w:tc>
          <w:tcPr>
            <w:tcW w:w="0" w:type="auto"/>
            <w:tcBorders>
              <w:top w:val="nil"/>
              <w:left w:val="nil"/>
              <w:bottom w:val="nil"/>
              <w:right w:val="nil"/>
            </w:tcBorders>
          </w:tcPr>
          <w:p w14:paraId="6E466CE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3.834</w:t>
            </w:r>
          </w:p>
        </w:tc>
        <w:tc>
          <w:tcPr>
            <w:tcW w:w="0" w:type="auto"/>
            <w:tcBorders>
              <w:top w:val="nil"/>
              <w:left w:val="nil"/>
              <w:bottom w:val="nil"/>
              <w:right w:val="nil"/>
            </w:tcBorders>
          </w:tcPr>
          <w:p w14:paraId="1ECE0E7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-1.330</w:t>
            </w:r>
          </w:p>
        </w:tc>
        <w:tc>
          <w:tcPr>
            <w:tcW w:w="0" w:type="auto"/>
            <w:tcBorders>
              <w:top w:val="nil"/>
              <w:left w:val="nil"/>
              <w:bottom w:val="nil"/>
              <w:right w:val="nil"/>
            </w:tcBorders>
          </w:tcPr>
          <w:p w14:paraId="620D34E8"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0.197</w:t>
            </w:r>
          </w:p>
        </w:tc>
      </w:tr>
      <w:tr w:rsidR="009F7872" w:rsidRPr="009F7872" w14:paraId="515A21ED" w14:textId="77777777" w:rsidTr="00CB1D7B">
        <w:trPr>
          <w:trHeight w:val="288"/>
        </w:trPr>
        <w:tc>
          <w:tcPr>
            <w:tcW w:w="0" w:type="auto"/>
            <w:tcBorders>
              <w:top w:val="nil"/>
              <w:left w:val="nil"/>
              <w:bottom w:val="nil"/>
              <w:right w:val="nil"/>
            </w:tcBorders>
          </w:tcPr>
          <w:p w14:paraId="165CBC60"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7EB35ED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GFCF</w:t>
            </w:r>
          </w:p>
        </w:tc>
        <w:tc>
          <w:tcPr>
            <w:tcW w:w="0" w:type="auto"/>
            <w:tcBorders>
              <w:top w:val="nil"/>
              <w:left w:val="nil"/>
              <w:bottom w:val="nil"/>
              <w:right w:val="nil"/>
            </w:tcBorders>
          </w:tcPr>
          <w:p w14:paraId="4249CE7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0.991</w:t>
            </w:r>
          </w:p>
        </w:tc>
        <w:tc>
          <w:tcPr>
            <w:tcW w:w="0" w:type="auto"/>
            <w:tcBorders>
              <w:top w:val="nil"/>
              <w:left w:val="nil"/>
              <w:bottom w:val="nil"/>
              <w:right w:val="nil"/>
            </w:tcBorders>
          </w:tcPr>
          <w:p w14:paraId="2481C6C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0.231</w:t>
            </w:r>
          </w:p>
        </w:tc>
        <w:tc>
          <w:tcPr>
            <w:tcW w:w="0" w:type="auto"/>
            <w:tcBorders>
              <w:top w:val="nil"/>
              <w:left w:val="nil"/>
              <w:bottom w:val="nil"/>
              <w:right w:val="nil"/>
            </w:tcBorders>
          </w:tcPr>
          <w:p w14:paraId="21B29DB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4.280</w:t>
            </w:r>
          </w:p>
        </w:tc>
        <w:tc>
          <w:tcPr>
            <w:tcW w:w="0" w:type="auto"/>
            <w:tcBorders>
              <w:top w:val="nil"/>
              <w:left w:val="nil"/>
              <w:bottom w:val="nil"/>
              <w:right w:val="nil"/>
            </w:tcBorders>
          </w:tcPr>
          <w:p w14:paraId="5C58AFB9"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0.000*</w:t>
            </w:r>
          </w:p>
        </w:tc>
      </w:tr>
      <w:tr w:rsidR="009F7872" w:rsidRPr="009F7872" w14:paraId="29B4D99F" w14:textId="77777777" w:rsidTr="00CB1D7B">
        <w:trPr>
          <w:trHeight w:val="288"/>
        </w:trPr>
        <w:tc>
          <w:tcPr>
            <w:tcW w:w="0" w:type="auto"/>
            <w:tcBorders>
              <w:top w:val="nil"/>
              <w:left w:val="nil"/>
              <w:bottom w:val="nil"/>
              <w:right w:val="nil"/>
            </w:tcBorders>
          </w:tcPr>
          <w:p w14:paraId="09D4532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3186884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TRD</w:t>
            </w:r>
          </w:p>
        </w:tc>
        <w:tc>
          <w:tcPr>
            <w:tcW w:w="0" w:type="auto"/>
            <w:tcBorders>
              <w:top w:val="nil"/>
              <w:left w:val="nil"/>
              <w:bottom w:val="nil"/>
              <w:right w:val="nil"/>
            </w:tcBorders>
          </w:tcPr>
          <w:p w14:paraId="11281EA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-0.071</w:t>
            </w:r>
          </w:p>
        </w:tc>
        <w:tc>
          <w:tcPr>
            <w:tcW w:w="0" w:type="auto"/>
            <w:tcBorders>
              <w:top w:val="nil"/>
              <w:left w:val="nil"/>
              <w:bottom w:val="nil"/>
              <w:right w:val="nil"/>
            </w:tcBorders>
          </w:tcPr>
          <w:p w14:paraId="4B2DED3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0.053</w:t>
            </w:r>
          </w:p>
        </w:tc>
        <w:tc>
          <w:tcPr>
            <w:tcW w:w="0" w:type="auto"/>
            <w:tcBorders>
              <w:top w:val="nil"/>
              <w:left w:val="nil"/>
              <w:bottom w:val="nil"/>
              <w:right w:val="nil"/>
            </w:tcBorders>
          </w:tcPr>
          <w:p w14:paraId="3BF19E4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-1.330</w:t>
            </w:r>
          </w:p>
        </w:tc>
        <w:tc>
          <w:tcPr>
            <w:tcW w:w="0" w:type="auto"/>
            <w:tcBorders>
              <w:top w:val="nil"/>
              <w:left w:val="nil"/>
              <w:bottom w:val="nil"/>
              <w:right w:val="nil"/>
            </w:tcBorders>
          </w:tcPr>
          <w:p w14:paraId="3F5136E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0.195</w:t>
            </w:r>
          </w:p>
        </w:tc>
      </w:tr>
      <w:tr w:rsidR="009F7872" w:rsidRPr="009F7872" w14:paraId="3D7C8950" w14:textId="77777777" w:rsidTr="00CB1D7B">
        <w:trPr>
          <w:trHeight w:val="288"/>
        </w:trPr>
        <w:tc>
          <w:tcPr>
            <w:tcW w:w="0" w:type="auto"/>
            <w:tcBorders>
              <w:top w:val="nil"/>
              <w:left w:val="nil"/>
              <w:bottom w:val="nil"/>
              <w:right w:val="nil"/>
            </w:tcBorders>
          </w:tcPr>
          <w:p w14:paraId="1A0D7318"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11051A6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FDI</w:t>
            </w:r>
          </w:p>
        </w:tc>
        <w:tc>
          <w:tcPr>
            <w:tcW w:w="0" w:type="auto"/>
            <w:tcBorders>
              <w:top w:val="nil"/>
              <w:left w:val="nil"/>
              <w:bottom w:val="nil"/>
              <w:right w:val="nil"/>
            </w:tcBorders>
          </w:tcPr>
          <w:p w14:paraId="0BD22A6D"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0.989</w:t>
            </w:r>
          </w:p>
        </w:tc>
        <w:tc>
          <w:tcPr>
            <w:tcW w:w="0" w:type="auto"/>
            <w:tcBorders>
              <w:top w:val="nil"/>
              <w:left w:val="nil"/>
              <w:bottom w:val="nil"/>
              <w:right w:val="nil"/>
            </w:tcBorders>
          </w:tcPr>
          <w:p w14:paraId="18B23EA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0.804</w:t>
            </w:r>
          </w:p>
        </w:tc>
        <w:tc>
          <w:tcPr>
            <w:tcW w:w="0" w:type="auto"/>
            <w:tcBorders>
              <w:top w:val="nil"/>
              <w:left w:val="nil"/>
              <w:bottom w:val="nil"/>
              <w:right w:val="nil"/>
            </w:tcBorders>
          </w:tcPr>
          <w:p w14:paraId="0919BF0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1.230</w:t>
            </w:r>
          </w:p>
        </w:tc>
        <w:tc>
          <w:tcPr>
            <w:tcW w:w="0" w:type="auto"/>
            <w:tcBorders>
              <w:top w:val="nil"/>
              <w:left w:val="nil"/>
              <w:bottom w:val="nil"/>
              <w:right w:val="nil"/>
            </w:tcBorders>
          </w:tcPr>
          <w:p w14:paraId="3BC2DBF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0.231</w:t>
            </w:r>
          </w:p>
        </w:tc>
      </w:tr>
      <w:tr w:rsidR="009F7872" w:rsidRPr="009F7872" w14:paraId="7803679B" w14:textId="77777777" w:rsidTr="00CB1D7B">
        <w:trPr>
          <w:trHeight w:val="288"/>
        </w:trPr>
        <w:tc>
          <w:tcPr>
            <w:tcW w:w="0" w:type="auto"/>
            <w:tcBorders>
              <w:top w:val="nil"/>
              <w:left w:val="nil"/>
              <w:bottom w:val="nil"/>
              <w:right w:val="nil"/>
            </w:tcBorders>
          </w:tcPr>
          <w:p w14:paraId="6DAC96F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1128072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POP</w:t>
            </w:r>
          </w:p>
        </w:tc>
        <w:tc>
          <w:tcPr>
            <w:tcW w:w="0" w:type="auto"/>
            <w:tcBorders>
              <w:top w:val="nil"/>
              <w:left w:val="nil"/>
              <w:bottom w:val="nil"/>
              <w:right w:val="nil"/>
            </w:tcBorders>
          </w:tcPr>
          <w:p w14:paraId="47A6337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-2.207</w:t>
            </w:r>
          </w:p>
        </w:tc>
        <w:tc>
          <w:tcPr>
            <w:tcW w:w="0" w:type="auto"/>
            <w:tcBorders>
              <w:top w:val="nil"/>
              <w:left w:val="nil"/>
              <w:bottom w:val="nil"/>
              <w:right w:val="nil"/>
            </w:tcBorders>
          </w:tcPr>
          <w:p w14:paraId="4E1111BB"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1.108</w:t>
            </w:r>
          </w:p>
        </w:tc>
        <w:tc>
          <w:tcPr>
            <w:tcW w:w="0" w:type="auto"/>
            <w:tcBorders>
              <w:top w:val="nil"/>
              <w:left w:val="nil"/>
              <w:bottom w:val="nil"/>
              <w:right w:val="nil"/>
            </w:tcBorders>
          </w:tcPr>
          <w:p w14:paraId="7FE200E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-1.990</w:t>
            </w:r>
          </w:p>
        </w:tc>
        <w:tc>
          <w:tcPr>
            <w:tcW w:w="0" w:type="auto"/>
            <w:tcBorders>
              <w:top w:val="nil"/>
              <w:left w:val="nil"/>
              <w:bottom w:val="nil"/>
              <w:right w:val="nil"/>
            </w:tcBorders>
          </w:tcPr>
          <w:p w14:paraId="1C4AAE0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0.058***</w:t>
            </w:r>
          </w:p>
        </w:tc>
      </w:tr>
      <w:tr w:rsidR="009F7872" w:rsidRPr="009F7872" w14:paraId="03D31477" w14:textId="77777777" w:rsidTr="00CB1D7B">
        <w:trPr>
          <w:trHeight w:val="288"/>
        </w:trPr>
        <w:tc>
          <w:tcPr>
            <w:tcW w:w="0" w:type="auto"/>
            <w:tcBorders>
              <w:top w:val="nil"/>
              <w:left w:val="nil"/>
              <w:bottom w:val="nil"/>
              <w:right w:val="nil"/>
            </w:tcBorders>
          </w:tcPr>
          <w:p w14:paraId="35AAAB6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6F7F7A3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SAP</w:t>
            </w:r>
          </w:p>
        </w:tc>
        <w:tc>
          <w:tcPr>
            <w:tcW w:w="0" w:type="auto"/>
            <w:tcBorders>
              <w:top w:val="nil"/>
              <w:left w:val="nil"/>
              <w:bottom w:val="nil"/>
              <w:right w:val="nil"/>
            </w:tcBorders>
          </w:tcPr>
          <w:p w14:paraId="087FA4D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-2.351</w:t>
            </w:r>
          </w:p>
        </w:tc>
        <w:tc>
          <w:tcPr>
            <w:tcW w:w="0" w:type="auto"/>
            <w:tcBorders>
              <w:top w:val="nil"/>
              <w:left w:val="nil"/>
              <w:bottom w:val="nil"/>
              <w:right w:val="nil"/>
            </w:tcBorders>
          </w:tcPr>
          <w:p w14:paraId="23E3631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1.970</w:t>
            </w:r>
          </w:p>
        </w:tc>
        <w:tc>
          <w:tcPr>
            <w:tcW w:w="0" w:type="auto"/>
            <w:tcBorders>
              <w:top w:val="nil"/>
              <w:left w:val="nil"/>
              <w:bottom w:val="nil"/>
              <w:right w:val="nil"/>
            </w:tcBorders>
          </w:tcPr>
          <w:p w14:paraId="655DF9F1"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-1.190</w:t>
            </w:r>
          </w:p>
        </w:tc>
        <w:tc>
          <w:tcPr>
            <w:tcW w:w="0" w:type="auto"/>
            <w:tcBorders>
              <w:top w:val="nil"/>
              <w:left w:val="nil"/>
              <w:bottom w:val="nil"/>
              <w:right w:val="nil"/>
            </w:tcBorders>
          </w:tcPr>
          <w:p w14:paraId="614A8B69"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0.245</w:t>
            </w:r>
          </w:p>
        </w:tc>
      </w:tr>
      <w:tr w:rsidR="009F7872" w:rsidRPr="009F7872" w14:paraId="1A4CEF9E" w14:textId="77777777" w:rsidTr="00CB1D7B">
        <w:trPr>
          <w:trHeight w:val="288"/>
        </w:trPr>
        <w:tc>
          <w:tcPr>
            <w:tcW w:w="0" w:type="auto"/>
            <w:tcBorders>
              <w:top w:val="nil"/>
              <w:left w:val="nil"/>
              <w:bottom w:val="nil"/>
              <w:right w:val="nil"/>
            </w:tcBorders>
          </w:tcPr>
          <w:p w14:paraId="53C4BA20"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3D252D80"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564F531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3C33F0D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2FAB9DF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65D793C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r>
      <w:tr w:rsidR="009F7872" w:rsidRPr="009F7872" w14:paraId="53240FA5" w14:textId="77777777" w:rsidTr="00CB1D7B">
        <w:trPr>
          <w:trHeight w:val="288"/>
        </w:trPr>
        <w:tc>
          <w:tcPr>
            <w:tcW w:w="0" w:type="auto"/>
            <w:tcBorders>
              <w:top w:val="nil"/>
              <w:left w:val="nil"/>
              <w:bottom w:val="nil"/>
              <w:right w:val="nil"/>
            </w:tcBorders>
          </w:tcPr>
          <w:p w14:paraId="14914E5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lastRenderedPageBreak/>
              <w:t>SR</w:t>
            </w:r>
          </w:p>
        </w:tc>
        <w:tc>
          <w:tcPr>
            <w:tcW w:w="0" w:type="auto"/>
            <w:tcBorders>
              <w:top w:val="nil"/>
              <w:left w:val="nil"/>
              <w:bottom w:val="nil"/>
              <w:right w:val="nil"/>
            </w:tcBorders>
          </w:tcPr>
          <w:p w14:paraId="25769C6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P (D1.)</w:t>
            </w:r>
          </w:p>
        </w:tc>
        <w:tc>
          <w:tcPr>
            <w:tcW w:w="0" w:type="auto"/>
            <w:tcBorders>
              <w:top w:val="nil"/>
              <w:left w:val="nil"/>
              <w:bottom w:val="nil"/>
              <w:right w:val="nil"/>
            </w:tcBorders>
          </w:tcPr>
          <w:p w14:paraId="525AAB2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-2.103</w:t>
            </w:r>
          </w:p>
        </w:tc>
        <w:tc>
          <w:tcPr>
            <w:tcW w:w="0" w:type="auto"/>
            <w:tcBorders>
              <w:top w:val="nil"/>
              <w:left w:val="nil"/>
              <w:bottom w:val="nil"/>
              <w:right w:val="nil"/>
            </w:tcBorders>
          </w:tcPr>
          <w:p w14:paraId="7B64D68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1.116</w:t>
            </w:r>
          </w:p>
        </w:tc>
        <w:tc>
          <w:tcPr>
            <w:tcW w:w="0" w:type="auto"/>
            <w:tcBorders>
              <w:top w:val="nil"/>
              <w:left w:val="nil"/>
              <w:bottom w:val="nil"/>
              <w:right w:val="nil"/>
            </w:tcBorders>
          </w:tcPr>
          <w:p w14:paraId="6687C1D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-1.880</w:t>
            </w:r>
          </w:p>
        </w:tc>
        <w:tc>
          <w:tcPr>
            <w:tcW w:w="0" w:type="auto"/>
            <w:tcBorders>
              <w:top w:val="nil"/>
              <w:left w:val="nil"/>
              <w:bottom w:val="nil"/>
              <w:right w:val="nil"/>
            </w:tcBorders>
          </w:tcPr>
          <w:p w14:paraId="0123BD5B"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0.072***</w:t>
            </w:r>
          </w:p>
        </w:tc>
      </w:tr>
      <w:tr w:rsidR="009F7872" w:rsidRPr="009F7872" w14:paraId="4C87B8CA" w14:textId="77777777" w:rsidTr="00CB1D7B">
        <w:trPr>
          <w:trHeight w:val="288"/>
        </w:trPr>
        <w:tc>
          <w:tcPr>
            <w:tcW w:w="0" w:type="auto"/>
            <w:tcBorders>
              <w:top w:val="nil"/>
              <w:left w:val="nil"/>
              <w:bottom w:val="nil"/>
              <w:right w:val="nil"/>
            </w:tcBorders>
          </w:tcPr>
          <w:p w14:paraId="297900A4"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221A4E6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S (D1.)</w:t>
            </w:r>
          </w:p>
        </w:tc>
        <w:tc>
          <w:tcPr>
            <w:tcW w:w="0" w:type="auto"/>
            <w:tcBorders>
              <w:top w:val="nil"/>
              <w:left w:val="nil"/>
              <w:bottom w:val="nil"/>
              <w:right w:val="nil"/>
            </w:tcBorders>
          </w:tcPr>
          <w:p w14:paraId="663E691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2.697</w:t>
            </w:r>
          </w:p>
        </w:tc>
        <w:tc>
          <w:tcPr>
            <w:tcW w:w="0" w:type="auto"/>
            <w:tcBorders>
              <w:top w:val="nil"/>
              <w:left w:val="nil"/>
              <w:bottom w:val="nil"/>
              <w:right w:val="nil"/>
            </w:tcBorders>
          </w:tcPr>
          <w:p w14:paraId="03523628"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1.388</w:t>
            </w:r>
          </w:p>
        </w:tc>
        <w:tc>
          <w:tcPr>
            <w:tcW w:w="0" w:type="auto"/>
            <w:tcBorders>
              <w:top w:val="nil"/>
              <w:left w:val="nil"/>
              <w:bottom w:val="nil"/>
              <w:right w:val="nil"/>
            </w:tcBorders>
          </w:tcPr>
          <w:p w14:paraId="03F442C0"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1.940</w:t>
            </w:r>
          </w:p>
        </w:tc>
        <w:tc>
          <w:tcPr>
            <w:tcW w:w="0" w:type="auto"/>
            <w:tcBorders>
              <w:top w:val="nil"/>
              <w:left w:val="nil"/>
              <w:bottom w:val="nil"/>
              <w:right w:val="nil"/>
            </w:tcBorders>
          </w:tcPr>
          <w:p w14:paraId="4CB1654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0.064***</w:t>
            </w:r>
          </w:p>
        </w:tc>
      </w:tr>
      <w:tr w:rsidR="009F7872" w:rsidRPr="009F7872" w14:paraId="60CAD739" w14:textId="77777777" w:rsidTr="00CB1D7B">
        <w:trPr>
          <w:trHeight w:val="288"/>
        </w:trPr>
        <w:tc>
          <w:tcPr>
            <w:tcW w:w="0" w:type="auto"/>
            <w:tcBorders>
              <w:top w:val="nil"/>
              <w:left w:val="nil"/>
              <w:bottom w:val="nil"/>
              <w:right w:val="nil"/>
            </w:tcBorders>
          </w:tcPr>
          <w:p w14:paraId="0DC9040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73ACA14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T (D1.)</w:t>
            </w:r>
          </w:p>
        </w:tc>
        <w:tc>
          <w:tcPr>
            <w:tcW w:w="0" w:type="auto"/>
            <w:tcBorders>
              <w:top w:val="nil"/>
              <w:left w:val="nil"/>
              <w:bottom w:val="nil"/>
              <w:right w:val="nil"/>
            </w:tcBorders>
          </w:tcPr>
          <w:p w14:paraId="40B378E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2.023</w:t>
            </w:r>
          </w:p>
        </w:tc>
        <w:tc>
          <w:tcPr>
            <w:tcW w:w="0" w:type="auto"/>
            <w:tcBorders>
              <w:top w:val="nil"/>
              <w:left w:val="nil"/>
              <w:bottom w:val="nil"/>
              <w:right w:val="nil"/>
            </w:tcBorders>
          </w:tcPr>
          <w:p w14:paraId="40332A6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2.382</w:t>
            </w:r>
          </w:p>
        </w:tc>
        <w:tc>
          <w:tcPr>
            <w:tcW w:w="0" w:type="auto"/>
            <w:tcBorders>
              <w:top w:val="nil"/>
              <w:left w:val="nil"/>
              <w:bottom w:val="nil"/>
              <w:right w:val="nil"/>
            </w:tcBorders>
          </w:tcPr>
          <w:p w14:paraId="05EDEF5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0.850</w:t>
            </w:r>
          </w:p>
        </w:tc>
        <w:tc>
          <w:tcPr>
            <w:tcW w:w="0" w:type="auto"/>
            <w:tcBorders>
              <w:top w:val="nil"/>
              <w:left w:val="nil"/>
              <w:bottom w:val="nil"/>
              <w:right w:val="nil"/>
            </w:tcBorders>
          </w:tcPr>
          <w:p w14:paraId="140361C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0.404</w:t>
            </w:r>
          </w:p>
        </w:tc>
      </w:tr>
      <w:tr w:rsidR="009F7872" w:rsidRPr="009F7872" w14:paraId="57E73A85" w14:textId="77777777" w:rsidTr="00CB1D7B">
        <w:trPr>
          <w:trHeight w:val="288"/>
        </w:trPr>
        <w:tc>
          <w:tcPr>
            <w:tcW w:w="0" w:type="auto"/>
            <w:tcBorders>
              <w:top w:val="nil"/>
              <w:left w:val="nil"/>
              <w:bottom w:val="nil"/>
              <w:right w:val="nil"/>
            </w:tcBorders>
          </w:tcPr>
          <w:p w14:paraId="60AF8DEE"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49E4D6B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GFCF (D1.)</w:t>
            </w:r>
          </w:p>
        </w:tc>
        <w:tc>
          <w:tcPr>
            <w:tcW w:w="0" w:type="auto"/>
            <w:tcBorders>
              <w:top w:val="nil"/>
              <w:left w:val="nil"/>
              <w:bottom w:val="nil"/>
              <w:right w:val="nil"/>
            </w:tcBorders>
          </w:tcPr>
          <w:p w14:paraId="6B0D78CD"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-0.527</w:t>
            </w:r>
          </w:p>
        </w:tc>
        <w:tc>
          <w:tcPr>
            <w:tcW w:w="0" w:type="auto"/>
            <w:tcBorders>
              <w:top w:val="nil"/>
              <w:left w:val="nil"/>
              <w:bottom w:val="nil"/>
              <w:right w:val="nil"/>
            </w:tcBorders>
          </w:tcPr>
          <w:p w14:paraId="7EE0404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0.276</w:t>
            </w:r>
          </w:p>
        </w:tc>
        <w:tc>
          <w:tcPr>
            <w:tcW w:w="0" w:type="auto"/>
            <w:tcBorders>
              <w:top w:val="nil"/>
              <w:left w:val="nil"/>
              <w:bottom w:val="nil"/>
              <w:right w:val="nil"/>
            </w:tcBorders>
          </w:tcPr>
          <w:p w14:paraId="7C0E4AD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-1.910</w:t>
            </w:r>
          </w:p>
        </w:tc>
        <w:tc>
          <w:tcPr>
            <w:tcW w:w="0" w:type="auto"/>
            <w:tcBorders>
              <w:top w:val="nil"/>
              <w:left w:val="nil"/>
              <w:bottom w:val="nil"/>
              <w:right w:val="nil"/>
            </w:tcBorders>
          </w:tcPr>
          <w:p w14:paraId="4B5A07BA"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0.068***</w:t>
            </w:r>
          </w:p>
        </w:tc>
      </w:tr>
      <w:tr w:rsidR="009F7872" w:rsidRPr="009F7872" w14:paraId="3F70072B" w14:textId="77777777" w:rsidTr="00CB1D7B">
        <w:trPr>
          <w:trHeight w:val="288"/>
        </w:trPr>
        <w:tc>
          <w:tcPr>
            <w:tcW w:w="0" w:type="auto"/>
            <w:tcBorders>
              <w:top w:val="nil"/>
              <w:left w:val="nil"/>
              <w:bottom w:val="nil"/>
              <w:right w:val="nil"/>
            </w:tcBorders>
          </w:tcPr>
          <w:p w14:paraId="5CBCD2E3"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nil"/>
              <w:right w:val="nil"/>
            </w:tcBorders>
          </w:tcPr>
          <w:p w14:paraId="52F32EB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POP (D1.)</w:t>
            </w:r>
          </w:p>
        </w:tc>
        <w:tc>
          <w:tcPr>
            <w:tcW w:w="0" w:type="auto"/>
            <w:tcBorders>
              <w:top w:val="nil"/>
              <w:left w:val="nil"/>
              <w:bottom w:val="nil"/>
              <w:right w:val="nil"/>
            </w:tcBorders>
          </w:tcPr>
          <w:p w14:paraId="56553EE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-1.749</w:t>
            </w:r>
          </w:p>
        </w:tc>
        <w:tc>
          <w:tcPr>
            <w:tcW w:w="0" w:type="auto"/>
            <w:tcBorders>
              <w:top w:val="nil"/>
              <w:left w:val="nil"/>
              <w:bottom w:val="nil"/>
              <w:right w:val="nil"/>
            </w:tcBorders>
          </w:tcPr>
          <w:p w14:paraId="1F5A5AB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6.210</w:t>
            </w:r>
          </w:p>
        </w:tc>
        <w:tc>
          <w:tcPr>
            <w:tcW w:w="0" w:type="auto"/>
            <w:tcBorders>
              <w:top w:val="nil"/>
              <w:left w:val="nil"/>
              <w:bottom w:val="nil"/>
              <w:right w:val="nil"/>
            </w:tcBorders>
          </w:tcPr>
          <w:p w14:paraId="6856E68F"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-0.280</w:t>
            </w:r>
          </w:p>
        </w:tc>
        <w:tc>
          <w:tcPr>
            <w:tcW w:w="0" w:type="auto"/>
            <w:tcBorders>
              <w:top w:val="nil"/>
              <w:left w:val="nil"/>
              <w:bottom w:val="nil"/>
              <w:right w:val="nil"/>
            </w:tcBorders>
          </w:tcPr>
          <w:p w14:paraId="68D7F21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0.781</w:t>
            </w:r>
          </w:p>
        </w:tc>
      </w:tr>
      <w:tr w:rsidR="009F7872" w:rsidRPr="009F7872" w14:paraId="3C92D7EA" w14:textId="77777777" w:rsidTr="00CB1D7B">
        <w:trPr>
          <w:trHeight w:val="288"/>
        </w:trPr>
        <w:tc>
          <w:tcPr>
            <w:tcW w:w="0" w:type="auto"/>
            <w:tcBorders>
              <w:top w:val="nil"/>
              <w:left w:val="nil"/>
              <w:right w:val="nil"/>
            </w:tcBorders>
          </w:tcPr>
          <w:p w14:paraId="47CFE52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right w:val="nil"/>
            </w:tcBorders>
          </w:tcPr>
          <w:p w14:paraId="0D96A53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_cons</w:t>
            </w:r>
          </w:p>
        </w:tc>
        <w:tc>
          <w:tcPr>
            <w:tcW w:w="0" w:type="auto"/>
            <w:tcBorders>
              <w:top w:val="nil"/>
              <w:left w:val="nil"/>
              <w:right w:val="nil"/>
            </w:tcBorders>
          </w:tcPr>
          <w:p w14:paraId="674C201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-14.927</w:t>
            </w:r>
          </w:p>
        </w:tc>
        <w:tc>
          <w:tcPr>
            <w:tcW w:w="0" w:type="auto"/>
            <w:tcBorders>
              <w:top w:val="nil"/>
              <w:left w:val="nil"/>
              <w:right w:val="nil"/>
            </w:tcBorders>
          </w:tcPr>
          <w:p w14:paraId="6E7803A5"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6.364</w:t>
            </w:r>
          </w:p>
        </w:tc>
        <w:tc>
          <w:tcPr>
            <w:tcW w:w="0" w:type="auto"/>
            <w:tcBorders>
              <w:top w:val="nil"/>
              <w:left w:val="nil"/>
              <w:right w:val="nil"/>
            </w:tcBorders>
          </w:tcPr>
          <w:p w14:paraId="0D30C35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-2.350</w:t>
            </w:r>
          </w:p>
        </w:tc>
        <w:tc>
          <w:tcPr>
            <w:tcW w:w="0" w:type="auto"/>
            <w:tcBorders>
              <w:top w:val="nil"/>
              <w:left w:val="nil"/>
              <w:right w:val="nil"/>
            </w:tcBorders>
          </w:tcPr>
          <w:p w14:paraId="22C361F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0.028**</w:t>
            </w:r>
          </w:p>
        </w:tc>
      </w:tr>
      <w:tr w:rsidR="009F7872" w:rsidRPr="009F7872" w14:paraId="51A65094" w14:textId="77777777" w:rsidTr="00CB1D7B">
        <w:trPr>
          <w:trHeight w:val="288"/>
        </w:trPr>
        <w:tc>
          <w:tcPr>
            <w:tcW w:w="0" w:type="auto"/>
            <w:gridSpan w:val="2"/>
            <w:tcBorders>
              <w:top w:val="nil"/>
              <w:left w:val="nil"/>
              <w:bottom w:val="single" w:sz="4" w:space="0" w:color="auto"/>
              <w:right w:val="nil"/>
            </w:tcBorders>
          </w:tcPr>
          <w:p w14:paraId="6871FDE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ARDL (1 1 1 1 1 0 0 1 0)</w:t>
            </w:r>
          </w:p>
        </w:tc>
        <w:tc>
          <w:tcPr>
            <w:tcW w:w="0" w:type="auto"/>
            <w:tcBorders>
              <w:top w:val="nil"/>
              <w:left w:val="nil"/>
              <w:bottom w:val="single" w:sz="4" w:space="0" w:color="auto"/>
              <w:right w:val="nil"/>
            </w:tcBorders>
          </w:tcPr>
          <w:p w14:paraId="78267536"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Adj R-squared = 0.5250</w:t>
            </w:r>
          </w:p>
        </w:tc>
        <w:tc>
          <w:tcPr>
            <w:tcW w:w="0" w:type="auto"/>
            <w:tcBorders>
              <w:top w:val="nil"/>
              <w:left w:val="nil"/>
              <w:bottom w:val="single" w:sz="4" w:space="0" w:color="auto"/>
              <w:right w:val="nil"/>
            </w:tcBorders>
          </w:tcPr>
          <w:p w14:paraId="766B80D7"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single" w:sz="4" w:space="0" w:color="auto"/>
              <w:right w:val="nil"/>
            </w:tcBorders>
          </w:tcPr>
          <w:p w14:paraId="153AAB6C"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p>
        </w:tc>
        <w:tc>
          <w:tcPr>
            <w:tcW w:w="0" w:type="auto"/>
            <w:tcBorders>
              <w:top w:val="nil"/>
              <w:left w:val="nil"/>
              <w:bottom w:val="single" w:sz="4" w:space="0" w:color="auto"/>
              <w:right w:val="nil"/>
            </w:tcBorders>
          </w:tcPr>
          <w:p w14:paraId="06CF16B2" w14:textId="77777777" w:rsidR="009F7872" w:rsidRPr="009F7872" w:rsidRDefault="009F7872" w:rsidP="00911184">
            <w:pPr>
              <w:widowControl w:val="0"/>
              <w:autoSpaceDE w:val="0"/>
              <w:autoSpaceDN w:val="0"/>
              <w:adjustRightInd w:val="0"/>
              <w:spacing w:after="0" w:line="240" w:lineRule="auto"/>
              <w:contextualSpacing/>
              <w:jc w:val="both"/>
              <w:rPr>
                <w:rFonts w:ascii="Times New Roman" w:hAnsi="Times New Roman" w:cs="Times New Roman"/>
                <w:sz w:val="24"/>
                <w:szCs w:val="24"/>
                <w14:ligatures w14:val="standardContextual"/>
              </w:rPr>
            </w:pPr>
            <w:r w:rsidRPr="009F7872">
              <w:rPr>
                <w:rFonts w:ascii="Times New Roman" w:hAnsi="Times New Roman" w:cs="Times New Roman"/>
                <w:sz w:val="24"/>
                <w:szCs w:val="24"/>
                <w14:ligatures w14:val="standardContextual"/>
              </w:rPr>
              <w:t>Obs. = 49</w:t>
            </w:r>
          </w:p>
        </w:tc>
      </w:tr>
    </w:tbl>
    <w:p w14:paraId="2F4E257E" w14:textId="77777777" w:rsidR="009F7872" w:rsidRPr="009F7872" w:rsidRDefault="009F7872" w:rsidP="00911184">
      <w:pPr>
        <w:spacing w:after="0" w:line="240" w:lineRule="auto"/>
        <w:contextualSpacing/>
        <w:jc w:val="both"/>
        <w:rPr>
          <w:rFonts w:ascii="Times New Roman" w:hAnsi="Times New Roman" w:cs="Times New Roman"/>
          <w:kern w:val="2"/>
          <w:sz w:val="24"/>
          <w:szCs w:val="24"/>
          <w14:ligatures w14:val="standardContextual"/>
        </w:rPr>
      </w:pPr>
      <w:r w:rsidRPr="009F7872">
        <w:rPr>
          <w:rFonts w:ascii="Times New Roman" w:hAnsi="Times New Roman" w:cs="Times New Roman"/>
          <w:kern w:val="2"/>
          <w:sz w:val="24"/>
          <w:szCs w:val="24"/>
          <w14:ligatures w14:val="standardContextual"/>
        </w:rPr>
        <w:t>Note: *, **, and ***indicate significance at the 1 percent, 5 percent, and 10 percent levels, respectively</w:t>
      </w:r>
    </w:p>
    <w:p w14:paraId="799C341F" w14:textId="77777777" w:rsidR="003327C7" w:rsidRDefault="003327C7" w:rsidP="00911184">
      <w:pPr>
        <w:spacing w:line="240" w:lineRule="auto"/>
        <w:contextualSpacing/>
        <w:jc w:val="both"/>
        <w:rPr>
          <w:rFonts w:ascii="Times New Roman" w:hAnsi="Times New Roman" w:cs="Times New Roman"/>
          <w:sz w:val="24"/>
          <w:szCs w:val="24"/>
        </w:rPr>
      </w:pPr>
    </w:p>
    <w:p w14:paraId="6C7798BD" w14:textId="7E3228F6"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Based on the results of the ARDL, the overall long-run linkage is statistically significant and stable, with a negative and significant error-correction term (</w:t>
      </w:r>
      <w:r w:rsidR="00D05B72">
        <w:rPr>
          <w:rFonts w:ascii="Times New Roman" w:hAnsi="Times New Roman" w:cs="Times New Roman"/>
          <w:sz w:val="24"/>
          <w:szCs w:val="24"/>
        </w:rPr>
        <w:t xml:space="preserve">ECT= </w:t>
      </w:r>
      <w:r w:rsidRPr="00814B6E">
        <w:rPr>
          <w:rFonts w:ascii="Times New Roman" w:hAnsi="Times New Roman" w:cs="Times New Roman"/>
          <w:sz w:val="24"/>
          <w:szCs w:val="24"/>
        </w:rPr>
        <w:t>−1.074, p &lt; 0.01), which means that the adjustment to equilibrium is rapid. Primary education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4.377, p = 0.002) and gross fixed capital formation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0.991, p &lt; 0.01) have positive effects on the economic growth in the long run, and secondary education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−2.735, p = 0.097) and population growth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−2.207, p = 0.058) have weak negative impacts. The statistical significance of tertiary education, trade openness, FDI, and SAP is statistically insignificant. In the short run, primary education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−2.103, p = 0.072), secondary education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2.697, p = 0.064), and GFCF (</w:t>
      </w:r>
      <w:r w:rsidR="00C0467A" w:rsidRPr="00814B6E">
        <w:rPr>
          <w:rFonts w:ascii="Times New Roman" w:hAnsi="Times New Roman" w:cs="Times New Roman"/>
          <w:sz w:val="24"/>
          <w:szCs w:val="24"/>
        </w:rPr>
        <w:t>β</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−0.527, p = 0.068) show marginal effects. The model accounts for 52.5% of the variation (Adj. R² = 0.525).</w:t>
      </w:r>
    </w:p>
    <w:p w14:paraId="311FD51B" w14:textId="77777777" w:rsidR="00C0467A" w:rsidRPr="00814B6E" w:rsidRDefault="00C0467A" w:rsidP="00911184">
      <w:pPr>
        <w:spacing w:line="240" w:lineRule="auto"/>
        <w:contextualSpacing/>
        <w:jc w:val="both"/>
        <w:rPr>
          <w:rFonts w:ascii="Times New Roman" w:hAnsi="Times New Roman" w:cs="Times New Roman"/>
          <w:sz w:val="24"/>
          <w:szCs w:val="24"/>
        </w:rPr>
      </w:pPr>
    </w:p>
    <w:p w14:paraId="432B883D" w14:textId="77777777" w:rsidR="00814B6E" w:rsidRPr="00814B6E" w:rsidRDefault="00814B6E" w:rsidP="00911184">
      <w:pPr>
        <w:spacing w:line="240" w:lineRule="auto"/>
        <w:contextualSpacing/>
        <w:jc w:val="both"/>
        <w:rPr>
          <w:rFonts w:ascii="Times New Roman" w:hAnsi="Times New Roman" w:cs="Times New Roman"/>
          <w:b/>
          <w:bCs/>
          <w:sz w:val="24"/>
          <w:szCs w:val="24"/>
        </w:rPr>
      </w:pPr>
      <w:r w:rsidRPr="00814B6E">
        <w:rPr>
          <w:rFonts w:ascii="Times New Roman" w:hAnsi="Times New Roman" w:cs="Times New Roman"/>
          <w:b/>
          <w:bCs/>
          <w:sz w:val="24"/>
          <w:szCs w:val="24"/>
        </w:rPr>
        <w:t>6. DISCUSSION</w:t>
      </w:r>
    </w:p>
    <w:p w14:paraId="7816767B" w14:textId="46DD6BF4"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 work presents new evidence regarding the various levels of economic growth in Kenya that are caused by primary, secondary, and tertiary education expenditure. The long-run coefficient of primary education is positive and significant (β= 4.377, p = 0.002), and it is significant at the 1 percent level. This implies that, at other things held constant, an increase by one percentage point in the proportion of government spending on education devoted to primary schooling will be linked to a growth in GDP per capita in the long term by 4.38 percentage points. This huge elasticity is consistent with human capital theory (Becker, 1964) and cross-country data (</w:t>
      </w:r>
      <w:proofErr w:type="spellStart"/>
      <w:r w:rsidRPr="00814B6E">
        <w:rPr>
          <w:rFonts w:ascii="Times New Roman" w:hAnsi="Times New Roman" w:cs="Times New Roman"/>
          <w:sz w:val="24"/>
          <w:szCs w:val="24"/>
        </w:rPr>
        <w:t>Psacharopoulos</w:t>
      </w:r>
      <w:proofErr w:type="spellEnd"/>
      <w:r w:rsidRPr="00814B6E">
        <w:rPr>
          <w:rFonts w:ascii="Times New Roman" w:hAnsi="Times New Roman" w:cs="Times New Roman"/>
          <w:sz w:val="24"/>
          <w:szCs w:val="24"/>
        </w:rPr>
        <w:t xml:space="preserve"> and </w:t>
      </w:r>
      <w:proofErr w:type="spellStart"/>
      <w:r w:rsidRPr="00814B6E">
        <w:rPr>
          <w:rFonts w:ascii="Times New Roman" w:hAnsi="Times New Roman" w:cs="Times New Roman"/>
          <w:sz w:val="24"/>
          <w:szCs w:val="24"/>
        </w:rPr>
        <w:t>Patrinos</w:t>
      </w:r>
      <w:proofErr w:type="spellEnd"/>
      <w:r w:rsidRPr="00814B6E">
        <w:rPr>
          <w:rFonts w:ascii="Times New Roman" w:hAnsi="Times New Roman" w:cs="Times New Roman"/>
          <w:sz w:val="24"/>
          <w:szCs w:val="24"/>
        </w:rPr>
        <w:t xml:space="preserve">, 2018; </w:t>
      </w:r>
      <w:proofErr w:type="spellStart"/>
      <w:r w:rsidRPr="00814B6E">
        <w:rPr>
          <w:rFonts w:ascii="Times New Roman" w:hAnsi="Times New Roman" w:cs="Times New Roman"/>
          <w:sz w:val="24"/>
          <w:szCs w:val="24"/>
        </w:rPr>
        <w:t>Goczek</w:t>
      </w:r>
      <w:proofErr w:type="spellEnd"/>
      <w:r w:rsidRPr="00814B6E">
        <w:rPr>
          <w:rFonts w:ascii="Times New Roman" w:hAnsi="Times New Roman" w:cs="Times New Roman"/>
          <w:sz w:val="24"/>
          <w:szCs w:val="24"/>
        </w:rPr>
        <w:t xml:space="preserve"> et al., 2021). In an economy such as Kenya's, which is developing and where the majority of the workers are in the agricultural sector and informal trade, better literacy and numeracy levels through primary education translate to labor productivity. Basic competencies also pave the way to adopting technology—farmers who can understand input labels, traders who can make calculations, and workers who can run simple machinery. Similar results were found by </w:t>
      </w:r>
      <w:proofErr w:type="spellStart"/>
      <w:r w:rsidRPr="00814B6E">
        <w:rPr>
          <w:rFonts w:ascii="Times New Roman" w:hAnsi="Times New Roman" w:cs="Times New Roman"/>
          <w:sz w:val="24"/>
          <w:szCs w:val="24"/>
        </w:rPr>
        <w:t>Alfoul</w:t>
      </w:r>
      <w:proofErr w:type="spellEnd"/>
      <w:r w:rsidRPr="00814B6E">
        <w:rPr>
          <w:rFonts w:ascii="Times New Roman" w:hAnsi="Times New Roman" w:cs="Times New Roman"/>
          <w:sz w:val="24"/>
          <w:szCs w:val="24"/>
        </w:rPr>
        <w:t xml:space="preserve"> et al. (2024), who observed significant increases in human capital and labor productivity caused by primary education spending in sub-Saharan Africa, and by Deme and Mahmoud (2020), who demonstrated that the level and quality of education are important in the growth of per capita GDP in African countries.</w:t>
      </w:r>
    </w:p>
    <w:p w14:paraId="52543DF5" w14:textId="77777777" w:rsidR="00C0467A" w:rsidRPr="00814B6E" w:rsidRDefault="00C0467A" w:rsidP="00911184">
      <w:pPr>
        <w:spacing w:line="240" w:lineRule="auto"/>
        <w:contextualSpacing/>
        <w:jc w:val="both"/>
        <w:rPr>
          <w:rFonts w:ascii="Times New Roman" w:hAnsi="Times New Roman" w:cs="Times New Roman"/>
          <w:sz w:val="24"/>
          <w:szCs w:val="24"/>
        </w:rPr>
      </w:pPr>
    </w:p>
    <w:p w14:paraId="10CC4339" w14:textId="77777777" w:rsidR="00814B6E" w:rsidRP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 xml:space="preserve">However, in the short run, one percentage point higher in the share in primary education decreases economic growth by 2.10 percentage points (β = -2.103, p = 0.072) and is statistically significant at the 10% level. This adverse short-run impact represents adjustment costs: fiscal reallocation to primary schooling can have the short-term effect of crowding out other productive investments (e.g., infrastructure), and the benefits of education can only be achieved in the long run as the graduates of the education system enter the workforce. Other developing countries have reported similar dynamics of transition (Contreras et al., 2025; Khan and </w:t>
      </w:r>
      <w:proofErr w:type="spellStart"/>
      <w:r w:rsidRPr="00814B6E">
        <w:rPr>
          <w:rFonts w:ascii="Times New Roman" w:hAnsi="Times New Roman" w:cs="Times New Roman"/>
          <w:sz w:val="24"/>
          <w:szCs w:val="24"/>
        </w:rPr>
        <w:t>Asirvatham</w:t>
      </w:r>
      <w:proofErr w:type="spellEnd"/>
      <w:r w:rsidRPr="00814B6E">
        <w:rPr>
          <w:rFonts w:ascii="Times New Roman" w:hAnsi="Times New Roman" w:cs="Times New Roman"/>
          <w:sz w:val="24"/>
          <w:szCs w:val="24"/>
        </w:rPr>
        <w:t xml:space="preserve">, 2024). </w:t>
      </w:r>
      <w:proofErr w:type="spellStart"/>
      <w:r w:rsidRPr="00814B6E">
        <w:rPr>
          <w:rFonts w:ascii="Times New Roman" w:hAnsi="Times New Roman" w:cs="Times New Roman"/>
          <w:sz w:val="24"/>
          <w:szCs w:val="24"/>
        </w:rPr>
        <w:t>Sequeira</w:t>
      </w:r>
      <w:proofErr w:type="spellEnd"/>
      <w:r w:rsidRPr="00814B6E">
        <w:rPr>
          <w:rFonts w:ascii="Times New Roman" w:hAnsi="Times New Roman" w:cs="Times New Roman"/>
          <w:sz w:val="24"/>
          <w:szCs w:val="24"/>
        </w:rPr>
        <w:t xml:space="preserve"> (2021) further observed that education expenditure growth effects are prone to inflation and time </w:t>
      </w:r>
      <w:r w:rsidRPr="00814B6E">
        <w:rPr>
          <w:rFonts w:ascii="Times New Roman" w:hAnsi="Times New Roman" w:cs="Times New Roman"/>
          <w:sz w:val="24"/>
          <w:szCs w:val="24"/>
        </w:rPr>
        <w:lastRenderedPageBreak/>
        <w:t>lags, and in most cases, these effects become negative in the short run but become positive in the long run.</w:t>
      </w:r>
    </w:p>
    <w:p w14:paraId="073BA2F9" w14:textId="70DC19F9"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There is a reversal of the sign in secondary education spending. The growth rate of GDP per capita increases by 2.70 percentage points (</w:t>
      </w:r>
      <w:r w:rsidR="00D05B72">
        <w:rPr>
          <w:rFonts w:ascii="Times New Roman" w:hAnsi="Times New Roman" w:cs="Times New Roman"/>
          <w:sz w:val="24"/>
          <w:szCs w:val="24"/>
        </w:rPr>
        <w:t>β=</w:t>
      </w:r>
      <w:r w:rsidRPr="00814B6E">
        <w:rPr>
          <w:rFonts w:ascii="Times New Roman" w:hAnsi="Times New Roman" w:cs="Times New Roman"/>
          <w:sz w:val="24"/>
          <w:szCs w:val="24"/>
        </w:rPr>
        <w:t xml:space="preserve">2.697, p = 0.064) with a one percentage point increase in the secondary education share, which is statistically significant at the 10% level. This positive short-run coefficient is in line with the stimulus of the demand side: higher funding directly increases government jobs (teachers, administrators), construction activity (school buildings), and procurement (textbooks, supplies) and has immediate multiplier effects. </w:t>
      </w:r>
      <w:proofErr w:type="spellStart"/>
      <w:r w:rsidRPr="00814B6E">
        <w:rPr>
          <w:rFonts w:ascii="Times New Roman" w:hAnsi="Times New Roman" w:cs="Times New Roman"/>
          <w:sz w:val="24"/>
          <w:szCs w:val="24"/>
        </w:rPr>
        <w:t>Wandeda</w:t>
      </w:r>
      <w:proofErr w:type="spellEnd"/>
      <w:r w:rsidRPr="00814B6E">
        <w:rPr>
          <w:rFonts w:ascii="Times New Roman" w:hAnsi="Times New Roman" w:cs="Times New Roman"/>
          <w:sz w:val="24"/>
          <w:szCs w:val="24"/>
        </w:rPr>
        <w:t xml:space="preserve"> et al. (2021) also found positive short-run effects to be similar to sub-Saharan Africa. However, in the long run, an increase in the share of secondary education by one percentage point brings about an economic growth decrease of 2.74 percentage points (β= -2.735, p = 0.097), which is also statistically significant at 10%. Such a negative long-run coefficient implies that a redistribution of budget share to secondary education would not lead to a long-lasting improvement in productivity. This is probably due to three structural issues. First, skill mismatch: Kenya has been accused of having a secondary curriculum (which was 8-4-4 but is now transitioning to CBC) that leaves graduates without market-relevant skills (</w:t>
      </w:r>
      <w:proofErr w:type="spellStart"/>
      <w:r w:rsidRPr="00814B6E">
        <w:rPr>
          <w:rFonts w:ascii="Times New Roman" w:hAnsi="Times New Roman" w:cs="Times New Roman"/>
          <w:sz w:val="24"/>
          <w:szCs w:val="24"/>
        </w:rPr>
        <w:t>Oranga</w:t>
      </w:r>
      <w:proofErr w:type="spellEnd"/>
      <w:r w:rsidRPr="00814B6E">
        <w:rPr>
          <w:rFonts w:ascii="Times New Roman" w:hAnsi="Times New Roman" w:cs="Times New Roman"/>
          <w:sz w:val="24"/>
          <w:szCs w:val="24"/>
        </w:rPr>
        <w:t xml:space="preserve"> et al., 2020; </w:t>
      </w:r>
      <w:proofErr w:type="spellStart"/>
      <w:r w:rsidRPr="00814B6E">
        <w:rPr>
          <w:rFonts w:ascii="Times New Roman" w:hAnsi="Times New Roman" w:cs="Times New Roman"/>
          <w:sz w:val="24"/>
          <w:szCs w:val="24"/>
        </w:rPr>
        <w:t>Rono</w:t>
      </w:r>
      <w:proofErr w:type="spellEnd"/>
      <w:r w:rsidRPr="00814B6E">
        <w:rPr>
          <w:rFonts w:ascii="Times New Roman" w:hAnsi="Times New Roman" w:cs="Times New Roman"/>
          <w:sz w:val="24"/>
          <w:szCs w:val="24"/>
        </w:rPr>
        <w:t xml:space="preserve"> and </w:t>
      </w:r>
      <w:proofErr w:type="spellStart"/>
      <w:r w:rsidRPr="00814B6E">
        <w:rPr>
          <w:rFonts w:ascii="Times New Roman" w:hAnsi="Times New Roman" w:cs="Times New Roman"/>
          <w:sz w:val="24"/>
          <w:szCs w:val="24"/>
        </w:rPr>
        <w:t>Bwamoni</w:t>
      </w:r>
      <w:proofErr w:type="spellEnd"/>
      <w:r w:rsidRPr="00814B6E">
        <w:rPr>
          <w:rFonts w:ascii="Times New Roman" w:hAnsi="Times New Roman" w:cs="Times New Roman"/>
          <w:sz w:val="24"/>
          <w:szCs w:val="24"/>
        </w:rPr>
        <w:t xml:space="preserve">, 2020). Second, low industrial absorption: Kenya has a manufacturing sector that is only absorbing 7-8 percent of the GDP and could not absorb mass numbers of secondary graduates into the formal sector. Third, lack of quality: high classes, poorly qualified teachers, and poor laboratories lower learning achievements. According to </w:t>
      </w:r>
      <w:proofErr w:type="spellStart"/>
      <w:r w:rsidRPr="00814B6E">
        <w:rPr>
          <w:rFonts w:ascii="Times New Roman" w:hAnsi="Times New Roman" w:cs="Times New Roman"/>
          <w:sz w:val="24"/>
          <w:szCs w:val="24"/>
        </w:rPr>
        <w:t>Zickafoose</w:t>
      </w:r>
      <w:proofErr w:type="spellEnd"/>
      <w:r w:rsidRPr="00814B6E">
        <w:rPr>
          <w:rFonts w:ascii="Times New Roman" w:hAnsi="Times New Roman" w:cs="Times New Roman"/>
          <w:sz w:val="24"/>
          <w:szCs w:val="24"/>
        </w:rPr>
        <w:t xml:space="preserve"> et al. (2024), in sub-Saharan Africa, primary education expenditure is only efficient in 58 percent, and the same situation is likely in secondary education. Pritchett (2024) claims that it cannot be claimed that the growth of schooling alone is enough to stimulate the growth; the economy should be designed in such a way that it is capable of utilizing the educated labor effectively. According to Hanushek and </w:t>
      </w:r>
      <w:proofErr w:type="spellStart"/>
      <w:r w:rsidRPr="00814B6E">
        <w:rPr>
          <w:rFonts w:ascii="Times New Roman" w:hAnsi="Times New Roman" w:cs="Times New Roman"/>
          <w:sz w:val="24"/>
          <w:szCs w:val="24"/>
        </w:rPr>
        <w:t>Woessmann</w:t>
      </w:r>
      <w:proofErr w:type="spellEnd"/>
      <w:r w:rsidRPr="00814B6E">
        <w:rPr>
          <w:rFonts w:ascii="Times New Roman" w:hAnsi="Times New Roman" w:cs="Times New Roman"/>
          <w:sz w:val="24"/>
          <w:szCs w:val="24"/>
        </w:rPr>
        <w:t xml:space="preserve"> (2007), education is necessary to spur growth, and the mechanisms that are required are institutional structures, flexibility of the labor market, development of the private sector, and property rights. We are not the only ones who have found a negative long-run secondary effect: </w:t>
      </w:r>
      <w:proofErr w:type="spellStart"/>
      <w:r w:rsidRPr="00814B6E">
        <w:rPr>
          <w:rFonts w:ascii="Times New Roman" w:hAnsi="Times New Roman" w:cs="Times New Roman"/>
          <w:sz w:val="24"/>
          <w:szCs w:val="24"/>
        </w:rPr>
        <w:t>Coman</w:t>
      </w:r>
      <w:proofErr w:type="spellEnd"/>
      <w:r w:rsidRPr="00814B6E">
        <w:rPr>
          <w:rFonts w:ascii="Times New Roman" w:hAnsi="Times New Roman" w:cs="Times New Roman"/>
          <w:sz w:val="24"/>
          <w:szCs w:val="24"/>
        </w:rPr>
        <w:t xml:space="preserve"> et al. (2023) found that only the combination of public education expenditure and structural reforms and skill demand alignment leads to positive long-run growth; Gyimah </w:t>
      </w:r>
      <w:proofErr w:type="spellStart"/>
      <w:r w:rsidRPr="00814B6E">
        <w:rPr>
          <w:rFonts w:ascii="Times New Roman" w:hAnsi="Times New Roman" w:cs="Times New Roman"/>
          <w:sz w:val="24"/>
          <w:szCs w:val="24"/>
        </w:rPr>
        <w:t>Brempong</w:t>
      </w:r>
      <w:proofErr w:type="spellEnd"/>
      <w:r w:rsidRPr="00814B6E">
        <w:rPr>
          <w:rFonts w:ascii="Times New Roman" w:hAnsi="Times New Roman" w:cs="Times New Roman"/>
          <w:sz w:val="24"/>
          <w:szCs w:val="24"/>
        </w:rPr>
        <w:t xml:space="preserve"> (2011) found that the contribution of secondary education to growth in sub-Saharan Africa depends crucially on the state of the labor market; and Odhiambo (2024) and </w:t>
      </w:r>
      <w:proofErr w:type="spellStart"/>
      <w:r w:rsidRPr="00814B6E">
        <w:rPr>
          <w:rFonts w:ascii="Times New Roman" w:hAnsi="Times New Roman" w:cs="Times New Roman"/>
          <w:sz w:val="24"/>
          <w:szCs w:val="24"/>
        </w:rPr>
        <w:t>Bounahr</w:t>
      </w:r>
      <w:proofErr w:type="spellEnd"/>
      <w:r w:rsidRPr="00814B6E">
        <w:rPr>
          <w:rFonts w:ascii="Times New Roman" w:hAnsi="Times New Roman" w:cs="Times New Roman"/>
          <w:sz w:val="24"/>
          <w:szCs w:val="24"/>
        </w:rPr>
        <w:t xml:space="preserve"> and Khattab (2025) found that the education-growth nexus is moderated by the quality of governance.</w:t>
      </w:r>
    </w:p>
    <w:p w14:paraId="3A922AD1" w14:textId="77777777" w:rsidR="00C0467A" w:rsidRPr="00814B6E" w:rsidRDefault="00C0467A" w:rsidP="00911184">
      <w:pPr>
        <w:spacing w:line="240" w:lineRule="auto"/>
        <w:contextualSpacing/>
        <w:jc w:val="both"/>
        <w:rPr>
          <w:rFonts w:ascii="Times New Roman" w:hAnsi="Times New Roman" w:cs="Times New Roman"/>
          <w:sz w:val="24"/>
          <w:szCs w:val="24"/>
        </w:rPr>
      </w:pPr>
    </w:p>
    <w:p w14:paraId="7C6D7DA8" w14:textId="4E93F215"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There is no statistically significant impact on economic growth of tertiary education in both the short and long runs (long run β = -5.093, p = 0.197; short run β= 2.023, p = 0.404), which is above the conventional level of significance (10%, 5%, or 1%). Therefore, the growth effect in GDP per capita of a one percentage point shift in the tertiary education share is not reliable.</w:t>
      </w:r>
      <w:r w:rsidR="00C0467A">
        <w:rPr>
          <w:rFonts w:ascii="Times New Roman" w:hAnsi="Times New Roman" w:cs="Times New Roman"/>
          <w:sz w:val="24"/>
          <w:szCs w:val="24"/>
        </w:rPr>
        <w:t xml:space="preserve"> </w:t>
      </w:r>
      <w:r w:rsidRPr="00814B6E">
        <w:rPr>
          <w:rFonts w:ascii="Times New Roman" w:hAnsi="Times New Roman" w:cs="Times New Roman"/>
          <w:sz w:val="24"/>
          <w:szCs w:val="24"/>
        </w:rPr>
        <w:t xml:space="preserve">The gross fixed capital formation (GFCF) is one of the control variables, and the long-run effect that it has on economic growth is positive: the one percentage point (or 1 percentage point) increase in the share of GFCF in GDP increases the economic growth by 0.99 percentage points (β=0.991 p = 0.000), which is statistically significant (1 percent level). This affirms the relevance of physical capital accumulation—roads, electricity, machinery, and digital infrastructure—and that investment in education and capital formation are complements: skilled labor is more efficient when they possess up-to-date equipment. </w:t>
      </w:r>
      <w:proofErr w:type="spellStart"/>
      <w:r w:rsidRPr="00814B6E">
        <w:rPr>
          <w:rFonts w:ascii="Times New Roman" w:hAnsi="Times New Roman" w:cs="Times New Roman"/>
          <w:sz w:val="24"/>
          <w:szCs w:val="24"/>
        </w:rPr>
        <w:t>Ngigi</w:t>
      </w:r>
      <w:proofErr w:type="spellEnd"/>
      <w:r w:rsidRPr="00814B6E">
        <w:rPr>
          <w:rFonts w:ascii="Times New Roman" w:hAnsi="Times New Roman" w:cs="Times New Roman"/>
          <w:sz w:val="24"/>
          <w:szCs w:val="24"/>
        </w:rPr>
        <w:t xml:space="preserve"> et al. (2024) and Kimani and </w:t>
      </w:r>
      <w:proofErr w:type="spellStart"/>
      <w:r w:rsidRPr="00814B6E">
        <w:rPr>
          <w:rFonts w:ascii="Times New Roman" w:hAnsi="Times New Roman" w:cs="Times New Roman"/>
          <w:sz w:val="24"/>
          <w:szCs w:val="24"/>
        </w:rPr>
        <w:t>Maingi</w:t>
      </w:r>
      <w:proofErr w:type="spellEnd"/>
      <w:r w:rsidRPr="00814B6E">
        <w:rPr>
          <w:rFonts w:ascii="Times New Roman" w:hAnsi="Times New Roman" w:cs="Times New Roman"/>
          <w:sz w:val="24"/>
          <w:szCs w:val="24"/>
        </w:rPr>
        <w:t xml:space="preserve"> (2021) find the same in Kenya and sub-Saharan Africa, respectively. In the short run, the growth is decreased by 0.53 percentage points (</w:t>
      </w:r>
      <w:bookmarkStart w:id="2" w:name="_Hlk232412366"/>
      <w:r w:rsidRPr="00814B6E">
        <w:rPr>
          <w:rFonts w:ascii="Times New Roman" w:hAnsi="Times New Roman" w:cs="Times New Roman"/>
          <w:sz w:val="24"/>
          <w:szCs w:val="24"/>
        </w:rPr>
        <w:t>β</w:t>
      </w:r>
      <w:bookmarkEnd w:id="2"/>
      <w:r w:rsidRPr="00814B6E">
        <w:rPr>
          <w:rFonts w:ascii="Times New Roman" w:hAnsi="Times New Roman" w:cs="Times New Roman"/>
          <w:sz w:val="24"/>
          <w:szCs w:val="24"/>
        </w:rPr>
        <w:t xml:space="preserve"> = -0.527, p = 0.068) in response to a one percentage point increase in GFCF, which is </w:t>
      </w:r>
      <w:r w:rsidRPr="00814B6E">
        <w:rPr>
          <w:rFonts w:ascii="Times New Roman" w:hAnsi="Times New Roman" w:cs="Times New Roman"/>
          <w:sz w:val="24"/>
          <w:szCs w:val="24"/>
        </w:rPr>
        <w:lastRenderedPageBreak/>
        <w:t xml:space="preserve">statistically significant at the 10 percent level, perhaps due to import dependence (Kenya imports most capital goods) and implementation lags. </w:t>
      </w:r>
    </w:p>
    <w:p w14:paraId="1CBAF71B" w14:textId="77777777" w:rsidR="00877631" w:rsidRPr="00814B6E" w:rsidRDefault="00877631" w:rsidP="00911184">
      <w:pPr>
        <w:spacing w:line="240" w:lineRule="auto"/>
        <w:contextualSpacing/>
        <w:jc w:val="both"/>
        <w:rPr>
          <w:rFonts w:ascii="Times New Roman" w:hAnsi="Times New Roman" w:cs="Times New Roman"/>
          <w:sz w:val="24"/>
          <w:szCs w:val="24"/>
        </w:rPr>
      </w:pPr>
    </w:p>
    <w:p w14:paraId="0F7A82D5" w14:textId="731A3D04"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 xml:space="preserve">The long-run population growth has a negative effect: an increase in the annual rate of population growth by one percentage point lowers GDP per capita growth by 2.21 percentage points (β= -2.207, p = 0.058), which is statistically significant at the 10% level. This is in line with the capital dilution mechanism of the Solow model, where the rapid population growth spreads the physical and human capital thinner, decreasing per capita income unless the growth in productivity exceeds it. The population of Kenya is still increasing at the rate of approximately 2 percent per year faster than the creation of formal jobs. This observation is in line with </w:t>
      </w:r>
      <w:proofErr w:type="spellStart"/>
      <w:r w:rsidRPr="00814B6E">
        <w:rPr>
          <w:rFonts w:ascii="Times New Roman" w:hAnsi="Times New Roman" w:cs="Times New Roman"/>
          <w:sz w:val="24"/>
          <w:szCs w:val="24"/>
        </w:rPr>
        <w:t>Prettner</w:t>
      </w:r>
      <w:proofErr w:type="spellEnd"/>
      <w:r w:rsidRPr="00814B6E">
        <w:rPr>
          <w:rFonts w:ascii="Times New Roman" w:hAnsi="Times New Roman" w:cs="Times New Roman"/>
          <w:sz w:val="24"/>
          <w:szCs w:val="24"/>
        </w:rPr>
        <w:t xml:space="preserve"> and </w:t>
      </w:r>
      <w:proofErr w:type="spellStart"/>
      <w:r w:rsidRPr="00814B6E">
        <w:rPr>
          <w:rFonts w:ascii="Times New Roman" w:hAnsi="Times New Roman" w:cs="Times New Roman"/>
          <w:sz w:val="24"/>
          <w:szCs w:val="24"/>
        </w:rPr>
        <w:t>Strulik</w:t>
      </w:r>
      <w:proofErr w:type="spellEnd"/>
      <w:r w:rsidRPr="00814B6E">
        <w:rPr>
          <w:rFonts w:ascii="Times New Roman" w:hAnsi="Times New Roman" w:cs="Times New Roman"/>
          <w:sz w:val="24"/>
          <w:szCs w:val="24"/>
        </w:rPr>
        <w:t xml:space="preserve"> (2020) and Bekele et al. (2024) in the case of sub-Saharan Africa. The trade openness (0.195, 0.245), foreign direct investment (0.231, 0.245), and the structural adjustment dummy (0.245, 0.245) were not significant at standard levels; their coefficients indicated that they had no statistically significant marginal impacts, which could be explained by structural trade imbalances, concentration of FDI in extractive industries, or the fact that it took a long time to implement SAP (</w:t>
      </w:r>
      <w:proofErr w:type="spellStart"/>
      <w:r w:rsidRPr="00814B6E">
        <w:rPr>
          <w:rFonts w:ascii="Times New Roman" w:hAnsi="Times New Roman" w:cs="Times New Roman"/>
          <w:sz w:val="24"/>
          <w:szCs w:val="24"/>
        </w:rPr>
        <w:t>Adegboye</w:t>
      </w:r>
      <w:proofErr w:type="spellEnd"/>
      <w:r w:rsidRPr="00814B6E">
        <w:rPr>
          <w:rFonts w:ascii="Times New Roman" w:hAnsi="Times New Roman" w:cs="Times New Roman"/>
          <w:sz w:val="24"/>
          <w:szCs w:val="24"/>
        </w:rPr>
        <w:t xml:space="preserve"> et al., 2020; </w:t>
      </w:r>
      <w:proofErr w:type="spellStart"/>
      <w:r w:rsidRPr="00814B6E">
        <w:rPr>
          <w:rFonts w:ascii="Times New Roman" w:hAnsi="Times New Roman" w:cs="Times New Roman"/>
          <w:sz w:val="24"/>
          <w:szCs w:val="24"/>
        </w:rPr>
        <w:t>Voumik</w:t>
      </w:r>
      <w:proofErr w:type="spellEnd"/>
      <w:r w:rsidRPr="00814B6E">
        <w:rPr>
          <w:rFonts w:ascii="Times New Roman" w:hAnsi="Times New Roman" w:cs="Times New Roman"/>
          <w:sz w:val="24"/>
          <w:szCs w:val="24"/>
        </w:rPr>
        <w:t xml:space="preserve"> et al., 2023).</w:t>
      </w:r>
    </w:p>
    <w:p w14:paraId="50A3A595" w14:textId="77777777" w:rsidR="002C3533" w:rsidRPr="00814B6E" w:rsidRDefault="002C3533" w:rsidP="00911184">
      <w:pPr>
        <w:spacing w:line="240" w:lineRule="auto"/>
        <w:contextualSpacing/>
        <w:jc w:val="both"/>
        <w:rPr>
          <w:rFonts w:ascii="Times New Roman" w:hAnsi="Times New Roman" w:cs="Times New Roman"/>
          <w:sz w:val="24"/>
          <w:szCs w:val="24"/>
        </w:rPr>
      </w:pPr>
    </w:p>
    <w:p w14:paraId="69F9CEF6" w14:textId="77777777" w:rsidR="00814B6E" w:rsidRPr="00814B6E" w:rsidRDefault="00814B6E" w:rsidP="00911184">
      <w:pPr>
        <w:spacing w:line="240" w:lineRule="auto"/>
        <w:contextualSpacing/>
        <w:jc w:val="both"/>
        <w:rPr>
          <w:rFonts w:ascii="Times New Roman" w:hAnsi="Times New Roman" w:cs="Times New Roman"/>
          <w:b/>
          <w:bCs/>
          <w:sz w:val="24"/>
          <w:szCs w:val="24"/>
        </w:rPr>
      </w:pPr>
      <w:r w:rsidRPr="00814B6E">
        <w:rPr>
          <w:rFonts w:ascii="Times New Roman" w:hAnsi="Times New Roman" w:cs="Times New Roman"/>
          <w:b/>
          <w:bCs/>
          <w:sz w:val="24"/>
          <w:szCs w:val="24"/>
        </w:rPr>
        <w:t>7. CONCLUSION AND RECOMMENDATIONS</w:t>
      </w:r>
    </w:p>
    <w:p w14:paraId="2F85AC4E" w14:textId="77777777" w:rsidR="00814B6E" w:rsidRPr="00814B6E" w:rsidRDefault="00814B6E" w:rsidP="00911184">
      <w:pPr>
        <w:spacing w:line="240" w:lineRule="auto"/>
        <w:contextualSpacing/>
        <w:jc w:val="both"/>
        <w:rPr>
          <w:rFonts w:ascii="Times New Roman" w:hAnsi="Times New Roman" w:cs="Times New Roman"/>
          <w:b/>
          <w:bCs/>
          <w:sz w:val="24"/>
          <w:szCs w:val="24"/>
        </w:rPr>
      </w:pPr>
      <w:r w:rsidRPr="00814B6E">
        <w:rPr>
          <w:rFonts w:ascii="Times New Roman" w:hAnsi="Times New Roman" w:cs="Times New Roman"/>
          <w:b/>
          <w:bCs/>
          <w:sz w:val="24"/>
          <w:szCs w:val="24"/>
        </w:rPr>
        <w:t>7.1 Conclusion</w:t>
      </w:r>
    </w:p>
    <w:p w14:paraId="362FE642" w14:textId="77777777" w:rsidR="00814B6E" w:rsidRP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 paper has explored the impacts of government spending on primary, secondary, and tertiary education on economic growth in Kenya between 1971 and 2023 through the ARDL bounds testing model. The results show that education investment affects the economic growth in various ways depending on the education level to which the investment is being made. Spending on primary education has a positive economic growth impact in the long run, and its statistical significance is statistically significant at the 1% level, indicating that the development of basic skills and human capital leads to increased labor productivity and economic growth in the long run. But over the short term, the expenditure on primary education is negative at the 10 percent mark, as this is an adjustment cost and lags in time before the productivity benefits are realized.</w:t>
      </w:r>
    </w:p>
    <w:p w14:paraId="66A1351C" w14:textId="08789CE1"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 expenditure on secondary education has a positive short-run effect but a negative long-run effect at the 10% level. This means that as much as secondary spending can lead to demand-side effects resulting in immediate economic activity, its contribution is limited in the long term due to the mismatch in skills, low industrial absorption, and quality shortfalls. There is no statistically significant impact on economic growth either in the short or the long run of tertiary education expenditure. There is no guarantee the potential benefits of higher education will be achieved because of graduate unemployment, skills gaps, poor commercialization of research, and poor university-industry connectivity.</w:t>
      </w:r>
    </w:p>
    <w:p w14:paraId="16270C94" w14:textId="77777777" w:rsidR="002C3533" w:rsidRPr="00814B6E" w:rsidRDefault="002C3533" w:rsidP="00911184">
      <w:pPr>
        <w:spacing w:line="240" w:lineRule="auto"/>
        <w:contextualSpacing/>
        <w:jc w:val="both"/>
        <w:rPr>
          <w:rFonts w:ascii="Times New Roman" w:hAnsi="Times New Roman" w:cs="Times New Roman"/>
          <w:sz w:val="24"/>
          <w:szCs w:val="24"/>
        </w:rPr>
      </w:pPr>
    </w:p>
    <w:p w14:paraId="517F69C8" w14:textId="7CA8E9F3"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 xml:space="preserve">Gross fixed capital formation is a highly positive long-run impact at the 1% level, and hence the significance of the accumulation of physical capital, but this is offset by a negative short-run impact at the 10% level, which may be due to the effect of import dependence and lags in implementation. The negative long-run effect level of population growth is negative at the 10% level, which implies that there is pressure on per capita income. The statistical significance of trade openness, FDI, and structural adjustment dummy is not significant. In conclusion, education expenditure composition is important in stimulating economic growth in Kenya. The most significant benefits in the long-term growth are in primary education, and the value of secondary and tertiary education relies on supplementary policies that enhance the quality of education, its </w:t>
      </w:r>
      <w:r w:rsidRPr="00814B6E">
        <w:rPr>
          <w:rFonts w:ascii="Times New Roman" w:hAnsi="Times New Roman" w:cs="Times New Roman"/>
          <w:sz w:val="24"/>
          <w:szCs w:val="24"/>
        </w:rPr>
        <w:lastRenderedPageBreak/>
        <w:t>labor market suitability, and productive use of human capital. Distribution of education resources at the levels is a key factor to sustainable economic growth.</w:t>
      </w:r>
    </w:p>
    <w:p w14:paraId="77240B21" w14:textId="3CCBFAEF" w:rsidR="002C3533" w:rsidRDefault="002C3533" w:rsidP="00911184">
      <w:pPr>
        <w:spacing w:line="240" w:lineRule="auto"/>
        <w:contextualSpacing/>
        <w:jc w:val="both"/>
        <w:rPr>
          <w:rFonts w:ascii="Times New Roman" w:hAnsi="Times New Roman" w:cs="Times New Roman"/>
          <w:sz w:val="24"/>
          <w:szCs w:val="24"/>
        </w:rPr>
      </w:pPr>
    </w:p>
    <w:p w14:paraId="786665BB" w14:textId="0B59BF02" w:rsidR="002C3533" w:rsidRDefault="002C3533" w:rsidP="00911184">
      <w:pPr>
        <w:spacing w:line="240" w:lineRule="auto"/>
        <w:contextualSpacing/>
        <w:jc w:val="both"/>
        <w:rPr>
          <w:rFonts w:ascii="Times New Roman" w:hAnsi="Times New Roman" w:cs="Times New Roman"/>
          <w:sz w:val="24"/>
          <w:szCs w:val="24"/>
        </w:rPr>
      </w:pPr>
    </w:p>
    <w:p w14:paraId="0D015DD0" w14:textId="77777777" w:rsidR="002C3533" w:rsidRPr="00814B6E" w:rsidRDefault="002C3533" w:rsidP="00911184">
      <w:pPr>
        <w:spacing w:line="240" w:lineRule="auto"/>
        <w:contextualSpacing/>
        <w:jc w:val="both"/>
        <w:rPr>
          <w:rFonts w:ascii="Times New Roman" w:hAnsi="Times New Roman" w:cs="Times New Roman"/>
          <w:sz w:val="24"/>
          <w:szCs w:val="24"/>
        </w:rPr>
      </w:pPr>
    </w:p>
    <w:p w14:paraId="200A0C1A" w14:textId="77777777" w:rsidR="00814B6E" w:rsidRPr="00B32942" w:rsidRDefault="00814B6E"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7.2 Policy Recommendations</w:t>
      </w:r>
    </w:p>
    <w:p w14:paraId="3C7F113F" w14:textId="77777777" w:rsidR="00814B6E" w:rsidRPr="00814B6E" w:rsidRDefault="00814B6E" w:rsidP="00911184">
      <w:pPr>
        <w:spacing w:line="240" w:lineRule="auto"/>
        <w:contextualSpacing/>
        <w:jc w:val="both"/>
        <w:rPr>
          <w:rFonts w:ascii="Times New Roman" w:hAnsi="Times New Roman" w:cs="Times New Roman"/>
          <w:sz w:val="24"/>
          <w:szCs w:val="24"/>
        </w:rPr>
      </w:pPr>
      <w:proofErr w:type="spellStart"/>
      <w:r w:rsidRPr="00814B6E">
        <w:rPr>
          <w:rFonts w:ascii="Times New Roman" w:hAnsi="Times New Roman" w:cs="Times New Roman"/>
          <w:sz w:val="24"/>
          <w:szCs w:val="24"/>
        </w:rPr>
        <w:t>i</w:t>
      </w:r>
      <w:proofErr w:type="spellEnd"/>
      <w:r w:rsidRPr="00814B6E">
        <w:rPr>
          <w:rFonts w:ascii="Times New Roman" w:hAnsi="Times New Roman" w:cs="Times New Roman"/>
          <w:sz w:val="24"/>
          <w:szCs w:val="24"/>
        </w:rPr>
        <w:t>. The share of spending on primary education should be prioritized and safeguarded by the government, as the greater contribution to economic growth is the most robust and enduring contribution of strengthening foundational human capital.</w:t>
      </w:r>
    </w:p>
    <w:p w14:paraId="71C56285" w14:textId="77777777" w:rsidR="00814B6E" w:rsidRP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ii. By increasing funding to secondary education, it should be complemented with curriculum reform, technical skill realignment, and greater integration into the labor market to make sure that increased funding is married to long-term productivity improvements and not short-term fiscal stimulus impacts.</w:t>
      </w:r>
    </w:p>
    <w:p w14:paraId="3C6170D8" w14:textId="5DEF0840"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 xml:space="preserve">iii. Education spending needs to be translated into sustainable economic growth using complementary investments in </w:t>
      </w:r>
      <w:r w:rsidR="00B32942">
        <w:rPr>
          <w:rFonts w:ascii="Times New Roman" w:hAnsi="Times New Roman" w:cs="Times New Roman"/>
          <w:sz w:val="24"/>
          <w:szCs w:val="24"/>
        </w:rPr>
        <w:t>Gross Fixed C</w:t>
      </w:r>
      <w:r w:rsidRPr="00814B6E">
        <w:rPr>
          <w:rFonts w:ascii="Times New Roman" w:hAnsi="Times New Roman" w:cs="Times New Roman"/>
          <w:sz w:val="24"/>
          <w:szCs w:val="24"/>
        </w:rPr>
        <w:t xml:space="preserve">apital </w:t>
      </w:r>
      <w:r w:rsidR="00B32942">
        <w:rPr>
          <w:rFonts w:ascii="Times New Roman" w:hAnsi="Times New Roman" w:cs="Times New Roman"/>
          <w:sz w:val="24"/>
          <w:szCs w:val="24"/>
        </w:rPr>
        <w:t xml:space="preserve">Formation </w:t>
      </w:r>
      <w:r w:rsidRPr="00814B6E">
        <w:rPr>
          <w:rFonts w:ascii="Times New Roman" w:hAnsi="Times New Roman" w:cs="Times New Roman"/>
          <w:sz w:val="24"/>
          <w:szCs w:val="24"/>
        </w:rPr>
        <w:t xml:space="preserve">(GFCF) as well as governance reforms: transparency, anti-corruption, and merit-based recruiting. </w:t>
      </w:r>
    </w:p>
    <w:p w14:paraId="361C745D" w14:textId="77777777" w:rsidR="002C3533" w:rsidRPr="00814B6E" w:rsidRDefault="002C3533" w:rsidP="00911184">
      <w:pPr>
        <w:spacing w:line="240" w:lineRule="auto"/>
        <w:contextualSpacing/>
        <w:jc w:val="both"/>
        <w:rPr>
          <w:rFonts w:ascii="Times New Roman" w:hAnsi="Times New Roman" w:cs="Times New Roman"/>
          <w:sz w:val="24"/>
          <w:szCs w:val="24"/>
        </w:rPr>
      </w:pPr>
    </w:p>
    <w:p w14:paraId="0132D0EF" w14:textId="77777777" w:rsidR="00814B6E" w:rsidRPr="00B32942" w:rsidRDefault="00814B6E" w:rsidP="00911184">
      <w:pPr>
        <w:spacing w:line="240" w:lineRule="auto"/>
        <w:contextualSpacing/>
        <w:jc w:val="both"/>
        <w:rPr>
          <w:rFonts w:ascii="Times New Roman" w:hAnsi="Times New Roman" w:cs="Times New Roman"/>
          <w:b/>
          <w:bCs/>
          <w:sz w:val="24"/>
          <w:szCs w:val="24"/>
        </w:rPr>
      </w:pPr>
      <w:r w:rsidRPr="00B32942">
        <w:rPr>
          <w:rFonts w:ascii="Times New Roman" w:hAnsi="Times New Roman" w:cs="Times New Roman"/>
          <w:b/>
          <w:bCs/>
          <w:sz w:val="24"/>
          <w:szCs w:val="24"/>
        </w:rPr>
        <w:t>7.3 Limitations and Future Research.</w:t>
      </w:r>
    </w:p>
    <w:p w14:paraId="158618B9" w14:textId="77777777" w:rsidR="00814B6E" w:rsidRP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There are some limitations in this study. A weakness of the study is that it used national time-series data, which can be used to cover national gaps in education spending and economic development in Kenya. Future studies, therefore, ought to be performed at the county or regional level so as to give a more in-depth insight into the impact of education expenditure on the economic growth in various geographical settings. The other weakness is that the research was only on public education spending and not on the spending of private education because of the scarcity of data. Future research ought to thus include both government and non-government spending on education to give a more accurate picture of the investment in education. Also, the research did not measure the individual sector impacts but looked at the overall economic development. Future studies ought to examine how education spending affects major sectors in the economy like agriculture, manufacturing, and services. Lastly, the macroeconomic data constrained the analysis of the effects of education on the household and firm levels. Further research must employ household or firm-level data to determine the impacts of education on productivity, employment, and income production at the grassroots level.</w:t>
      </w:r>
    </w:p>
    <w:p w14:paraId="124E390B" w14:textId="77777777" w:rsidR="002C3533" w:rsidRDefault="002C3533" w:rsidP="00911184">
      <w:pPr>
        <w:spacing w:line="240" w:lineRule="auto"/>
        <w:contextualSpacing/>
        <w:jc w:val="both"/>
        <w:rPr>
          <w:rFonts w:ascii="Times New Roman" w:hAnsi="Times New Roman" w:cs="Times New Roman"/>
          <w:b/>
          <w:bCs/>
          <w:sz w:val="24"/>
          <w:szCs w:val="24"/>
        </w:rPr>
      </w:pPr>
    </w:p>
    <w:p w14:paraId="546F3804" w14:textId="57D49B14" w:rsidR="00814B6E" w:rsidRPr="002C3533" w:rsidRDefault="00814B6E" w:rsidP="00911184">
      <w:pPr>
        <w:spacing w:line="240" w:lineRule="auto"/>
        <w:contextualSpacing/>
        <w:jc w:val="both"/>
        <w:rPr>
          <w:rFonts w:ascii="Times New Roman" w:hAnsi="Times New Roman" w:cs="Times New Roman"/>
          <w:b/>
          <w:bCs/>
          <w:sz w:val="24"/>
          <w:szCs w:val="24"/>
        </w:rPr>
      </w:pPr>
      <w:r w:rsidRPr="002C3533">
        <w:rPr>
          <w:rFonts w:ascii="Times New Roman" w:hAnsi="Times New Roman" w:cs="Times New Roman"/>
          <w:b/>
          <w:bCs/>
          <w:sz w:val="24"/>
          <w:szCs w:val="24"/>
        </w:rPr>
        <w:t>Conflict of interest</w:t>
      </w:r>
    </w:p>
    <w:p w14:paraId="49C4C962" w14:textId="28902F8C"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None declared. The authors ensure that no financial, personal, or professional relationships can be considered as a conflict of interest in relation to this research. All authors have no consultancy fee, honoraria, or stock ownership with any organization that might gain or lose as a result of the results of this study. Moreover, none of the authors are affiliated with any government committee or non-governmental organization that could have affected the research design, data analysis, or interpretation of the results. The study has been conducted by all authors in an independent and objective way, without any external influence and bias on the conclusions made based only on the empirical evidence.</w:t>
      </w:r>
    </w:p>
    <w:p w14:paraId="3E7CE11B" w14:textId="77777777" w:rsidR="002C3533" w:rsidRPr="00814B6E" w:rsidRDefault="002C3533" w:rsidP="00911184">
      <w:pPr>
        <w:spacing w:line="240" w:lineRule="auto"/>
        <w:contextualSpacing/>
        <w:jc w:val="both"/>
        <w:rPr>
          <w:rFonts w:ascii="Times New Roman" w:hAnsi="Times New Roman" w:cs="Times New Roman"/>
          <w:sz w:val="24"/>
          <w:szCs w:val="24"/>
        </w:rPr>
      </w:pPr>
    </w:p>
    <w:p w14:paraId="1D6E812E" w14:textId="77777777" w:rsidR="00814B6E" w:rsidRPr="00814B6E" w:rsidRDefault="00814B6E" w:rsidP="00911184">
      <w:pPr>
        <w:spacing w:line="240" w:lineRule="auto"/>
        <w:contextualSpacing/>
        <w:jc w:val="both"/>
        <w:rPr>
          <w:rFonts w:ascii="Times New Roman" w:hAnsi="Times New Roman" w:cs="Times New Roman"/>
          <w:b/>
          <w:bCs/>
          <w:sz w:val="24"/>
          <w:szCs w:val="24"/>
        </w:rPr>
      </w:pPr>
      <w:r w:rsidRPr="00814B6E">
        <w:rPr>
          <w:rFonts w:ascii="Times New Roman" w:hAnsi="Times New Roman" w:cs="Times New Roman"/>
          <w:b/>
          <w:bCs/>
          <w:sz w:val="24"/>
          <w:szCs w:val="24"/>
        </w:rPr>
        <w:t>Data availability</w:t>
      </w:r>
    </w:p>
    <w:p w14:paraId="335E8D9D" w14:textId="1932EAB3" w:rsid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 xml:space="preserve">The entire information employed in this research is accessible in the World Bank Development Indicators database (https://databank.worldbank.org) and the Kenya National Bureau of Statistics </w:t>
      </w:r>
      <w:r w:rsidRPr="00814B6E">
        <w:rPr>
          <w:rFonts w:ascii="Times New Roman" w:hAnsi="Times New Roman" w:cs="Times New Roman"/>
          <w:sz w:val="24"/>
          <w:szCs w:val="24"/>
        </w:rPr>
        <w:lastRenderedPageBreak/>
        <w:t xml:space="preserve">(https://www.knbs.or.ke). In particular, the sources of GDP per capita growth, education expenditure shares (primary, secondary, and tertiary), gross fixed capital formation, trade openness, FDI inflows, and population growth were obtained from the World Bank. </w:t>
      </w:r>
    </w:p>
    <w:p w14:paraId="516298FD" w14:textId="77777777" w:rsidR="00877631" w:rsidRPr="00814B6E" w:rsidRDefault="00877631" w:rsidP="00911184">
      <w:pPr>
        <w:spacing w:line="240" w:lineRule="auto"/>
        <w:contextualSpacing/>
        <w:jc w:val="both"/>
        <w:rPr>
          <w:rFonts w:ascii="Times New Roman" w:hAnsi="Times New Roman" w:cs="Times New Roman"/>
          <w:sz w:val="24"/>
          <w:szCs w:val="24"/>
        </w:rPr>
      </w:pPr>
    </w:p>
    <w:p w14:paraId="4D6B99F3" w14:textId="77777777" w:rsidR="00814B6E" w:rsidRPr="00814B6E" w:rsidRDefault="00814B6E" w:rsidP="00911184">
      <w:pPr>
        <w:spacing w:line="240" w:lineRule="auto"/>
        <w:contextualSpacing/>
        <w:jc w:val="both"/>
        <w:rPr>
          <w:rFonts w:ascii="Times New Roman" w:hAnsi="Times New Roman" w:cs="Times New Roman"/>
          <w:b/>
          <w:bCs/>
          <w:sz w:val="24"/>
          <w:szCs w:val="24"/>
        </w:rPr>
      </w:pPr>
      <w:r w:rsidRPr="00814B6E">
        <w:rPr>
          <w:rFonts w:ascii="Times New Roman" w:hAnsi="Times New Roman" w:cs="Times New Roman"/>
          <w:b/>
          <w:bCs/>
          <w:sz w:val="24"/>
          <w:szCs w:val="24"/>
        </w:rPr>
        <w:t>Acknowledgements</w:t>
      </w:r>
    </w:p>
    <w:p w14:paraId="33FDD7EB" w14:textId="77777777" w:rsidR="00814B6E" w:rsidRPr="00814B6E" w:rsidRDefault="00814B6E" w:rsidP="00911184">
      <w:pPr>
        <w:spacing w:line="240" w:lineRule="auto"/>
        <w:contextualSpacing/>
        <w:jc w:val="both"/>
        <w:rPr>
          <w:rFonts w:ascii="Times New Roman" w:hAnsi="Times New Roman" w:cs="Times New Roman"/>
          <w:sz w:val="24"/>
          <w:szCs w:val="24"/>
        </w:rPr>
      </w:pPr>
      <w:r w:rsidRPr="00814B6E">
        <w:rPr>
          <w:rFonts w:ascii="Times New Roman" w:hAnsi="Times New Roman" w:cs="Times New Roman"/>
          <w:sz w:val="24"/>
          <w:szCs w:val="24"/>
        </w:rPr>
        <w:t>The authors appreciate the support of the institutional environment of Chuka University, such as library materials, research databases, and statistical software. We thank the Department of Economics and the faculty of humanities, who helped to create a conducive academic learning environment, and the constructive feedback, which we received during departmental seminars and defenses. Special recognition must be made to the postgraduate studies office of the university, which helped with administration all through the research process. We also credit the Kenya National Bureau of Statistics and the World Bank, which have stored and availed quality macroeconomic data, which has enabled this study.</w:t>
      </w:r>
    </w:p>
    <w:p w14:paraId="2C5127A4" w14:textId="77777777" w:rsidR="00814B6E" w:rsidRPr="00814B6E" w:rsidRDefault="00814B6E" w:rsidP="00814B6E">
      <w:pPr>
        <w:spacing w:line="240" w:lineRule="auto"/>
        <w:contextualSpacing/>
        <w:jc w:val="both"/>
        <w:rPr>
          <w:rFonts w:ascii="Times New Roman" w:hAnsi="Times New Roman" w:cs="Times New Roman"/>
          <w:sz w:val="24"/>
          <w:szCs w:val="24"/>
        </w:rPr>
      </w:pPr>
    </w:p>
    <w:p w14:paraId="4C9EAB4A" w14:textId="77777777" w:rsidR="006B149C" w:rsidRPr="00C70795" w:rsidRDefault="006B149C" w:rsidP="003327C7">
      <w:pPr>
        <w:spacing w:line="240" w:lineRule="auto"/>
        <w:contextualSpacing/>
        <w:jc w:val="both"/>
        <w:rPr>
          <w:rFonts w:ascii="Times New Roman" w:hAnsi="Times New Roman" w:cs="Times New Roman"/>
          <w:sz w:val="24"/>
          <w:szCs w:val="24"/>
        </w:rPr>
      </w:pPr>
    </w:p>
    <w:p w14:paraId="1B837718" w14:textId="0D05EBE4" w:rsidR="005A4DBE" w:rsidRPr="00B70E45" w:rsidRDefault="00C70795" w:rsidP="002B3680">
      <w:pPr>
        <w:spacing w:line="240" w:lineRule="auto"/>
        <w:contextualSpacing/>
        <w:jc w:val="both"/>
        <w:rPr>
          <w:rFonts w:ascii="Times New Roman" w:hAnsi="Times New Roman" w:cs="Times New Roman"/>
          <w:b/>
          <w:bCs/>
          <w:sz w:val="24"/>
          <w:szCs w:val="24"/>
        </w:rPr>
      </w:pPr>
      <w:r w:rsidRPr="00C70795">
        <w:rPr>
          <w:rFonts w:ascii="Times New Roman" w:hAnsi="Times New Roman" w:cs="Times New Roman"/>
          <w:b/>
          <w:bCs/>
          <w:sz w:val="24"/>
          <w:szCs w:val="24"/>
        </w:rPr>
        <w:t>REFERENCES</w:t>
      </w:r>
    </w:p>
    <w:p w14:paraId="5C6C6339" w14:textId="20CAECF0" w:rsidR="00CE7FA8" w:rsidRDefault="00CE7FA8" w:rsidP="00612A34">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Adegboye</w:t>
      </w:r>
      <w:proofErr w:type="spellEnd"/>
      <w:r w:rsidRPr="00CE7FA8">
        <w:rPr>
          <w:rFonts w:ascii="Times New Roman" w:hAnsi="Times New Roman" w:cs="Times New Roman"/>
          <w:sz w:val="24"/>
          <w:szCs w:val="24"/>
        </w:rPr>
        <w:t xml:space="preserve">, F., </w:t>
      </w:r>
      <w:proofErr w:type="spellStart"/>
      <w:r w:rsidRPr="00CE7FA8">
        <w:rPr>
          <w:rFonts w:ascii="Times New Roman" w:hAnsi="Times New Roman" w:cs="Times New Roman"/>
          <w:sz w:val="24"/>
          <w:szCs w:val="24"/>
        </w:rPr>
        <w:t>Osabohien</w:t>
      </w:r>
      <w:proofErr w:type="spellEnd"/>
      <w:r w:rsidRPr="00CE7FA8">
        <w:rPr>
          <w:rFonts w:ascii="Times New Roman" w:hAnsi="Times New Roman" w:cs="Times New Roman"/>
          <w:sz w:val="24"/>
          <w:szCs w:val="24"/>
        </w:rPr>
        <w:t xml:space="preserve">, R. A., </w:t>
      </w:r>
      <w:proofErr w:type="spellStart"/>
      <w:r w:rsidRPr="00CE7FA8">
        <w:rPr>
          <w:rFonts w:ascii="Times New Roman" w:hAnsi="Times New Roman" w:cs="Times New Roman"/>
          <w:sz w:val="24"/>
          <w:szCs w:val="24"/>
        </w:rPr>
        <w:t>Olokoyo</w:t>
      </w:r>
      <w:proofErr w:type="spellEnd"/>
      <w:r w:rsidRPr="00CE7FA8">
        <w:rPr>
          <w:rFonts w:ascii="Times New Roman" w:hAnsi="Times New Roman" w:cs="Times New Roman"/>
          <w:sz w:val="24"/>
          <w:szCs w:val="24"/>
        </w:rPr>
        <w:t xml:space="preserve">, F., Matthew, O., &amp; </w:t>
      </w:r>
      <w:proofErr w:type="spellStart"/>
      <w:r w:rsidRPr="00CE7FA8">
        <w:rPr>
          <w:rFonts w:ascii="Times New Roman" w:hAnsi="Times New Roman" w:cs="Times New Roman"/>
          <w:sz w:val="24"/>
          <w:szCs w:val="24"/>
        </w:rPr>
        <w:t>Adediran</w:t>
      </w:r>
      <w:proofErr w:type="spellEnd"/>
      <w:r w:rsidRPr="00CE7FA8">
        <w:rPr>
          <w:rFonts w:ascii="Times New Roman" w:hAnsi="Times New Roman" w:cs="Times New Roman"/>
          <w:sz w:val="24"/>
          <w:szCs w:val="24"/>
        </w:rPr>
        <w:t xml:space="preserve">, O. S. (2020). Institutional quality, foreign direct investment, and economic development in sub-Saharan Africa. Humanities and Social Sciences Communications, 7. </w:t>
      </w:r>
      <w:hyperlink r:id="rId9" w:history="1">
        <w:r w:rsidR="00612A34" w:rsidRPr="001001C3">
          <w:rPr>
            <w:rStyle w:val="Hyperlink"/>
            <w:rFonts w:ascii="Times New Roman" w:hAnsi="Times New Roman" w:cs="Times New Roman"/>
            <w:sz w:val="24"/>
            <w:szCs w:val="24"/>
          </w:rPr>
          <w:t>https://doi.org/10.1057/s41599-020-0529-x</w:t>
        </w:r>
      </w:hyperlink>
    </w:p>
    <w:p w14:paraId="15179732" w14:textId="052D3FAC"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Aghion, P., </w:t>
      </w:r>
      <w:proofErr w:type="spellStart"/>
      <w:r w:rsidRPr="00CE7FA8">
        <w:rPr>
          <w:rFonts w:ascii="Times New Roman" w:hAnsi="Times New Roman" w:cs="Times New Roman"/>
          <w:sz w:val="24"/>
          <w:szCs w:val="24"/>
        </w:rPr>
        <w:t>Akcigit</w:t>
      </w:r>
      <w:proofErr w:type="spellEnd"/>
      <w:r w:rsidRPr="00CE7FA8">
        <w:rPr>
          <w:rFonts w:ascii="Times New Roman" w:hAnsi="Times New Roman" w:cs="Times New Roman"/>
          <w:sz w:val="24"/>
          <w:szCs w:val="24"/>
        </w:rPr>
        <w:t>, U., &amp; Howitt, P. (2015). The Schumpeterian growth paradigm. Annual R</w:t>
      </w:r>
      <w:r w:rsidR="005106CE">
        <w:rPr>
          <w:rFonts w:ascii="Times New Roman" w:hAnsi="Times New Roman" w:cs="Times New Roman"/>
          <w:sz w:val="24"/>
          <w:szCs w:val="24"/>
        </w:rPr>
        <w:t>eview of Economics, 7, 557–575.</w:t>
      </w:r>
    </w:p>
    <w:p w14:paraId="129F6E51" w14:textId="59C0AA8B"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Alfoul</w:t>
      </w:r>
      <w:proofErr w:type="spellEnd"/>
      <w:r w:rsidRPr="00CE7FA8">
        <w:rPr>
          <w:rFonts w:ascii="Times New Roman" w:hAnsi="Times New Roman" w:cs="Times New Roman"/>
          <w:sz w:val="24"/>
          <w:szCs w:val="24"/>
        </w:rPr>
        <w:t xml:space="preserve">, M. A. A., </w:t>
      </w:r>
      <w:proofErr w:type="spellStart"/>
      <w:r w:rsidRPr="00CE7FA8">
        <w:rPr>
          <w:rFonts w:ascii="Times New Roman" w:hAnsi="Times New Roman" w:cs="Times New Roman"/>
          <w:sz w:val="24"/>
          <w:szCs w:val="24"/>
        </w:rPr>
        <w:t>Bazhair</w:t>
      </w:r>
      <w:proofErr w:type="spellEnd"/>
      <w:r w:rsidRPr="00CE7FA8">
        <w:rPr>
          <w:rFonts w:ascii="Times New Roman" w:hAnsi="Times New Roman" w:cs="Times New Roman"/>
          <w:sz w:val="24"/>
          <w:szCs w:val="24"/>
        </w:rPr>
        <w:t xml:space="preserve">, A., </w:t>
      </w:r>
      <w:proofErr w:type="spellStart"/>
      <w:r w:rsidRPr="00CE7FA8">
        <w:rPr>
          <w:rFonts w:ascii="Times New Roman" w:hAnsi="Times New Roman" w:cs="Times New Roman"/>
          <w:sz w:val="24"/>
          <w:szCs w:val="24"/>
        </w:rPr>
        <w:t>Khatatbeh</w:t>
      </w:r>
      <w:proofErr w:type="spellEnd"/>
      <w:r w:rsidRPr="00CE7FA8">
        <w:rPr>
          <w:rFonts w:ascii="Times New Roman" w:hAnsi="Times New Roman" w:cs="Times New Roman"/>
          <w:sz w:val="24"/>
          <w:szCs w:val="24"/>
        </w:rPr>
        <w:t>, I., Arian, A. G., &amp; Al-Foul, M. A. N. (2024). The effect of education on economic growth in Sub-Saharan African countries: Do institutions matter? Economies, 12(11), 300. https://do</w:t>
      </w:r>
      <w:r w:rsidR="005106CE">
        <w:rPr>
          <w:rFonts w:ascii="Times New Roman" w:hAnsi="Times New Roman" w:cs="Times New Roman"/>
          <w:sz w:val="24"/>
          <w:szCs w:val="24"/>
        </w:rPr>
        <w:t>i.org/10.3390/economies12110300</w:t>
      </w:r>
    </w:p>
    <w:p w14:paraId="076DF654" w14:textId="1233E7F8"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Awe, A. A., &amp; Ajayi, O. V. (2019). Education expenditure and economic growth in Nigeria: A disaggregated approach. Journal of Economics and Sustain</w:t>
      </w:r>
      <w:r w:rsidR="005106CE">
        <w:rPr>
          <w:rFonts w:ascii="Times New Roman" w:hAnsi="Times New Roman" w:cs="Times New Roman"/>
          <w:sz w:val="24"/>
          <w:szCs w:val="24"/>
        </w:rPr>
        <w:t>able Development, 10(12), 1–12.</w:t>
      </w:r>
    </w:p>
    <w:p w14:paraId="419FB348" w14:textId="3F43FB31"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Bah, I. (2023). The relationship between education and economic growth: A cross-country analysis. Research, Society and Development, 12(5). https://d</w:t>
      </w:r>
      <w:r w:rsidR="005106CE">
        <w:rPr>
          <w:rFonts w:ascii="Times New Roman" w:hAnsi="Times New Roman" w:cs="Times New Roman"/>
          <w:sz w:val="24"/>
          <w:szCs w:val="24"/>
        </w:rPr>
        <w:t>oi.org/10.33448/rsd-v12i5.40522</w:t>
      </w:r>
    </w:p>
    <w:p w14:paraId="70F8999F" w14:textId="7EB3DC2C"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Barro, R. J. (2013). Education and economic growth. Annals of Economi</w:t>
      </w:r>
      <w:r w:rsidR="005106CE">
        <w:rPr>
          <w:rFonts w:ascii="Times New Roman" w:hAnsi="Times New Roman" w:cs="Times New Roman"/>
          <w:sz w:val="24"/>
          <w:szCs w:val="24"/>
        </w:rPr>
        <w:t>cs and Finance, 14(2), 301–328.</w:t>
      </w:r>
    </w:p>
    <w:p w14:paraId="52CA34E3" w14:textId="4740F21F"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Becker, G. S. (1964). Human capital: A theoretical and empirical analysis, with special reference to educatio</w:t>
      </w:r>
      <w:r w:rsidR="005106CE">
        <w:rPr>
          <w:rFonts w:ascii="Times New Roman" w:hAnsi="Times New Roman" w:cs="Times New Roman"/>
          <w:sz w:val="24"/>
          <w:szCs w:val="24"/>
        </w:rPr>
        <w:t>n. University of Chicago Press.</w:t>
      </w:r>
    </w:p>
    <w:p w14:paraId="061D11CB" w14:textId="174C1273"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Bekele, M., Sassi, M., Jemal, K., &amp; Ahmed, B. (2024). Human capital development and economic sustainability linkage in Sub-Saharan African countries: Novel evidence from augmented mean group approach. </w:t>
      </w:r>
      <w:proofErr w:type="spellStart"/>
      <w:r w:rsidRPr="00CE7FA8">
        <w:rPr>
          <w:rFonts w:ascii="Times New Roman" w:hAnsi="Times New Roman" w:cs="Times New Roman"/>
          <w:sz w:val="24"/>
          <w:szCs w:val="24"/>
        </w:rPr>
        <w:t>Heliyon</w:t>
      </w:r>
      <w:proofErr w:type="spellEnd"/>
      <w:r w:rsidRPr="00CE7FA8">
        <w:rPr>
          <w:rFonts w:ascii="Times New Roman" w:hAnsi="Times New Roman" w:cs="Times New Roman"/>
          <w:sz w:val="24"/>
          <w:szCs w:val="24"/>
        </w:rPr>
        <w:t>, 10. https://doi.or</w:t>
      </w:r>
      <w:r w:rsidR="005106CE">
        <w:rPr>
          <w:rFonts w:ascii="Times New Roman" w:hAnsi="Times New Roman" w:cs="Times New Roman"/>
          <w:sz w:val="24"/>
          <w:szCs w:val="24"/>
        </w:rPr>
        <w:t>g/10.1016/j.heliyon.2024.e24323</w:t>
      </w:r>
    </w:p>
    <w:p w14:paraId="549BB724" w14:textId="02BC9B64"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Bouoiyour</w:t>
      </w:r>
      <w:proofErr w:type="spellEnd"/>
      <w:r w:rsidRPr="00CE7FA8">
        <w:rPr>
          <w:rFonts w:ascii="Times New Roman" w:hAnsi="Times New Roman" w:cs="Times New Roman"/>
          <w:sz w:val="24"/>
          <w:szCs w:val="24"/>
        </w:rPr>
        <w:t>, J., &amp; Miftah, A. (2016). Education and economic growth in developing countries: A panel data analysis. International Journal of Economics and Fin</w:t>
      </w:r>
      <w:r w:rsidR="005106CE">
        <w:rPr>
          <w:rFonts w:ascii="Times New Roman" w:hAnsi="Times New Roman" w:cs="Times New Roman"/>
          <w:sz w:val="24"/>
          <w:szCs w:val="24"/>
        </w:rPr>
        <w:t>ancial Issues, 6(4), 1430–1437.</w:t>
      </w:r>
    </w:p>
    <w:p w14:paraId="1592C4D4" w14:textId="25A4EABF"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Bounahr</w:t>
      </w:r>
      <w:proofErr w:type="spellEnd"/>
      <w:r w:rsidRPr="00CE7FA8">
        <w:rPr>
          <w:rFonts w:ascii="Times New Roman" w:hAnsi="Times New Roman" w:cs="Times New Roman"/>
          <w:sz w:val="24"/>
          <w:szCs w:val="24"/>
        </w:rPr>
        <w:t xml:space="preserve">, I., &amp; Khattab, Y. E. (2025). Governance as a moderator of the education-growth nexus: Evidence from African economies. </w:t>
      </w:r>
      <w:proofErr w:type="spellStart"/>
      <w:r w:rsidRPr="00CE7FA8">
        <w:rPr>
          <w:rFonts w:ascii="Times New Roman" w:hAnsi="Times New Roman" w:cs="Times New Roman"/>
          <w:sz w:val="24"/>
          <w:szCs w:val="24"/>
        </w:rPr>
        <w:t>RMd</w:t>
      </w:r>
      <w:proofErr w:type="spellEnd"/>
      <w:r w:rsidRPr="00CE7FA8">
        <w:rPr>
          <w:rFonts w:ascii="Times New Roman" w:hAnsi="Times New Roman" w:cs="Times New Roman"/>
          <w:sz w:val="24"/>
          <w:szCs w:val="24"/>
        </w:rPr>
        <w:t>, Economics, Management &amp; Social Sciences. htt</w:t>
      </w:r>
      <w:r w:rsidR="005106CE">
        <w:rPr>
          <w:rFonts w:ascii="Times New Roman" w:hAnsi="Times New Roman" w:cs="Times New Roman"/>
          <w:sz w:val="24"/>
          <w:szCs w:val="24"/>
        </w:rPr>
        <w:t>ps://doi.org/10.23882/emss25171</w:t>
      </w:r>
    </w:p>
    <w:p w14:paraId="1B466C9A" w14:textId="48BAAA45"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Brooks, C. (2019). Classical Linear Regression Model Assumptions and Diagnostic Tests. In Introductory Econometrics for Finance. https://doi.o</w:t>
      </w:r>
      <w:r w:rsidR="005106CE">
        <w:rPr>
          <w:rFonts w:ascii="Times New Roman" w:hAnsi="Times New Roman" w:cs="Times New Roman"/>
          <w:sz w:val="24"/>
          <w:szCs w:val="24"/>
        </w:rPr>
        <w:t>rg/10.1017/cbo9780511841644.005</w:t>
      </w:r>
    </w:p>
    <w:p w14:paraId="4644EE86" w14:textId="7E529AFA"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lastRenderedPageBreak/>
        <w:t>Coman</w:t>
      </w:r>
      <w:proofErr w:type="spellEnd"/>
      <w:r w:rsidRPr="00CE7FA8">
        <w:rPr>
          <w:rFonts w:ascii="Times New Roman" w:hAnsi="Times New Roman" w:cs="Times New Roman"/>
          <w:sz w:val="24"/>
          <w:szCs w:val="24"/>
        </w:rPr>
        <w:t xml:space="preserve">, A., </w:t>
      </w:r>
      <w:proofErr w:type="spellStart"/>
      <w:r w:rsidRPr="00CE7FA8">
        <w:rPr>
          <w:rFonts w:ascii="Times New Roman" w:hAnsi="Times New Roman" w:cs="Times New Roman"/>
          <w:sz w:val="24"/>
          <w:szCs w:val="24"/>
        </w:rPr>
        <w:t>Lupu</w:t>
      </w:r>
      <w:proofErr w:type="spellEnd"/>
      <w:r w:rsidRPr="00CE7FA8">
        <w:rPr>
          <w:rFonts w:ascii="Times New Roman" w:hAnsi="Times New Roman" w:cs="Times New Roman"/>
          <w:sz w:val="24"/>
          <w:szCs w:val="24"/>
        </w:rPr>
        <w:t xml:space="preserve">, D., &amp; </w:t>
      </w:r>
      <w:proofErr w:type="spellStart"/>
      <w:r w:rsidRPr="00CE7FA8">
        <w:rPr>
          <w:rFonts w:ascii="Times New Roman" w:hAnsi="Times New Roman" w:cs="Times New Roman"/>
          <w:sz w:val="24"/>
          <w:szCs w:val="24"/>
        </w:rPr>
        <w:t>Nurciu</w:t>
      </w:r>
      <w:proofErr w:type="spellEnd"/>
      <w:r w:rsidRPr="00CE7FA8">
        <w:rPr>
          <w:rFonts w:ascii="Times New Roman" w:hAnsi="Times New Roman" w:cs="Times New Roman"/>
          <w:sz w:val="24"/>
          <w:szCs w:val="24"/>
        </w:rPr>
        <w:t>, C. (2023). Education expenditure and economic growth: A panel analysis for EU countries. Economic Research-</w:t>
      </w:r>
      <w:proofErr w:type="spellStart"/>
      <w:r w:rsidRPr="00CE7FA8">
        <w:rPr>
          <w:rFonts w:ascii="Times New Roman" w:hAnsi="Times New Roman" w:cs="Times New Roman"/>
          <w:sz w:val="24"/>
          <w:szCs w:val="24"/>
        </w:rPr>
        <w:t>Ekonomsk</w:t>
      </w:r>
      <w:r w:rsidR="005106CE">
        <w:rPr>
          <w:rFonts w:ascii="Times New Roman" w:hAnsi="Times New Roman" w:cs="Times New Roman"/>
          <w:sz w:val="24"/>
          <w:szCs w:val="24"/>
        </w:rPr>
        <w:t>a</w:t>
      </w:r>
      <w:proofErr w:type="spellEnd"/>
      <w:r w:rsidR="005106CE">
        <w:rPr>
          <w:rFonts w:ascii="Times New Roman" w:hAnsi="Times New Roman" w:cs="Times New Roman"/>
          <w:sz w:val="24"/>
          <w:szCs w:val="24"/>
        </w:rPr>
        <w:t xml:space="preserve"> </w:t>
      </w:r>
      <w:proofErr w:type="spellStart"/>
      <w:r w:rsidR="005106CE">
        <w:rPr>
          <w:rFonts w:ascii="Times New Roman" w:hAnsi="Times New Roman" w:cs="Times New Roman"/>
          <w:sz w:val="24"/>
          <w:szCs w:val="24"/>
        </w:rPr>
        <w:t>Istraživanja</w:t>
      </w:r>
      <w:proofErr w:type="spellEnd"/>
      <w:r w:rsidR="005106CE">
        <w:rPr>
          <w:rFonts w:ascii="Times New Roman" w:hAnsi="Times New Roman" w:cs="Times New Roman"/>
          <w:sz w:val="24"/>
          <w:szCs w:val="24"/>
        </w:rPr>
        <w:t>, 36(1), 215–231.</w:t>
      </w:r>
    </w:p>
    <w:p w14:paraId="790CAD55" w14:textId="728D9E4E"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Contreras, D., Galindo, A., &amp; Lepe, I. (2025). Education spending and economic growth: Short and long-term effects. h</w:t>
      </w:r>
      <w:r w:rsidR="005106CE">
        <w:rPr>
          <w:rFonts w:ascii="Times New Roman" w:hAnsi="Times New Roman" w:cs="Times New Roman"/>
          <w:sz w:val="24"/>
          <w:szCs w:val="24"/>
        </w:rPr>
        <w:t>ttps://doi.org/10.18235/0013634</w:t>
      </w:r>
    </w:p>
    <w:p w14:paraId="3F63B288" w14:textId="6CB60BCE"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Cooray, A., &amp; Nam, Y.-S. (2024). Public social spending, government effectiveness, and economic growth: An empirical investigation. Applied Economics, 57, 52–66. https://doi.or</w:t>
      </w:r>
      <w:r w:rsidR="005106CE">
        <w:rPr>
          <w:rFonts w:ascii="Times New Roman" w:hAnsi="Times New Roman" w:cs="Times New Roman"/>
          <w:sz w:val="24"/>
          <w:szCs w:val="24"/>
        </w:rPr>
        <w:t>g/10.1080/00036846.2024.2302933</w:t>
      </w:r>
    </w:p>
    <w:p w14:paraId="1181C03C" w14:textId="735FBF23"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Deme, M., &amp; Mahmoud, A. M. A. (2020). Effect of quantity and quality of education on per capita real-GDP growth: Evidence from low- and middle-income African countries. Applied Economics, 52, 6248–6264. https://doi.or</w:t>
      </w:r>
      <w:r w:rsidR="005106CE">
        <w:rPr>
          <w:rFonts w:ascii="Times New Roman" w:hAnsi="Times New Roman" w:cs="Times New Roman"/>
          <w:sz w:val="24"/>
          <w:szCs w:val="24"/>
        </w:rPr>
        <w:t>g/10.1080/00036846.2020.1789058</w:t>
      </w:r>
    </w:p>
    <w:p w14:paraId="76D539F5" w14:textId="5333C868"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Goczek, Ł., </w:t>
      </w:r>
      <w:proofErr w:type="spellStart"/>
      <w:r w:rsidRPr="00CE7FA8">
        <w:rPr>
          <w:rFonts w:ascii="Times New Roman" w:hAnsi="Times New Roman" w:cs="Times New Roman"/>
          <w:sz w:val="24"/>
          <w:szCs w:val="24"/>
        </w:rPr>
        <w:t>Witkowska</w:t>
      </w:r>
      <w:proofErr w:type="spellEnd"/>
      <w:r w:rsidRPr="00CE7FA8">
        <w:rPr>
          <w:rFonts w:ascii="Times New Roman" w:hAnsi="Times New Roman" w:cs="Times New Roman"/>
          <w:sz w:val="24"/>
          <w:szCs w:val="24"/>
        </w:rPr>
        <w:t>, E., &amp; Witkowski, B. (2021). How does education quality affect economic growth? Sustainability, 13, 6437. htt</w:t>
      </w:r>
      <w:r w:rsidR="005106CE">
        <w:rPr>
          <w:rFonts w:ascii="Times New Roman" w:hAnsi="Times New Roman" w:cs="Times New Roman"/>
          <w:sz w:val="24"/>
          <w:szCs w:val="24"/>
        </w:rPr>
        <w:t>ps://doi.org/10.3390/su13116437</w:t>
      </w:r>
    </w:p>
    <w:p w14:paraId="6915F02A" w14:textId="7D23A9BD" w:rsidR="005106CE" w:rsidRDefault="00CE7FA8" w:rsidP="00E12ABB">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Goldin, C. (2016). Human capital. In C. </w:t>
      </w:r>
      <w:proofErr w:type="spellStart"/>
      <w:r w:rsidRPr="00CE7FA8">
        <w:rPr>
          <w:rFonts w:ascii="Times New Roman" w:hAnsi="Times New Roman" w:cs="Times New Roman"/>
          <w:sz w:val="24"/>
          <w:szCs w:val="24"/>
        </w:rPr>
        <w:t>Diebolt</w:t>
      </w:r>
      <w:proofErr w:type="spellEnd"/>
      <w:r w:rsidRPr="00CE7FA8">
        <w:rPr>
          <w:rFonts w:ascii="Times New Roman" w:hAnsi="Times New Roman" w:cs="Times New Roman"/>
          <w:sz w:val="24"/>
          <w:szCs w:val="24"/>
        </w:rPr>
        <w:t xml:space="preserve"> &amp; M. </w:t>
      </w:r>
      <w:proofErr w:type="spellStart"/>
      <w:r w:rsidRPr="00CE7FA8">
        <w:rPr>
          <w:rFonts w:ascii="Times New Roman" w:hAnsi="Times New Roman" w:cs="Times New Roman"/>
          <w:sz w:val="24"/>
          <w:szCs w:val="24"/>
        </w:rPr>
        <w:t>Haupert</w:t>
      </w:r>
      <w:proofErr w:type="spellEnd"/>
      <w:r w:rsidRPr="00CE7FA8">
        <w:rPr>
          <w:rFonts w:ascii="Times New Roman" w:hAnsi="Times New Roman" w:cs="Times New Roman"/>
          <w:sz w:val="24"/>
          <w:szCs w:val="24"/>
        </w:rPr>
        <w:t xml:space="preserve"> (Eds.), Handbook of cliometrics (pp. 55–86). Springer.</w:t>
      </w:r>
    </w:p>
    <w:p w14:paraId="1AAAD793" w14:textId="08DEB07E" w:rsidR="00CE7FA8" w:rsidRPr="00CE7FA8" w:rsidRDefault="005106CE" w:rsidP="005106CE">
      <w:pPr>
        <w:spacing w:line="240" w:lineRule="auto"/>
        <w:ind w:left="720" w:hanging="720"/>
        <w:contextualSpacing/>
        <w:jc w:val="both"/>
        <w:rPr>
          <w:rFonts w:ascii="Times New Roman" w:hAnsi="Times New Roman" w:cs="Times New Roman"/>
          <w:sz w:val="24"/>
          <w:szCs w:val="24"/>
        </w:rPr>
      </w:pPr>
      <w:r w:rsidRPr="005106CE">
        <w:rPr>
          <w:rFonts w:ascii="Times New Roman" w:hAnsi="Times New Roman" w:cs="Times New Roman"/>
          <w:sz w:val="24"/>
          <w:szCs w:val="24"/>
        </w:rPr>
        <w:t xml:space="preserve">Pal, L. C. (2023). Impact of education on economic development. </w:t>
      </w:r>
      <w:proofErr w:type="spellStart"/>
      <w:r w:rsidRPr="005106CE">
        <w:rPr>
          <w:rFonts w:ascii="Times New Roman" w:hAnsi="Times New Roman" w:cs="Times New Roman"/>
          <w:sz w:val="24"/>
          <w:szCs w:val="24"/>
        </w:rPr>
        <w:t>Khazanah</w:t>
      </w:r>
      <w:proofErr w:type="spellEnd"/>
      <w:r w:rsidRPr="005106CE">
        <w:rPr>
          <w:rFonts w:ascii="Times New Roman" w:hAnsi="Times New Roman" w:cs="Times New Roman"/>
          <w:sz w:val="24"/>
          <w:szCs w:val="24"/>
        </w:rPr>
        <w:t xml:space="preserve"> Pendidikan Islam, 5(1). https://doi.org/10.15575/kp.v5i1.25199</w:t>
      </w:r>
    </w:p>
    <w:p w14:paraId="2A1296C4" w14:textId="5087E811" w:rsidR="005106CE"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Government of Kenya. (2019). Kenya Vision 2030 (Third Medium Term Plan, 2018–2022). Nairobi: Government Printer.</w:t>
      </w:r>
    </w:p>
    <w:p w14:paraId="4C88C357" w14:textId="3A4A5411" w:rsidR="005106CE" w:rsidRPr="00CE7FA8" w:rsidRDefault="005106CE" w:rsidP="005106CE">
      <w:pPr>
        <w:spacing w:line="240" w:lineRule="auto"/>
        <w:ind w:left="720" w:hanging="720"/>
        <w:contextualSpacing/>
        <w:jc w:val="both"/>
        <w:rPr>
          <w:rFonts w:ascii="Times New Roman" w:hAnsi="Times New Roman" w:cs="Times New Roman"/>
          <w:sz w:val="24"/>
          <w:szCs w:val="24"/>
        </w:rPr>
      </w:pPr>
      <w:r w:rsidRPr="005106CE">
        <w:rPr>
          <w:rFonts w:ascii="Times New Roman" w:hAnsi="Times New Roman" w:cs="Times New Roman"/>
          <w:sz w:val="24"/>
          <w:szCs w:val="24"/>
        </w:rPr>
        <w:t xml:space="preserve">Kolosnitsyna, M., &amp; </w:t>
      </w:r>
      <w:proofErr w:type="spellStart"/>
      <w:r w:rsidRPr="005106CE">
        <w:rPr>
          <w:rFonts w:ascii="Times New Roman" w:hAnsi="Times New Roman" w:cs="Times New Roman"/>
          <w:sz w:val="24"/>
          <w:szCs w:val="24"/>
        </w:rPr>
        <w:t>Ermolina</w:t>
      </w:r>
      <w:proofErr w:type="spellEnd"/>
      <w:r w:rsidRPr="005106CE">
        <w:rPr>
          <w:rFonts w:ascii="Times New Roman" w:hAnsi="Times New Roman" w:cs="Times New Roman"/>
          <w:sz w:val="24"/>
          <w:szCs w:val="24"/>
        </w:rPr>
        <w:t xml:space="preserve">, Y. E. (2021). Public spending on education and economic growth: Cross-country analysis. </w:t>
      </w:r>
      <w:proofErr w:type="spellStart"/>
      <w:r w:rsidRPr="005106CE">
        <w:rPr>
          <w:rFonts w:ascii="Times New Roman" w:hAnsi="Times New Roman" w:cs="Times New Roman"/>
          <w:sz w:val="24"/>
          <w:szCs w:val="24"/>
        </w:rPr>
        <w:t>Voprosy</w:t>
      </w:r>
      <w:proofErr w:type="spellEnd"/>
      <w:r w:rsidRPr="005106CE">
        <w:rPr>
          <w:rFonts w:ascii="Times New Roman" w:hAnsi="Times New Roman" w:cs="Times New Roman"/>
          <w:sz w:val="24"/>
          <w:szCs w:val="24"/>
        </w:rPr>
        <w:t xml:space="preserve"> </w:t>
      </w:r>
      <w:proofErr w:type="spellStart"/>
      <w:r w:rsidRPr="005106CE">
        <w:rPr>
          <w:rFonts w:ascii="Times New Roman" w:hAnsi="Times New Roman" w:cs="Times New Roman"/>
          <w:sz w:val="24"/>
          <w:szCs w:val="24"/>
        </w:rPr>
        <w:t>statistiki</w:t>
      </w:r>
      <w:proofErr w:type="spellEnd"/>
      <w:r w:rsidRPr="005106CE">
        <w:rPr>
          <w:rFonts w:ascii="Times New Roman" w:hAnsi="Times New Roman" w:cs="Times New Roman"/>
          <w:sz w:val="24"/>
          <w:szCs w:val="24"/>
        </w:rPr>
        <w:t xml:space="preserve">, 28(3), 70–85. </w:t>
      </w:r>
      <w:hyperlink r:id="rId10" w:history="1">
        <w:r w:rsidRPr="00BC2699">
          <w:rPr>
            <w:rStyle w:val="Hyperlink"/>
            <w:rFonts w:ascii="Times New Roman" w:hAnsi="Times New Roman" w:cs="Times New Roman"/>
            <w:sz w:val="24"/>
            <w:szCs w:val="24"/>
          </w:rPr>
          <w:t>https://doi.org/10.34023/2313-6383-2021-28-3-70-85</w:t>
        </w:r>
      </w:hyperlink>
    </w:p>
    <w:p w14:paraId="4C1D8D6B" w14:textId="76C3380D"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Gunu</w:t>
      </w:r>
      <w:proofErr w:type="spellEnd"/>
      <w:r w:rsidRPr="00CE7FA8">
        <w:rPr>
          <w:rFonts w:ascii="Times New Roman" w:hAnsi="Times New Roman" w:cs="Times New Roman"/>
          <w:sz w:val="24"/>
          <w:szCs w:val="24"/>
        </w:rPr>
        <w:t>, I. M., &amp; Yakubu, I. (2022). The impact of government educational expenditure policy and school enrolment on economic growth in Ghana (1970-2017). Asian Journal of Research in Education and Social Sciences. https://doi.</w:t>
      </w:r>
      <w:r w:rsidR="005106CE">
        <w:rPr>
          <w:rFonts w:ascii="Times New Roman" w:hAnsi="Times New Roman" w:cs="Times New Roman"/>
          <w:sz w:val="24"/>
          <w:szCs w:val="24"/>
        </w:rPr>
        <w:t>org/10.55057/ajress.2022.3.4.10</w:t>
      </w:r>
    </w:p>
    <w:p w14:paraId="0717146E" w14:textId="1F0161AE"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Gyimah</w:t>
      </w:r>
      <w:r w:rsidRPr="00CE7FA8">
        <w:rPr>
          <w:rFonts w:ascii="Cambria Math" w:hAnsi="Cambria Math" w:cs="Cambria Math"/>
          <w:sz w:val="24"/>
          <w:szCs w:val="24"/>
        </w:rPr>
        <w:t>‑</w:t>
      </w:r>
      <w:proofErr w:type="spellStart"/>
      <w:r w:rsidRPr="00CE7FA8">
        <w:rPr>
          <w:rFonts w:ascii="Times New Roman" w:hAnsi="Times New Roman" w:cs="Times New Roman"/>
          <w:sz w:val="24"/>
          <w:szCs w:val="24"/>
        </w:rPr>
        <w:t>Brempong</w:t>
      </w:r>
      <w:proofErr w:type="spellEnd"/>
      <w:r w:rsidRPr="00CE7FA8">
        <w:rPr>
          <w:rFonts w:ascii="Times New Roman" w:hAnsi="Times New Roman" w:cs="Times New Roman"/>
          <w:sz w:val="24"/>
          <w:szCs w:val="24"/>
        </w:rPr>
        <w:t>, K. (2011). Education and economic development in Africa. African Development Review, 23(2), 219–</w:t>
      </w:r>
      <w:r w:rsidR="005106CE">
        <w:rPr>
          <w:rFonts w:ascii="Times New Roman" w:hAnsi="Times New Roman" w:cs="Times New Roman"/>
          <w:sz w:val="24"/>
          <w:szCs w:val="24"/>
        </w:rPr>
        <w:t>236.</w:t>
      </w:r>
    </w:p>
    <w:p w14:paraId="4F0D72F2" w14:textId="2775D7AE"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Hanushek, E. A., &amp; </w:t>
      </w:r>
      <w:proofErr w:type="spellStart"/>
      <w:r w:rsidRPr="00CE7FA8">
        <w:rPr>
          <w:rFonts w:ascii="Times New Roman" w:hAnsi="Times New Roman" w:cs="Times New Roman"/>
          <w:sz w:val="24"/>
          <w:szCs w:val="24"/>
        </w:rPr>
        <w:t>Woessmann</w:t>
      </w:r>
      <w:proofErr w:type="spellEnd"/>
      <w:r w:rsidRPr="00CE7FA8">
        <w:rPr>
          <w:rFonts w:ascii="Times New Roman" w:hAnsi="Times New Roman" w:cs="Times New Roman"/>
          <w:sz w:val="24"/>
          <w:szCs w:val="24"/>
        </w:rPr>
        <w:t>, L. (2007). The role of education quality for economic growth. World Bank Policy R</w:t>
      </w:r>
      <w:r w:rsidR="005106CE">
        <w:rPr>
          <w:rFonts w:ascii="Times New Roman" w:hAnsi="Times New Roman" w:cs="Times New Roman"/>
          <w:sz w:val="24"/>
          <w:szCs w:val="24"/>
        </w:rPr>
        <w:t>esearch Working Paper No. 4122.</w:t>
      </w:r>
    </w:p>
    <w:p w14:paraId="56776136" w14:textId="7EFC934C"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Hanushek, E. A., &amp; </w:t>
      </w:r>
      <w:proofErr w:type="spellStart"/>
      <w:r w:rsidRPr="00CE7FA8">
        <w:rPr>
          <w:rFonts w:ascii="Times New Roman" w:hAnsi="Times New Roman" w:cs="Times New Roman"/>
          <w:sz w:val="24"/>
          <w:szCs w:val="24"/>
        </w:rPr>
        <w:t>Woessmann</w:t>
      </w:r>
      <w:proofErr w:type="spellEnd"/>
      <w:r w:rsidRPr="00CE7FA8">
        <w:rPr>
          <w:rFonts w:ascii="Times New Roman" w:hAnsi="Times New Roman" w:cs="Times New Roman"/>
          <w:sz w:val="24"/>
          <w:szCs w:val="24"/>
        </w:rPr>
        <w:t xml:space="preserve">, L. (2015). The knowledge capital of nations: Education and the </w:t>
      </w:r>
      <w:r w:rsidR="005106CE">
        <w:rPr>
          <w:rFonts w:ascii="Times New Roman" w:hAnsi="Times New Roman" w:cs="Times New Roman"/>
          <w:sz w:val="24"/>
          <w:szCs w:val="24"/>
        </w:rPr>
        <w:t>economics of growth. MIT Press.</w:t>
      </w:r>
    </w:p>
    <w:p w14:paraId="7384886A" w14:textId="6D86E641"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Hope, K. (2018). Economic Performance and Public Finance in Kenya, 1960-2010. Africanus: Journal of Development Studies. https://</w:t>
      </w:r>
      <w:r w:rsidR="005106CE">
        <w:rPr>
          <w:rFonts w:ascii="Times New Roman" w:hAnsi="Times New Roman" w:cs="Times New Roman"/>
          <w:sz w:val="24"/>
          <w:szCs w:val="24"/>
        </w:rPr>
        <w:t>doi.org/10.25159/0304-615x/3968</w:t>
      </w:r>
    </w:p>
    <w:p w14:paraId="3F085820" w14:textId="51B5783F"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Imana, D. K. (2017). The Determinants of Public Education Expenditures: An Empirical Analysis of Changing Patterns and Growth of Public Expenditure on Education in Kenya. Journal of Public Administration and Governance, 7, 1-23. https://</w:t>
      </w:r>
      <w:r w:rsidR="005106CE">
        <w:rPr>
          <w:rFonts w:ascii="Times New Roman" w:hAnsi="Times New Roman" w:cs="Times New Roman"/>
          <w:sz w:val="24"/>
          <w:szCs w:val="24"/>
        </w:rPr>
        <w:t>doi.org/10.5296/jpag.v7i4.11972</w:t>
      </w:r>
    </w:p>
    <w:p w14:paraId="5F4DFB99" w14:textId="2A6F8495"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Junaid, A., Iqbal, A., Siddiqui, A. A., &amp; Hassan, M. (2023). Government spending in education division, urbanization and economic escalation in under-developed and developing countries. Voyage Journal of Educational Studies, 3(1). https:</w:t>
      </w:r>
      <w:r w:rsidR="005106CE">
        <w:rPr>
          <w:rFonts w:ascii="Times New Roman" w:hAnsi="Times New Roman" w:cs="Times New Roman"/>
          <w:sz w:val="24"/>
          <w:szCs w:val="24"/>
        </w:rPr>
        <w:t>//doi.org/10.58622/vjes.v3i1.37</w:t>
      </w:r>
    </w:p>
    <w:p w14:paraId="72E476C2" w14:textId="7C195DA7"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Khan, H., &amp; </w:t>
      </w:r>
      <w:proofErr w:type="spellStart"/>
      <w:r w:rsidRPr="00CE7FA8">
        <w:rPr>
          <w:rFonts w:ascii="Times New Roman" w:hAnsi="Times New Roman" w:cs="Times New Roman"/>
          <w:sz w:val="24"/>
          <w:szCs w:val="24"/>
        </w:rPr>
        <w:t>Asirvatham</w:t>
      </w:r>
      <w:proofErr w:type="spellEnd"/>
      <w:r w:rsidRPr="00CE7FA8">
        <w:rPr>
          <w:rFonts w:ascii="Times New Roman" w:hAnsi="Times New Roman" w:cs="Times New Roman"/>
          <w:sz w:val="24"/>
          <w:szCs w:val="24"/>
        </w:rPr>
        <w:t>, J. (2024). Short- and long-run effects of education on economic growth: A panel error correction analysis. European Journal of Economics, 4(2). https:</w:t>
      </w:r>
      <w:r w:rsidR="005106CE">
        <w:rPr>
          <w:rFonts w:ascii="Times New Roman" w:hAnsi="Times New Roman" w:cs="Times New Roman"/>
          <w:sz w:val="24"/>
          <w:szCs w:val="24"/>
        </w:rPr>
        <w:t>//doi.org/10.33422/eje.v4i2.847</w:t>
      </w:r>
    </w:p>
    <w:p w14:paraId="1E1F287C" w14:textId="416AC84D"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Kimani, G., &amp; </w:t>
      </w:r>
      <w:proofErr w:type="spellStart"/>
      <w:r w:rsidRPr="00CE7FA8">
        <w:rPr>
          <w:rFonts w:ascii="Times New Roman" w:hAnsi="Times New Roman" w:cs="Times New Roman"/>
          <w:sz w:val="24"/>
          <w:szCs w:val="24"/>
        </w:rPr>
        <w:t>Maingi</w:t>
      </w:r>
      <w:proofErr w:type="spellEnd"/>
      <w:r w:rsidRPr="00CE7FA8">
        <w:rPr>
          <w:rFonts w:ascii="Times New Roman" w:hAnsi="Times New Roman" w:cs="Times New Roman"/>
          <w:sz w:val="24"/>
          <w:szCs w:val="24"/>
        </w:rPr>
        <w:t>, J. N. (2021). Effect of various categories of government expenditure on economic growth in Kenya. International Journal of Current Aspects in Finance, Banking and Accounting, 3(1). https://</w:t>
      </w:r>
      <w:r w:rsidR="005106CE">
        <w:rPr>
          <w:rFonts w:ascii="Times New Roman" w:hAnsi="Times New Roman" w:cs="Times New Roman"/>
          <w:sz w:val="24"/>
          <w:szCs w:val="24"/>
        </w:rPr>
        <w:t>doi.org/10.35942/ijcfa.v3i1.178</w:t>
      </w:r>
    </w:p>
    <w:p w14:paraId="1E0EDE19" w14:textId="71993F33"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lastRenderedPageBreak/>
        <w:t>KNBS (Kenya National Bureau of Statistics). (2023). Economic Survey 202</w:t>
      </w:r>
      <w:r w:rsidR="005106CE">
        <w:rPr>
          <w:rFonts w:ascii="Times New Roman" w:hAnsi="Times New Roman" w:cs="Times New Roman"/>
          <w:sz w:val="24"/>
          <w:szCs w:val="24"/>
        </w:rPr>
        <w:t>3. Nairobi: Government Printer.</w:t>
      </w:r>
    </w:p>
    <w:p w14:paraId="52F7195C" w14:textId="54DC2507"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Kripfganz</w:t>
      </w:r>
      <w:proofErr w:type="spellEnd"/>
      <w:r w:rsidRPr="00CE7FA8">
        <w:rPr>
          <w:rFonts w:ascii="Times New Roman" w:hAnsi="Times New Roman" w:cs="Times New Roman"/>
          <w:sz w:val="24"/>
          <w:szCs w:val="24"/>
        </w:rPr>
        <w:t xml:space="preserve">, S., &amp; Schneider, D. C. (2023). </w:t>
      </w:r>
      <w:proofErr w:type="spellStart"/>
      <w:r w:rsidRPr="00CE7FA8">
        <w:rPr>
          <w:rFonts w:ascii="Times New Roman" w:hAnsi="Times New Roman" w:cs="Times New Roman"/>
          <w:sz w:val="24"/>
          <w:szCs w:val="24"/>
        </w:rPr>
        <w:t>ardl</w:t>
      </w:r>
      <w:proofErr w:type="spellEnd"/>
      <w:r w:rsidRPr="00CE7FA8">
        <w:rPr>
          <w:rFonts w:ascii="Times New Roman" w:hAnsi="Times New Roman" w:cs="Times New Roman"/>
          <w:sz w:val="24"/>
          <w:szCs w:val="24"/>
        </w:rPr>
        <w:t xml:space="preserve">: Estimating autoregressive distributed lag and equilibrium correction models. The </w:t>
      </w:r>
      <w:r w:rsidR="005106CE">
        <w:rPr>
          <w:rFonts w:ascii="Times New Roman" w:hAnsi="Times New Roman" w:cs="Times New Roman"/>
          <w:sz w:val="24"/>
          <w:szCs w:val="24"/>
        </w:rPr>
        <w:t>Stata Journal, 23(4), 983–1019.</w:t>
      </w:r>
    </w:p>
    <w:p w14:paraId="22E057D2" w14:textId="48A55501"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Liu, Q., Raimi, B. O., &amp; </w:t>
      </w:r>
      <w:proofErr w:type="spellStart"/>
      <w:r w:rsidRPr="00CE7FA8">
        <w:rPr>
          <w:rFonts w:ascii="Times New Roman" w:hAnsi="Times New Roman" w:cs="Times New Roman"/>
          <w:sz w:val="24"/>
          <w:szCs w:val="24"/>
        </w:rPr>
        <w:t>Alomair</w:t>
      </w:r>
      <w:proofErr w:type="spellEnd"/>
      <w:r w:rsidRPr="00CE7FA8">
        <w:rPr>
          <w:rFonts w:ascii="Times New Roman" w:hAnsi="Times New Roman" w:cs="Times New Roman"/>
          <w:sz w:val="24"/>
          <w:szCs w:val="24"/>
        </w:rPr>
        <w:t>, A. (2025). Schooling for sustainability: Disaggregating the effects of primary, secondary, and tertiary education on sustainable development in the Global South. Sustainable Development. h</w:t>
      </w:r>
      <w:r w:rsidR="005106CE">
        <w:rPr>
          <w:rFonts w:ascii="Times New Roman" w:hAnsi="Times New Roman" w:cs="Times New Roman"/>
          <w:sz w:val="24"/>
          <w:szCs w:val="24"/>
        </w:rPr>
        <w:t>ttps://doi.org/10.1002/sd.70400</w:t>
      </w:r>
    </w:p>
    <w:p w14:paraId="773E791C" w14:textId="5DDBB021"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Lucas, R. E. (1988). On the mechanics of economic development. Journal of M</w:t>
      </w:r>
      <w:r w:rsidR="005106CE">
        <w:rPr>
          <w:rFonts w:ascii="Times New Roman" w:hAnsi="Times New Roman" w:cs="Times New Roman"/>
          <w:sz w:val="24"/>
          <w:szCs w:val="24"/>
        </w:rPr>
        <w:t>onetary Economics, 22(1), 3–42.</w:t>
      </w:r>
    </w:p>
    <w:p w14:paraId="01FAB8B7" w14:textId="09EA84E5"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Maneejuk</w:t>
      </w:r>
      <w:proofErr w:type="spellEnd"/>
      <w:r w:rsidRPr="00CE7FA8">
        <w:rPr>
          <w:rFonts w:ascii="Times New Roman" w:hAnsi="Times New Roman" w:cs="Times New Roman"/>
          <w:sz w:val="24"/>
          <w:szCs w:val="24"/>
        </w:rPr>
        <w:t xml:space="preserve">, P., &amp; </w:t>
      </w:r>
      <w:proofErr w:type="spellStart"/>
      <w:r w:rsidRPr="00CE7FA8">
        <w:rPr>
          <w:rFonts w:ascii="Times New Roman" w:hAnsi="Times New Roman" w:cs="Times New Roman"/>
          <w:sz w:val="24"/>
          <w:szCs w:val="24"/>
        </w:rPr>
        <w:t>Yamaka</w:t>
      </w:r>
      <w:proofErr w:type="spellEnd"/>
      <w:r w:rsidRPr="00CE7FA8">
        <w:rPr>
          <w:rFonts w:ascii="Times New Roman" w:hAnsi="Times New Roman" w:cs="Times New Roman"/>
          <w:sz w:val="24"/>
          <w:szCs w:val="24"/>
        </w:rPr>
        <w:t>, W. (2021). The impact of higher education on economic growth in ASEAN-5 countries. Sustainability, 13(2), 520. htt</w:t>
      </w:r>
      <w:r w:rsidR="005106CE">
        <w:rPr>
          <w:rFonts w:ascii="Times New Roman" w:hAnsi="Times New Roman" w:cs="Times New Roman"/>
          <w:sz w:val="24"/>
          <w:szCs w:val="24"/>
        </w:rPr>
        <w:t>ps://doi.org/10.3390/su13020520</w:t>
      </w:r>
    </w:p>
    <w:p w14:paraId="0A8CF856" w14:textId="77777777"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Mankiw, N. G., Romer, D., &amp; Weil, D. N. (1992). A contribution to the empirics of economic growth. Quarterly Journal of Economics, 107(2), 407–437.</w:t>
      </w:r>
    </w:p>
    <w:p w14:paraId="5D1FA308" w14:textId="77777777" w:rsidR="00CE7FA8" w:rsidRPr="00CE7FA8" w:rsidRDefault="00CE7FA8" w:rsidP="005106CE">
      <w:pPr>
        <w:spacing w:line="240" w:lineRule="auto"/>
        <w:ind w:left="720" w:hanging="720"/>
        <w:contextualSpacing/>
        <w:jc w:val="both"/>
        <w:rPr>
          <w:rFonts w:ascii="Times New Roman" w:hAnsi="Times New Roman" w:cs="Times New Roman"/>
          <w:sz w:val="24"/>
          <w:szCs w:val="24"/>
        </w:rPr>
      </w:pPr>
    </w:p>
    <w:p w14:paraId="1B8428B0" w14:textId="76620EE9"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McNown, R., Sam, C. Y., &amp; Goh, S. K. (2018). Bootstrapping the autoregressive distributed lag test for cointegration. Applied Economics, 50(13), 1509–1521. https://doi.or</w:t>
      </w:r>
      <w:r w:rsidR="005106CE">
        <w:rPr>
          <w:rFonts w:ascii="Times New Roman" w:hAnsi="Times New Roman" w:cs="Times New Roman"/>
          <w:sz w:val="24"/>
          <w:szCs w:val="24"/>
        </w:rPr>
        <w:t>g/10.1080/00036846.2017.1366643</w:t>
      </w:r>
    </w:p>
    <w:p w14:paraId="4A3AF9DE" w14:textId="519D1407"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Mose</w:t>
      </w:r>
      <w:proofErr w:type="spellEnd"/>
      <w:r w:rsidRPr="00CE7FA8">
        <w:rPr>
          <w:rFonts w:ascii="Times New Roman" w:hAnsi="Times New Roman" w:cs="Times New Roman"/>
          <w:sz w:val="24"/>
          <w:szCs w:val="24"/>
        </w:rPr>
        <w:t>, N. (2025). Impact of education on income inequality in Kenya. International Journal of Business and Applied Economics, 4(2). https:/</w:t>
      </w:r>
      <w:r w:rsidR="005106CE">
        <w:rPr>
          <w:rFonts w:ascii="Times New Roman" w:hAnsi="Times New Roman" w:cs="Times New Roman"/>
          <w:sz w:val="24"/>
          <w:szCs w:val="24"/>
        </w:rPr>
        <w:t>/doi.org/10.55927/ijbae.v4i2.68</w:t>
      </w:r>
    </w:p>
    <w:p w14:paraId="6DECA344" w14:textId="1A9CC075"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Munga</w:t>
      </w:r>
      <w:proofErr w:type="spellEnd"/>
      <w:r w:rsidRPr="00CE7FA8">
        <w:rPr>
          <w:rFonts w:ascii="Times New Roman" w:hAnsi="Times New Roman" w:cs="Times New Roman"/>
          <w:sz w:val="24"/>
          <w:szCs w:val="24"/>
        </w:rPr>
        <w:t>, B. O., &amp; Mwangi, S. K. (2016). Tertiary education and economic growth in Kenya: The role of infrastructure. Journal of Educat</w:t>
      </w:r>
      <w:r w:rsidR="005106CE">
        <w:rPr>
          <w:rFonts w:ascii="Times New Roman" w:hAnsi="Times New Roman" w:cs="Times New Roman"/>
          <w:sz w:val="24"/>
          <w:szCs w:val="24"/>
        </w:rPr>
        <w:t>ion and Practice, 7(28), 87–95.</w:t>
      </w:r>
    </w:p>
    <w:p w14:paraId="04017F7B" w14:textId="5D0976A4"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Murthy, V. N. R., &amp; </w:t>
      </w:r>
      <w:proofErr w:type="spellStart"/>
      <w:r w:rsidRPr="00CE7FA8">
        <w:rPr>
          <w:rFonts w:ascii="Times New Roman" w:hAnsi="Times New Roman" w:cs="Times New Roman"/>
          <w:sz w:val="24"/>
          <w:szCs w:val="24"/>
        </w:rPr>
        <w:t>Okunade</w:t>
      </w:r>
      <w:proofErr w:type="spellEnd"/>
      <w:r w:rsidRPr="00CE7FA8">
        <w:rPr>
          <w:rFonts w:ascii="Times New Roman" w:hAnsi="Times New Roman" w:cs="Times New Roman"/>
          <w:sz w:val="24"/>
          <w:szCs w:val="24"/>
        </w:rPr>
        <w:t>, A. A. (2016). Determinants of U.S. health expenditure: Evidence from autoregressive distributed lag (ARDL) approach. Applie</w:t>
      </w:r>
      <w:r w:rsidR="005106CE">
        <w:rPr>
          <w:rFonts w:ascii="Times New Roman" w:hAnsi="Times New Roman" w:cs="Times New Roman"/>
          <w:sz w:val="24"/>
          <w:szCs w:val="24"/>
        </w:rPr>
        <w:t>d Economics, 48(56), 5483–5495.</w:t>
      </w:r>
    </w:p>
    <w:p w14:paraId="14AEAF75" w14:textId="092307D5"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Nechifor, V., Ramos, M., Ferrari, E., </w:t>
      </w:r>
      <w:proofErr w:type="spellStart"/>
      <w:r w:rsidRPr="00CE7FA8">
        <w:rPr>
          <w:rFonts w:ascii="Times New Roman" w:hAnsi="Times New Roman" w:cs="Times New Roman"/>
          <w:sz w:val="24"/>
          <w:szCs w:val="24"/>
        </w:rPr>
        <w:t>Laichena</w:t>
      </w:r>
      <w:proofErr w:type="spellEnd"/>
      <w:r w:rsidRPr="00CE7FA8">
        <w:rPr>
          <w:rFonts w:ascii="Times New Roman" w:hAnsi="Times New Roman" w:cs="Times New Roman"/>
          <w:sz w:val="24"/>
          <w:szCs w:val="24"/>
        </w:rPr>
        <w:t xml:space="preserve">, J., </w:t>
      </w:r>
      <w:proofErr w:type="spellStart"/>
      <w:r w:rsidRPr="00CE7FA8">
        <w:rPr>
          <w:rFonts w:ascii="Times New Roman" w:hAnsi="Times New Roman" w:cs="Times New Roman"/>
          <w:sz w:val="24"/>
          <w:szCs w:val="24"/>
        </w:rPr>
        <w:t>Kihiu</w:t>
      </w:r>
      <w:proofErr w:type="spellEnd"/>
      <w:r w:rsidRPr="00CE7FA8">
        <w:rPr>
          <w:rFonts w:ascii="Times New Roman" w:hAnsi="Times New Roman" w:cs="Times New Roman"/>
          <w:sz w:val="24"/>
          <w:szCs w:val="24"/>
        </w:rPr>
        <w:t xml:space="preserve">, E., </w:t>
      </w:r>
      <w:proofErr w:type="spellStart"/>
      <w:r w:rsidRPr="00CE7FA8">
        <w:rPr>
          <w:rFonts w:ascii="Times New Roman" w:hAnsi="Times New Roman" w:cs="Times New Roman"/>
          <w:sz w:val="24"/>
          <w:szCs w:val="24"/>
        </w:rPr>
        <w:t>Omanyo</w:t>
      </w:r>
      <w:proofErr w:type="spellEnd"/>
      <w:r w:rsidRPr="00CE7FA8">
        <w:rPr>
          <w:rFonts w:ascii="Times New Roman" w:hAnsi="Times New Roman" w:cs="Times New Roman"/>
          <w:sz w:val="24"/>
          <w:szCs w:val="24"/>
        </w:rPr>
        <w:t xml:space="preserve">, D., </w:t>
      </w:r>
      <w:proofErr w:type="spellStart"/>
      <w:r w:rsidRPr="00CE7FA8">
        <w:rPr>
          <w:rFonts w:ascii="Times New Roman" w:hAnsi="Times New Roman" w:cs="Times New Roman"/>
          <w:sz w:val="24"/>
          <w:szCs w:val="24"/>
        </w:rPr>
        <w:t>Musamali</w:t>
      </w:r>
      <w:proofErr w:type="spellEnd"/>
      <w:r w:rsidRPr="00CE7FA8">
        <w:rPr>
          <w:rFonts w:ascii="Times New Roman" w:hAnsi="Times New Roman" w:cs="Times New Roman"/>
          <w:sz w:val="24"/>
          <w:szCs w:val="24"/>
        </w:rPr>
        <w:t xml:space="preserve">, R., &amp; </w:t>
      </w:r>
      <w:proofErr w:type="spellStart"/>
      <w:r w:rsidRPr="00CE7FA8">
        <w:rPr>
          <w:rFonts w:ascii="Times New Roman" w:hAnsi="Times New Roman" w:cs="Times New Roman"/>
          <w:sz w:val="24"/>
          <w:szCs w:val="24"/>
        </w:rPr>
        <w:t>Kiriga</w:t>
      </w:r>
      <w:proofErr w:type="spellEnd"/>
      <w:r w:rsidRPr="00CE7FA8">
        <w:rPr>
          <w:rFonts w:ascii="Times New Roman" w:hAnsi="Times New Roman" w:cs="Times New Roman"/>
          <w:sz w:val="24"/>
          <w:szCs w:val="24"/>
        </w:rPr>
        <w:t>, B. (2021). Food security and welfare changes under COVID-19 in Sub-Saharan Africa: Impacts and responses in Kenya. Global Food Security, 28. https://doi.org/10.1016/j.gfs.2021.</w:t>
      </w:r>
      <w:r w:rsidR="005106CE">
        <w:rPr>
          <w:rFonts w:ascii="Times New Roman" w:hAnsi="Times New Roman" w:cs="Times New Roman"/>
          <w:sz w:val="24"/>
          <w:szCs w:val="24"/>
        </w:rPr>
        <w:t>100514</w:t>
      </w:r>
    </w:p>
    <w:p w14:paraId="3A668108" w14:textId="62FF4D44"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Ngigi</w:t>
      </w:r>
      <w:proofErr w:type="spellEnd"/>
      <w:r w:rsidRPr="00CE7FA8">
        <w:rPr>
          <w:rFonts w:ascii="Times New Roman" w:hAnsi="Times New Roman" w:cs="Times New Roman"/>
          <w:sz w:val="24"/>
          <w:szCs w:val="24"/>
        </w:rPr>
        <w:t>, C. N., Goswami, A., Kapoor, H. S., Jangir, R. K., &amp; Anirudh, U. (2024). Exploring the role of government spending in fostering economic development in Kenya: An ARDL approach. Cogent Economics &amp; Finance, 12. https://doi.org/10.1080/23322039.</w:t>
      </w:r>
      <w:r w:rsidR="005106CE">
        <w:rPr>
          <w:rFonts w:ascii="Times New Roman" w:hAnsi="Times New Roman" w:cs="Times New Roman"/>
          <w:sz w:val="24"/>
          <w:szCs w:val="24"/>
        </w:rPr>
        <w:t>2024.2421888</w:t>
      </w:r>
    </w:p>
    <w:p w14:paraId="4D1A26AB" w14:textId="6529F30F"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Nkoro</w:t>
      </w:r>
      <w:proofErr w:type="spellEnd"/>
      <w:r w:rsidRPr="00CE7FA8">
        <w:rPr>
          <w:rFonts w:ascii="Times New Roman" w:hAnsi="Times New Roman" w:cs="Times New Roman"/>
          <w:sz w:val="24"/>
          <w:szCs w:val="24"/>
        </w:rPr>
        <w:t xml:space="preserve">, E., &amp; </w:t>
      </w:r>
      <w:proofErr w:type="spellStart"/>
      <w:r w:rsidRPr="00CE7FA8">
        <w:rPr>
          <w:rFonts w:ascii="Times New Roman" w:hAnsi="Times New Roman" w:cs="Times New Roman"/>
          <w:sz w:val="24"/>
          <w:szCs w:val="24"/>
        </w:rPr>
        <w:t>Uko</w:t>
      </w:r>
      <w:proofErr w:type="spellEnd"/>
      <w:r w:rsidRPr="00CE7FA8">
        <w:rPr>
          <w:rFonts w:ascii="Times New Roman" w:hAnsi="Times New Roman" w:cs="Times New Roman"/>
          <w:sz w:val="24"/>
          <w:szCs w:val="24"/>
        </w:rPr>
        <w:t>, A. K. (2016). Autoregressive Distributed Lag (ARDL) cointegration technique: application and interpretation. Journal of Statistical and Ec</w:t>
      </w:r>
      <w:r w:rsidR="005106CE">
        <w:rPr>
          <w:rFonts w:ascii="Times New Roman" w:hAnsi="Times New Roman" w:cs="Times New Roman"/>
          <w:sz w:val="24"/>
          <w:szCs w:val="24"/>
        </w:rPr>
        <w:t>onometric Methods, 5(4), 63–91.</w:t>
      </w:r>
    </w:p>
    <w:p w14:paraId="60E54C75" w14:textId="02483A78"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Ochieng, J., &amp; Kibera, F. (2016). Secondary education expenditure and economic growth in Kenya. African Journal of</w:t>
      </w:r>
      <w:r w:rsidR="005106CE">
        <w:rPr>
          <w:rFonts w:ascii="Times New Roman" w:hAnsi="Times New Roman" w:cs="Times New Roman"/>
          <w:sz w:val="24"/>
          <w:szCs w:val="24"/>
        </w:rPr>
        <w:t xml:space="preserve"> Economic Review, 4(2), 89–104.</w:t>
      </w:r>
    </w:p>
    <w:p w14:paraId="0CEA9892" w14:textId="47A6A539"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Odhiambo, N. (2024). Education and economic growth in Sub-Saharan African countries: Does governance quality matter? Research in Globalization. https://doi.o</w:t>
      </w:r>
      <w:r w:rsidR="005106CE">
        <w:rPr>
          <w:rFonts w:ascii="Times New Roman" w:hAnsi="Times New Roman" w:cs="Times New Roman"/>
          <w:sz w:val="24"/>
          <w:szCs w:val="24"/>
        </w:rPr>
        <w:t>rg/10.1016/j.resglo.2024.100227</w:t>
      </w:r>
    </w:p>
    <w:p w14:paraId="566AFD20" w14:textId="2F65D78C"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Odundo, P. A., &amp; </w:t>
      </w:r>
      <w:proofErr w:type="spellStart"/>
      <w:r w:rsidRPr="00CE7FA8">
        <w:rPr>
          <w:rFonts w:ascii="Times New Roman" w:hAnsi="Times New Roman" w:cs="Times New Roman"/>
          <w:sz w:val="24"/>
          <w:szCs w:val="24"/>
        </w:rPr>
        <w:t>Wanjala</w:t>
      </w:r>
      <w:proofErr w:type="spellEnd"/>
      <w:r w:rsidRPr="00CE7FA8">
        <w:rPr>
          <w:rFonts w:ascii="Times New Roman" w:hAnsi="Times New Roman" w:cs="Times New Roman"/>
          <w:sz w:val="24"/>
          <w:szCs w:val="24"/>
        </w:rPr>
        <w:t>, M. K. (2015). Effect of government expenditure on secondary education on economic growth in Kenya. European Journal of Busines</w:t>
      </w:r>
      <w:r w:rsidR="005106CE">
        <w:rPr>
          <w:rFonts w:ascii="Times New Roman" w:hAnsi="Times New Roman" w:cs="Times New Roman"/>
          <w:sz w:val="24"/>
          <w:szCs w:val="24"/>
        </w:rPr>
        <w:t>s and Management, 7(26), 91–99.</w:t>
      </w:r>
    </w:p>
    <w:p w14:paraId="2A112E6B" w14:textId="32FB71D9"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Okumua</w:t>
      </w:r>
      <w:proofErr w:type="spellEnd"/>
      <w:r w:rsidRPr="00CE7FA8">
        <w:rPr>
          <w:rFonts w:ascii="Times New Roman" w:hAnsi="Times New Roman" w:cs="Times New Roman"/>
          <w:sz w:val="24"/>
          <w:szCs w:val="24"/>
        </w:rPr>
        <w:t xml:space="preserve">, G. J., </w:t>
      </w:r>
      <w:proofErr w:type="spellStart"/>
      <w:r w:rsidRPr="00CE7FA8">
        <w:rPr>
          <w:rFonts w:ascii="Times New Roman" w:hAnsi="Times New Roman" w:cs="Times New Roman"/>
          <w:sz w:val="24"/>
          <w:szCs w:val="24"/>
        </w:rPr>
        <w:t>Marwab</w:t>
      </w:r>
      <w:proofErr w:type="spellEnd"/>
      <w:r w:rsidRPr="00CE7FA8">
        <w:rPr>
          <w:rFonts w:ascii="Times New Roman" w:hAnsi="Times New Roman" w:cs="Times New Roman"/>
          <w:sz w:val="24"/>
          <w:szCs w:val="24"/>
        </w:rPr>
        <w:t xml:space="preserve">, S. M., &amp; </w:t>
      </w:r>
      <w:proofErr w:type="spellStart"/>
      <w:r w:rsidRPr="00CE7FA8">
        <w:rPr>
          <w:rFonts w:ascii="Times New Roman" w:hAnsi="Times New Roman" w:cs="Times New Roman"/>
          <w:sz w:val="24"/>
          <w:szCs w:val="24"/>
        </w:rPr>
        <w:t>Sangb</w:t>
      </w:r>
      <w:proofErr w:type="spellEnd"/>
      <w:r w:rsidRPr="00CE7FA8">
        <w:rPr>
          <w:rFonts w:ascii="Times New Roman" w:hAnsi="Times New Roman" w:cs="Times New Roman"/>
          <w:sz w:val="24"/>
          <w:szCs w:val="24"/>
        </w:rPr>
        <w:t>, A. W. (2020). Kenya’s human capital development and economic growth: Best practices from South Korea and Singapore (2002-2014). Journal of Applied Science, Engineering and Tech</w:t>
      </w:r>
      <w:r w:rsidR="005106CE">
        <w:rPr>
          <w:rFonts w:ascii="Times New Roman" w:hAnsi="Times New Roman" w:cs="Times New Roman"/>
          <w:sz w:val="24"/>
          <w:szCs w:val="24"/>
        </w:rPr>
        <w:t>nology for Development, 4(1-2).</w:t>
      </w:r>
    </w:p>
    <w:p w14:paraId="466612A2" w14:textId="1219AE95"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lastRenderedPageBreak/>
        <w:t>Oranga</w:t>
      </w:r>
      <w:proofErr w:type="spellEnd"/>
      <w:r w:rsidRPr="00CE7FA8">
        <w:rPr>
          <w:rFonts w:ascii="Times New Roman" w:hAnsi="Times New Roman" w:cs="Times New Roman"/>
          <w:sz w:val="24"/>
          <w:szCs w:val="24"/>
        </w:rPr>
        <w:t xml:space="preserve">, J., </w:t>
      </w:r>
      <w:proofErr w:type="spellStart"/>
      <w:r w:rsidRPr="00CE7FA8">
        <w:rPr>
          <w:rFonts w:ascii="Times New Roman" w:hAnsi="Times New Roman" w:cs="Times New Roman"/>
          <w:sz w:val="24"/>
          <w:szCs w:val="24"/>
        </w:rPr>
        <w:t>Obuba</w:t>
      </w:r>
      <w:proofErr w:type="spellEnd"/>
      <w:r w:rsidRPr="00CE7FA8">
        <w:rPr>
          <w:rFonts w:ascii="Times New Roman" w:hAnsi="Times New Roman" w:cs="Times New Roman"/>
          <w:sz w:val="24"/>
          <w:szCs w:val="24"/>
        </w:rPr>
        <w:t xml:space="preserve">, E. M., &amp; </w:t>
      </w:r>
      <w:proofErr w:type="spellStart"/>
      <w:r w:rsidRPr="00CE7FA8">
        <w:rPr>
          <w:rFonts w:ascii="Times New Roman" w:hAnsi="Times New Roman" w:cs="Times New Roman"/>
          <w:sz w:val="24"/>
          <w:szCs w:val="24"/>
        </w:rPr>
        <w:t>Nyakundi</w:t>
      </w:r>
      <w:proofErr w:type="spellEnd"/>
      <w:r w:rsidRPr="00CE7FA8">
        <w:rPr>
          <w:rFonts w:ascii="Times New Roman" w:hAnsi="Times New Roman" w:cs="Times New Roman"/>
          <w:sz w:val="24"/>
          <w:szCs w:val="24"/>
        </w:rPr>
        <w:t>, E. (2020). Education as an instrument of poverty eradication in Kenya: Successes and challenges. Open Journal of Social Sciences, 8. https:/</w:t>
      </w:r>
      <w:r w:rsidR="005106CE">
        <w:rPr>
          <w:rFonts w:ascii="Times New Roman" w:hAnsi="Times New Roman" w:cs="Times New Roman"/>
          <w:sz w:val="24"/>
          <w:szCs w:val="24"/>
        </w:rPr>
        <w:t>/doi.org/10.4236/jss.2020.89031</w:t>
      </w:r>
    </w:p>
    <w:p w14:paraId="0BD782B3" w14:textId="2DDDC3E5"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Osei, M., &amp; Appiah, E. (2020). Education expenditure and economic growth in Ghana: An ARDL approach. Ghana Journal of Dev</w:t>
      </w:r>
      <w:r w:rsidR="005106CE">
        <w:rPr>
          <w:rFonts w:ascii="Times New Roman" w:hAnsi="Times New Roman" w:cs="Times New Roman"/>
          <w:sz w:val="24"/>
          <w:szCs w:val="24"/>
        </w:rPr>
        <w:t>elopment Studies, 17(1), 45–67.</w:t>
      </w:r>
    </w:p>
    <w:p w14:paraId="7C8A0206" w14:textId="690C7C47"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Pesaran</w:t>
      </w:r>
      <w:proofErr w:type="spellEnd"/>
      <w:r w:rsidRPr="00CE7FA8">
        <w:rPr>
          <w:rFonts w:ascii="Times New Roman" w:hAnsi="Times New Roman" w:cs="Times New Roman"/>
          <w:sz w:val="24"/>
          <w:szCs w:val="24"/>
        </w:rPr>
        <w:t xml:space="preserve">, M. H., Shin, Y., &amp; Smith, R. J. (2001). Bounds testing approaches to the analysis of level relationships. Journal of Applied Econometrics, 16(3), 289–326. </w:t>
      </w:r>
      <w:r w:rsidR="005106CE">
        <w:rPr>
          <w:rFonts w:ascii="Times New Roman" w:hAnsi="Times New Roman" w:cs="Times New Roman"/>
          <w:sz w:val="24"/>
          <w:szCs w:val="24"/>
        </w:rPr>
        <w:t>https://doi.org/10.1002/jae.616</w:t>
      </w:r>
    </w:p>
    <w:p w14:paraId="557C9F55" w14:textId="77777777"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Prettner</w:t>
      </w:r>
      <w:proofErr w:type="spellEnd"/>
      <w:r w:rsidRPr="00CE7FA8">
        <w:rPr>
          <w:rFonts w:ascii="Times New Roman" w:hAnsi="Times New Roman" w:cs="Times New Roman"/>
          <w:sz w:val="24"/>
          <w:szCs w:val="24"/>
        </w:rPr>
        <w:t xml:space="preserve">, K., &amp; </w:t>
      </w:r>
      <w:proofErr w:type="spellStart"/>
      <w:r w:rsidRPr="00CE7FA8">
        <w:rPr>
          <w:rFonts w:ascii="Times New Roman" w:hAnsi="Times New Roman" w:cs="Times New Roman"/>
          <w:sz w:val="24"/>
          <w:szCs w:val="24"/>
        </w:rPr>
        <w:t>Strulik</w:t>
      </w:r>
      <w:proofErr w:type="spellEnd"/>
      <w:r w:rsidRPr="00CE7FA8">
        <w:rPr>
          <w:rFonts w:ascii="Times New Roman" w:hAnsi="Times New Roman" w:cs="Times New Roman"/>
          <w:sz w:val="24"/>
          <w:szCs w:val="24"/>
        </w:rPr>
        <w:t>, H. (2020). Population growth and economic development: The role of human capital. Journal of Economic Growth, 25(3), 289–320.</w:t>
      </w:r>
    </w:p>
    <w:p w14:paraId="28F96329" w14:textId="77777777" w:rsidR="00CE7FA8" w:rsidRPr="00CE7FA8" w:rsidRDefault="00CE7FA8" w:rsidP="005106CE">
      <w:pPr>
        <w:spacing w:line="240" w:lineRule="auto"/>
        <w:ind w:left="720" w:hanging="720"/>
        <w:contextualSpacing/>
        <w:jc w:val="both"/>
        <w:rPr>
          <w:rFonts w:ascii="Times New Roman" w:hAnsi="Times New Roman" w:cs="Times New Roman"/>
          <w:sz w:val="24"/>
          <w:szCs w:val="24"/>
        </w:rPr>
      </w:pPr>
    </w:p>
    <w:p w14:paraId="67C8F490" w14:textId="783FC085"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Pritchett, L. (2024). Education and economic growth: It's not just going to school, but what you learn and how the economy uses it. International Journal of Educati</w:t>
      </w:r>
      <w:r w:rsidR="005106CE">
        <w:rPr>
          <w:rFonts w:ascii="Times New Roman" w:hAnsi="Times New Roman" w:cs="Times New Roman"/>
          <w:sz w:val="24"/>
          <w:szCs w:val="24"/>
        </w:rPr>
        <w:t>onal Development, 104, 102–118.</w:t>
      </w:r>
    </w:p>
    <w:p w14:paraId="7D29AD69" w14:textId="23EBA7C2"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Psacharopoulos</w:t>
      </w:r>
      <w:proofErr w:type="spellEnd"/>
      <w:r w:rsidRPr="00CE7FA8">
        <w:rPr>
          <w:rFonts w:ascii="Times New Roman" w:hAnsi="Times New Roman" w:cs="Times New Roman"/>
          <w:sz w:val="24"/>
          <w:szCs w:val="24"/>
        </w:rPr>
        <w:t xml:space="preserve">, G., &amp; </w:t>
      </w:r>
      <w:proofErr w:type="spellStart"/>
      <w:r w:rsidRPr="00CE7FA8">
        <w:rPr>
          <w:rFonts w:ascii="Times New Roman" w:hAnsi="Times New Roman" w:cs="Times New Roman"/>
          <w:sz w:val="24"/>
          <w:szCs w:val="24"/>
        </w:rPr>
        <w:t>Patrinos</w:t>
      </w:r>
      <w:proofErr w:type="spellEnd"/>
      <w:r w:rsidRPr="00CE7FA8">
        <w:rPr>
          <w:rFonts w:ascii="Times New Roman" w:hAnsi="Times New Roman" w:cs="Times New Roman"/>
          <w:sz w:val="24"/>
          <w:szCs w:val="24"/>
        </w:rPr>
        <w:t>, H. A. (2018). Returns to investment in education: A decennial review of the global literature. Educa</w:t>
      </w:r>
      <w:r w:rsidR="005106CE">
        <w:rPr>
          <w:rFonts w:ascii="Times New Roman" w:hAnsi="Times New Roman" w:cs="Times New Roman"/>
          <w:sz w:val="24"/>
          <w:szCs w:val="24"/>
        </w:rPr>
        <w:t>tion Economics, 26(5), 445–458.</w:t>
      </w:r>
    </w:p>
    <w:p w14:paraId="5451DB2F" w14:textId="498B85C0"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Rakhmatullin</w:t>
      </w:r>
      <w:proofErr w:type="spellEnd"/>
      <w:r w:rsidRPr="00CE7FA8">
        <w:rPr>
          <w:rFonts w:ascii="Times New Roman" w:hAnsi="Times New Roman" w:cs="Times New Roman"/>
          <w:sz w:val="24"/>
          <w:szCs w:val="24"/>
        </w:rPr>
        <w:t xml:space="preserve">, S. (2025). Development of the primary and secondary education system in the Republic of Kenya (1963–2022). </w:t>
      </w:r>
      <w:proofErr w:type="spellStart"/>
      <w:r w:rsidRPr="00CE7FA8">
        <w:rPr>
          <w:rFonts w:ascii="Times New Roman" w:hAnsi="Times New Roman" w:cs="Times New Roman"/>
          <w:sz w:val="24"/>
          <w:szCs w:val="24"/>
        </w:rPr>
        <w:t>Uchenie</w:t>
      </w:r>
      <w:proofErr w:type="spellEnd"/>
      <w:r w:rsidRPr="00CE7FA8">
        <w:rPr>
          <w:rFonts w:ascii="Times New Roman" w:hAnsi="Times New Roman" w:cs="Times New Roman"/>
          <w:sz w:val="24"/>
          <w:szCs w:val="24"/>
        </w:rPr>
        <w:t xml:space="preserve"> </w:t>
      </w:r>
      <w:proofErr w:type="spellStart"/>
      <w:r w:rsidRPr="00CE7FA8">
        <w:rPr>
          <w:rFonts w:ascii="Times New Roman" w:hAnsi="Times New Roman" w:cs="Times New Roman"/>
          <w:sz w:val="24"/>
          <w:szCs w:val="24"/>
        </w:rPr>
        <w:t>zapiski</w:t>
      </w:r>
      <w:proofErr w:type="spellEnd"/>
      <w:r w:rsidRPr="00CE7FA8">
        <w:rPr>
          <w:rFonts w:ascii="Times New Roman" w:hAnsi="Times New Roman" w:cs="Times New Roman"/>
          <w:sz w:val="24"/>
          <w:szCs w:val="24"/>
        </w:rPr>
        <w:t xml:space="preserve"> </w:t>
      </w:r>
      <w:proofErr w:type="spellStart"/>
      <w:r w:rsidRPr="00CE7FA8">
        <w:rPr>
          <w:rFonts w:ascii="Times New Roman" w:hAnsi="Times New Roman" w:cs="Times New Roman"/>
          <w:sz w:val="24"/>
          <w:szCs w:val="24"/>
        </w:rPr>
        <w:t>Instituta</w:t>
      </w:r>
      <w:proofErr w:type="spellEnd"/>
      <w:r w:rsidRPr="00CE7FA8">
        <w:rPr>
          <w:rFonts w:ascii="Times New Roman" w:hAnsi="Times New Roman" w:cs="Times New Roman"/>
          <w:sz w:val="24"/>
          <w:szCs w:val="24"/>
        </w:rPr>
        <w:t xml:space="preserve"> </w:t>
      </w:r>
      <w:proofErr w:type="spellStart"/>
      <w:r w:rsidRPr="00CE7FA8">
        <w:rPr>
          <w:rFonts w:ascii="Times New Roman" w:hAnsi="Times New Roman" w:cs="Times New Roman"/>
          <w:sz w:val="24"/>
          <w:szCs w:val="24"/>
        </w:rPr>
        <w:t>Afriki</w:t>
      </w:r>
      <w:proofErr w:type="spellEnd"/>
      <w:r w:rsidRPr="00CE7FA8">
        <w:rPr>
          <w:rFonts w:ascii="Times New Roman" w:hAnsi="Times New Roman" w:cs="Times New Roman"/>
          <w:sz w:val="24"/>
          <w:szCs w:val="24"/>
        </w:rPr>
        <w:t xml:space="preserve"> RAN, 71(2), 58–74. https://doi.org/10.31132/2412-5717-2025</w:t>
      </w:r>
      <w:r w:rsidR="005106CE">
        <w:rPr>
          <w:rFonts w:ascii="Times New Roman" w:hAnsi="Times New Roman" w:cs="Times New Roman"/>
          <w:sz w:val="24"/>
          <w:szCs w:val="24"/>
        </w:rPr>
        <w:t>-71-2-58-74</w:t>
      </w:r>
    </w:p>
    <w:p w14:paraId="6E693BD7" w14:textId="7C1C4933"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Romer, P. M. (1986). Increasing returns and long-run growth. Journal of Polit</w:t>
      </w:r>
      <w:r w:rsidR="005106CE">
        <w:rPr>
          <w:rFonts w:ascii="Times New Roman" w:hAnsi="Times New Roman" w:cs="Times New Roman"/>
          <w:sz w:val="24"/>
          <w:szCs w:val="24"/>
        </w:rPr>
        <w:t>ical Economy, 94(5), 1002–1037.</w:t>
      </w:r>
    </w:p>
    <w:p w14:paraId="141BD4DF" w14:textId="370DEEE2"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Rono</w:t>
      </w:r>
      <w:proofErr w:type="spellEnd"/>
      <w:r w:rsidRPr="00CE7FA8">
        <w:rPr>
          <w:rFonts w:ascii="Times New Roman" w:hAnsi="Times New Roman" w:cs="Times New Roman"/>
          <w:sz w:val="24"/>
          <w:szCs w:val="24"/>
        </w:rPr>
        <w:t xml:space="preserve">, K., &amp; </w:t>
      </w:r>
      <w:proofErr w:type="spellStart"/>
      <w:r w:rsidRPr="00CE7FA8">
        <w:rPr>
          <w:rFonts w:ascii="Times New Roman" w:hAnsi="Times New Roman" w:cs="Times New Roman"/>
          <w:sz w:val="24"/>
          <w:szCs w:val="24"/>
        </w:rPr>
        <w:t>Bwamoni</w:t>
      </w:r>
      <w:proofErr w:type="spellEnd"/>
      <w:r w:rsidRPr="00CE7FA8">
        <w:rPr>
          <w:rFonts w:ascii="Times New Roman" w:hAnsi="Times New Roman" w:cs="Times New Roman"/>
          <w:sz w:val="24"/>
          <w:szCs w:val="24"/>
        </w:rPr>
        <w:t>, C. O. (2020). Implementation of Kenya’s basic education curriculum framework: A pursuit of quality education for social economic and political growth. The International Journal of Humanities &amp; Social Studies, 8(11). https://doi.org/10.24940/</w:t>
      </w:r>
      <w:r w:rsidR="005106CE">
        <w:rPr>
          <w:rFonts w:ascii="Times New Roman" w:hAnsi="Times New Roman" w:cs="Times New Roman"/>
          <w:sz w:val="24"/>
          <w:szCs w:val="24"/>
        </w:rPr>
        <w:t>theijhss/2020/v8/i11/hs2011-036</w:t>
      </w:r>
    </w:p>
    <w:p w14:paraId="539B13A0" w14:textId="22F6522D"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Schultz, T. W. (1961). Investment in human capital. America</w:t>
      </w:r>
      <w:r w:rsidR="005106CE">
        <w:rPr>
          <w:rFonts w:ascii="Times New Roman" w:hAnsi="Times New Roman" w:cs="Times New Roman"/>
          <w:sz w:val="24"/>
          <w:szCs w:val="24"/>
        </w:rPr>
        <w:t>n Economic Review, 51(1), 1–17.</w:t>
      </w:r>
    </w:p>
    <w:p w14:paraId="40062C60" w14:textId="55C9E8C2"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Sele</w:t>
      </w:r>
      <w:proofErr w:type="spellEnd"/>
      <w:r w:rsidRPr="00CE7FA8">
        <w:rPr>
          <w:rFonts w:ascii="Times New Roman" w:hAnsi="Times New Roman" w:cs="Times New Roman"/>
          <w:sz w:val="24"/>
          <w:szCs w:val="24"/>
        </w:rPr>
        <w:t>, J. P., &amp; Wanjiku, C. (2024). The role of education in economic development: A comparative study of Nigeria and Kenya. Greener Journal of Social Sciences, 14(2). https://doi.org</w:t>
      </w:r>
      <w:r w:rsidR="005106CE">
        <w:rPr>
          <w:rFonts w:ascii="Times New Roman" w:hAnsi="Times New Roman" w:cs="Times New Roman"/>
          <w:sz w:val="24"/>
          <w:szCs w:val="24"/>
        </w:rPr>
        <w:t>/10.15580/gjss.2024.2.093024121</w:t>
      </w:r>
    </w:p>
    <w:p w14:paraId="23A334AD" w14:textId="79A013E4"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Sequeira</w:t>
      </w:r>
      <w:proofErr w:type="spellEnd"/>
      <w:r w:rsidRPr="00CE7FA8">
        <w:rPr>
          <w:rFonts w:ascii="Times New Roman" w:hAnsi="Times New Roman" w:cs="Times New Roman"/>
          <w:sz w:val="24"/>
          <w:szCs w:val="24"/>
        </w:rPr>
        <w:t>, T. (2021). Inflation, economic growth and education expenditure. Economic Modelling. https://doi.or</w:t>
      </w:r>
      <w:r w:rsidR="005106CE">
        <w:rPr>
          <w:rFonts w:ascii="Times New Roman" w:hAnsi="Times New Roman" w:cs="Times New Roman"/>
          <w:sz w:val="24"/>
          <w:szCs w:val="24"/>
        </w:rPr>
        <w:t>g/10.1016/j.econmod.2021.02.016</w:t>
      </w:r>
    </w:p>
    <w:p w14:paraId="7A5D5F51" w14:textId="32F3F1BC"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Soi, N., </w:t>
      </w:r>
      <w:proofErr w:type="spellStart"/>
      <w:r w:rsidRPr="00CE7FA8">
        <w:rPr>
          <w:rFonts w:ascii="Times New Roman" w:hAnsi="Times New Roman" w:cs="Times New Roman"/>
          <w:sz w:val="24"/>
          <w:szCs w:val="24"/>
        </w:rPr>
        <w:t>Koskei</w:t>
      </w:r>
      <w:proofErr w:type="spellEnd"/>
      <w:r w:rsidRPr="00CE7FA8">
        <w:rPr>
          <w:rFonts w:ascii="Times New Roman" w:hAnsi="Times New Roman" w:cs="Times New Roman"/>
          <w:sz w:val="24"/>
          <w:szCs w:val="24"/>
        </w:rPr>
        <w:t xml:space="preserve">, I., </w:t>
      </w:r>
      <w:proofErr w:type="spellStart"/>
      <w:r w:rsidRPr="00CE7FA8">
        <w:rPr>
          <w:rFonts w:ascii="Times New Roman" w:hAnsi="Times New Roman" w:cs="Times New Roman"/>
          <w:sz w:val="24"/>
          <w:szCs w:val="24"/>
        </w:rPr>
        <w:t>Buigut</w:t>
      </w:r>
      <w:proofErr w:type="spellEnd"/>
      <w:r w:rsidRPr="00CE7FA8">
        <w:rPr>
          <w:rFonts w:ascii="Times New Roman" w:hAnsi="Times New Roman" w:cs="Times New Roman"/>
          <w:sz w:val="24"/>
          <w:szCs w:val="24"/>
        </w:rPr>
        <w:t xml:space="preserve">, K., &amp; </w:t>
      </w:r>
      <w:proofErr w:type="spellStart"/>
      <w:r w:rsidRPr="00CE7FA8">
        <w:rPr>
          <w:rFonts w:ascii="Times New Roman" w:hAnsi="Times New Roman" w:cs="Times New Roman"/>
          <w:sz w:val="24"/>
          <w:szCs w:val="24"/>
        </w:rPr>
        <w:t>Kibet</w:t>
      </w:r>
      <w:proofErr w:type="spellEnd"/>
      <w:r w:rsidRPr="00CE7FA8">
        <w:rPr>
          <w:rFonts w:ascii="Times New Roman" w:hAnsi="Times New Roman" w:cs="Times New Roman"/>
          <w:sz w:val="24"/>
          <w:szCs w:val="24"/>
        </w:rPr>
        <w:t>, J. (2013). Impact of Openness, Foreign Direct Investment, Gross Capital Formation on Economic Growth in Kenya. Journal of economics and susta</w:t>
      </w:r>
      <w:r w:rsidR="005106CE">
        <w:rPr>
          <w:rFonts w:ascii="Times New Roman" w:hAnsi="Times New Roman" w:cs="Times New Roman"/>
          <w:sz w:val="24"/>
          <w:szCs w:val="24"/>
        </w:rPr>
        <w:t>inable development, 4, 130-135.</w:t>
      </w:r>
    </w:p>
    <w:p w14:paraId="13A02C95" w14:textId="0DF00E0C"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Solow, R. M. (1956). A contribution to the theory of economic growth. Quarterly Jour</w:t>
      </w:r>
      <w:r w:rsidR="005106CE">
        <w:rPr>
          <w:rFonts w:ascii="Times New Roman" w:hAnsi="Times New Roman" w:cs="Times New Roman"/>
          <w:sz w:val="24"/>
          <w:szCs w:val="24"/>
        </w:rPr>
        <w:t>nal of Economics, 70(1), 65–94.</w:t>
      </w:r>
    </w:p>
    <w:p w14:paraId="26402D54" w14:textId="5FAA6D57"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 xml:space="preserve">UNESCO. (2023). Global Education Monitoring Report </w:t>
      </w:r>
      <w:r w:rsidR="005106CE">
        <w:rPr>
          <w:rFonts w:ascii="Times New Roman" w:hAnsi="Times New Roman" w:cs="Times New Roman"/>
          <w:sz w:val="24"/>
          <w:szCs w:val="24"/>
        </w:rPr>
        <w:t>2023. Paris: UNESCO Publishing.</w:t>
      </w:r>
    </w:p>
    <w:p w14:paraId="342D6C69" w14:textId="2B4A29A8"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Voumik</w:t>
      </w:r>
      <w:proofErr w:type="spellEnd"/>
      <w:r w:rsidRPr="00CE7FA8">
        <w:rPr>
          <w:rFonts w:ascii="Times New Roman" w:hAnsi="Times New Roman" w:cs="Times New Roman"/>
          <w:sz w:val="24"/>
          <w:szCs w:val="24"/>
        </w:rPr>
        <w:t>, L. C., Ridwan, M., Rahman, M. H., &amp; Raihan, A. (2023). An investigation into the primary causes of carbon dioxide releases in Kenya: Does renewable energy matter to reduce carbon emission? Renewable Energy Focus. https://do</w:t>
      </w:r>
      <w:r w:rsidR="005106CE">
        <w:rPr>
          <w:rFonts w:ascii="Times New Roman" w:hAnsi="Times New Roman" w:cs="Times New Roman"/>
          <w:sz w:val="24"/>
          <w:szCs w:val="24"/>
        </w:rPr>
        <w:t>i.org/10.1016/j.ref.2023.100491</w:t>
      </w:r>
    </w:p>
    <w:p w14:paraId="459A336B" w14:textId="572CEC05"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Wandeda</w:t>
      </w:r>
      <w:proofErr w:type="spellEnd"/>
      <w:r w:rsidRPr="00CE7FA8">
        <w:rPr>
          <w:rFonts w:ascii="Times New Roman" w:hAnsi="Times New Roman" w:cs="Times New Roman"/>
          <w:sz w:val="24"/>
          <w:szCs w:val="24"/>
        </w:rPr>
        <w:t xml:space="preserve">, D. O., Masai, W., &amp; </w:t>
      </w:r>
      <w:proofErr w:type="spellStart"/>
      <w:r w:rsidRPr="00CE7FA8">
        <w:rPr>
          <w:rFonts w:ascii="Times New Roman" w:hAnsi="Times New Roman" w:cs="Times New Roman"/>
          <w:sz w:val="24"/>
          <w:szCs w:val="24"/>
        </w:rPr>
        <w:t>Nyandemo</w:t>
      </w:r>
      <w:proofErr w:type="spellEnd"/>
      <w:r w:rsidRPr="00CE7FA8">
        <w:rPr>
          <w:rFonts w:ascii="Times New Roman" w:hAnsi="Times New Roman" w:cs="Times New Roman"/>
          <w:sz w:val="24"/>
          <w:szCs w:val="24"/>
        </w:rPr>
        <w:t xml:space="preserve">, S. (2021). Government expenditure and economic growth in Sub-Saharan Africa. Journal of Economics and Public Finance, 7(4), 14. </w:t>
      </w:r>
      <w:hyperlink r:id="rId11" w:history="1">
        <w:r w:rsidRPr="00BC2699">
          <w:rPr>
            <w:rStyle w:val="Hyperlink"/>
            <w:rFonts w:ascii="Times New Roman" w:hAnsi="Times New Roman" w:cs="Times New Roman"/>
            <w:sz w:val="24"/>
            <w:szCs w:val="24"/>
          </w:rPr>
          <w:t>https://doi.org/10.22158/jepf.v7n4p14</w:t>
        </w:r>
      </w:hyperlink>
    </w:p>
    <w:p w14:paraId="4A808A8E" w14:textId="252B35BF"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lastRenderedPageBreak/>
        <w:t>Wang, Q., &amp; Zhang, Z. (2024). Government expenditure on education and economic growth: An econometric study. Journal of Education, Humanities and Social Sciences. ht</w:t>
      </w:r>
      <w:r w:rsidR="005106CE">
        <w:rPr>
          <w:rFonts w:ascii="Times New Roman" w:hAnsi="Times New Roman" w:cs="Times New Roman"/>
          <w:sz w:val="24"/>
          <w:szCs w:val="24"/>
        </w:rPr>
        <w:t>tps://doi.org/10.54097/zhysg377</w:t>
      </w:r>
    </w:p>
    <w:p w14:paraId="614EA8BE" w14:textId="3F8C275E" w:rsidR="00CE7FA8" w:rsidRPr="00CE7FA8" w:rsidRDefault="00CE7FA8" w:rsidP="005106CE">
      <w:pPr>
        <w:spacing w:line="240" w:lineRule="auto"/>
        <w:ind w:left="720" w:hanging="720"/>
        <w:contextualSpacing/>
        <w:jc w:val="both"/>
        <w:rPr>
          <w:rFonts w:ascii="Times New Roman" w:hAnsi="Times New Roman" w:cs="Times New Roman"/>
          <w:sz w:val="24"/>
          <w:szCs w:val="24"/>
        </w:rPr>
      </w:pPr>
      <w:r w:rsidRPr="00CE7FA8">
        <w:rPr>
          <w:rFonts w:ascii="Times New Roman" w:hAnsi="Times New Roman" w:cs="Times New Roman"/>
          <w:sz w:val="24"/>
          <w:szCs w:val="24"/>
        </w:rPr>
        <w:t>World Bank. (2023). World Development Indicators. Washington, DC: World Bank. Retrieved from</w:t>
      </w:r>
      <w:r w:rsidR="005106CE">
        <w:rPr>
          <w:rFonts w:ascii="Times New Roman" w:hAnsi="Times New Roman" w:cs="Times New Roman"/>
          <w:sz w:val="24"/>
          <w:szCs w:val="24"/>
        </w:rPr>
        <w:t xml:space="preserve"> https://databank.worldbank.org</w:t>
      </w:r>
    </w:p>
    <w:p w14:paraId="701D544D" w14:textId="672C1188" w:rsidR="00CE7FA8" w:rsidRPr="00CE7FA8"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Zeileis</w:t>
      </w:r>
      <w:proofErr w:type="spellEnd"/>
      <w:r w:rsidRPr="00CE7FA8">
        <w:rPr>
          <w:rFonts w:ascii="Times New Roman" w:hAnsi="Times New Roman" w:cs="Times New Roman"/>
          <w:sz w:val="24"/>
          <w:szCs w:val="24"/>
        </w:rPr>
        <w:t xml:space="preserve">, A., &amp; </w:t>
      </w:r>
      <w:proofErr w:type="spellStart"/>
      <w:r w:rsidRPr="00CE7FA8">
        <w:rPr>
          <w:rFonts w:ascii="Times New Roman" w:hAnsi="Times New Roman" w:cs="Times New Roman"/>
          <w:sz w:val="24"/>
          <w:szCs w:val="24"/>
        </w:rPr>
        <w:t>Hothorn</w:t>
      </w:r>
      <w:proofErr w:type="spellEnd"/>
      <w:r w:rsidRPr="00CE7FA8">
        <w:rPr>
          <w:rFonts w:ascii="Times New Roman" w:hAnsi="Times New Roman" w:cs="Times New Roman"/>
          <w:sz w:val="24"/>
          <w:szCs w:val="24"/>
        </w:rPr>
        <w:t xml:space="preserve">, T. (2015). Diagnostic checking in regression relationships. In T. </w:t>
      </w:r>
      <w:proofErr w:type="spellStart"/>
      <w:r w:rsidRPr="00CE7FA8">
        <w:rPr>
          <w:rFonts w:ascii="Times New Roman" w:hAnsi="Times New Roman" w:cs="Times New Roman"/>
          <w:sz w:val="24"/>
          <w:szCs w:val="24"/>
        </w:rPr>
        <w:t>Kneib</w:t>
      </w:r>
      <w:proofErr w:type="spellEnd"/>
      <w:r w:rsidRPr="00CE7FA8">
        <w:rPr>
          <w:rFonts w:ascii="Times New Roman" w:hAnsi="Times New Roman" w:cs="Times New Roman"/>
          <w:sz w:val="24"/>
          <w:szCs w:val="24"/>
        </w:rPr>
        <w:t xml:space="preserve">, F. Sobotka, J. </w:t>
      </w:r>
      <w:proofErr w:type="spellStart"/>
      <w:r w:rsidRPr="00CE7FA8">
        <w:rPr>
          <w:rFonts w:ascii="Times New Roman" w:hAnsi="Times New Roman" w:cs="Times New Roman"/>
          <w:sz w:val="24"/>
          <w:szCs w:val="24"/>
        </w:rPr>
        <w:t>Fahrenholz</w:t>
      </w:r>
      <w:proofErr w:type="spellEnd"/>
      <w:r w:rsidRPr="00CE7FA8">
        <w:rPr>
          <w:rFonts w:ascii="Times New Roman" w:hAnsi="Times New Roman" w:cs="Times New Roman"/>
          <w:sz w:val="24"/>
          <w:szCs w:val="24"/>
        </w:rPr>
        <w:t xml:space="preserve">, &amp; H. </w:t>
      </w:r>
      <w:proofErr w:type="spellStart"/>
      <w:r w:rsidRPr="00CE7FA8">
        <w:rPr>
          <w:rFonts w:ascii="Times New Roman" w:hAnsi="Times New Roman" w:cs="Times New Roman"/>
          <w:sz w:val="24"/>
          <w:szCs w:val="24"/>
        </w:rPr>
        <w:t>Irmer</w:t>
      </w:r>
      <w:proofErr w:type="spellEnd"/>
      <w:r w:rsidRPr="00CE7FA8">
        <w:rPr>
          <w:rFonts w:ascii="Times New Roman" w:hAnsi="Times New Roman" w:cs="Times New Roman"/>
          <w:sz w:val="24"/>
          <w:szCs w:val="24"/>
        </w:rPr>
        <w:t xml:space="preserve"> (Eds.), Proceedings of the 30th International Workshop on Statistical Modelling (V</w:t>
      </w:r>
      <w:r w:rsidR="005106CE">
        <w:rPr>
          <w:rFonts w:ascii="Times New Roman" w:hAnsi="Times New Roman" w:cs="Times New Roman"/>
          <w:sz w:val="24"/>
          <w:szCs w:val="24"/>
        </w:rPr>
        <w:t>ol. 2, pp. 141–146). Göttingen.</w:t>
      </w:r>
    </w:p>
    <w:p w14:paraId="0F983E80" w14:textId="303810CC" w:rsidR="00C70795" w:rsidRPr="00C70795" w:rsidRDefault="00CE7FA8" w:rsidP="005106CE">
      <w:pPr>
        <w:spacing w:line="240" w:lineRule="auto"/>
        <w:ind w:left="720" w:hanging="720"/>
        <w:contextualSpacing/>
        <w:jc w:val="both"/>
        <w:rPr>
          <w:rFonts w:ascii="Times New Roman" w:hAnsi="Times New Roman" w:cs="Times New Roman"/>
          <w:sz w:val="24"/>
          <w:szCs w:val="24"/>
        </w:rPr>
      </w:pPr>
      <w:proofErr w:type="spellStart"/>
      <w:r w:rsidRPr="00CE7FA8">
        <w:rPr>
          <w:rFonts w:ascii="Times New Roman" w:hAnsi="Times New Roman" w:cs="Times New Roman"/>
          <w:sz w:val="24"/>
          <w:szCs w:val="24"/>
        </w:rPr>
        <w:t>Zickafoose</w:t>
      </w:r>
      <w:proofErr w:type="spellEnd"/>
      <w:r w:rsidRPr="00CE7FA8">
        <w:rPr>
          <w:rFonts w:ascii="Times New Roman" w:hAnsi="Times New Roman" w:cs="Times New Roman"/>
          <w:sz w:val="24"/>
          <w:szCs w:val="24"/>
        </w:rPr>
        <w:t xml:space="preserve">, A., Ilesanmi, O., Díaz-Manrique, M., Adeyemi, A., </w:t>
      </w:r>
      <w:proofErr w:type="spellStart"/>
      <w:r w:rsidRPr="00CE7FA8">
        <w:rPr>
          <w:rFonts w:ascii="Times New Roman" w:hAnsi="Times New Roman" w:cs="Times New Roman"/>
          <w:sz w:val="24"/>
          <w:szCs w:val="24"/>
        </w:rPr>
        <w:t>Walumbe</w:t>
      </w:r>
      <w:proofErr w:type="spellEnd"/>
      <w:r w:rsidRPr="00CE7FA8">
        <w:rPr>
          <w:rFonts w:ascii="Times New Roman" w:hAnsi="Times New Roman" w:cs="Times New Roman"/>
          <w:sz w:val="24"/>
          <w:szCs w:val="24"/>
        </w:rPr>
        <w:t xml:space="preserve">, B., Strong, R., </w:t>
      </w:r>
      <w:proofErr w:type="spellStart"/>
      <w:r w:rsidRPr="00CE7FA8">
        <w:rPr>
          <w:rFonts w:ascii="Times New Roman" w:hAnsi="Times New Roman" w:cs="Times New Roman"/>
          <w:sz w:val="24"/>
          <w:szCs w:val="24"/>
        </w:rPr>
        <w:t>Wingenbach</w:t>
      </w:r>
      <w:proofErr w:type="spellEnd"/>
      <w:r w:rsidRPr="00CE7FA8">
        <w:rPr>
          <w:rFonts w:ascii="Times New Roman" w:hAnsi="Times New Roman" w:cs="Times New Roman"/>
          <w:sz w:val="24"/>
          <w:szCs w:val="24"/>
        </w:rPr>
        <w:t>, G., Rodriguez, M. T., &amp; Dooley, K. (2024). Barriers and challenges affecting quality education (Sustainable Development Goal #4) in Sub-Saharan Africa by 2030. Sustainability, 16(7), 2657. https://doi.org/10.3390/su16072657</w:t>
      </w:r>
    </w:p>
    <w:p w14:paraId="5EA28067" w14:textId="1A33ED3F" w:rsidR="00C70795" w:rsidRPr="00C70795" w:rsidRDefault="00C70795" w:rsidP="003327C7">
      <w:pPr>
        <w:spacing w:line="240" w:lineRule="auto"/>
        <w:contextualSpacing/>
        <w:jc w:val="both"/>
        <w:rPr>
          <w:rFonts w:ascii="Times New Roman" w:hAnsi="Times New Roman" w:cs="Times New Roman"/>
          <w:b/>
          <w:bCs/>
          <w:sz w:val="24"/>
          <w:szCs w:val="24"/>
        </w:rPr>
      </w:pPr>
      <w:r w:rsidRPr="00C70795">
        <w:rPr>
          <w:rFonts w:ascii="Times New Roman" w:hAnsi="Times New Roman" w:cs="Times New Roman"/>
          <w:b/>
          <w:bCs/>
          <w:sz w:val="24"/>
          <w:szCs w:val="24"/>
        </w:rPr>
        <w:t>APPENDIX A: CUSUM STABILITY TEST</w:t>
      </w:r>
    </w:p>
    <w:p w14:paraId="72A4F348" w14:textId="77777777" w:rsidR="005A4DBE" w:rsidRDefault="0096732B" w:rsidP="003327C7">
      <w:pPr>
        <w:spacing w:line="240" w:lineRule="auto"/>
        <w:contextualSpacing/>
        <w:jc w:val="both"/>
        <w:rPr>
          <w:rFonts w:ascii="Times New Roman" w:hAnsi="Times New Roman" w:cs="Times New Roman"/>
          <w:i/>
          <w:iCs/>
          <w:sz w:val="24"/>
          <w:szCs w:val="24"/>
        </w:rPr>
      </w:pPr>
      <w:r>
        <w:rPr>
          <w:noProof/>
        </w:rPr>
        <w:drawing>
          <wp:inline distT="0" distB="0" distL="0" distR="0" wp14:anchorId="1812AA85" wp14:editId="1F247960">
            <wp:extent cx="5153025" cy="3634740"/>
            <wp:effectExtent l="0" t="0" r="0" b="3810"/>
            <wp:docPr id="139812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2466" name="Picture 1"/>
                    <pic:cNvPicPr>
                      <a:picLocks noChangeAspect="1"/>
                    </pic:cNvPicPr>
                  </pic:nvPicPr>
                  <pic:blipFill>
                    <a:blip r:embed="rId12"/>
                    <a:stretch>
                      <a:fillRect/>
                    </a:stretch>
                  </pic:blipFill>
                  <pic:spPr>
                    <a:xfrm>
                      <a:off x="0" y="0"/>
                      <a:ext cx="5153025" cy="3635195"/>
                    </a:xfrm>
                    <a:prstGeom prst="rect">
                      <a:avLst/>
                    </a:prstGeom>
                  </pic:spPr>
                </pic:pic>
              </a:graphicData>
            </a:graphic>
          </wp:inline>
        </w:drawing>
      </w:r>
      <w:r w:rsidRPr="00C70795">
        <w:rPr>
          <w:rFonts w:ascii="Times New Roman" w:hAnsi="Times New Roman" w:cs="Times New Roman"/>
          <w:i/>
          <w:iCs/>
          <w:sz w:val="24"/>
          <w:szCs w:val="24"/>
        </w:rPr>
        <w:t xml:space="preserve"> </w:t>
      </w:r>
    </w:p>
    <w:p w14:paraId="1B24C956" w14:textId="5E993B19" w:rsidR="00C70795" w:rsidRPr="00C70795" w:rsidRDefault="00C70795" w:rsidP="003327C7">
      <w:pPr>
        <w:spacing w:line="240" w:lineRule="auto"/>
        <w:contextualSpacing/>
        <w:jc w:val="both"/>
        <w:rPr>
          <w:rFonts w:ascii="Times New Roman" w:hAnsi="Times New Roman" w:cs="Times New Roman"/>
          <w:sz w:val="24"/>
          <w:szCs w:val="24"/>
        </w:rPr>
      </w:pPr>
      <w:r w:rsidRPr="00C70795">
        <w:rPr>
          <w:rFonts w:ascii="Times New Roman" w:hAnsi="Times New Roman" w:cs="Times New Roman"/>
          <w:i/>
          <w:iCs/>
          <w:sz w:val="24"/>
          <w:szCs w:val="24"/>
        </w:rPr>
        <w:t>The CUSUM and CUSUM of squares plots remain within the 5% critical bounds, confirming model stability.</w:t>
      </w:r>
    </w:p>
    <w:sectPr w:rsidR="00C70795" w:rsidRPr="00C7079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9697" w14:textId="77777777" w:rsidR="00C247EB" w:rsidRDefault="00C247EB" w:rsidP="00161207">
      <w:pPr>
        <w:spacing w:after="0" w:line="240" w:lineRule="auto"/>
      </w:pPr>
      <w:r>
        <w:separator/>
      </w:r>
    </w:p>
  </w:endnote>
  <w:endnote w:type="continuationSeparator" w:id="0">
    <w:p w14:paraId="578FF5BF" w14:textId="77777777" w:rsidR="00C247EB" w:rsidRDefault="00C247EB" w:rsidP="0016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B9C8" w14:textId="77777777" w:rsidR="00C247EB" w:rsidRDefault="00C247EB" w:rsidP="00161207">
      <w:pPr>
        <w:spacing w:after="0" w:line="240" w:lineRule="auto"/>
      </w:pPr>
      <w:r>
        <w:separator/>
      </w:r>
    </w:p>
  </w:footnote>
  <w:footnote w:type="continuationSeparator" w:id="0">
    <w:p w14:paraId="76CEA502" w14:textId="77777777" w:rsidR="00C247EB" w:rsidRDefault="00C247EB" w:rsidP="0016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039983"/>
      <w:docPartObj>
        <w:docPartGallery w:val="Page Numbers (Top of Page)"/>
        <w:docPartUnique/>
      </w:docPartObj>
    </w:sdtPr>
    <w:sdtEndPr>
      <w:rPr>
        <w:rFonts w:ascii="Times New Roman" w:hAnsi="Times New Roman" w:cs="Times New Roman"/>
        <w:noProof/>
      </w:rPr>
    </w:sdtEndPr>
    <w:sdtContent>
      <w:p w14:paraId="1D37BDAC" w14:textId="4D5070C8" w:rsidR="00161207" w:rsidRPr="00161207" w:rsidRDefault="00161207">
        <w:pPr>
          <w:pStyle w:val="Header"/>
          <w:jc w:val="center"/>
          <w:rPr>
            <w:rFonts w:ascii="Times New Roman" w:hAnsi="Times New Roman" w:cs="Times New Roman"/>
          </w:rPr>
        </w:pPr>
        <w:r w:rsidRPr="00161207">
          <w:rPr>
            <w:rFonts w:ascii="Times New Roman" w:hAnsi="Times New Roman" w:cs="Times New Roman"/>
          </w:rPr>
          <w:fldChar w:fldCharType="begin"/>
        </w:r>
        <w:r w:rsidRPr="00161207">
          <w:rPr>
            <w:rFonts w:ascii="Times New Roman" w:hAnsi="Times New Roman" w:cs="Times New Roman"/>
          </w:rPr>
          <w:instrText xml:space="preserve"> PAGE   \* MERGEFORMAT </w:instrText>
        </w:r>
        <w:r w:rsidRPr="00161207">
          <w:rPr>
            <w:rFonts w:ascii="Times New Roman" w:hAnsi="Times New Roman" w:cs="Times New Roman"/>
          </w:rPr>
          <w:fldChar w:fldCharType="separate"/>
        </w:r>
        <w:r w:rsidRPr="00161207">
          <w:rPr>
            <w:rFonts w:ascii="Times New Roman" w:hAnsi="Times New Roman" w:cs="Times New Roman"/>
            <w:noProof/>
          </w:rPr>
          <w:t>2</w:t>
        </w:r>
        <w:r w:rsidRPr="00161207">
          <w:rPr>
            <w:rFonts w:ascii="Times New Roman" w:hAnsi="Times New Roman" w:cs="Times New Roman"/>
            <w:noProof/>
          </w:rPr>
          <w:fldChar w:fldCharType="end"/>
        </w:r>
      </w:p>
    </w:sdtContent>
  </w:sdt>
  <w:p w14:paraId="2CAE5FB2" w14:textId="77777777" w:rsidR="00161207" w:rsidRDefault="00161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C33"/>
    <w:multiLevelType w:val="multilevel"/>
    <w:tmpl w:val="9CBA2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92D7A"/>
    <w:multiLevelType w:val="multilevel"/>
    <w:tmpl w:val="CF72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E1D80"/>
    <w:multiLevelType w:val="multilevel"/>
    <w:tmpl w:val="FFCA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D40AE"/>
    <w:multiLevelType w:val="multilevel"/>
    <w:tmpl w:val="20CED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221F05"/>
    <w:multiLevelType w:val="multilevel"/>
    <w:tmpl w:val="8C32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409CD"/>
    <w:multiLevelType w:val="multilevel"/>
    <w:tmpl w:val="431409C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1C3F75"/>
    <w:multiLevelType w:val="multilevel"/>
    <w:tmpl w:val="641C3F75"/>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E1"/>
    <w:rsid w:val="000741ED"/>
    <w:rsid w:val="000D17B3"/>
    <w:rsid w:val="000E5342"/>
    <w:rsid w:val="000F37D8"/>
    <w:rsid w:val="00133D54"/>
    <w:rsid w:val="00161207"/>
    <w:rsid w:val="00163A0B"/>
    <w:rsid w:val="001D0D78"/>
    <w:rsid w:val="001E4EAA"/>
    <w:rsid w:val="002721EB"/>
    <w:rsid w:val="00276DA7"/>
    <w:rsid w:val="00285925"/>
    <w:rsid w:val="002A2973"/>
    <w:rsid w:val="002A30E6"/>
    <w:rsid w:val="002B3680"/>
    <w:rsid w:val="002C05F6"/>
    <w:rsid w:val="002C3533"/>
    <w:rsid w:val="002D2E59"/>
    <w:rsid w:val="003040EE"/>
    <w:rsid w:val="003327C7"/>
    <w:rsid w:val="00337746"/>
    <w:rsid w:val="003512A4"/>
    <w:rsid w:val="00371C57"/>
    <w:rsid w:val="00394071"/>
    <w:rsid w:val="003D2503"/>
    <w:rsid w:val="003F7987"/>
    <w:rsid w:val="004A237B"/>
    <w:rsid w:val="004F7175"/>
    <w:rsid w:val="005106CE"/>
    <w:rsid w:val="00512000"/>
    <w:rsid w:val="00526759"/>
    <w:rsid w:val="00553A7F"/>
    <w:rsid w:val="0059665B"/>
    <w:rsid w:val="005A4DBE"/>
    <w:rsid w:val="005A7573"/>
    <w:rsid w:val="00612A34"/>
    <w:rsid w:val="00661974"/>
    <w:rsid w:val="006B149C"/>
    <w:rsid w:val="006C7FA1"/>
    <w:rsid w:val="0071128E"/>
    <w:rsid w:val="0071510C"/>
    <w:rsid w:val="0072143D"/>
    <w:rsid w:val="007B15E3"/>
    <w:rsid w:val="007D357A"/>
    <w:rsid w:val="007E72C0"/>
    <w:rsid w:val="007E7437"/>
    <w:rsid w:val="008121AC"/>
    <w:rsid w:val="00814B6E"/>
    <w:rsid w:val="00820FE1"/>
    <w:rsid w:val="00852193"/>
    <w:rsid w:val="00861957"/>
    <w:rsid w:val="0087663D"/>
    <w:rsid w:val="00877631"/>
    <w:rsid w:val="008C1F80"/>
    <w:rsid w:val="0090369A"/>
    <w:rsid w:val="00911184"/>
    <w:rsid w:val="00923CAE"/>
    <w:rsid w:val="00954DD3"/>
    <w:rsid w:val="0096711C"/>
    <w:rsid w:val="0096732B"/>
    <w:rsid w:val="00970510"/>
    <w:rsid w:val="00971099"/>
    <w:rsid w:val="00975A86"/>
    <w:rsid w:val="009C3E3C"/>
    <w:rsid w:val="009F58B5"/>
    <w:rsid w:val="009F7872"/>
    <w:rsid w:val="00A13FD4"/>
    <w:rsid w:val="00A60EF2"/>
    <w:rsid w:val="00AC5833"/>
    <w:rsid w:val="00B32942"/>
    <w:rsid w:val="00B70E45"/>
    <w:rsid w:val="00BE5A79"/>
    <w:rsid w:val="00C0467A"/>
    <w:rsid w:val="00C05C17"/>
    <w:rsid w:val="00C247EB"/>
    <w:rsid w:val="00C70795"/>
    <w:rsid w:val="00CB1D7B"/>
    <w:rsid w:val="00CB321F"/>
    <w:rsid w:val="00CE7FA8"/>
    <w:rsid w:val="00D05B72"/>
    <w:rsid w:val="00D3644E"/>
    <w:rsid w:val="00D976DC"/>
    <w:rsid w:val="00DB67C6"/>
    <w:rsid w:val="00DE5EAE"/>
    <w:rsid w:val="00DF1483"/>
    <w:rsid w:val="00E12ABB"/>
    <w:rsid w:val="00E7683D"/>
    <w:rsid w:val="00E9787A"/>
    <w:rsid w:val="00EC229A"/>
    <w:rsid w:val="00EF2FA1"/>
    <w:rsid w:val="00F07227"/>
    <w:rsid w:val="00F36080"/>
    <w:rsid w:val="00F43EB1"/>
    <w:rsid w:val="00F570EF"/>
    <w:rsid w:val="00FD2686"/>
    <w:rsid w:val="00FD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3096"/>
  <w15:chartTrackingRefBased/>
  <w15:docId w15:val="{04CF1BC1-8CAF-4A64-B6A1-7FF9C824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07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707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07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07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A7F"/>
    <w:rPr>
      <w:color w:val="0563C1" w:themeColor="hyperlink"/>
      <w:u w:val="single"/>
    </w:rPr>
  </w:style>
  <w:style w:type="character" w:customStyle="1" w:styleId="UnresolvedMention1">
    <w:name w:val="Unresolved Mention1"/>
    <w:basedOn w:val="DefaultParagraphFont"/>
    <w:uiPriority w:val="99"/>
    <w:semiHidden/>
    <w:unhideWhenUsed/>
    <w:rsid w:val="00553A7F"/>
    <w:rPr>
      <w:color w:val="605E5C"/>
      <w:shd w:val="clear" w:color="auto" w:fill="E1DFDD"/>
    </w:rPr>
  </w:style>
  <w:style w:type="character" w:styleId="FollowedHyperlink">
    <w:name w:val="FollowedHyperlink"/>
    <w:basedOn w:val="DefaultParagraphFont"/>
    <w:uiPriority w:val="99"/>
    <w:semiHidden/>
    <w:unhideWhenUsed/>
    <w:rsid w:val="00553A7F"/>
    <w:rPr>
      <w:color w:val="954F72" w:themeColor="followedHyperlink"/>
      <w:u w:val="single"/>
    </w:rPr>
  </w:style>
  <w:style w:type="character" w:customStyle="1" w:styleId="Heading1Char">
    <w:name w:val="Heading 1 Char"/>
    <w:basedOn w:val="DefaultParagraphFont"/>
    <w:link w:val="Heading1"/>
    <w:uiPriority w:val="9"/>
    <w:rsid w:val="00C707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7079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07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70795"/>
    <w:rPr>
      <w:rFonts w:ascii="Times New Roman" w:eastAsia="Times New Roman" w:hAnsi="Times New Roman" w:cs="Times New Roman"/>
      <w:b/>
      <w:bCs/>
      <w:sz w:val="24"/>
      <w:szCs w:val="24"/>
    </w:rPr>
  </w:style>
  <w:style w:type="paragraph" w:customStyle="1" w:styleId="msonormal0">
    <w:name w:val="msonormal"/>
    <w:basedOn w:val="Normal"/>
    <w:rsid w:val="00C70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s-markdown-paragraph">
    <w:name w:val="ds-markdown-paragraph"/>
    <w:basedOn w:val="Normal"/>
    <w:rsid w:val="00C707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0795"/>
    <w:rPr>
      <w:b/>
      <w:bCs/>
    </w:rPr>
  </w:style>
  <w:style w:type="character" w:customStyle="1" w:styleId="d813de27">
    <w:name w:val="d813de27"/>
    <w:basedOn w:val="DefaultParagraphFont"/>
    <w:rsid w:val="00C70795"/>
  </w:style>
  <w:style w:type="paragraph" w:styleId="HTMLPreformatted">
    <w:name w:val="HTML Preformatted"/>
    <w:basedOn w:val="Normal"/>
    <w:link w:val="HTMLPreformattedChar"/>
    <w:uiPriority w:val="99"/>
    <w:semiHidden/>
    <w:unhideWhenUsed/>
    <w:rsid w:val="00C70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0795"/>
    <w:rPr>
      <w:rFonts w:ascii="Courier New" w:eastAsia="Times New Roman" w:hAnsi="Courier New" w:cs="Courier New"/>
      <w:sz w:val="20"/>
      <w:szCs w:val="20"/>
    </w:rPr>
  </w:style>
  <w:style w:type="character" w:customStyle="1" w:styleId="katex-display">
    <w:name w:val="katex-display"/>
    <w:basedOn w:val="DefaultParagraphFont"/>
    <w:rsid w:val="00C70795"/>
  </w:style>
  <w:style w:type="character" w:customStyle="1" w:styleId="katex">
    <w:name w:val="katex"/>
    <w:basedOn w:val="DefaultParagraphFont"/>
    <w:rsid w:val="00C70795"/>
  </w:style>
  <w:style w:type="character" w:customStyle="1" w:styleId="katex-mathml">
    <w:name w:val="katex-mathml"/>
    <w:basedOn w:val="DefaultParagraphFont"/>
    <w:rsid w:val="00C70795"/>
  </w:style>
  <w:style w:type="character" w:customStyle="1" w:styleId="katex-html">
    <w:name w:val="katex-html"/>
    <w:basedOn w:val="DefaultParagraphFont"/>
    <w:rsid w:val="00C70795"/>
  </w:style>
  <w:style w:type="character" w:customStyle="1" w:styleId="base">
    <w:name w:val="base"/>
    <w:basedOn w:val="DefaultParagraphFont"/>
    <w:rsid w:val="00C70795"/>
  </w:style>
  <w:style w:type="character" w:customStyle="1" w:styleId="strut">
    <w:name w:val="strut"/>
    <w:basedOn w:val="DefaultParagraphFont"/>
    <w:rsid w:val="00C70795"/>
  </w:style>
  <w:style w:type="character" w:customStyle="1" w:styleId="mord">
    <w:name w:val="mord"/>
    <w:basedOn w:val="DefaultParagraphFont"/>
    <w:rsid w:val="00C70795"/>
  </w:style>
  <w:style w:type="character" w:customStyle="1" w:styleId="msupsub">
    <w:name w:val="msupsub"/>
    <w:basedOn w:val="DefaultParagraphFont"/>
    <w:rsid w:val="00C70795"/>
  </w:style>
  <w:style w:type="character" w:customStyle="1" w:styleId="vlist-t">
    <w:name w:val="vlist-t"/>
    <w:basedOn w:val="DefaultParagraphFont"/>
    <w:rsid w:val="00C70795"/>
  </w:style>
  <w:style w:type="character" w:customStyle="1" w:styleId="vlist-r">
    <w:name w:val="vlist-r"/>
    <w:basedOn w:val="DefaultParagraphFont"/>
    <w:rsid w:val="00C70795"/>
  </w:style>
  <w:style w:type="character" w:customStyle="1" w:styleId="vlist">
    <w:name w:val="vlist"/>
    <w:basedOn w:val="DefaultParagraphFont"/>
    <w:rsid w:val="00C70795"/>
  </w:style>
  <w:style w:type="character" w:customStyle="1" w:styleId="pstrut">
    <w:name w:val="pstrut"/>
    <w:basedOn w:val="DefaultParagraphFont"/>
    <w:rsid w:val="00C70795"/>
  </w:style>
  <w:style w:type="character" w:customStyle="1" w:styleId="sizing">
    <w:name w:val="sizing"/>
    <w:basedOn w:val="DefaultParagraphFont"/>
    <w:rsid w:val="00C70795"/>
  </w:style>
  <w:style w:type="character" w:customStyle="1" w:styleId="vlist-s">
    <w:name w:val="vlist-s"/>
    <w:basedOn w:val="DefaultParagraphFont"/>
    <w:rsid w:val="00C70795"/>
  </w:style>
  <w:style w:type="character" w:customStyle="1" w:styleId="mspace">
    <w:name w:val="mspace"/>
    <w:basedOn w:val="DefaultParagraphFont"/>
    <w:rsid w:val="00C70795"/>
  </w:style>
  <w:style w:type="character" w:customStyle="1" w:styleId="mrel">
    <w:name w:val="mrel"/>
    <w:basedOn w:val="DefaultParagraphFont"/>
    <w:rsid w:val="00C70795"/>
  </w:style>
  <w:style w:type="character" w:customStyle="1" w:styleId="mopen">
    <w:name w:val="mopen"/>
    <w:basedOn w:val="DefaultParagraphFont"/>
    <w:rsid w:val="00C70795"/>
  </w:style>
  <w:style w:type="character" w:customStyle="1" w:styleId="mpunct">
    <w:name w:val="mpunct"/>
    <w:basedOn w:val="DefaultParagraphFont"/>
    <w:rsid w:val="00C70795"/>
  </w:style>
  <w:style w:type="character" w:customStyle="1" w:styleId="mclose">
    <w:name w:val="mclose"/>
    <w:basedOn w:val="DefaultParagraphFont"/>
    <w:rsid w:val="00C70795"/>
  </w:style>
  <w:style w:type="character" w:customStyle="1" w:styleId="mbin">
    <w:name w:val="mbin"/>
    <w:basedOn w:val="DefaultParagraphFont"/>
    <w:rsid w:val="00C70795"/>
  </w:style>
  <w:style w:type="character" w:customStyle="1" w:styleId="mop">
    <w:name w:val="mop"/>
    <w:basedOn w:val="DefaultParagraphFont"/>
    <w:rsid w:val="00C70795"/>
  </w:style>
  <w:style w:type="character" w:customStyle="1" w:styleId="minner">
    <w:name w:val="minner"/>
    <w:basedOn w:val="DefaultParagraphFont"/>
    <w:rsid w:val="00C70795"/>
  </w:style>
  <w:style w:type="character" w:styleId="Emphasis">
    <w:name w:val="Emphasis"/>
    <w:basedOn w:val="DefaultParagraphFont"/>
    <w:uiPriority w:val="20"/>
    <w:qFormat/>
    <w:rsid w:val="00C70795"/>
    <w:rPr>
      <w:i/>
      <w:iCs/>
    </w:rPr>
  </w:style>
  <w:style w:type="character" w:styleId="PlaceholderText">
    <w:name w:val="Placeholder Text"/>
    <w:basedOn w:val="DefaultParagraphFont"/>
    <w:uiPriority w:val="99"/>
    <w:semiHidden/>
    <w:rsid w:val="00970510"/>
    <w:rPr>
      <w:color w:val="808080"/>
    </w:rPr>
  </w:style>
  <w:style w:type="table" w:styleId="TableGrid">
    <w:name w:val="Table Grid"/>
    <w:basedOn w:val="TableNormal"/>
    <w:uiPriority w:val="39"/>
    <w:qFormat/>
    <w:rsid w:val="003D250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512000"/>
    <w:pPr>
      <w:spacing w:after="0" w:line="240" w:lineRule="auto"/>
    </w:pPr>
    <w:rPr>
      <w:rFonts w:ascii="Calibri" w:eastAsia="DengXian" w:hAnsi="Calibri" w:cs="SimSun"/>
      <w:sz w:val="20"/>
      <w:szCs w:val="20"/>
    </w:rPr>
    <w:tblPr>
      <w:tblCellMar>
        <w:top w:w="0" w:type="dxa"/>
        <w:left w:w="0" w:type="dxa"/>
        <w:bottom w:w="0" w:type="dxa"/>
        <w:right w:w="0" w:type="dxa"/>
      </w:tblCellMar>
    </w:tblPr>
  </w:style>
  <w:style w:type="paragraph" w:styleId="NormalWeb">
    <w:name w:val="Normal (Web)"/>
    <w:basedOn w:val="Normal"/>
    <w:uiPriority w:val="99"/>
    <w:semiHidden/>
    <w:unhideWhenUsed/>
    <w:rsid w:val="003040E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2A34"/>
    <w:rPr>
      <w:color w:val="605E5C"/>
      <w:shd w:val="clear" w:color="auto" w:fill="E1DFDD"/>
    </w:rPr>
  </w:style>
  <w:style w:type="paragraph" w:styleId="Header">
    <w:name w:val="header"/>
    <w:basedOn w:val="Normal"/>
    <w:link w:val="HeaderChar"/>
    <w:uiPriority w:val="99"/>
    <w:unhideWhenUsed/>
    <w:rsid w:val="00161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207"/>
  </w:style>
  <w:style w:type="paragraph" w:styleId="Footer">
    <w:name w:val="footer"/>
    <w:basedOn w:val="Normal"/>
    <w:link w:val="FooterChar"/>
    <w:uiPriority w:val="99"/>
    <w:unhideWhenUsed/>
    <w:rsid w:val="00161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1848">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0"/>
          <w:marRight w:val="0"/>
          <w:marTop w:val="0"/>
          <w:marBottom w:val="0"/>
          <w:divBdr>
            <w:top w:val="none" w:sz="0" w:space="0" w:color="auto"/>
            <w:left w:val="none" w:sz="0" w:space="0" w:color="auto"/>
            <w:bottom w:val="none" w:sz="0" w:space="0" w:color="auto"/>
            <w:right w:val="none" w:sz="0" w:space="0" w:color="auto"/>
          </w:divBdr>
          <w:divsChild>
            <w:div w:id="1106542441">
              <w:marLeft w:val="0"/>
              <w:marRight w:val="0"/>
              <w:marTop w:val="0"/>
              <w:marBottom w:val="0"/>
              <w:divBdr>
                <w:top w:val="none" w:sz="0" w:space="0" w:color="auto"/>
                <w:left w:val="none" w:sz="0" w:space="0" w:color="auto"/>
                <w:bottom w:val="none" w:sz="0" w:space="0" w:color="auto"/>
                <w:right w:val="none" w:sz="0" w:space="0" w:color="auto"/>
              </w:divBdr>
              <w:divsChild>
                <w:div w:id="610405232">
                  <w:marLeft w:val="0"/>
                  <w:marRight w:val="0"/>
                  <w:marTop w:val="0"/>
                  <w:marBottom w:val="0"/>
                  <w:divBdr>
                    <w:top w:val="none" w:sz="0" w:space="0" w:color="auto"/>
                    <w:left w:val="none" w:sz="0" w:space="0" w:color="auto"/>
                    <w:bottom w:val="none" w:sz="0" w:space="0" w:color="auto"/>
                    <w:right w:val="none" w:sz="0" w:space="0" w:color="auto"/>
                  </w:divBdr>
                  <w:divsChild>
                    <w:div w:id="287246931">
                      <w:marLeft w:val="0"/>
                      <w:marRight w:val="0"/>
                      <w:marTop w:val="0"/>
                      <w:marBottom w:val="0"/>
                      <w:divBdr>
                        <w:top w:val="none" w:sz="0" w:space="0" w:color="auto"/>
                        <w:left w:val="none" w:sz="0" w:space="0" w:color="auto"/>
                        <w:bottom w:val="none" w:sz="0" w:space="0" w:color="auto"/>
                        <w:right w:val="none" w:sz="0" w:space="0" w:color="auto"/>
                      </w:divBdr>
                      <w:divsChild>
                        <w:div w:id="252517175">
                          <w:marLeft w:val="0"/>
                          <w:marRight w:val="0"/>
                          <w:marTop w:val="0"/>
                          <w:marBottom w:val="0"/>
                          <w:divBdr>
                            <w:top w:val="none" w:sz="0" w:space="0" w:color="auto"/>
                            <w:left w:val="none" w:sz="0" w:space="0" w:color="auto"/>
                            <w:bottom w:val="none" w:sz="0" w:space="0" w:color="auto"/>
                            <w:right w:val="none" w:sz="0" w:space="0" w:color="auto"/>
                          </w:divBdr>
                          <w:divsChild>
                            <w:div w:id="1619486344">
                              <w:marLeft w:val="0"/>
                              <w:marRight w:val="0"/>
                              <w:marTop w:val="0"/>
                              <w:marBottom w:val="0"/>
                              <w:divBdr>
                                <w:top w:val="none" w:sz="0" w:space="0" w:color="auto"/>
                                <w:left w:val="none" w:sz="0" w:space="0" w:color="auto"/>
                                <w:bottom w:val="none" w:sz="0" w:space="0" w:color="auto"/>
                                <w:right w:val="none" w:sz="0" w:space="0" w:color="auto"/>
                              </w:divBdr>
                              <w:divsChild>
                                <w:div w:id="2005082323">
                                  <w:marLeft w:val="0"/>
                                  <w:marRight w:val="0"/>
                                  <w:marTop w:val="0"/>
                                  <w:marBottom w:val="0"/>
                                  <w:divBdr>
                                    <w:top w:val="none" w:sz="0" w:space="0" w:color="auto"/>
                                    <w:left w:val="none" w:sz="0" w:space="0" w:color="auto"/>
                                    <w:bottom w:val="none" w:sz="0" w:space="0" w:color="auto"/>
                                    <w:right w:val="none" w:sz="0" w:space="0" w:color="auto"/>
                                  </w:divBdr>
                                  <w:divsChild>
                                    <w:div w:id="11912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875267">
      <w:bodyDiv w:val="1"/>
      <w:marLeft w:val="0"/>
      <w:marRight w:val="0"/>
      <w:marTop w:val="0"/>
      <w:marBottom w:val="0"/>
      <w:divBdr>
        <w:top w:val="none" w:sz="0" w:space="0" w:color="auto"/>
        <w:left w:val="none" w:sz="0" w:space="0" w:color="auto"/>
        <w:bottom w:val="none" w:sz="0" w:space="0" w:color="auto"/>
        <w:right w:val="none" w:sz="0" w:space="0" w:color="auto"/>
      </w:divBdr>
    </w:div>
    <w:div w:id="832454153">
      <w:bodyDiv w:val="1"/>
      <w:marLeft w:val="0"/>
      <w:marRight w:val="0"/>
      <w:marTop w:val="0"/>
      <w:marBottom w:val="0"/>
      <w:divBdr>
        <w:top w:val="none" w:sz="0" w:space="0" w:color="auto"/>
        <w:left w:val="none" w:sz="0" w:space="0" w:color="auto"/>
        <w:bottom w:val="none" w:sz="0" w:space="0" w:color="auto"/>
        <w:right w:val="none" w:sz="0" w:space="0" w:color="auto"/>
      </w:divBdr>
    </w:div>
    <w:div w:id="1071465082">
      <w:bodyDiv w:val="1"/>
      <w:marLeft w:val="0"/>
      <w:marRight w:val="0"/>
      <w:marTop w:val="0"/>
      <w:marBottom w:val="0"/>
      <w:divBdr>
        <w:top w:val="none" w:sz="0" w:space="0" w:color="auto"/>
        <w:left w:val="none" w:sz="0" w:space="0" w:color="auto"/>
        <w:bottom w:val="none" w:sz="0" w:space="0" w:color="auto"/>
        <w:right w:val="none" w:sz="0" w:space="0" w:color="auto"/>
      </w:divBdr>
    </w:div>
    <w:div w:id="1097170743">
      <w:bodyDiv w:val="1"/>
      <w:marLeft w:val="0"/>
      <w:marRight w:val="0"/>
      <w:marTop w:val="0"/>
      <w:marBottom w:val="0"/>
      <w:divBdr>
        <w:top w:val="none" w:sz="0" w:space="0" w:color="auto"/>
        <w:left w:val="none" w:sz="0" w:space="0" w:color="auto"/>
        <w:bottom w:val="none" w:sz="0" w:space="0" w:color="auto"/>
        <w:right w:val="none" w:sz="0" w:space="0" w:color="auto"/>
      </w:divBdr>
    </w:div>
    <w:div w:id="1135489663">
      <w:bodyDiv w:val="1"/>
      <w:marLeft w:val="0"/>
      <w:marRight w:val="0"/>
      <w:marTop w:val="0"/>
      <w:marBottom w:val="0"/>
      <w:divBdr>
        <w:top w:val="none" w:sz="0" w:space="0" w:color="auto"/>
        <w:left w:val="none" w:sz="0" w:space="0" w:color="auto"/>
        <w:bottom w:val="none" w:sz="0" w:space="0" w:color="auto"/>
        <w:right w:val="none" w:sz="0" w:space="0" w:color="auto"/>
      </w:divBdr>
    </w:div>
    <w:div w:id="1174998110">
      <w:bodyDiv w:val="1"/>
      <w:marLeft w:val="0"/>
      <w:marRight w:val="0"/>
      <w:marTop w:val="0"/>
      <w:marBottom w:val="0"/>
      <w:divBdr>
        <w:top w:val="none" w:sz="0" w:space="0" w:color="auto"/>
        <w:left w:val="none" w:sz="0" w:space="0" w:color="auto"/>
        <w:bottom w:val="none" w:sz="0" w:space="0" w:color="auto"/>
        <w:right w:val="none" w:sz="0" w:space="0" w:color="auto"/>
      </w:divBdr>
    </w:div>
    <w:div w:id="1225607912">
      <w:bodyDiv w:val="1"/>
      <w:marLeft w:val="0"/>
      <w:marRight w:val="0"/>
      <w:marTop w:val="0"/>
      <w:marBottom w:val="0"/>
      <w:divBdr>
        <w:top w:val="none" w:sz="0" w:space="0" w:color="auto"/>
        <w:left w:val="none" w:sz="0" w:space="0" w:color="auto"/>
        <w:bottom w:val="none" w:sz="0" w:space="0" w:color="auto"/>
        <w:right w:val="none" w:sz="0" w:space="0" w:color="auto"/>
      </w:divBdr>
      <w:divsChild>
        <w:div w:id="1213539525">
          <w:marLeft w:val="0"/>
          <w:marRight w:val="0"/>
          <w:marTop w:val="240"/>
          <w:marBottom w:val="165"/>
          <w:divBdr>
            <w:top w:val="none" w:sz="0" w:space="0" w:color="auto"/>
            <w:left w:val="none" w:sz="0" w:space="0" w:color="auto"/>
            <w:bottom w:val="none" w:sz="0" w:space="0" w:color="auto"/>
            <w:right w:val="none" w:sz="0" w:space="0" w:color="auto"/>
          </w:divBdr>
          <w:divsChild>
            <w:div w:id="1466699192">
              <w:marLeft w:val="0"/>
              <w:marRight w:val="0"/>
              <w:marTop w:val="0"/>
              <w:marBottom w:val="0"/>
              <w:divBdr>
                <w:top w:val="none" w:sz="0" w:space="0" w:color="auto"/>
                <w:left w:val="none" w:sz="0" w:space="0" w:color="auto"/>
                <w:bottom w:val="none" w:sz="0" w:space="0" w:color="auto"/>
                <w:right w:val="none" w:sz="0" w:space="0" w:color="auto"/>
              </w:divBdr>
              <w:divsChild>
                <w:div w:id="1723409973">
                  <w:marLeft w:val="0"/>
                  <w:marRight w:val="0"/>
                  <w:marTop w:val="0"/>
                  <w:marBottom w:val="0"/>
                  <w:divBdr>
                    <w:top w:val="none" w:sz="0" w:space="0" w:color="auto"/>
                    <w:left w:val="none" w:sz="0" w:space="0" w:color="auto"/>
                    <w:bottom w:val="none" w:sz="0" w:space="0" w:color="auto"/>
                    <w:right w:val="none" w:sz="0" w:space="0" w:color="auto"/>
                  </w:divBdr>
                  <w:divsChild>
                    <w:div w:id="1019350146">
                      <w:marLeft w:val="0"/>
                      <w:marRight w:val="0"/>
                      <w:marTop w:val="0"/>
                      <w:marBottom w:val="0"/>
                      <w:divBdr>
                        <w:top w:val="none" w:sz="0" w:space="0" w:color="auto"/>
                        <w:left w:val="none" w:sz="0" w:space="0" w:color="auto"/>
                        <w:bottom w:val="none" w:sz="0" w:space="0" w:color="auto"/>
                        <w:right w:val="none" w:sz="0" w:space="0" w:color="auto"/>
                      </w:divBdr>
                      <w:divsChild>
                        <w:div w:id="706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78231">
          <w:marLeft w:val="0"/>
          <w:marRight w:val="0"/>
          <w:marTop w:val="0"/>
          <w:marBottom w:val="0"/>
          <w:divBdr>
            <w:top w:val="none" w:sz="0" w:space="0" w:color="auto"/>
            <w:left w:val="none" w:sz="0" w:space="0" w:color="auto"/>
            <w:bottom w:val="none" w:sz="0" w:space="0" w:color="auto"/>
            <w:right w:val="none" w:sz="0" w:space="0" w:color="auto"/>
          </w:divBdr>
        </w:div>
        <w:div w:id="968241115">
          <w:marLeft w:val="0"/>
          <w:marRight w:val="0"/>
          <w:marTop w:val="0"/>
          <w:marBottom w:val="0"/>
          <w:divBdr>
            <w:top w:val="none" w:sz="0" w:space="0" w:color="auto"/>
            <w:left w:val="none" w:sz="0" w:space="0" w:color="auto"/>
            <w:bottom w:val="none" w:sz="0" w:space="0" w:color="auto"/>
            <w:right w:val="none" w:sz="0" w:space="0" w:color="auto"/>
          </w:divBdr>
        </w:div>
        <w:div w:id="664363174">
          <w:marLeft w:val="0"/>
          <w:marRight w:val="0"/>
          <w:marTop w:val="0"/>
          <w:marBottom w:val="0"/>
          <w:divBdr>
            <w:top w:val="none" w:sz="0" w:space="0" w:color="auto"/>
            <w:left w:val="none" w:sz="0" w:space="0" w:color="auto"/>
            <w:bottom w:val="none" w:sz="0" w:space="0" w:color="auto"/>
            <w:right w:val="none" w:sz="0" w:space="0" w:color="auto"/>
          </w:divBdr>
        </w:div>
        <w:div w:id="731002152">
          <w:marLeft w:val="0"/>
          <w:marRight w:val="0"/>
          <w:marTop w:val="0"/>
          <w:marBottom w:val="0"/>
          <w:divBdr>
            <w:top w:val="none" w:sz="0" w:space="0" w:color="auto"/>
            <w:left w:val="none" w:sz="0" w:space="0" w:color="auto"/>
            <w:bottom w:val="none" w:sz="0" w:space="0" w:color="auto"/>
            <w:right w:val="none" w:sz="0" w:space="0" w:color="auto"/>
          </w:divBdr>
        </w:div>
        <w:div w:id="573514722">
          <w:marLeft w:val="0"/>
          <w:marRight w:val="0"/>
          <w:marTop w:val="0"/>
          <w:marBottom w:val="0"/>
          <w:divBdr>
            <w:top w:val="none" w:sz="0" w:space="0" w:color="auto"/>
            <w:left w:val="none" w:sz="0" w:space="0" w:color="auto"/>
            <w:bottom w:val="none" w:sz="0" w:space="0" w:color="auto"/>
            <w:right w:val="none" w:sz="0" w:space="0" w:color="auto"/>
          </w:divBdr>
        </w:div>
        <w:div w:id="1575620937">
          <w:marLeft w:val="0"/>
          <w:marRight w:val="0"/>
          <w:marTop w:val="0"/>
          <w:marBottom w:val="0"/>
          <w:divBdr>
            <w:top w:val="none" w:sz="0" w:space="0" w:color="auto"/>
            <w:left w:val="none" w:sz="0" w:space="0" w:color="auto"/>
            <w:bottom w:val="none" w:sz="0" w:space="0" w:color="auto"/>
            <w:right w:val="none" w:sz="0" w:space="0" w:color="auto"/>
          </w:divBdr>
        </w:div>
        <w:div w:id="823132472">
          <w:marLeft w:val="0"/>
          <w:marRight w:val="0"/>
          <w:marTop w:val="0"/>
          <w:marBottom w:val="0"/>
          <w:divBdr>
            <w:top w:val="none" w:sz="0" w:space="0" w:color="auto"/>
            <w:left w:val="none" w:sz="0" w:space="0" w:color="auto"/>
            <w:bottom w:val="none" w:sz="0" w:space="0" w:color="auto"/>
            <w:right w:val="none" w:sz="0" w:space="0" w:color="auto"/>
          </w:divBdr>
        </w:div>
      </w:divsChild>
    </w:div>
    <w:div w:id="1248345688">
      <w:bodyDiv w:val="1"/>
      <w:marLeft w:val="0"/>
      <w:marRight w:val="0"/>
      <w:marTop w:val="0"/>
      <w:marBottom w:val="0"/>
      <w:divBdr>
        <w:top w:val="none" w:sz="0" w:space="0" w:color="auto"/>
        <w:left w:val="none" w:sz="0" w:space="0" w:color="auto"/>
        <w:bottom w:val="none" w:sz="0" w:space="0" w:color="auto"/>
        <w:right w:val="none" w:sz="0" w:space="0" w:color="auto"/>
      </w:divBdr>
    </w:div>
    <w:div w:id="1294991788">
      <w:bodyDiv w:val="1"/>
      <w:marLeft w:val="0"/>
      <w:marRight w:val="0"/>
      <w:marTop w:val="0"/>
      <w:marBottom w:val="0"/>
      <w:divBdr>
        <w:top w:val="none" w:sz="0" w:space="0" w:color="auto"/>
        <w:left w:val="none" w:sz="0" w:space="0" w:color="auto"/>
        <w:bottom w:val="none" w:sz="0" w:space="0" w:color="auto"/>
        <w:right w:val="none" w:sz="0" w:space="0" w:color="auto"/>
      </w:divBdr>
    </w:div>
    <w:div w:id="1312372648">
      <w:bodyDiv w:val="1"/>
      <w:marLeft w:val="0"/>
      <w:marRight w:val="0"/>
      <w:marTop w:val="0"/>
      <w:marBottom w:val="0"/>
      <w:divBdr>
        <w:top w:val="none" w:sz="0" w:space="0" w:color="auto"/>
        <w:left w:val="none" w:sz="0" w:space="0" w:color="auto"/>
        <w:bottom w:val="none" w:sz="0" w:space="0" w:color="auto"/>
        <w:right w:val="none" w:sz="0" w:space="0" w:color="auto"/>
      </w:divBdr>
    </w:div>
    <w:div w:id="1314946280">
      <w:bodyDiv w:val="1"/>
      <w:marLeft w:val="0"/>
      <w:marRight w:val="0"/>
      <w:marTop w:val="0"/>
      <w:marBottom w:val="0"/>
      <w:divBdr>
        <w:top w:val="none" w:sz="0" w:space="0" w:color="auto"/>
        <w:left w:val="none" w:sz="0" w:space="0" w:color="auto"/>
        <w:bottom w:val="none" w:sz="0" w:space="0" w:color="auto"/>
        <w:right w:val="none" w:sz="0" w:space="0" w:color="auto"/>
      </w:divBdr>
    </w:div>
    <w:div w:id="1333677271">
      <w:bodyDiv w:val="1"/>
      <w:marLeft w:val="0"/>
      <w:marRight w:val="0"/>
      <w:marTop w:val="0"/>
      <w:marBottom w:val="0"/>
      <w:divBdr>
        <w:top w:val="none" w:sz="0" w:space="0" w:color="auto"/>
        <w:left w:val="none" w:sz="0" w:space="0" w:color="auto"/>
        <w:bottom w:val="none" w:sz="0" w:space="0" w:color="auto"/>
        <w:right w:val="none" w:sz="0" w:space="0" w:color="auto"/>
      </w:divBdr>
    </w:div>
    <w:div w:id="1540774764">
      <w:bodyDiv w:val="1"/>
      <w:marLeft w:val="0"/>
      <w:marRight w:val="0"/>
      <w:marTop w:val="0"/>
      <w:marBottom w:val="0"/>
      <w:divBdr>
        <w:top w:val="none" w:sz="0" w:space="0" w:color="auto"/>
        <w:left w:val="none" w:sz="0" w:space="0" w:color="auto"/>
        <w:bottom w:val="none" w:sz="0" w:space="0" w:color="auto"/>
        <w:right w:val="none" w:sz="0" w:space="0" w:color="auto"/>
      </w:divBdr>
      <w:divsChild>
        <w:div w:id="1325091017">
          <w:marLeft w:val="0"/>
          <w:marRight w:val="0"/>
          <w:marTop w:val="0"/>
          <w:marBottom w:val="0"/>
          <w:divBdr>
            <w:top w:val="none" w:sz="0" w:space="0" w:color="auto"/>
            <w:left w:val="none" w:sz="0" w:space="0" w:color="auto"/>
            <w:bottom w:val="none" w:sz="0" w:space="0" w:color="auto"/>
            <w:right w:val="none" w:sz="0" w:space="0" w:color="auto"/>
          </w:divBdr>
          <w:divsChild>
            <w:div w:id="16133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8333">
      <w:bodyDiv w:val="1"/>
      <w:marLeft w:val="0"/>
      <w:marRight w:val="0"/>
      <w:marTop w:val="0"/>
      <w:marBottom w:val="0"/>
      <w:divBdr>
        <w:top w:val="none" w:sz="0" w:space="0" w:color="auto"/>
        <w:left w:val="none" w:sz="0" w:space="0" w:color="auto"/>
        <w:bottom w:val="none" w:sz="0" w:space="0" w:color="auto"/>
        <w:right w:val="none" w:sz="0" w:space="0" w:color="auto"/>
      </w:divBdr>
      <w:divsChild>
        <w:div w:id="170989879">
          <w:marLeft w:val="660"/>
          <w:marRight w:val="660"/>
          <w:marTop w:val="0"/>
          <w:marBottom w:val="0"/>
          <w:divBdr>
            <w:top w:val="none" w:sz="0" w:space="0" w:color="auto"/>
            <w:left w:val="none" w:sz="0" w:space="0" w:color="auto"/>
            <w:bottom w:val="none" w:sz="0" w:space="0" w:color="auto"/>
            <w:right w:val="none" w:sz="0" w:space="0" w:color="auto"/>
          </w:divBdr>
          <w:divsChild>
            <w:div w:id="898980020">
              <w:marLeft w:val="0"/>
              <w:marRight w:val="0"/>
              <w:marTop w:val="0"/>
              <w:marBottom w:val="0"/>
              <w:divBdr>
                <w:top w:val="none" w:sz="0" w:space="0" w:color="auto"/>
                <w:left w:val="none" w:sz="0" w:space="0" w:color="auto"/>
                <w:bottom w:val="none" w:sz="0" w:space="0" w:color="auto"/>
                <w:right w:val="none" w:sz="0" w:space="0" w:color="auto"/>
              </w:divBdr>
              <w:divsChild>
                <w:div w:id="1329093827">
                  <w:marLeft w:val="0"/>
                  <w:marRight w:val="0"/>
                  <w:marTop w:val="0"/>
                  <w:marBottom w:val="0"/>
                  <w:divBdr>
                    <w:top w:val="none" w:sz="0" w:space="0" w:color="auto"/>
                    <w:left w:val="none" w:sz="0" w:space="0" w:color="auto"/>
                    <w:bottom w:val="none" w:sz="0" w:space="0" w:color="auto"/>
                    <w:right w:val="none" w:sz="0" w:space="0" w:color="auto"/>
                  </w:divBdr>
                  <w:divsChild>
                    <w:div w:id="1816337275">
                      <w:marLeft w:val="0"/>
                      <w:marRight w:val="0"/>
                      <w:marTop w:val="0"/>
                      <w:marBottom w:val="0"/>
                      <w:divBdr>
                        <w:top w:val="none" w:sz="0" w:space="0" w:color="auto"/>
                        <w:left w:val="none" w:sz="0" w:space="0" w:color="auto"/>
                        <w:bottom w:val="none" w:sz="0" w:space="0" w:color="auto"/>
                        <w:right w:val="none" w:sz="0" w:space="0" w:color="auto"/>
                      </w:divBdr>
                      <w:divsChild>
                        <w:div w:id="84325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317135">
      <w:bodyDiv w:val="1"/>
      <w:marLeft w:val="0"/>
      <w:marRight w:val="0"/>
      <w:marTop w:val="0"/>
      <w:marBottom w:val="0"/>
      <w:divBdr>
        <w:top w:val="none" w:sz="0" w:space="0" w:color="auto"/>
        <w:left w:val="none" w:sz="0" w:space="0" w:color="auto"/>
        <w:bottom w:val="none" w:sz="0" w:space="0" w:color="auto"/>
        <w:right w:val="none" w:sz="0" w:space="0" w:color="auto"/>
      </w:divBdr>
    </w:div>
    <w:div w:id="1775244069">
      <w:bodyDiv w:val="1"/>
      <w:marLeft w:val="0"/>
      <w:marRight w:val="0"/>
      <w:marTop w:val="0"/>
      <w:marBottom w:val="0"/>
      <w:divBdr>
        <w:top w:val="none" w:sz="0" w:space="0" w:color="auto"/>
        <w:left w:val="none" w:sz="0" w:space="0" w:color="auto"/>
        <w:bottom w:val="none" w:sz="0" w:space="0" w:color="auto"/>
        <w:right w:val="none" w:sz="0" w:space="0" w:color="auto"/>
      </w:divBdr>
      <w:divsChild>
        <w:div w:id="1920208841">
          <w:marLeft w:val="0"/>
          <w:marRight w:val="0"/>
          <w:marTop w:val="0"/>
          <w:marBottom w:val="0"/>
          <w:divBdr>
            <w:top w:val="none" w:sz="0" w:space="0" w:color="auto"/>
            <w:left w:val="none" w:sz="0" w:space="0" w:color="auto"/>
            <w:bottom w:val="none" w:sz="0" w:space="0" w:color="auto"/>
            <w:right w:val="none" w:sz="0" w:space="0" w:color="auto"/>
          </w:divBdr>
          <w:divsChild>
            <w:div w:id="1438598041">
              <w:marLeft w:val="0"/>
              <w:marRight w:val="0"/>
              <w:marTop w:val="0"/>
              <w:marBottom w:val="0"/>
              <w:divBdr>
                <w:top w:val="none" w:sz="0" w:space="0" w:color="auto"/>
                <w:left w:val="none" w:sz="0" w:space="0" w:color="auto"/>
                <w:bottom w:val="none" w:sz="0" w:space="0" w:color="auto"/>
                <w:right w:val="none" w:sz="0" w:space="0" w:color="auto"/>
              </w:divBdr>
              <w:divsChild>
                <w:div w:id="1636913316">
                  <w:marLeft w:val="0"/>
                  <w:marRight w:val="0"/>
                  <w:marTop w:val="0"/>
                  <w:marBottom w:val="0"/>
                  <w:divBdr>
                    <w:top w:val="none" w:sz="0" w:space="0" w:color="auto"/>
                    <w:left w:val="none" w:sz="0" w:space="0" w:color="auto"/>
                    <w:bottom w:val="none" w:sz="0" w:space="0" w:color="auto"/>
                    <w:right w:val="none" w:sz="0" w:space="0" w:color="auto"/>
                  </w:divBdr>
                  <w:divsChild>
                    <w:div w:id="1194155524">
                      <w:marLeft w:val="0"/>
                      <w:marRight w:val="0"/>
                      <w:marTop w:val="0"/>
                      <w:marBottom w:val="0"/>
                      <w:divBdr>
                        <w:top w:val="none" w:sz="0" w:space="0" w:color="auto"/>
                        <w:left w:val="none" w:sz="0" w:space="0" w:color="auto"/>
                        <w:bottom w:val="none" w:sz="0" w:space="0" w:color="auto"/>
                        <w:right w:val="none" w:sz="0" w:space="0" w:color="auto"/>
                      </w:divBdr>
                      <w:divsChild>
                        <w:div w:id="64885379">
                          <w:marLeft w:val="0"/>
                          <w:marRight w:val="0"/>
                          <w:marTop w:val="0"/>
                          <w:marBottom w:val="0"/>
                          <w:divBdr>
                            <w:top w:val="none" w:sz="0" w:space="0" w:color="auto"/>
                            <w:left w:val="none" w:sz="0" w:space="0" w:color="auto"/>
                            <w:bottom w:val="none" w:sz="0" w:space="0" w:color="auto"/>
                            <w:right w:val="none" w:sz="0" w:space="0" w:color="auto"/>
                          </w:divBdr>
                          <w:divsChild>
                            <w:div w:id="1735276318">
                              <w:marLeft w:val="0"/>
                              <w:marRight w:val="0"/>
                              <w:marTop w:val="0"/>
                              <w:marBottom w:val="0"/>
                              <w:divBdr>
                                <w:top w:val="none" w:sz="0" w:space="0" w:color="auto"/>
                                <w:left w:val="none" w:sz="0" w:space="0" w:color="auto"/>
                                <w:bottom w:val="none" w:sz="0" w:space="0" w:color="auto"/>
                                <w:right w:val="none" w:sz="0" w:space="0" w:color="auto"/>
                              </w:divBdr>
                              <w:divsChild>
                                <w:div w:id="420565380">
                                  <w:marLeft w:val="0"/>
                                  <w:marRight w:val="0"/>
                                  <w:marTop w:val="0"/>
                                  <w:marBottom w:val="0"/>
                                  <w:divBdr>
                                    <w:top w:val="none" w:sz="0" w:space="0" w:color="auto"/>
                                    <w:left w:val="none" w:sz="0" w:space="0" w:color="auto"/>
                                    <w:bottom w:val="none" w:sz="0" w:space="0" w:color="auto"/>
                                    <w:right w:val="none" w:sz="0" w:space="0" w:color="auto"/>
                                  </w:divBdr>
                                  <w:divsChild>
                                    <w:div w:id="1600211590">
                                      <w:marLeft w:val="0"/>
                                      <w:marRight w:val="0"/>
                                      <w:marTop w:val="0"/>
                                      <w:marBottom w:val="0"/>
                                      <w:divBdr>
                                        <w:top w:val="none" w:sz="0" w:space="0" w:color="auto"/>
                                        <w:left w:val="none" w:sz="0" w:space="0" w:color="auto"/>
                                        <w:bottom w:val="none" w:sz="0" w:space="0" w:color="auto"/>
                                        <w:right w:val="none" w:sz="0" w:space="0" w:color="auto"/>
                                      </w:divBdr>
                                      <w:divsChild>
                                        <w:div w:id="75055531">
                                          <w:marLeft w:val="0"/>
                                          <w:marRight w:val="0"/>
                                          <w:marTop w:val="0"/>
                                          <w:marBottom w:val="0"/>
                                          <w:divBdr>
                                            <w:top w:val="none" w:sz="0" w:space="0" w:color="auto"/>
                                            <w:left w:val="none" w:sz="0" w:space="0" w:color="auto"/>
                                            <w:bottom w:val="none" w:sz="0" w:space="0" w:color="auto"/>
                                            <w:right w:val="none" w:sz="0" w:space="0" w:color="auto"/>
                                          </w:divBdr>
                                          <w:divsChild>
                                            <w:div w:id="88968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928341">
          <w:marLeft w:val="0"/>
          <w:marRight w:val="0"/>
          <w:marTop w:val="0"/>
          <w:marBottom w:val="0"/>
          <w:divBdr>
            <w:top w:val="none" w:sz="0" w:space="0" w:color="auto"/>
            <w:left w:val="none" w:sz="0" w:space="0" w:color="auto"/>
            <w:bottom w:val="none" w:sz="0" w:space="0" w:color="auto"/>
            <w:right w:val="none" w:sz="0" w:space="0" w:color="auto"/>
          </w:divBdr>
          <w:divsChild>
            <w:div w:id="80569423">
              <w:marLeft w:val="0"/>
              <w:marRight w:val="0"/>
              <w:marTop w:val="0"/>
              <w:marBottom w:val="0"/>
              <w:divBdr>
                <w:top w:val="none" w:sz="0" w:space="0" w:color="auto"/>
                <w:left w:val="none" w:sz="0" w:space="0" w:color="auto"/>
                <w:bottom w:val="none" w:sz="0" w:space="0" w:color="auto"/>
                <w:right w:val="none" w:sz="0" w:space="0" w:color="auto"/>
              </w:divBdr>
              <w:divsChild>
                <w:div w:id="1292247239">
                  <w:marLeft w:val="0"/>
                  <w:marRight w:val="0"/>
                  <w:marTop w:val="0"/>
                  <w:marBottom w:val="0"/>
                  <w:divBdr>
                    <w:top w:val="none" w:sz="0" w:space="0" w:color="auto"/>
                    <w:left w:val="none" w:sz="0" w:space="0" w:color="auto"/>
                    <w:bottom w:val="none" w:sz="0" w:space="0" w:color="auto"/>
                    <w:right w:val="none" w:sz="0" w:space="0" w:color="auto"/>
                  </w:divBdr>
                  <w:divsChild>
                    <w:div w:id="315501403">
                      <w:marLeft w:val="0"/>
                      <w:marRight w:val="0"/>
                      <w:marTop w:val="0"/>
                      <w:marBottom w:val="0"/>
                      <w:divBdr>
                        <w:top w:val="none" w:sz="0" w:space="0" w:color="auto"/>
                        <w:left w:val="none" w:sz="0" w:space="0" w:color="auto"/>
                        <w:bottom w:val="none" w:sz="0" w:space="0" w:color="auto"/>
                        <w:right w:val="none" w:sz="0" w:space="0" w:color="auto"/>
                      </w:divBdr>
                      <w:divsChild>
                        <w:div w:id="1822039256">
                          <w:marLeft w:val="0"/>
                          <w:marRight w:val="0"/>
                          <w:marTop w:val="0"/>
                          <w:marBottom w:val="0"/>
                          <w:divBdr>
                            <w:top w:val="none" w:sz="0" w:space="0" w:color="auto"/>
                            <w:left w:val="none" w:sz="0" w:space="0" w:color="auto"/>
                            <w:bottom w:val="none" w:sz="0" w:space="0" w:color="auto"/>
                            <w:right w:val="none" w:sz="0" w:space="0" w:color="auto"/>
                          </w:divBdr>
                          <w:divsChild>
                            <w:div w:id="1577662177">
                              <w:marLeft w:val="0"/>
                              <w:marRight w:val="0"/>
                              <w:marTop w:val="0"/>
                              <w:marBottom w:val="0"/>
                              <w:divBdr>
                                <w:top w:val="none" w:sz="0" w:space="0" w:color="auto"/>
                                <w:left w:val="none" w:sz="0" w:space="0" w:color="auto"/>
                                <w:bottom w:val="none" w:sz="0" w:space="0" w:color="auto"/>
                                <w:right w:val="none" w:sz="0" w:space="0" w:color="auto"/>
                              </w:divBdr>
                              <w:divsChild>
                                <w:div w:id="1202748297">
                                  <w:marLeft w:val="0"/>
                                  <w:marRight w:val="0"/>
                                  <w:marTop w:val="0"/>
                                  <w:marBottom w:val="0"/>
                                  <w:divBdr>
                                    <w:top w:val="none" w:sz="0" w:space="0" w:color="auto"/>
                                    <w:left w:val="none" w:sz="0" w:space="0" w:color="auto"/>
                                    <w:bottom w:val="none" w:sz="0" w:space="0" w:color="auto"/>
                                    <w:right w:val="none" w:sz="0" w:space="0" w:color="auto"/>
                                  </w:divBdr>
                                  <w:divsChild>
                                    <w:div w:id="1943875829">
                                      <w:marLeft w:val="0"/>
                                      <w:marRight w:val="0"/>
                                      <w:marTop w:val="0"/>
                                      <w:marBottom w:val="0"/>
                                      <w:divBdr>
                                        <w:top w:val="none" w:sz="0" w:space="0" w:color="auto"/>
                                        <w:left w:val="none" w:sz="0" w:space="0" w:color="auto"/>
                                        <w:bottom w:val="none" w:sz="0" w:space="0" w:color="auto"/>
                                        <w:right w:val="none" w:sz="0" w:space="0" w:color="auto"/>
                                      </w:divBdr>
                                      <w:divsChild>
                                        <w:div w:id="1402025627">
                                          <w:marLeft w:val="0"/>
                                          <w:marRight w:val="0"/>
                                          <w:marTop w:val="0"/>
                                          <w:marBottom w:val="0"/>
                                          <w:divBdr>
                                            <w:top w:val="none" w:sz="0" w:space="0" w:color="auto"/>
                                            <w:left w:val="none" w:sz="0" w:space="0" w:color="auto"/>
                                            <w:bottom w:val="none" w:sz="0" w:space="0" w:color="auto"/>
                                            <w:right w:val="none" w:sz="0" w:space="0" w:color="auto"/>
                                          </w:divBdr>
                                          <w:divsChild>
                                            <w:div w:id="649402825">
                                              <w:marLeft w:val="0"/>
                                              <w:marRight w:val="0"/>
                                              <w:marTop w:val="0"/>
                                              <w:marBottom w:val="0"/>
                                              <w:divBdr>
                                                <w:top w:val="none" w:sz="0" w:space="0" w:color="auto"/>
                                                <w:left w:val="none" w:sz="0" w:space="0" w:color="auto"/>
                                                <w:bottom w:val="none" w:sz="0" w:space="0" w:color="auto"/>
                                                <w:right w:val="none" w:sz="0" w:space="0" w:color="auto"/>
                                              </w:divBdr>
                                              <w:divsChild>
                                                <w:div w:id="1776974921">
                                                  <w:marLeft w:val="0"/>
                                                  <w:marRight w:val="0"/>
                                                  <w:marTop w:val="0"/>
                                                  <w:marBottom w:val="0"/>
                                                  <w:divBdr>
                                                    <w:top w:val="none" w:sz="0" w:space="0" w:color="auto"/>
                                                    <w:left w:val="none" w:sz="0" w:space="0" w:color="auto"/>
                                                    <w:bottom w:val="none" w:sz="0" w:space="0" w:color="auto"/>
                                                    <w:right w:val="none" w:sz="0" w:space="0" w:color="auto"/>
                                                  </w:divBdr>
                                                  <w:divsChild>
                                                    <w:div w:id="1531381806">
                                                      <w:marLeft w:val="0"/>
                                                      <w:marRight w:val="0"/>
                                                      <w:marTop w:val="0"/>
                                                      <w:marBottom w:val="0"/>
                                                      <w:divBdr>
                                                        <w:top w:val="none" w:sz="0" w:space="0" w:color="auto"/>
                                                        <w:left w:val="none" w:sz="0" w:space="0" w:color="auto"/>
                                                        <w:bottom w:val="none" w:sz="0" w:space="0" w:color="auto"/>
                                                        <w:right w:val="none" w:sz="0" w:space="0" w:color="auto"/>
                                                      </w:divBdr>
                                                      <w:divsChild>
                                                        <w:div w:id="2085639890">
                                                          <w:marLeft w:val="0"/>
                                                          <w:marRight w:val="0"/>
                                                          <w:marTop w:val="0"/>
                                                          <w:marBottom w:val="0"/>
                                                          <w:divBdr>
                                                            <w:top w:val="none" w:sz="0" w:space="0" w:color="auto"/>
                                                            <w:left w:val="none" w:sz="0" w:space="0" w:color="auto"/>
                                                            <w:bottom w:val="none" w:sz="0" w:space="0" w:color="auto"/>
                                                            <w:right w:val="none" w:sz="0" w:space="0" w:color="auto"/>
                                                          </w:divBdr>
                                                          <w:divsChild>
                                                            <w:div w:id="1608342851">
                                                              <w:marLeft w:val="0"/>
                                                              <w:marRight w:val="0"/>
                                                              <w:marTop w:val="0"/>
                                                              <w:marBottom w:val="0"/>
                                                              <w:divBdr>
                                                                <w:top w:val="none" w:sz="0" w:space="0" w:color="auto"/>
                                                                <w:left w:val="none" w:sz="0" w:space="0" w:color="auto"/>
                                                                <w:bottom w:val="none" w:sz="0" w:space="0" w:color="auto"/>
                                                                <w:right w:val="none" w:sz="0" w:space="0" w:color="auto"/>
                                                              </w:divBdr>
                                                              <w:divsChild>
                                                                <w:div w:id="637800796">
                                                                  <w:marLeft w:val="0"/>
                                                                  <w:marRight w:val="0"/>
                                                                  <w:marTop w:val="0"/>
                                                                  <w:marBottom w:val="0"/>
                                                                  <w:divBdr>
                                                                    <w:top w:val="none" w:sz="0" w:space="0" w:color="auto"/>
                                                                    <w:left w:val="none" w:sz="0" w:space="0" w:color="auto"/>
                                                                    <w:bottom w:val="none" w:sz="0" w:space="0" w:color="auto"/>
                                                                    <w:right w:val="none" w:sz="0" w:space="0" w:color="auto"/>
                                                                  </w:divBdr>
                                                                </w:div>
                                                                <w:div w:id="705570794">
                                                                  <w:marLeft w:val="0"/>
                                                                  <w:marRight w:val="0"/>
                                                                  <w:marTop w:val="0"/>
                                                                  <w:marBottom w:val="0"/>
                                                                  <w:divBdr>
                                                                    <w:top w:val="none" w:sz="0" w:space="0" w:color="auto"/>
                                                                    <w:left w:val="none" w:sz="0" w:space="0" w:color="auto"/>
                                                                    <w:bottom w:val="none" w:sz="0" w:space="0" w:color="auto"/>
                                                                    <w:right w:val="none" w:sz="0" w:space="0" w:color="auto"/>
                                                                  </w:divBdr>
                                                                  <w:divsChild>
                                                                    <w:div w:id="1735354600">
                                                                      <w:marLeft w:val="0"/>
                                                                      <w:marRight w:val="0"/>
                                                                      <w:marTop w:val="0"/>
                                                                      <w:marBottom w:val="0"/>
                                                                      <w:divBdr>
                                                                        <w:top w:val="none" w:sz="0" w:space="0" w:color="auto"/>
                                                                        <w:left w:val="none" w:sz="0" w:space="0" w:color="auto"/>
                                                                        <w:bottom w:val="none" w:sz="0" w:space="0" w:color="auto"/>
                                                                        <w:right w:val="none" w:sz="0" w:space="0" w:color="auto"/>
                                                                      </w:divBdr>
                                                                      <w:divsChild>
                                                                        <w:div w:id="1927768988">
                                                                          <w:marLeft w:val="0"/>
                                                                          <w:marRight w:val="0"/>
                                                                          <w:marTop w:val="0"/>
                                                                          <w:marBottom w:val="0"/>
                                                                          <w:divBdr>
                                                                            <w:top w:val="none" w:sz="0" w:space="0" w:color="auto"/>
                                                                            <w:left w:val="none" w:sz="0" w:space="0" w:color="auto"/>
                                                                            <w:bottom w:val="none" w:sz="0" w:space="0" w:color="auto"/>
                                                                            <w:right w:val="none" w:sz="0" w:space="0" w:color="auto"/>
                                                                          </w:divBdr>
                                                                          <w:divsChild>
                                                                            <w:div w:id="306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9853544">
      <w:bodyDiv w:val="1"/>
      <w:marLeft w:val="0"/>
      <w:marRight w:val="0"/>
      <w:marTop w:val="0"/>
      <w:marBottom w:val="0"/>
      <w:divBdr>
        <w:top w:val="none" w:sz="0" w:space="0" w:color="auto"/>
        <w:left w:val="none" w:sz="0" w:space="0" w:color="auto"/>
        <w:bottom w:val="none" w:sz="0" w:space="0" w:color="auto"/>
        <w:right w:val="none" w:sz="0" w:space="0" w:color="auto"/>
      </w:divBdr>
      <w:divsChild>
        <w:div w:id="387071287">
          <w:marLeft w:val="0"/>
          <w:marRight w:val="0"/>
          <w:marTop w:val="0"/>
          <w:marBottom w:val="0"/>
          <w:divBdr>
            <w:top w:val="none" w:sz="0" w:space="0" w:color="auto"/>
            <w:left w:val="none" w:sz="0" w:space="0" w:color="auto"/>
            <w:bottom w:val="none" w:sz="0" w:space="0" w:color="auto"/>
            <w:right w:val="none" w:sz="0" w:space="0" w:color="auto"/>
          </w:divBdr>
          <w:divsChild>
            <w:div w:id="1951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7710">
      <w:bodyDiv w:val="1"/>
      <w:marLeft w:val="0"/>
      <w:marRight w:val="0"/>
      <w:marTop w:val="0"/>
      <w:marBottom w:val="0"/>
      <w:divBdr>
        <w:top w:val="none" w:sz="0" w:space="0" w:color="auto"/>
        <w:left w:val="none" w:sz="0" w:space="0" w:color="auto"/>
        <w:bottom w:val="none" w:sz="0" w:space="0" w:color="auto"/>
        <w:right w:val="none" w:sz="0" w:space="0" w:color="auto"/>
      </w:divBdr>
      <w:divsChild>
        <w:div w:id="275450807">
          <w:marLeft w:val="0"/>
          <w:marRight w:val="0"/>
          <w:marTop w:val="0"/>
          <w:marBottom w:val="0"/>
          <w:divBdr>
            <w:top w:val="none" w:sz="0" w:space="0" w:color="auto"/>
            <w:left w:val="none" w:sz="0" w:space="0" w:color="auto"/>
            <w:bottom w:val="none" w:sz="0" w:space="0" w:color="auto"/>
            <w:right w:val="none" w:sz="0" w:space="0" w:color="auto"/>
          </w:divBdr>
        </w:div>
        <w:div w:id="591594994">
          <w:marLeft w:val="0"/>
          <w:marRight w:val="0"/>
          <w:marTop w:val="0"/>
          <w:marBottom w:val="0"/>
          <w:divBdr>
            <w:top w:val="none" w:sz="0" w:space="0" w:color="auto"/>
            <w:left w:val="none" w:sz="0" w:space="0" w:color="auto"/>
            <w:bottom w:val="none" w:sz="0" w:space="0" w:color="auto"/>
            <w:right w:val="none" w:sz="0" w:space="0" w:color="auto"/>
          </w:divBdr>
        </w:div>
      </w:divsChild>
    </w:div>
    <w:div w:id="19735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elerukjohson@gmail.com"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58/jepf.v7n4p1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34023/2313-6383-2021-28-3-70-85" TargetMode="External"/><Relationship Id="rId4" Type="http://schemas.openxmlformats.org/officeDocument/2006/relationships/webSettings" Target="webSettings.xml"/><Relationship Id="rId9" Type="http://schemas.openxmlformats.org/officeDocument/2006/relationships/hyperlink" Target="https://doi.org/10.1057/s41599-020-0529-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22</Pages>
  <Words>10146</Words>
  <Characters>57838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Loice Mutheu Mulwa</dc:creator>
  <cp:keywords/>
  <dc:description/>
  <cp:lastModifiedBy>Loice Mutheu Mulwa</cp:lastModifiedBy>
  <cp:revision>40</cp:revision>
  <cp:lastPrinted>2026-06-10T18:48:00Z</cp:lastPrinted>
  <dcterms:created xsi:type="dcterms:W3CDTF">2026-06-10T19:08:00Z</dcterms:created>
  <dcterms:modified xsi:type="dcterms:W3CDTF">2026-06-15T08:04:00Z</dcterms:modified>
</cp:coreProperties>
</file>